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153670</wp:posOffset>
            </wp:positionH>
            <wp:positionV relativeFrom="page">
              <wp:posOffset>324485</wp:posOffset>
            </wp:positionV>
            <wp:extent cx="72536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8255"/>
                    </a:xfrm>
                    <a:prstGeom prst="rect">
                      <a:avLst/>
                    </a:prstGeom>
                    <a:noFill/>
                  </pic:spPr>
                </pic:pic>
              </a:graphicData>
            </a:graphic>
          </wp:anchor>
        </w:drawing>
        <w:drawing>
          <wp:anchor simplePos="0" relativeHeight="251657728" behindDoc="1" locked="0" layoutInCell="0" allowOverlap="1">
            <wp:simplePos x="0" y="0"/>
            <wp:positionH relativeFrom="page">
              <wp:posOffset>153670</wp:posOffset>
            </wp:positionH>
            <wp:positionV relativeFrom="page">
              <wp:posOffset>235585</wp:posOffset>
            </wp:positionV>
            <wp:extent cx="725360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3605" cy="16510"/>
                    </a:xfrm>
                    <a:prstGeom prst="rect">
                      <a:avLst/>
                    </a:prstGeom>
                    <a:noFill/>
                  </pic:spPr>
                </pic:pic>
              </a:graphicData>
            </a:graphic>
          </wp:anchor>
        </w:drawing>
        <w:t>UNITED STATES 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jc w:val="center"/>
        <w:spacing w:after="0"/>
        <w:rPr>
          <w:sz w:val="20"/>
          <w:szCs w:val="20"/>
          <w:color w:val="auto"/>
        </w:rPr>
      </w:pPr>
      <w:r>
        <w:rPr>
          <w:rFonts w:ascii="Arial" w:cs="Arial" w:eastAsia="Arial" w:hAnsi="Arial"/>
          <w:sz w:val="31"/>
          <w:szCs w:val="31"/>
          <w:b w:val="1"/>
          <w:bCs w:val="1"/>
          <w:color w:val="auto"/>
        </w:rPr>
        <w:t>Form 10-K</w:t>
      </w:r>
    </w:p>
    <w:p>
      <w:pPr>
        <w:spacing w:after="0" w:line="119" w:lineRule="exact"/>
        <w:rPr>
          <w:sz w:val="24"/>
          <w:szCs w:val="24"/>
          <w:color w:val="auto"/>
        </w:rPr>
      </w:pPr>
    </w:p>
    <w:p>
      <w:pPr>
        <w:ind w:left="720" w:right="2280" w:hanging="692"/>
        <w:spacing w:after="0" w:line="318" w:lineRule="auto"/>
        <w:tabs>
          <w:tab w:leader="none" w:pos="72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ANNUAL REPORT PURSUANT TO SECTION 13 OR 15(d) OF THE SECURITIES EXCHANGE ACT OF 1934 For the fiscal year ended December 31, 2017</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118" w:lineRule="exact"/>
        <w:rPr>
          <w:sz w:val="24"/>
          <w:szCs w:val="24"/>
          <w:color w:val="auto"/>
        </w:rPr>
      </w:pPr>
    </w:p>
    <w:p>
      <w:pPr>
        <w:ind w:left="4360" w:right="1960" w:hanging="4332"/>
        <w:spacing w:after="0" w:line="365" w:lineRule="auto"/>
        <w:tabs>
          <w:tab w:leader="none" w:pos="727"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 Commission file number: 0-19311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3067050</wp:posOffset>
            </wp:positionH>
            <wp:positionV relativeFrom="paragraph">
              <wp:posOffset>-46355</wp:posOffset>
            </wp:positionV>
            <wp:extent cx="1122045" cy="365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22045" cy="36576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BIOGEN INC.</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420"/>
          </w:cols>
          <w:pgMar w:left="240" w:top="521" w:right="239" w:bottom="1440" w:gutter="0" w:footer="0" w:header="0"/>
        </w:sectPr>
      </w:pPr>
    </w:p>
    <w:p>
      <w:pPr>
        <w:spacing w:after="0" w:line="108"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33-0112644</w:t>
      </w:r>
    </w:p>
    <w:p>
      <w:pPr>
        <w:spacing w:after="0" w:line="135" w:lineRule="exact"/>
        <w:rPr>
          <w:sz w:val="24"/>
          <w:szCs w:val="24"/>
          <w:color w:val="auto"/>
        </w:rPr>
      </w:pPr>
    </w:p>
    <w:p>
      <w:pPr>
        <w:sectPr>
          <w:pgSz w:w="11900" w:h="16838" w:orient="portrait"/>
          <w:cols w:equalWidth="0" w:num="2">
            <w:col w:w="7400" w:space="720"/>
            <w:col w:w="3300"/>
          </w:cols>
          <w:pgMar w:left="240" w:top="521" w:right="239" w:bottom="1440" w:gutter="0" w:footer="0" w:header="0"/>
          <w:type w:val="continuous"/>
        </w:sectPr>
      </w:pPr>
    </w:p>
    <w:p>
      <w:pPr>
        <w:ind w:left="1040"/>
        <w:spacing w:after="0"/>
        <w:rPr>
          <w:sz w:val="20"/>
          <w:szCs w:val="20"/>
          <w:color w:val="auto"/>
        </w:rPr>
      </w:pPr>
      <w:r>
        <w:rPr>
          <w:rFonts w:ascii="Arial" w:cs="Arial" w:eastAsia="Arial" w:hAnsi="Arial"/>
          <w:sz w:val="13"/>
          <w:szCs w:val="13"/>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i w:val="1"/>
          <w:iCs w:val="1"/>
          <w:color w:val="auto"/>
        </w:rPr>
        <w:t>(I.R.S. Employer Identification No.)</w:t>
      </w:r>
    </w:p>
    <w:p>
      <w:pPr>
        <w:spacing w:after="0" w:line="57" w:lineRule="exact"/>
        <w:rPr>
          <w:sz w:val="24"/>
          <w:szCs w:val="24"/>
          <w:color w:val="auto"/>
        </w:rPr>
      </w:pPr>
    </w:p>
    <w:p>
      <w:pPr>
        <w:sectPr>
          <w:pgSz w:w="11900" w:h="16838" w:orient="portrait"/>
          <w:cols w:equalWidth="0" w:num="2">
            <w:col w:w="6800" w:space="720"/>
            <w:col w:w="3900"/>
          </w:cols>
          <w:pgMar w:left="240" w:top="521" w:right="239" w:bottom="1440" w:gutter="0" w:footer="0" w:header="0"/>
          <w:type w:val="continuous"/>
        </w:sectPr>
      </w:pPr>
    </w:p>
    <w:p>
      <w:pPr>
        <w:jc w:val="center"/>
        <w:spacing w:after="0"/>
        <w:rPr>
          <w:sz w:val="20"/>
          <w:szCs w:val="20"/>
          <w:color w:val="auto"/>
        </w:rPr>
      </w:pPr>
      <w:r>
        <w:rPr>
          <w:rFonts w:ascii="Arial" w:cs="Arial" w:eastAsia="Arial" w:hAnsi="Arial"/>
          <w:sz w:val="17"/>
          <w:szCs w:val="17"/>
          <w:b w:val="1"/>
          <w:bCs w:val="1"/>
          <w:color w:val="auto"/>
        </w:rPr>
        <w:t>225 Binney Street, Cambridge, Massachusetts 02142</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(617) 679-2000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(Address, including zip code, and telephone number, including area code, of Registrant’s principal executive offices)</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188"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4840" w:type="dxa"/>
            <w:vAlign w:val="bottom"/>
            <w:tcBorders>
              <w:bottom w:val="single" w:sz="8" w:color="auto"/>
            </w:tcBorders>
          </w:tcPr>
          <w:p>
            <w:pPr>
              <w:jc w:val="center"/>
              <w:ind w:left="698"/>
              <w:spacing w:after="0"/>
              <w:rPr>
                <w:sz w:val="20"/>
                <w:szCs w:val="20"/>
                <w:color w:val="auto"/>
              </w:rPr>
            </w:pPr>
            <w:r>
              <w:rPr>
                <w:rFonts w:ascii="Arial" w:cs="Arial" w:eastAsia="Arial" w:hAnsi="Arial"/>
                <w:sz w:val="14"/>
                <w:szCs w:val="14"/>
                <w:b w:val="1"/>
                <w:bCs w:val="1"/>
                <w:color w:val="auto"/>
                <w:w w:val="97"/>
              </w:rPr>
              <w:t>Title of Each Class</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20" w:type="dxa"/>
            <w:vAlign w:val="bottom"/>
            <w:tcBorders>
              <w:bottom w:val="single" w:sz="8" w:color="auto"/>
            </w:tcBorders>
            <w:gridSpan w:val="2"/>
          </w:tcPr>
          <w:p>
            <w:pPr>
              <w:jc w:val="center"/>
              <w:ind w:left="1203"/>
              <w:spacing w:after="0"/>
              <w:rPr>
                <w:sz w:val="20"/>
                <w:szCs w:val="20"/>
                <w:color w:val="auto"/>
              </w:rPr>
            </w:pPr>
            <w:r>
              <w:rPr>
                <w:rFonts w:ascii="Arial" w:cs="Arial" w:eastAsia="Arial" w:hAnsi="Arial"/>
                <w:sz w:val="14"/>
                <w:szCs w:val="14"/>
                <w:b w:val="1"/>
                <w:bCs w:val="1"/>
                <w:color w:val="auto"/>
                <w:w w:val="97"/>
              </w:rPr>
              <w:t>Name of Each Exchange on Which Registered</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840" w:type="dxa"/>
            <w:vAlign w:val="bottom"/>
          </w:tcPr>
          <w:p>
            <w:pPr>
              <w:jc w:val="center"/>
              <w:ind w:left="678"/>
              <w:spacing w:after="0"/>
              <w:rPr>
                <w:sz w:val="20"/>
                <w:szCs w:val="20"/>
                <w:color w:val="auto"/>
              </w:rPr>
            </w:pPr>
            <w:r>
              <w:rPr>
                <w:rFonts w:ascii="Arial" w:cs="Arial" w:eastAsia="Arial" w:hAnsi="Arial"/>
                <w:sz w:val="17"/>
                <w:szCs w:val="17"/>
                <w:b w:val="1"/>
                <w:bCs w:val="1"/>
                <w:color w:val="auto"/>
              </w:rPr>
              <w:t>Common Stock, $0.0005 par value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20" w:type="dxa"/>
            <w:vAlign w:val="bottom"/>
            <w:gridSpan w:val="2"/>
          </w:tcPr>
          <w:p>
            <w:pPr>
              <w:jc w:val="center"/>
              <w:ind w:left="1203"/>
              <w:spacing w:after="0"/>
              <w:rPr>
                <w:sz w:val="20"/>
                <w:szCs w:val="20"/>
                <w:color w:val="auto"/>
              </w:rPr>
            </w:pPr>
            <w:r>
              <w:rPr>
                <w:rFonts w:ascii="Arial" w:cs="Arial" w:eastAsia="Arial" w:hAnsi="Arial"/>
                <w:sz w:val="17"/>
                <w:szCs w:val="17"/>
                <w:b w:val="1"/>
                <w:bCs w:val="1"/>
                <w:color w:val="auto"/>
              </w:rPr>
              <w:t>The Nasdaq Global Select Market</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380" w:type="dxa"/>
            <w:vAlign w:val="bottom"/>
            <w:gridSpan w:val="4"/>
          </w:tcPr>
          <w:p>
            <w:pPr>
              <w:jc w:val="center"/>
              <w:ind w:left="1978"/>
              <w:spacing w:after="0"/>
              <w:rPr>
                <w:sz w:val="20"/>
                <w:szCs w:val="20"/>
                <w:color w:val="auto"/>
              </w:rPr>
            </w:pPr>
            <w:r>
              <w:rPr>
                <w:rFonts w:ascii="Arial" w:cs="Arial" w:eastAsia="Arial" w:hAnsi="Arial"/>
                <w:sz w:val="17"/>
                <w:szCs w:val="17"/>
                <w:b w:val="1"/>
                <w:bCs w:val="1"/>
                <w:color w:val="auto"/>
              </w:rPr>
              <w:t>Securities registered pursuant to Section 12(g) of the Act:</w:t>
            </w:r>
          </w:p>
        </w:tc>
        <w:tc>
          <w:tcPr>
            <w:tcW w:w="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840" w:type="dxa"/>
            <w:vAlign w:val="bottom"/>
          </w:tcPr>
          <w:p>
            <w:pPr>
              <w:spacing w:after="0"/>
              <w:rPr>
                <w:sz w:val="16"/>
                <w:szCs w:val="16"/>
                <w:color w:val="auto"/>
              </w:rPr>
            </w:pPr>
          </w:p>
        </w:tc>
        <w:tc>
          <w:tcPr>
            <w:tcW w:w="4540" w:type="dxa"/>
            <w:vAlign w:val="bottom"/>
            <w:gridSpan w:val="3"/>
          </w:tcPr>
          <w:p>
            <w:pPr>
              <w:jc w:val="center"/>
              <w:ind w:right="2723"/>
              <w:spacing w:after="0" w:line="186" w:lineRule="exact"/>
              <w:rPr>
                <w:sz w:val="20"/>
                <w:szCs w:val="20"/>
                <w:color w:val="auto"/>
              </w:rPr>
            </w:pPr>
            <w:r>
              <w:rPr>
                <w:rFonts w:ascii="Arial" w:cs="Arial" w:eastAsia="Arial" w:hAnsi="Arial"/>
                <w:sz w:val="17"/>
                <w:szCs w:val="17"/>
                <w:b w:val="1"/>
                <w:bCs w:val="1"/>
                <w:color w:val="auto"/>
                <w:w w:val="98"/>
              </w:rPr>
              <w:t>None</w:t>
            </w:r>
          </w:p>
        </w:tc>
        <w:tc>
          <w:tcPr>
            <w:tcW w:w="760" w:type="dxa"/>
            <w:vAlign w:val="bottom"/>
            <w:vMerge w:val="restart"/>
          </w:tcPr>
          <w:p>
            <w:pPr>
              <w:ind w:left="40"/>
              <w:spacing w:after="0"/>
              <w:rPr>
                <w:sz w:val="20"/>
                <w:szCs w:val="20"/>
                <w:color w:val="auto"/>
              </w:rPr>
            </w:pPr>
            <w:r>
              <w:rPr>
                <w:rFonts w:ascii="Arial" w:cs="Arial" w:eastAsia="Arial" w:hAnsi="Arial"/>
                <w:sz w:val="17"/>
                <w:szCs w:val="17"/>
                <w:color w:val="auto"/>
              </w:rPr>
              <w:t>Yes x</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No o</w:t>
            </w:r>
          </w:p>
        </w:tc>
        <w:tc>
          <w:tcPr>
            <w:tcW w:w="0" w:type="dxa"/>
            <w:vAlign w:val="bottom"/>
          </w:tcPr>
          <w:p>
            <w:pPr>
              <w:spacing w:after="0"/>
              <w:rPr>
                <w:sz w:val="1"/>
                <w:szCs w:val="1"/>
                <w:color w:val="auto"/>
              </w:rPr>
            </w:pPr>
          </w:p>
        </w:tc>
      </w:tr>
      <w:tr>
        <w:trPr>
          <w:trHeight w:val="155"/>
        </w:trPr>
        <w:tc>
          <w:tcPr>
            <w:tcW w:w="9380" w:type="dxa"/>
            <w:vAlign w:val="bottom"/>
            <w:gridSpan w:val="4"/>
          </w:tcPr>
          <w:p>
            <w:pPr>
              <w:ind w:left="420"/>
              <w:spacing w:after="0" w:line="155" w:lineRule="exact"/>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r>
          </w:p>
        </w:tc>
        <w:tc>
          <w:tcPr>
            <w:tcW w:w="76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9380" w:type="dxa"/>
            <w:vAlign w:val="bottom"/>
            <w:gridSpan w:val="4"/>
          </w:tcPr>
          <w:p>
            <w:pPr>
              <w:ind w:left="420"/>
              <w:spacing w:after="0"/>
              <w:rPr>
                <w:sz w:val="20"/>
                <w:szCs w:val="20"/>
                <w:color w:val="auto"/>
              </w:rPr>
            </w:pPr>
            <w:r>
              <w:rPr>
                <w:rFonts w:ascii="Arial" w:cs="Arial" w:eastAsia="Arial" w:hAnsi="Arial"/>
                <w:sz w:val="17"/>
                <w:szCs w:val="17"/>
                <w:color w:val="auto"/>
              </w:rPr>
              <w:t>Indicate by check mark if the registrant is not required to file reports pursuant to Section 13 or Section 15(d) of the Act.</w:t>
            </w:r>
          </w:p>
        </w:tc>
        <w:tc>
          <w:tcPr>
            <w:tcW w:w="760" w:type="dxa"/>
            <w:vAlign w:val="bottom"/>
          </w:tcPr>
          <w:p>
            <w:pPr>
              <w:ind w:left="140"/>
              <w:spacing w:after="0"/>
              <w:rPr>
                <w:sz w:val="20"/>
                <w:szCs w:val="20"/>
                <w:color w:val="auto"/>
              </w:rPr>
            </w:pPr>
            <w:r>
              <w:rPr>
                <w:rFonts w:ascii="Arial" w:cs="Arial" w:eastAsia="Arial" w:hAnsi="Arial"/>
                <w:sz w:val="17"/>
                <w:szCs w:val="17"/>
                <w:color w:val="auto"/>
              </w:rPr>
              <w:t>Yes o</w:t>
            </w:r>
          </w:p>
        </w:tc>
        <w:tc>
          <w:tcPr>
            <w:tcW w:w="1280" w:type="dxa"/>
            <w:vAlign w:val="bottom"/>
          </w:tcPr>
          <w:p>
            <w:pPr>
              <w:ind w:left="160"/>
              <w:spacing w:after="0"/>
              <w:rPr>
                <w:sz w:val="20"/>
                <w:szCs w:val="20"/>
                <w:color w:val="auto"/>
              </w:rPr>
            </w:pPr>
            <w:r>
              <w:rPr>
                <w:rFonts w:ascii="Arial" w:cs="Arial" w:eastAsia="Arial" w:hAnsi="Arial"/>
                <w:sz w:val="17"/>
                <w:szCs w:val="17"/>
                <w:color w:val="auto"/>
              </w:rPr>
              <w:t>No x</w:t>
            </w:r>
          </w:p>
        </w:tc>
        <w:tc>
          <w:tcPr>
            <w:tcW w:w="0" w:type="dxa"/>
            <w:vAlign w:val="bottom"/>
          </w:tcPr>
          <w:p>
            <w:pPr>
              <w:spacing w:after="0"/>
              <w:rPr>
                <w:sz w:val="1"/>
                <w:szCs w:val="1"/>
                <w:color w:val="auto"/>
              </w:rPr>
            </w:pPr>
          </w:p>
        </w:tc>
      </w:tr>
    </w:tbl>
    <w:p>
      <w:pPr>
        <w:spacing w:after="0" w:line="13" w:lineRule="exact"/>
        <w:rPr>
          <w:sz w:val="24"/>
          <w:szCs w:val="24"/>
          <w:color w:val="auto"/>
        </w:rPr>
      </w:pPr>
    </w:p>
    <w:p>
      <w:pPr>
        <w:jc w:val="both"/>
        <w:ind w:right="80" w:firstLine="410"/>
        <w:spacing w:after="0" w:line="204"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 w:lineRule="exact"/>
        <w:rPr>
          <w:sz w:val="24"/>
          <w:szCs w:val="24"/>
          <w:color w:val="auto"/>
        </w:rPr>
      </w:pPr>
    </w:p>
    <w:p>
      <w:pPr>
        <w:ind w:right="20" w:firstLine="410"/>
        <w:spacing w:after="0" w:line="204"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w:t>
      </w:r>
    </w:p>
    <w:p>
      <w:pPr>
        <w:spacing w:after="0" w:line="205" w:lineRule="auto"/>
        <w:tabs>
          <w:tab w:leader="none" w:pos="4220" w:val="left"/>
          <w:tab w:leader="none" w:pos="5000" w:val="left"/>
        </w:tabs>
        <w:rPr>
          <w:sz w:val="20"/>
          <w:szCs w:val="20"/>
          <w:color w:val="auto"/>
        </w:rPr>
      </w:pPr>
      <w:r>
        <w:rPr>
          <w:rFonts w:ascii="Arial" w:cs="Arial" w:eastAsia="Arial" w:hAnsi="Arial"/>
          <w:sz w:val="17"/>
          <w:szCs w:val="17"/>
          <w:color w:val="auto"/>
        </w:rPr>
        <w:t>registrant was required to submit and post such files):</w:t>
        <w:tab/>
        <w:t>Yes x</w:t>
      </w:r>
      <w:r>
        <w:rPr>
          <w:sz w:val="20"/>
          <w:szCs w:val="20"/>
          <w:color w:val="auto"/>
        </w:rPr>
        <w:tab/>
      </w:r>
      <w:r>
        <w:rPr>
          <w:rFonts w:ascii="Arial" w:cs="Arial" w:eastAsia="Arial" w:hAnsi="Arial"/>
          <w:sz w:val="17"/>
          <w:szCs w:val="17"/>
          <w:color w:val="auto"/>
        </w:rPr>
        <w:t>No o</w:t>
      </w:r>
    </w:p>
    <w:p>
      <w:pPr>
        <w:ind w:right="100" w:firstLine="410"/>
        <w:spacing w:after="0" w:line="204" w:lineRule="auto"/>
        <w:rPr>
          <w:sz w:val="20"/>
          <w:szCs w:val="20"/>
          <w:color w:val="auto"/>
        </w:rPr>
      </w:pPr>
      <w:r>
        <w:rPr>
          <w:rFonts w:ascii="Arial" w:cs="Arial" w:eastAsia="Arial" w:hAnsi="Arial"/>
          <w:sz w:val="17"/>
          <w:szCs w:val="17"/>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spacing w:after="0" w:line="1" w:lineRule="exact"/>
        <w:rPr>
          <w:sz w:val="24"/>
          <w:szCs w:val="24"/>
          <w:color w:val="auto"/>
        </w:rPr>
      </w:pPr>
    </w:p>
    <w:p>
      <w:pPr>
        <w:ind w:right="60" w:firstLine="410"/>
        <w:spacing w:after="0" w:line="21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521" w:right="239" w:bottom="1440" w:gutter="0" w:footer="0" w:header="0"/>
          <w:type w:val="continuous"/>
        </w:sectPr>
      </w:pPr>
    </w:p>
    <w:p>
      <w:pPr>
        <w:spacing w:after="0" w:line="119" w:lineRule="exact"/>
        <w:rPr>
          <w:sz w:val="24"/>
          <w:szCs w:val="24"/>
          <w:color w:val="auto"/>
        </w:rPr>
      </w:pPr>
    </w:p>
    <w:p>
      <w:pPr>
        <w:ind w:left="20"/>
        <w:spacing w:after="0"/>
        <w:rPr>
          <w:sz w:val="20"/>
          <w:szCs w:val="20"/>
          <w:color w:val="auto"/>
        </w:rPr>
      </w:pPr>
      <w:r>
        <w:rPr>
          <w:rFonts w:ascii="Arial" w:cs="Arial" w:eastAsia="Arial" w:hAnsi="Arial"/>
          <w:sz w:val="17"/>
          <w:szCs w:val="17"/>
          <w:color w:val="auto"/>
        </w:rPr>
        <w:t>Large accelerated filer x</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72" w:lineRule="exact"/>
        <w:rPr>
          <w:sz w:val="24"/>
          <w:szCs w:val="24"/>
          <w:color w:val="auto"/>
        </w:rPr>
      </w:pPr>
    </w:p>
    <w:p>
      <w:pPr>
        <w:sectPr>
          <w:pgSz w:w="11900" w:h="16838" w:orient="portrait"/>
          <w:cols w:equalWidth="0" w:num="2">
            <w:col w:w="9280" w:space="720"/>
            <w:col w:w="1420"/>
          </w:cols>
          <w:pgMar w:left="240" w:top="521" w:right="2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Smaller reporting company o</w:t>
      </w:r>
    </w:p>
    <w:p>
      <w:pPr>
        <w:spacing w:after="0" w:line="61" w:lineRule="exact"/>
        <w:rPr>
          <w:sz w:val="24"/>
          <w:szCs w:val="24"/>
          <w:color w:val="auto"/>
        </w:rPr>
      </w:pPr>
    </w:p>
    <w:p>
      <w:pPr>
        <w:sectPr>
          <w:pgSz w:w="11900" w:h="16838" w:orient="portrait"/>
          <w:cols w:equalWidth="0" w:num="2">
            <w:col w:w="8500" w:space="720"/>
            <w:col w:w="2200"/>
          </w:cols>
          <w:pgMar w:left="240" w:top="521" w:right="239" w:bottom="1440" w:gutter="0" w:footer="0" w:header="0"/>
          <w:type w:val="continuous"/>
        </w:sectPr>
      </w:pPr>
    </w:p>
    <w:p>
      <w:pPr>
        <w:spacing w:after="0" w:line="11" w:lineRule="exact"/>
        <w:rPr>
          <w:sz w:val="24"/>
          <w:szCs w:val="24"/>
          <w:color w:val="auto"/>
        </w:rPr>
      </w:pPr>
    </w:p>
    <w:p>
      <w:pPr>
        <w:ind w:left="460"/>
        <w:spacing w:after="0"/>
        <w:rPr>
          <w:sz w:val="20"/>
          <w:szCs w:val="20"/>
          <w:color w:val="auto"/>
        </w:rPr>
      </w:pPr>
      <w:r>
        <w:rPr>
          <w:rFonts w:ascii="Arial" w:cs="Arial" w:eastAsia="Arial" w:hAnsi="Arial"/>
          <w:sz w:val="17"/>
          <w:szCs w:val="17"/>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Emerging growth company o</w:t>
      </w:r>
    </w:p>
    <w:p>
      <w:pPr>
        <w:spacing w:after="0" w:line="58" w:lineRule="exact"/>
        <w:rPr>
          <w:sz w:val="24"/>
          <w:szCs w:val="24"/>
          <w:color w:val="auto"/>
        </w:rPr>
      </w:pPr>
    </w:p>
    <w:p>
      <w:pPr>
        <w:sectPr>
          <w:pgSz w:w="11900" w:h="16838" w:orient="portrait"/>
          <w:cols w:equalWidth="0" w:num="2">
            <w:col w:w="8520" w:space="720"/>
            <w:col w:w="2180"/>
          </w:cols>
          <w:pgMar w:left="240" w:top="521" w:right="239" w:bottom="1440" w:gutter="0" w:footer="0" w:header="0"/>
          <w:type w:val="continuous"/>
        </w:sectPr>
      </w:pPr>
    </w:p>
    <w:p>
      <w:pPr>
        <w:ind w:right="200" w:firstLine="410"/>
        <w:spacing w:after="0" w:line="243"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ind w:left="420"/>
        <w:spacing w:after="0"/>
        <w:tabs>
          <w:tab w:leader="none" w:pos="8300" w:val="left"/>
          <w:tab w:leader="none" w:pos="91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tab/>
        <w:t>Yes o</w:t>
      </w:r>
      <w:r>
        <w:rPr>
          <w:sz w:val="20"/>
          <w:szCs w:val="20"/>
          <w:color w:val="auto"/>
        </w:rPr>
        <w:tab/>
      </w:r>
      <w:r>
        <w:rPr>
          <w:rFonts w:ascii="Arial" w:cs="Arial" w:eastAsia="Arial" w:hAnsi="Arial"/>
          <w:sz w:val="16"/>
          <w:szCs w:val="16"/>
          <w:color w:val="auto"/>
        </w:rPr>
        <w:t>No x</w:t>
      </w:r>
    </w:p>
    <w:p>
      <w:pPr>
        <w:sectPr>
          <w:pgSz w:w="11900" w:h="16838" w:orient="portrait"/>
          <w:cols w:equalWidth="0" w:num="1">
            <w:col w:w="11420"/>
          </w:cols>
          <w:pgMar w:left="240" w:top="521" w:right="239" w:bottom="1440" w:gutter="0" w:footer="0" w:header="0"/>
          <w:type w:val="continuous"/>
        </w:sectPr>
      </w:pPr>
    </w:p>
    <w:p>
      <w:pPr>
        <w:spacing w:after="0" w:line="9" w:lineRule="exact"/>
        <w:rPr>
          <w:sz w:val="24"/>
          <w:szCs w:val="24"/>
          <w:color w:val="auto"/>
        </w:rPr>
      </w:pPr>
    </w:p>
    <w:p>
      <w:pPr>
        <w:jc w:val="both"/>
        <w:ind w:right="320" w:firstLine="410"/>
        <w:spacing w:after="0" w:line="188" w:lineRule="auto"/>
        <w:rPr>
          <w:sz w:val="20"/>
          <w:szCs w:val="20"/>
          <w:color w:val="auto"/>
        </w:rPr>
      </w:pPr>
      <w:r>
        <w:rPr>
          <w:rFonts w:ascii="Arial" w:cs="Arial" w:eastAsia="Arial" w:hAnsi="Arial"/>
          <w:sz w:val="17"/>
          <w:szCs w:val="17"/>
          <w:color w:val="auto"/>
        </w:rPr>
        <w:t>The aggregate market value of the registrant’s common stock held by non-affiliates of the registrant (without admitting that any person whose shares are not included in such calculation is an affiliate) computed by reference to the price at which the common stock was last sold as of the last business day of the registrant’s most recently completed second fiscal quarter was $57,220,188,450.</w:t>
      </w:r>
    </w:p>
    <w:p>
      <w:pPr>
        <w:spacing w:after="0" w:line="2" w:lineRule="exact"/>
        <w:rPr>
          <w:sz w:val="24"/>
          <w:szCs w:val="24"/>
          <w:color w:val="auto"/>
        </w:rPr>
      </w:pPr>
    </w:p>
    <w:p>
      <w:pPr>
        <w:ind w:left="420"/>
        <w:spacing w:after="0"/>
        <w:rPr>
          <w:sz w:val="20"/>
          <w:szCs w:val="20"/>
          <w:color w:val="auto"/>
        </w:rPr>
      </w:pPr>
      <w:r>
        <w:rPr>
          <w:rFonts w:ascii="Arial" w:cs="Arial" w:eastAsia="Arial" w:hAnsi="Arial"/>
          <w:sz w:val="17"/>
          <w:szCs w:val="17"/>
          <w:color w:val="auto"/>
        </w:rPr>
        <w:t>As of January 26, 2018, the registrant had 211,562,686 shares of common stock, $0.0005 par value, outstanding.</w:t>
      </w:r>
    </w:p>
    <w:p>
      <w:pPr>
        <w:ind w:left="3760"/>
        <w:spacing w:after="0" w:line="231" w:lineRule="auto"/>
        <w:rPr>
          <w:sz w:val="20"/>
          <w:szCs w:val="20"/>
          <w:color w:val="auto"/>
        </w:rPr>
      </w:pPr>
      <w:r>
        <w:rPr>
          <w:rFonts w:ascii="Arial" w:cs="Arial" w:eastAsia="Arial" w:hAnsi="Arial"/>
          <w:sz w:val="17"/>
          <w:szCs w:val="17"/>
          <w:b w:val="1"/>
          <w:bCs w:val="1"/>
          <w:color w:val="auto"/>
        </w:rPr>
        <w:t>DOCUMENTS INCORPORATED BY REFERENCE</w:t>
      </w:r>
    </w:p>
    <w:p>
      <w:pPr>
        <w:spacing w:after="0" w:line="1" w:lineRule="exact"/>
        <w:rPr>
          <w:sz w:val="24"/>
          <w:szCs w:val="24"/>
          <w:color w:val="auto"/>
        </w:rPr>
      </w:pPr>
    </w:p>
    <w:p>
      <w:pPr>
        <w:ind w:left="420"/>
        <w:spacing w:after="0"/>
        <w:rPr>
          <w:sz w:val="20"/>
          <w:szCs w:val="20"/>
          <w:color w:val="auto"/>
        </w:rPr>
      </w:pPr>
      <w:r>
        <w:rPr>
          <w:rFonts w:ascii="Arial" w:cs="Arial" w:eastAsia="Arial" w:hAnsi="Arial"/>
          <w:sz w:val="17"/>
          <w:szCs w:val="17"/>
          <w:color w:val="auto"/>
        </w:rPr>
        <w:t>Portions of the definitive proxy statement for our 2018 Annual Meeting of Stockholders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153035</wp:posOffset>
            </wp:positionV>
            <wp:extent cx="725360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3605" cy="165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71755</wp:posOffset>
            </wp:positionV>
            <wp:extent cx="72536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521" w:right="239" w:bottom="1440" w:gutter="0" w:footer="0" w:header="0"/>
          <w:type w:val="continuous"/>
        </w:sectPr>
      </w:pPr>
    </w:p>
    <w:bookmarkStart w:id="1" w:name="page2"/>
    <w:bookmarkEnd w:id="1"/>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bl>
      <w:tblPr>
        <w:tblLayout w:type="fixed"/>
        <w:tblInd w:w="0" w:type="dxa"/>
        <w:tblCellMar>
          <w:top w:w="0" w:type="dxa"/>
          <w:left w:w="0" w:type="dxa"/>
          <w:bottom w:w="0" w:type="dxa"/>
          <w:right w:w="0" w:type="dxa"/>
        </w:tblCellMar>
      </w:tblPr>
      <w:tr>
        <w:trPr>
          <w:trHeight w:val="217"/>
        </w:trPr>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120" w:type="dxa"/>
            <w:vAlign w:val="bottom"/>
            <w:gridSpan w:val="15"/>
          </w:tcPr>
          <w:p>
            <w:pPr>
              <w:jc w:val="center"/>
              <w:ind w:right="2880"/>
              <w:spacing w:after="0" w:line="217" w:lineRule="exact"/>
              <w:rPr>
                <w:sz w:val="20"/>
                <w:szCs w:val="20"/>
                <w:color w:val="auto"/>
              </w:rPr>
            </w:pPr>
            <w:r>
              <w:rPr>
                <w:rFonts w:ascii="Arial" w:cs="Arial" w:eastAsia="Arial" w:hAnsi="Arial"/>
                <w:sz w:val="20"/>
                <w:szCs w:val="20"/>
                <w:b w:val="1"/>
                <w:bCs w:val="1"/>
                <w:color w:val="578196"/>
              </w:rPr>
              <w:t>BIOGEN INC.</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520" w:type="dxa"/>
            <w:vAlign w:val="bottom"/>
            <w:gridSpan w:val="18"/>
          </w:tcPr>
          <w:p>
            <w:pPr>
              <w:jc w:val="center"/>
              <w:ind w:right="1500"/>
              <w:spacing w:after="0"/>
              <w:rPr>
                <w:sz w:val="20"/>
                <w:szCs w:val="20"/>
                <w:color w:val="auto"/>
              </w:rPr>
            </w:pPr>
            <w:r>
              <w:rPr>
                <w:rFonts w:ascii="Arial" w:cs="Arial" w:eastAsia="Arial" w:hAnsi="Arial"/>
                <w:sz w:val="20"/>
                <w:szCs w:val="20"/>
                <w:b w:val="1"/>
                <w:bCs w:val="1"/>
                <w:color w:val="578196"/>
              </w:rPr>
              <w:t>ANNUAL REPORT ON FORM 10-K</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520" w:type="dxa"/>
            <w:vAlign w:val="bottom"/>
            <w:gridSpan w:val="18"/>
          </w:tcPr>
          <w:p>
            <w:pPr>
              <w:jc w:val="center"/>
              <w:ind w:right="1500"/>
              <w:spacing w:after="0"/>
              <w:rPr>
                <w:sz w:val="20"/>
                <w:szCs w:val="20"/>
                <w:color w:val="auto"/>
              </w:rPr>
            </w:pPr>
            <w:r>
              <w:rPr>
                <w:rFonts w:ascii="Arial" w:cs="Arial" w:eastAsia="Arial" w:hAnsi="Arial"/>
                <w:sz w:val="20"/>
                <w:szCs w:val="20"/>
                <w:b w:val="1"/>
                <w:bCs w:val="1"/>
                <w:color w:val="578196"/>
              </w:rPr>
              <w:t>For the Year Ended December 31, 2017</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1"/>
        </w:trPr>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120" w:type="dxa"/>
            <w:vAlign w:val="bottom"/>
            <w:gridSpan w:val="15"/>
          </w:tcPr>
          <w:p>
            <w:pPr>
              <w:jc w:val="center"/>
              <w:ind w:right="2880"/>
              <w:spacing w:after="0"/>
              <w:rPr>
                <w:sz w:val="20"/>
                <w:szCs w:val="20"/>
                <w:color w:val="auto"/>
              </w:rPr>
            </w:pPr>
            <w:r>
              <w:rPr>
                <w:rFonts w:ascii="Arial" w:cs="Arial" w:eastAsia="Arial" w:hAnsi="Arial"/>
                <w:sz w:val="20"/>
                <w:szCs w:val="20"/>
                <w:b w:val="1"/>
                <w:bCs w:val="1"/>
                <w:color w:val="578196"/>
              </w:rPr>
              <w:t>TABLE OF CONTENTS</w:t>
            </w: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8"/>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4"/>
                <w:szCs w:val="14"/>
                <w:b w:val="1"/>
                <w:bCs w:val="1"/>
                <w:color w:val="auto"/>
              </w:rPr>
              <w:t>Page</w:t>
            </w:r>
          </w:p>
        </w:tc>
      </w:tr>
      <w:tr>
        <w:trPr>
          <w:trHeight w:val="179"/>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80" w:type="dxa"/>
            <w:vAlign w:val="bottom"/>
            <w:gridSpan w:val="10"/>
          </w:tcPr>
          <w:p>
            <w:pPr>
              <w:jc w:val="center"/>
              <w:ind w:right="3740"/>
              <w:spacing w:after="0" w:line="180" w:lineRule="exact"/>
              <w:rPr>
                <w:rFonts w:ascii="Arial" w:cs="Arial" w:eastAsia="Arial" w:hAnsi="Arial"/>
                <w:sz w:val="17"/>
                <w:szCs w:val="17"/>
                <w:b w:val="1"/>
                <w:bCs w:val="1"/>
                <w:color w:val="0000EE"/>
                <w:w w:val="96"/>
              </w:rPr>
            </w:pPr>
            <w:hyperlink w:anchor="page5">
              <w:r>
                <w:rPr>
                  <w:rFonts w:ascii="Arial" w:cs="Arial" w:eastAsia="Arial" w:hAnsi="Arial"/>
                  <w:sz w:val="17"/>
                  <w:szCs w:val="17"/>
                  <w:b w:val="1"/>
                  <w:bCs w:val="1"/>
                  <w:color w:val="0000EE"/>
                  <w:w w:val="96"/>
                </w:rPr>
                <w:t>PART I</w:t>
              </w:r>
            </w:hyperlink>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1040" w:type="dxa"/>
            <w:vAlign w:val="bottom"/>
            <w:gridSpan w:val="4"/>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Item 1.</w:t>
              </w:r>
            </w:hyperlink>
          </w:p>
        </w:tc>
        <w:tc>
          <w:tcPr>
            <w:tcW w:w="4380" w:type="dxa"/>
            <w:vAlign w:val="bottom"/>
            <w:gridSpan w:val="18"/>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Business</w:t>
              </w:r>
            </w:hyperlink>
          </w:p>
        </w:tc>
        <w:tc>
          <w:tcPr>
            <w:tcW w:w="540" w:type="dxa"/>
            <w:vAlign w:val="bottom"/>
            <w:tcBorders>
              <w:top w:val="single" w:sz="8" w:color="0000EE"/>
            </w:tcBorders>
            <w:gridSpan w:val="2"/>
          </w:tcPr>
          <w:p>
            <w:pPr>
              <w:spacing w:after="0"/>
              <w:rPr>
                <w:sz w:val="19"/>
                <w:szCs w:val="19"/>
                <w:color w:val="auto"/>
              </w:rPr>
            </w:pPr>
          </w:p>
        </w:tc>
        <w:tc>
          <w:tcPr>
            <w:tcW w:w="3740" w:type="dxa"/>
            <w:vAlign w:val="bottom"/>
            <w:gridSpan w:val="8"/>
          </w:tcPr>
          <w:p>
            <w:pPr>
              <w:spacing w:after="0"/>
              <w:rPr>
                <w:sz w:val="19"/>
                <w:szCs w:val="19"/>
                <w:color w:val="auto"/>
              </w:rPr>
            </w:pPr>
          </w:p>
        </w:tc>
        <w:tc>
          <w:tcPr>
            <w:tcW w:w="1700" w:type="dxa"/>
            <w:vAlign w:val="bottom"/>
            <w:gridSpan w:val="5"/>
          </w:tcPr>
          <w:p>
            <w:pPr>
              <w:jc w:val="right"/>
              <w:ind w:right="20"/>
              <w:spacing w:after="0"/>
              <w:rPr>
                <w:rFonts w:ascii="Arial" w:cs="Arial" w:eastAsia="Arial" w:hAnsi="Arial"/>
                <w:sz w:val="17"/>
                <w:szCs w:val="17"/>
                <w:color w:val="0000EE"/>
              </w:rPr>
            </w:pPr>
            <w:hyperlink w:anchor="page5">
              <w:r>
                <w:rPr>
                  <w:rFonts w:ascii="Arial" w:cs="Arial" w:eastAsia="Arial" w:hAnsi="Arial"/>
                  <w:sz w:val="17"/>
                  <w:szCs w:val="17"/>
                  <w:color w:val="0000EE"/>
                </w:rPr>
                <w:t>1</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gridSpan w:val="2"/>
          </w:tcPr>
          <w:p>
            <w:pPr>
              <w:spacing w:after="0"/>
              <w:rPr>
                <w:rFonts w:ascii="Arial" w:cs="Arial" w:eastAsia="Arial" w:hAnsi="Arial"/>
                <w:sz w:val="17"/>
                <w:szCs w:val="17"/>
                <w:color w:val="0000EE"/>
                <w:w w:val="91"/>
              </w:rPr>
            </w:pPr>
            <w:hyperlink w:anchor="page37">
              <w:r>
                <w:rPr>
                  <w:rFonts w:ascii="Arial" w:cs="Arial" w:eastAsia="Arial" w:hAnsi="Arial"/>
                  <w:sz w:val="17"/>
                  <w:szCs w:val="17"/>
                  <w:color w:val="0000EE"/>
                  <w:w w:val="91"/>
                </w:rPr>
                <w:t>Item 1A.</w:t>
              </w:r>
            </w:hyperlink>
          </w:p>
        </w:tc>
        <w:tc>
          <w:tcPr>
            <w:tcW w:w="420" w:type="dxa"/>
            <w:vAlign w:val="bottom"/>
            <w:gridSpan w:val="2"/>
          </w:tcPr>
          <w:p>
            <w:pPr>
              <w:spacing w:after="0"/>
              <w:rPr>
                <w:sz w:val="19"/>
                <w:szCs w:val="19"/>
                <w:color w:val="auto"/>
              </w:rPr>
            </w:pPr>
          </w:p>
        </w:tc>
        <w:tc>
          <w:tcPr>
            <w:tcW w:w="960" w:type="dxa"/>
            <w:vAlign w:val="bottom"/>
            <w:gridSpan w:val="3"/>
          </w:tcPr>
          <w:p>
            <w:pPr>
              <w:spacing w:after="0"/>
              <w:rPr>
                <w:rFonts w:ascii="Arial" w:cs="Arial" w:eastAsia="Arial" w:hAnsi="Arial"/>
                <w:sz w:val="17"/>
                <w:szCs w:val="17"/>
                <w:color w:val="0000EE"/>
                <w:w w:val="99"/>
              </w:rPr>
            </w:pPr>
            <w:hyperlink w:anchor="page37">
              <w:r>
                <w:rPr>
                  <w:rFonts w:ascii="Arial" w:cs="Arial" w:eastAsia="Arial" w:hAnsi="Arial"/>
                  <w:sz w:val="17"/>
                  <w:szCs w:val="17"/>
                  <w:color w:val="0000EE"/>
                  <w:w w:val="99"/>
                </w:rPr>
                <w:t>Risk Factors</w:t>
              </w:r>
            </w:hyperlink>
          </w:p>
        </w:tc>
        <w:tc>
          <w:tcPr>
            <w:tcW w:w="7700" w:type="dxa"/>
            <w:vAlign w:val="bottom"/>
            <w:gridSpan w:val="25"/>
          </w:tcPr>
          <w:p>
            <w:pPr>
              <w:spacing w:after="0"/>
              <w:rPr>
                <w:sz w:val="19"/>
                <w:szCs w:val="19"/>
                <w:color w:val="auto"/>
              </w:rPr>
            </w:pPr>
          </w:p>
        </w:tc>
        <w:tc>
          <w:tcPr>
            <w:tcW w:w="1700" w:type="dxa"/>
            <w:vAlign w:val="bottom"/>
            <w:gridSpan w:val="5"/>
          </w:tcPr>
          <w:p>
            <w:pPr>
              <w:jc w:val="right"/>
              <w:ind w:right="20"/>
              <w:spacing w:after="0"/>
              <w:rPr>
                <w:rFonts w:ascii="Arial" w:cs="Arial" w:eastAsia="Arial" w:hAnsi="Arial"/>
                <w:sz w:val="17"/>
                <w:szCs w:val="17"/>
                <w:color w:val="0000EE"/>
              </w:rPr>
            </w:pPr>
            <w:hyperlink w:anchor="page37">
              <w:r>
                <w:rPr>
                  <w:rFonts w:ascii="Arial" w:cs="Arial" w:eastAsia="Arial" w:hAnsi="Arial"/>
                  <w:sz w:val="17"/>
                  <w:szCs w:val="17"/>
                  <w:color w:val="0000EE"/>
                </w:rPr>
                <w:t>33</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gridSpan w:val="2"/>
          </w:tcPr>
          <w:p>
            <w:pPr>
              <w:spacing w:after="0"/>
              <w:rPr>
                <w:rFonts w:ascii="Arial" w:cs="Arial" w:eastAsia="Arial" w:hAnsi="Arial"/>
                <w:sz w:val="17"/>
                <w:szCs w:val="17"/>
                <w:color w:val="0000EE"/>
                <w:w w:val="91"/>
              </w:rPr>
            </w:pPr>
            <w:hyperlink w:anchor="page50">
              <w:r>
                <w:rPr>
                  <w:rFonts w:ascii="Arial" w:cs="Arial" w:eastAsia="Arial" w:hAnsi="Arial"/>
                  <w:sz w:val="17"/>
                  <w:szCs w:val="17"/>
                  <w:color w:val="0000EE"/>
                  <w:w w:val="91"/>
                </w:rPr>
                <w:t>Item 1B.</w:t>
              </w:r>
            </w:hyperlink>
          </w:p>
        </w:tc>
        <w:tc>
          <w:tcPr>
            <w:tcW w:w="420" w:type="dxa"/>
            <w:vAlign w:val="bottom"/>
            <w:gridSpan w:val="2"/>
          </w:tcPr>
          <w:p>
            <w:pPr>
              <w:spacing w:after="0"/>
              <w:rPr>
                <w:sz w:val="19"/>
                <w:szCs w:val="19"/>
                <w:color w:val="auto"/>
              </w:rPr>
            </w:pPr>
          </w:p>
        </w:tc>
        <w:tc>
          <w:tcPr>
            <w:tcW w:w="8660" w:type="dxa"/>
            <w:vAlign w:val="bottom"/>
            <w:gridSpan w:val="28"/>
          </w:tcPr>
          <w:p>
            <w:pPr>
              <w:spacing w:after="0"/>
              <w:rPr>
                <w:rFonts w:ascii="Arial" w:cs="Arial" w:eastAsia="Arial" w:hAnsi="Arial"/>
                <w:sz w:val="17"/>
                <w:szCs w:val="17"/>
                <w:color w:val="0000EE"/>
              </w:rPr>
            </w:pPr>
            <w:hyperlink w:anchor="page50">
              <w:r>
                <w:rPr>
                  <w:rFonts w:ascii="Arial" w:cs="Arial" w:eastAsia="Arial" w:hAnsi="Arial"/>
                  <w:sz w:val="17"/>
                  <w:szCs w:val="17"/>
                  <w:color w:val="0000EE"/>
                </w:rPr>
                <w:t>Unresolved Staff Comments</w:t>
              </w:r>
            </w:hyperlink>
          </w:p>
        </w:tc>
        <w:tc>
          <w:tcPr>
            <w:tcW w:w="1700" w:type="dxa"/>
            <w:vAlign w:val="bottom"/>
            <w:gridSpan w:val="5"/>
          </w:tcPr>
          <w:p>
            <w:pPr>
              <w:jc w:val="right"/>
              <w:ind w:right="20"/>
              <w:spacing w:after="0"/>
              <w:rPr>
                <w:rFonts w:ascii="Arial" w:cs="Arial" w:eastAsia="Arial" w:hAnsi="Arial"/>
                <w:sz w:val="17"/>
                <w:szCs w:val="17"/>
                <w:color w:val="0000EE"/>
              </w:rPr>
            </w:pPr>
            <w:hyperlink w:anchor="page50">
              <w:r>
                <w:rPr>
                  <w:rFonts w:ascii="Arial" w:cs="Arial" w:eastAsia="Arial" w:hAnsi="Arial"/>
                  <w:sz w:val="17"/>
                  <w:szCs w:val="17"/>
                  <w:color w:val="0000EE"/>
                </w:rPr>
                <w:t>46</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gridSpan w:val="2"/>
          </w:tcPr>
          <w:p>
            <w:pPr>
              <w:spacing w:after="0"/>
              <w:rPr>
                <w:rFonts w:ascii="Arial" w:cs="Arial" w:eastAsia="Arial" w:hAnsi="Arial"/>
                <w:sz w:val="17"/>
                <w:szCs w:val="17"/>
                <w:color w:val="0000EE"/>
              </w:rPr>
            </w:pPr>
            <w:hyperlink w:anchor="page50">
              <w:r>
                <w:rPr>
                  <w:rFonts w:ascii="Arial" w:cs="Arial" w:eastAsia="Arial" w:hAnsi="Arial"/>
                  <w:sz w:val="17"/>
                  <w:szCs w:val="17"/>
                  <w:color w:val="0000EE"/>
                </w:rPr>
                <w:t>Item 2.</w:t>
              </w:r>
            </w:hyperlink>
          </w:p>
        </w:tc>
        <w:tc>
          <w:tcPr>
            <w:tcW w:w="420" w:type="dxa"/>
            <w:vAlign w:val="bottom"/>
            <w:gridSpan w:val="2"/>
          </w:tcPr>
          <w:p>
            <w:pPr>
              <w:spacing w:after="0"/>
              <w:rPr>
                <w:sz w:val="19"/>
                <w:szCs w:val="19"/>
                <w:color w:val="auto"/>
              </w:rPr>
            </w:pPr>
          </w:p>
        </w:tc>
        <w:tc>
          <w:tcPr>
            <w:tcW w:w="2140" w:type="dxa"/>
            <w:vAlign w:val="bottom"/>
            <w:gridSpan w:val="10"/>
          </w:tcPr>
          <w:p>
            <w:pPr>
              <w:spacing w:after="0"/>
              <w:rPr>
                <w:rFonts w:ascii="Arial" w:cs="Arial" w:eastAsia="Arial" w:hAnsi="Arial"/>
                <w:sz w:val="17"/>
                <w:szCs w:val="17"/>
                <w:color w:val="0000EE"/>
              </w:rPr>
            </w:pPr>
            <w:hyperlink w:anchor="page50">
              <w:r>
                <w:rPr>
                  <w:rFonts w:ascii="Arial" w:cs="Arial" w:eastAsia="Arial" w:hAnsi="Arial"/>
                  <w:sz w:val="17"/>
                  <w:szCs w:val="17"/>
                  <w:color w:val="0000EE"/>
                </w:rPr>
                <w:t>Properties</w:t>
              </w:r>
            </w:hyperlink>
          </w:p>
        </w:tc>
        <w:tc>
          <w:tcPr>
            <w:tcW w:w="6520" w:type="dxa"/>
            <w:vAlign w:val="bottom"/>
            <w:gridSpan w:val="18"/>
          </w:tcPr>
          <w:p>
            <w:pPr>
              <w:spacing w:after="0"/>
              <w:rPr>
                <w:sz w:val="19"/>
                <w:szCs w:val="19"/>
                <w:color w:val="auto"/>
              </w:rPr>
            </w:pPr>
          </w:p>
        </w:tc>
        <w:tc>
          <w:tcPr>
            <w:tcW w:w="1700" w:type="dxa"/>
            <w:vAlign w:val="bottom"/>
            <w:gridSpan w:val="5"/>
          </w:tcPr>
          <w:p>
            <w:pPr>
              <w:jc w:val="right"/>
              <w:ind w:right="20"/>
              <w:spacing w:after="0"/>
              <w:rPr>
                <w:rFonts w:ascii="Arial" w:cs="Arial" w:eastAsia="Arial" w:hAnsi="Arial"/>
                <w:sz w:val="17"/>
                <w:szCs w:val="17"/>
                <w:color w:val="0000EE"/>
              </w:rPr>
            </w:pPr>
            <w:hyperlink w:anchor="page50">
              <w:r>
                <w:rPr>
                  <w:rFonts w:ascii="Arial" w:cs="Arial" w:eastAsia="Arial" w:hAnsi="Arial"/>
                  <w:sz w:val="17"/>
                  <w:szCs w:val="17"/>
                  <w:color w:val="0000EE"/>
                </w:rPr>
                <w:t>46</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gridSpan w:val="4"/>
          </w:tcPr>
          <w:p>
            <w:pPr>
              <w:spacing w:after="0"/>
              <w:rPr>
                <w:rFonts w:ascii="Arial" w:cs="Arial" w:eastAsia="Arial" w:hAnsi="Arial"/>
                <w:sz w:val="17"/>
                <w:szCs w:val="17"/>
                <w:color w:val="0000EE"/>
              </w:rPr>
            </w:pPr>
            <w:hyperlink w:anchor="page51">
              <w:r>
                <w:rPr>
                  <w:rFonts w:ascii="Arial" w:cs="Arial" w:eastAsia="Arial" w:hAnsi="Arial"/>
                  <w:sz w:val="17"/>
                  <w:szCs w:val="17"/>
                  <w:color w:val="0000EE"/>
                </w:rPr>
                <w:t>Item 3.</w:t>
              </w:r>
            </w:hyperlink>
          </w:p>
        </w:tc>
        <w:tc>
          <w:tcPr>
            <w:tcW w:w="8660" w:type="dxa"/>
            <w:vAlign w:val="bottom"/>
            <w:gridSpan w:val="28"/>
          </w:tcPr>
          <w:p>
            <w:pPr>
              <w:spacing w:after="0"/>
              <w:rPr>
                <w:rFonts w:ascii="Arial" w:cs="Arial" w:eastAsia="Arial" w:hAnsi="Arial"/>
                <w:sz w:val="17"/>
                <w:szCs w:val="17"/>
                <w:color w:val="0000EE"/>
              </w:rPr>
            </w:pPr>
            <w:hyperlink w:anchor="page51">
              <w:r>
                <w:rPr>
                  <w:rFonts w:ascii="Arial" w:cs="Arial" w:eastAsia="Arial" w:hAnsi="Arial"/>
                  <w:sz w:val="17"/>
                  <w:szCs w:val="17"/>
                  <w:color w:val="0000EE"/>
                </w:rPr>
                <w:t>Legal Proceedings</w:t>
              </w:r>
            </w:hyperlink>
          </w:p>
        </w:tc>
        <w:tc>
          <w:tcPr>
            <w:tcW w:w="1700" w:type="dxa"/>
            <w:vAlign w:val="bottom"/>
            <w:gridSpan w:val="5"/>
          </w:tcPr>
          <w:p>
            <w:pPr>
              <w:jc w:val="right"/>
              <w:ind w:right="20"/>
              <w:spacing w:after="0"/>
              <w:rPr>
                <w:rFonts w:ascii="Arial" w:cs="Arial" w:eastAsia="Arial" w:hAnsi="Arial"/>
                <w:sz w:val="17"/>
                <w:szCs w:val="17"/>
                <w:color w:val="0000EE"/>
              </w:rPr>
            </w:pPr>
            <w:hyperlink w:anchor="page51">
              <w:r>
                <w:rPr>
                  <w:rFonts w:ascii="Arial" w:cs="Arial" w:eastAsia="Arial" w:hAnsi="Arial"/>
                  <w:sz w:val="17"/>
                  <w:szCs w:val="17"/>
                  <w:color w:val="0000EE"/>
                </w:rPr>
                <w:t>47</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gridSpan w:val="4"/>
          </w:tcPr>
          <w:p>
            <w:pPr>
              <w:spacing w:after="0"/>
              <w:rPr>
                <w:rFonts w:ascii="Arial" w:cs="Arial" w:eastAsia="Arial" w:hAnsi="Arial"/>
                <w:sz w:val="17"/>
                <w:szCs w:val="17"/>
                <w:color w:val="0000EE"/>
              </w:rPr>
            </w:pPr>
            <w:hyperlink w:anchor="page51">
              <w:r>
                <w:rPr>
                  <w:rFonts w:ascii="Arial" w:cs="Arial" w:eastAsia="Arial" w:hAnsi="Arial"/>
                  <w:sz w:val="17"/>
                  <w:szCs w:val="17"/>
                  <w:color w:val="0000EE"/>
                </w:rPr>
                <w:t>Item 4.</w:t>
              </w:r>
            </w:hyperlink>
          </w:p>
        </w:tc>
        <w:tc>
          <w:tcPr>
            <w:tcW w:w="8660" w:type="dxa"/>
            <w:vAlign w:val="bottom"/>
            <w:gridSpan w:val="28"/>
          </w:tcPr>
          <w:p>
            <w:pPr>
              <w:spacing w:after="0"/>
              <w:rPr>
                <w:rFonts w:ascii="Arial" w:cs="Arial" w:eastAsia="Arial" w:hAnsi="Arial"/>
                <w:sz w:val="17"/>
                <w:szCs w:val="17"/>
                <w:color w:val="0000EE"/>
              </w:rPr>
            </w:pPr>
            <w:hyperlink w:anchor="page51">
              <w:r>
                <w:rPr>
                  <w:rFonts w:ascii="Arial" w:cs="Arial" w:eastAsia="Arial" w:hAnsi="Arial"/>
                  <w:sz w:val="17"/>
                  <w:szCs w:val="17"/>
                  <w:color w:val="0000EE"/>
                </w:rPr>
                <w:t>Mine Safety Disclosures</w:t>
              </w:r>
            </w:hyperlink>
          </w:p>
        </w:tc>
        <w:tc>
          <w:tcPr>
            <w:tcW w:w="1700" w:type="dxa"/>
            <w:vAlign w:val="bottom"/>
            <w:gridSpan w:val="5"/>
          </w:tcPr>
          <w:p>
            <w:pPr>
              <w:jc w:val="right"/>
              <w:ind w:right="20"/>
              <w:spacing w:after="0"/>
              <w:rPr>
                <w:rFonts w:ascii="Arial" w:cs="Arial" w:eastAsia="Arial" w:hAnsi="Arial"/>
                <w:sz w:val="17"/>
                <w:szCs w:val="17"/>
                <w:color w:val="0000EE"/>
              </w:rPr>
            </w:pPr>
            <w:hyperlink w:anchor="page51">
              <w:r>
                <w:rPr>
                  <w:rFonts w:ascii="Arial" w:cs="Arial" w:eastAsia="Arial" w:hAnsi="Arial"/>
                  <w:sz w:val="17"/>
                  <w:szCs w:val="17"/>
                  <w:color w:val="0000EE"/>
                </w:rPr>
                <w:t>47</w:t>
              </w:r>
            </w:hyperlink>
          </w:p>
        </w:tc>
      </w:tr>
      <w:tr>
        <w:trPr>
          <w:trHeight w:val="531"/>
        </w:trPr>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0000EE"/>
            </w:tcBorders>
            <w:gridSpan w:val="4"/>
          </w:tcPr>
          <w:p>
            <w:pPr>
              <w:jc w:val="center"/>
              <w:spacing w:after="0"/>
              <w:rPr>
                <w:rFonts w:ascii="Arial" w:cs="Arial" w:eastAsia="Arial" w:hAnsi="Arial"/>
                <w:sz w:val="17"/>
                <w:szCs w:val="17"/>
                <w:b w:val="1"/>
                <w:bCs w:val="1"/>
                <w:color w:val="0000EE"/>
                <w:w w:val="99"/>
              </w:rPr>
            </w:pPr>
            <w:hyperlink w:anchor="page52">
              <w:r>
                <w:rPr>
                  <w:rFonts w:ascii="Arial" w:cs="Arial" w:eastAsia="Arial" w:hAnsi="Arial"/>
                  <w:sz w:val="17"/>
                  <w:szCs w:val="17"/>
                  <w:b w:val="1"/>
                  <w:bCs w:val="1"/>
                  <w:color w:val="0000EE"/>
                  <w:w w:val="99"/>
                </w:rPr>
                <w:t>PART II</w:t>
              </w:r>
            </w:hyperlink>
          </w:p>
        </w:tc>
        <w:tc>
          <w:tcPr>
            <w:tcW w:w="3700" w:type="dxa"/>
            <w:vAlign w:val="bottom"/>
            <w:gridSpan w:val="7"/>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040" w:type="dxa"/>
            <w:vAlign w:val="bottom"/>
            <w:gridSpan w:val="4"/>
          </w:tcPr>
          <w:p>
            <w:pPr>
              <w:spacing w:after="0"/>
              <w:rPr>
                <w:rFonts w:ascii="Arial" w:cs="Arial" w:eastAsia="Arial" w:hAnsi="Arial"/>
                <w:sz w:val="17"/>
                <w:szCs w:val="17"/>
                <w:color w:val="0000EE"/>
              </w:rPr>
            </w:pPr>
            <w:hyperlink w:anchor="page52">
              <w:r>
                <w:rPr>
                  <w:rFonts w:ascii="Arial" w:cs="Arial" w:eastAsia="Arial" w:hAnsi="Arial"/>
                  <w:sz w:val="17"/>
                  <w:szCs w:val="17"/>
                  <w:color w:val="0000EE"/>
                </w:rPr>
                <w:t>Item 5.</w:t>
              </w:r>
            </w:hyperlink>
          </w:p>
        </w:tc>
        <w:tc>
          <w:tcPr>
            <w:tcW w:w="8660" w:type="dxa"/>
            <w:vAlign w:val="bottom"/>
            <w:gridSpan w:val="28"/>
          </w:tcPr>
          <w:p>
            <w:pPr>
              <w:spacing w:after="0"/>
              <w:rPr>
                <w:rFonts w:ascii="Arial" w:cs="Arial" w:eastAsia="Arial" w:hAnsi="Arial"/>
                <w:sz w:val="17"/>
                <w:szCs w:val="17"/>
                <w:color w:val="0000EE"/>
              </w:rPr>
            </w:pPr>
            <w:hyperlink w:anchor="page52">
              <w:r>
                <w:rPr>
                  <w:rFonts w:ascii="Arial" w:cs="Arial" w:eastAsia="Arial" w:hAnsi="Arial"/>
                  <w:sz w:val="17"/>
                  <w:szCs w:val="17"/>
                  <w:color w:val="0000EE"/>
                </w:rPr>
                <w:t>Market for Registrant’s Common Equity, Related Stockholder Matters and Issuer Purchases of Equity Securities</w:t>
              </w:r>
            </w:hyperlink>
          </w:p>
        </w:tc>
        <w:tc>
          <w:tcPr>
            <w:tcW w:w="1700" w:type="dxa"/>
            <w:vAlign w:val="bottom"/>
            <w:gridSpan w:val="5"/>
          </w:tcPr>
          <w:p>
            <w:pPr>
              <w:jc w:val="right"/>
              <w:ind w:right="20"/>
              <w:spacing w:after="0"/>
              <w:rPr>
                <w:rFonts w:ascii="Arial" w:cs="Arial" w:eastAsia="Arial" w:hAnsi="Arial"/>
                <w:sz w:val="17"/>
                <w:szCs w:val="17"/>
                <w:color w:val="0000EE"/>
              </w:rPr>
            </w:pPr>
            <w:hyperlink w:anchor="page52">
              <w:r>
                <w:rPr>
                  <w:rFonts w:ascii="Arial" w:cs="Arial" w:eastAsia="Arial" w:hAnsi="Arial"/>
                  <w:sz w:val="17"/>
                  <w:szCs w:val="17"/>
                  <w:color w:val="0000EE"/>
                </w:rPr>
                <w:t>48</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gridSpan w:val="4"/>
          </w:tcPr>
          <w:p>
            <w:pPr>
              <w:spacing w:after="0"/>
              <w:rPr>
                <w:rFonts w:ascii="Arial" w:cs="Arial" w:eastAsia="Arial" w:hAnsi="Arial"/>
                <w:sz w:val="17"/>
                <w:szCs w:val="17"/>
                <w:color w:val="0000EE"/>
              </w:rPr>
            </w:pPr>
            <w:hyperlink w:anchor="page54">
              <w:r>
                <w:rPr>
                  <w:rFonts w:ascii="Arial" w:cs="Arial" w:eastAsia="Arial" w:hAnsi="Arial"/>
                  <w:sz w:val="17"/>
                  <w:szCs w:val="17"/>
                  <w:color w:val="0000EE"/>
                </w:rPr>
                <w:t>Item 6.</w:t>
              </w:r>
            </w:hyperlink>
          </w:p>
        </w:tc>
        <w:tc>
          <w:tcPr>
            <w:tcW w:w="8660" w:type="dxa"/>
            <w:vAlign w:val="bottom"/>
            <w:gridSpan w:val="28"/>
          </w:tcPr>
          <w:p>
            <w:pPr>
              <w:spacing w:after="0"/>
              <w:rPr>
                <w:rFonts w:ascii="Arial" w:cs="Arial" w:eastAsia="Arial" w:hAnsi="Arial"/>
                <w:sz w:val="17"/>
                <w:szCs w:val="17"/>
                <w:color w:val="0000EE"/>
              </w:rPr>
            </w:pPr>
            <w:hyperlink w:anchor="page54">
              <w:r>
                <w:rPr>
                  <w:rFonts w:ascii="Arial" w:cs="Arial" w:eastAsia="Arial" w:hAnsi="Arial"/>
                  <w:sz w:val="17"/>
                  <w:szCs w:val="17"/>
                  <w:color w:val="0000EE"/>
                </w:rPr>
                <w:t>Selected Financial Data</w:t>
              </w:r>
            </w:hyperlink>
          </w:p>
        </w:tc>
        <w:tc>
          <w:tcPr>
            <w:tcW w:w="1700" w:type="dxa"/>
            <w:vAlign w:val="bottom"/>
            <w:gridSpan w:val="5"/>
          </w:tcPr>
          <w:p>
            <w:pPr>
              <w:jc w:val="right"/>
              <w:ind w:right="20"/>
              <w:spacing w:after="0"/>
              <w:rPr>
                <w:rFonts w:ascii="Arial" w:cs="Arial" w:eastAsia="Arial" w:hAnsi="Arial"/>
                <w:sz w:val="17"/>
                <w:szCs w:val="17"/>
                <w:color w:val="0000EE"/>
              </w:rPr>
            </w:pPr>
            <w:hyperlink w:anchor="page54">
              <w:r>
                <w:rPr>
                  <w:rFonts w:ascii="Arial" w:cs="Arial" w:eastAsia="Arial" w:hAnsi="Arial"/>
                  <w:sz w:val="17"/>
                  <w:szCs w:val="17"/>
                  <w:color w:val="0000EE"/>
                </w:rPr>
                <w:t>50</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gridSpan w:val="4"/>
          </w:tcPr>
          <w:p>
            <w:pPr>
              <w:spacing w:after="0"/>
              <w:rPr>
                <w:rFonts w:ascii="Arial" w:cs="Arial" w:eastAsia="Arial" w:hAnsi="Arial"/>
                <w:sz w:val="17"/>
                <w:szCs w:val="17"/>
                <w:color w:val="0000EE"/>
              </w:rPr>
            </w:pPr>
            <w:hyperlink w:anchor="page57">
              <w:r>
                <w:rPr>
                  <w:rFonts w:ascii="Arial" w:cs="Arial" w:eastAsia="Arial" w:hAnsi="Arial"/>
                  <w:sz w:val="17"/>
                  <w:szCs w:val="17"/>
                  <w:color w:val="0000EE"/>
                </w:rPr>
                <w:t>Item 7.</w:t>
              </w:r>
            </w:hyperlink>
          </w:p>
        </w:tc>
        <w:tc>
          <w:tcPr>
            <w:tcW w:w="8660" w:type="dxa"/>
            <w:vAlign w:val="bottom"/>
            <w:gridSpan w:val="28"/>
          </w:tcPr>
          <w:p>
            <w:pPr>
              <w:spacing w:after="0"/>
              <w:rPr>
                <w:rFonts w:ascii="Arial" w:cs="Arial" w:eastAsia="Arial" w:hAnsi="Arial"/>
                <w:sz w:val="17"/>
                <w:szCs w:val="17"/>
                <w:color w:val="0000EE"/>
              </w:rPr>
            </w:pPr>
            <w:hyperlink w:anchor="page57">
              <w:r>
                <w:rPr>
                  <w:rFonts w:ascii="Arial" w:cs="Arial" w:eastAsia="Arial" w:hAnsi="Arial"/>
                  <w:sz w:val="17"/>
                  <w:szCs w:val="17"/>
                  <w:color w:val="0000EE"/>
                </w:rPr>
                <w:t>Management’s Discussion and Analysis of Financial Condition and Results of Operations</w:t>
              </w:r>
            </w:hyperlink>
          </w:p>
        </w:tc>
        <w:tc>
          <w:tcPr>
            <w:tcW w:w="1700" w:type="dxa"/>
            <w:vAlign w:val="bottom"/>
            <w:gridSpan w:val="5"/>
          </w:tcPr>
          <w:p>
            <w:pPr>
              <w:jc w:val="right"/>
              <w:ind w:right="20"/>
              <w:spacing w:after="0"/>
              <w:rPr>
                <w:rFonts w:ascii="Arial" w:cs="Arial" w:eastAsia="Arial" w:hAnsi="Arial"/>
                <w:sz w:val="17"/>
                <w:szCs w:val="17"/>
                <w:color w:val="0000EE"/>
              </w:rPr>
            </w:pPr>
            <w:hyperlink w:anchor="page57">
              <w:r>
                <w:rPr>
                  <w:rFonts w:ascii="Arial" w:cs="Arial" w:eastAsia="Arial" w:hAnsi="Arial"/>
                  <w:sz w:val="17"/>
                  <w:szCs w:val="17"/>
                  <w:color w:val="0000EE"/>
                </w:rPr>
                <w:t>53</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gridSpan w:val="4"/>
          </w:tcPr>
          <w:p>
            <w:pPr>
              <w:spacing w:after="0"/>
              <w:rPr>
                <w:rFonts w:ascii="Arial" w:cs="Arial" w:eastAsia="Arial" w:hAnsi="Arial"/>
                <w:sz w:val="17"/>
                <w:szCs w:val="17"/>
                <w:color w:val="0000EE"/>
              </w:rPr>
            </w:pPr>
            <w:hyperlink w:anchor="page92">
              <w:r>
                <w:rPr>
                  <w:rFonts w:ascii="Arial" w:cs="Arial" w:eastAsia="Arial" w:hAnsi="Arial"/>
                  <w:sz w:val="17"/>
                  <w:szCs w:val="17"/>
                  <w:color w:val="0000EE"/>
                </w:rPr>
                <w:t>Item 7A.</w:t>
              </w:r>
            </w:hyperlink>
          </w:p>
        </w:tc>
        <w:tc>
          <w:tcPr>
            <w:tcW w:w="8660" w:type="dxa"/>
            <w:vAlign w:val="bottom"/>
            <w:gridSpan w:val="28"/>
          </w:tcPr>
          <w:p>
            <w:pPr>
              <w:spacing w:after="0"/>
              <w:rPr>
                <w:rFonts w:ascii="Arial" w:cs="Arial" w:eastAsia="Arial" w:hAnsi="Arial"/>
                <w:sz w:val="17"/>
                <w:szCs w:val="17"/>
                <w:color w:val="0000EE"/>
              </w:rPr>
            </w:pPr>
            <w:hyperlink w:anchor="page92">
              <w:r>
                <w:rPr>
                  <w:rFonts w:ascii="Arial" w:cs="Arial" w:eastAsia="Arial" w:hAnsi="Arial"/>
                  <w:sz w:val="17"/>
                  <w:szCs w:val="17"/>
                  <w:color w:val="0000EE"/>
                </w:rPr>
                <w:t>Quantitative and Qualitative Disclosures About Market Risk</w:t>
              </w:r>
            </w:hyperlink>
          </w:p>
        </w:tc>
        <w:tc>
          <w:tcPr>
            <w:tcW w:w="1700" w:type="dxa"/>
            <w:vAlign w:val="bottom"/>
            <w:gridSpan w:val="5"/>
          </w:tcPr>
          <w:p>
            <w:pPr>
              <w:jc w:val="right"/>
              <w:ind w:right="20"/>
              <w:spacing w:after="0"/>
              <w:rPr>
                <w:rFonts w:ascii="Arial" w:cs="Arial" w:eastAsia="Arial" w:hAnsi="Arial"/>
                <w:sz w:val="17"/>
                <w:szCs w:val="17"/>
                <w:color w:val="0000EE"/>
              </w:rPr>
            </w:pPr>
            <w:hyperlink w:anchor="page92">
              <w:r>
                <w:rPr>
                  <w:rFonts w:ascii="Arial" w:cs="Arial" w:eastAsia="Arial" w:hAnsi="Arial"/>
                  <w:sz w:val="17"/>
                  <w:szCs w:val="17"/>
                  <w:color w:val="0000EE"/>
                </w:rPr>
                <w:t>88</w:t>
              </w:r>
            </w:hyperlink>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gridSpan w:val="2"/>
          </w:tcPr>
          <w:p>
            <w:pPr>
              <w:spacing w:after="0"/>
              <w:rPr>
                <w:rFonts w:ascii="Arial" w:cs="Arial" w:eastAsia="Arial" w:hAnsi="Arial"/>
                <w:sz w:val="17"/>
                <w:szCs w:val="17"/>
                <w:color w:val="0000EE"/>
              </w:rPr>
            </w:pPr>
            <w:hyperlink w:anchor="page94">
              <w:r>
                <w:rPr>
                  <w:rFonts w:ascii="Arial" w:cs="Arial" w:eastAsia="Arial" w:hAnsi="Arial"/>
                  <w:sz w:val="17"/>
                  <w:szCs w:val="17"/>
                  <w:color w:val="0000EE"/>
                </w:rPr>
                <w:t>Item 8.</w:t>
              </w:r>
            </w:hyperlink>
          </w:p>
        </w:tc>
        <w:tc>
          <w:tcPr>
            <w:tcW w:w="420" w:type="dxa"/>
            <w:vAlign w:val="bottom"/>
            <w:gridSpan w:val="2"/>
          </w:tcPr>
          <w:p>
            <w:pPr>
              <w:spacing w:after="0"/>
              <w:rPr>
                <w:sz w:val="19"/>
                <w:szCs w:val="19"/>
                <w:color w:val="auto"/>
              </w:rPr>
            </w:pPr>
          </w:p>
        </w:tc>
        <w:tc>
          <w:tcPr>
            <w:tcW w:w="4480" w:type="dxa"/>
            <w:vAlign w:val="bottom"/>
            <w:gridSpan w:val="19"/>
          </w:tcPr>
          <w:p>
            <w:pPr>
              <w:spacing w:after="0"/>
              <w:rPr>
                <w:rFonts w:ascii="Arial" w:cs="Arial" w:eastAsia="Arial" w:hAnsi="Arial"/>
                <w:sz w:val="17"/>
                <w:szCs w:val="17"/>
                <w:color w:val="0000EE"/>
              </w:rPr>
            </w:pPr>
            <w:hyperlink w:anchor="page94">
              <w:r>
                <w:rPr>
                  <w:rFonts w:ascii="Arial" w:cs="Arial" w:eastAsia="Arial" w:hAnsi="Arial"/>
                  <w:sz w:val="17"/>
                  <w:szCs w:val="17"/>
                  <w:color w:val="0000EE"/>
                </w:rPr>
                <w:t>Financial Statements and Supplementary Data</w:t>
              </w:r>
            </w:hyperlink>
          </w:p>
        </w:tc>
        <w:tc>
          <w:tcPr>
            <w:tcW w:w="4180" w:type="dxa"/>
            <w:vAlign w:val="bottom"/>
            <w:gridSpan w:val="9"/>
          </w:tcPr>
          <w:p>
            <w:pPr>
              <w:spacing w:after="0"/>
              <w:rPr>
                <w:sz w:val="19"/>
                <w:szCs w:val="19"/>
                <w:color w:val="auto"/>
              </w:rPr>
            </w:pPr>
          </w:p>
        </w:tc>
        <w:tc>
          <w:tcPr>
            <w:tcW w:w="1700" w:type="dxa"/>
            <w:vAlign w:val="bottom"/>
            <w:gridSpan w:val="5"/>
          </w:tcPr>
          <w:p>
            <w:pPr>
              <w:jc w:val="right"/>
              <w:ind w:right="20"/>
              <w:spacing w:after="0"/>
              <w:rPr>
                <w:rFonts w:ascii="Arial" w:cs="Arial" w:eastAsia="Arial" w:hAnsi="Arial"/>
                <w:sz w:val="17"/>
                <w:szCs w:val="17"/>
                <w:color w:val="0000EE"/>
              </w:rPr>
            </w:pPr>
            <w:hyperlink w:anchor="page94">
              <w:r>
                <w:rPr>
                  <w:rFonts w:ascii="Arial" w:cs="Arial" w:eastAsia="Arial" w:hAnsi="Arial"/>
                  <w:sz w:val="17"/>
                  <w:szCs w:val="17"/>
                  <w:color w:val="0000EE"/>
                </w:rPr>
                <w:t>90</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gridSpan w:val="4"/>
          </w:tcPr>
          <w:p>
            <w:pPr>
              <w:spacing w:after="0"/>
              <w:rPr>
                <w:rFonts w:ascii="Arial" w:cs="Arial" w:eastAsia="Arial" w:hAnsi="Arial"/>
                <w:sz w:val="17"/>
                <w:szCs w:val="17"/>
                <w:color w:val="0000EE"/>
              </w:rPr>
            </w:pPr>
            <w:hyperlink w:anchor="page94">
              <w:r>
                <w:rPr>
                  <w:rFonts w:ascii="Arial" w:cs="Arial" w:eastAsia="Arial" w:hAnsi="Arial"/>
                  <w:sz w:val="17"/>
                  <w:szCs w:val="17"/>
                  <w:color w:val="0000EE"/>
                </w:rPr>
                <w:t>Item 9.</w:t>
              </w:r>
            </w:hyperlink>
          </w:p>
        </w:tc>
        <w:tc>
          <w:tcPr>
            <w:tcW w:w="8660" w:type="dxa"/>
            <w:vAlign w:val="bottom"/>
            <w:gridSpan w:val="28"/>
          </w:tcPr>
          <w:p>
            <w:pPr>
              <w:spacing w:after="0"/>
              <w:rPr>
                <w:rFonts w:ascii="Arial" w:cs="Arial" w:eastAsia="Arial" w:hAnsi="Arial"/>
                <w:sz w:val="17"/>
                <w:szCs w:val="17"/>
                <w:color w:val="0000EE"/>
              </w:rPr>
            </w:pPr>
            <w:hyperlink w:anchor="page94">
              <w:r>
                <w:rPr>
                  <w:rFonts w:ascii="Arial" w:cs="Arial" w:eastAsia="Arial" w:hAnsi="Arial"/>
                  <w:sz w:val="17"/>
                  <w:szCs w:val="17"/>
                  <w:color w:val="0000EE"/>
                </w:rPr>
                <w:t>Changes in and Disagreements with Accountants on Accounting and Financial Disclosure</w:t>
              </w:r>
            </w:hyperlink>
          </w:p>
        </w:tc>
        <w:tc>
          <w:tcPr>
            <w:tcW w:w="1700" w:type="dxa"/>
            <w:vAlign w:val="bottom"/>
            <w:gridSpan w:val="5"/>
          </w:tcPr>
          <w:p>
            <w:pPr>
              <w:jc w:val="right"/>
              <w:ind w:right="20"/>
              <w:spacing w:after="0"/>
              <w:rPr>
                <w:rFonts w:ascii="Arial" w:cs="Arial" w:eastAsia="Arial" w:hAnsi="Arial"/>
                <w:sz w:val="17"/>
                <w:szCs w:val="17"/>
                <w:color w:val="0000EE"/>
              </w:rPr>
            </w:pPr>
            <w:hyperlink w:anchor="page94">
              <w:r>
                <w:rPr>
                  <w:rFonts w:ascii="Arial" w:cs="Arial" w:eastAsia="Arial" w:hAnsi="Arial"/>
                  <w:sz w:val="17"/>
                  <w:szCs w:val="17"/>
                  <w:color w:val="0000EE"/>
                </w:rPr>
                <w:t>90</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gridSpan w:val="6"/>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gridSpan w:val="2"/>
          </w:tcPr>
          <w:p>
            <w:pPr>
              <w:spacing w:after="0"/>
              <w:rPr>
                <w:rFonts w:ascii="Arial" w:cs="Arial" w:eastAsia="Arial" w:hAnsi="Arial"/>
                <w:sz w:val="17"/>
                <w:szCs w:val="17"/>
                <w:color w:val="0000EE"/>
                <w:w w:val="91"/>
              </w:rPr>
            </w:pPr>
            <w:hyperlink w:anchor="page95">
              <w:r>
                <w:rPr>
                  <w:rFonts w:ascii="Arial" w:cs="Arial" w:eastAsia="Arial" w:hAnsi="Arial"/>
                  <w:sz w:val="17"/>
                  <w:szCs w:val="17"/>
                  <w:color w:val="0000EE"/>
                  <w:w w:val="91"/>
                </w:rPr>
                <w:t>Item 9A.</w:t>
              </w:r>
            </w:hyperlink>
          </w:p>
        </w:tc>
        <w:tc>
          <w:tcPr>
            <w:tcW w:w="420" w:type="dxa"/>
            <w:vAlign w:val="bottom"/>
            <w:gridSpan w:val="2"/>
          </w:tcPr>
          <w:p>
            <w:pPr>
              <w:spacing w:after="0"/>
              <w:rPr>
                <w:sz w:val="19"/>
                <w:szCs w:val="19"/>
                <w:color w:val="auto"/>
              </w:rPr>
            </w:pPr>
          </w:p>
        </w:tc>
        <w:tc>
          <w:tcPr>
            <w:tcW w:w="1900" w:type="dxa"/>
            <w:vAlign w:val="bottom"/>
            <w:gridSpan w:val="9"/>
          </w:tcPr>
          <w:p>
            <w:pPr>
              <w:spacing w:after="0"/>
              <w:rPr>
                <w:rFonts w:ascii="Arial" w:cs="Arial" w:eastAsia="Arial" w:hAnsi="Arial"/>
                <w:sz w:val="17"/>
                <w:szCs w:val="17"/>
                <w:color w:val="0000EE"/>
                <w:w w:val="99"/>
              </w:rPr>
            </w:pPr>
            <w:hyperlink w:anchor="page95">
              <w:r>
                <w:rPr>
                  <w:rFonts w:ascii="Arial" w:cs="Arial" w:eastAsia="Arial" w:hAnsi="Arial"/>
                  <w:sz w:val="17"/>
                  <w:szCs w:val="17"/>
                  <w:color w:val="0000EE"/>
                  <w:w w:val="99"/>
                </w:rPr>
                <w:t>Controls and Procedures</w:t>
              </w:r>
            </w:hyperlink>
          </w:p>
        </w:tc>
        <w:tc>
          <w:tcPr>
            <w:tcW w:w="6760" w:type="dxa"/>
            <w:vAlign w:val="bottom"/>
            <w:gridSpan w:val="19"/>
          </w:tcPr>
          <w:p>
            <w:pPr>
              <w:spacing w:after="0"/>
              <w:rPr>
                <w:sz w:val="19"/>
                <w:szCs w:val="19"/>
                <w:color w:val="auto"/>
              </w:rPr>
            </w:pPr>
          </w:p>
        </w:tc>
        <w:tc>
          <w:tcPr>
            <w:tcW w:w="1700" w:type="dxa"/>
            <w:vAlign w:val="bottom"/>
            <w:gridSpan w:val="5"/>
          </w:tcPr>
          <w:p>
            <w:pPr>
              <w:jc w:val="right"/>
              <w:ind w:right="20"/>
              <w:spacing w:after="0"/>
              <w:rPr>
                <w:rFonts w:ascii="Arial" w:cs="Arial" w:eastAsia="Arial" w:hAnsi="Arial"/>
                <w:sz w:val="17"/>
                <w:szCs w:val="17"/>
                <w:color w:val="0000EE"/>
              </w:rPr>
            </w:pPr>
            <w:hyperlink w:anchor="page95">
              <w:r>
                <w:rPr>
                  <w:rFonts w:ascii="Arial" w:cs="Arial" w:eastAsia="Arial" w:hAnsi="Arial"/>
                  <w:sz w:val="17"/>
                  <w:szCs w:val="17"/>
                  <w:color w:val="0000EE"/>
                </w:rPr>
                <w:t>91</w:t>
              </w:r>
            </w:hyperlink>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gridSpan w:val="2"/>
          </w:tcPr>
          <w:p>
            <w:pPr>
              <w:spacing w:after="0"/>
              <w:rPr>
                <w:rFonts w:ascii="Arial" w:cs="Arial" w:eastAsia="Arial" w:hAnsi="Arial"/>
                <w:sz w:val="17"/>
                <w:szCs w:val="17"/>
                <w:color w:val="0000EE"/>
                <w:w w:val="91"/>
              </w:rPr>
            </w:pPr>
            <w:hyperlink w:anchor="page95">
              <w:r>
                <w:rPr>
                  <w:rFonts w:ascii="Arial" w:cs="Arial" w:eastAsia="Arial" w:hAnsi="Arial"/>
                  <w:sz w:val="17"/>
                  <w:szCs w:val="17"/>
                  <w:color w:val="0000EE"/>
                  <w:w w:val="91"/>
                </w:rPr>
                <w:t>Item 9B.</w:t>
              </w:r>
            </w:hyperlink>
          </w:p>
        </w:tc>
        <w:tc>
          <w:tcPr>
            <w:tcW w:w="420" w:type="dxa"/>
            <w:vAlign w:val="bottom"/>
            <w:gridSpan w:val="2"/>
          </w:tcPr>
          <w:p>
            <w:pPr>
              <w:spacing w:after="0"/>
              <w:rPr>
                <w:sz w:val="19"/>
                <w:szCs w:val="19"/>
                <w:color w:val="auto"/>
              </w:rPr>
            </w:pPr>
          </w:p>
        </w:tc>
        <w:tc>
          <w:tcPr>
            <w:tcW w:w="1900" w:type="dxa"/>
            <w:vAlign w:val="bottom"/>
            <w:gridSpan w:val="9"/>
          </w:tcPr>
          <w:p>
            <w:pPr>
              <w:spacing w:after="0"/>
              <w:rPr>
                <w:rFonts w:ascii="Arial" w:cs="Arial" w:eastAsia="Arial" w:hAnsi="Arial"/>
                <w:sz w:val="17"/>
                <w:szCs w:val="17"/>
                <w:color w:val="0000EE"/>
              </w:rPr>
            </w:pPr>
            <w:hyperlink w:anchor="page95">
              <w:r>
                <w:rPr>
                  <w:rFonts w:ascii="Arial" w:cs="Arial" w:eastAsia="Arial" w:hAnsi="Arial"/>
                  <w:sz w:val="17"/>
                  <w:szCs w:val="17"/>
                  <w:color w:val="0000EE"/>
                </w:rPr>
                <w:t>Other Information</w:t>
              </w:r>
            </w:hyperlink>
          </w:p>
        </w:tc>
        <w:tc>
          <w:tcPr>
            <w:tcW w:w="6760" w:type="dxa"/>
            <w:vAlign w:val="bottom"/>
            <w:gridSpan w:val="19"/>
          </w:tcPr>
          <w:p>
            <w:pPr>
              <w:spacing w:after="0"/>
              <w:rPr>
                <w:sz w:val="19"/>
                <w:szCs w:val="19"/>
                <w:color w:val="auto"/>
              </w:rPr>
            </w:pPr>
          </w:p>
        </w:tc>
        <w:tc>
          <w:tcPr>
            <w:tcW w:w="1700" w:type="dxa"/>
            <w:vAlign w:val="bottom"/>
            <w:gridSpan w:val="5"/>
          </w:tcPr>
          <w:p>
            <w:pPr>
              <w:jc w:val="right"/>
              <w:ind w:right="20"/>
              <w:spacing w:after="0"/>
              <w:rPr>
                <w:rFonts w:ascii="Arial" w:cs="Arial" w:eastAsia="Arial" w:hAnsi="Arial"/>
                <w:sz w:val="17"/>
                <w:szCs w:val="17"/>
                <w:color w:val="0000EE"/>
              </w:rPr>
            </w:pPr>
            <w:hyperlink w:anchor="page95">
              <w:r>
                <w:rPr>
                  <w:rFonts w:ascii="Arial" w:cs="Arial" w:eastAsia="Arial" w:hAnsi="Arial"/>
                  <w:sz w:val="17"/>
                  <w:szCs w:val="17"/>
                  <w:color w:val="0000EE"/>
                </w:rPr>
                <w:t>91</w:t>
              </w:r>
            </w:hyperlink>
          </w:p>
        </w:tc>
      </w:tr>
      <w:tr>
        <w:trPr>
          <w:trHeight w:val="531"/>
        </w:trPr>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40" w:type="dxa"/>
            <w:vAlign w:val="bottom"/>
            <w:gridSpan w:val="13"/>
          </w:tcPr>
          <w:p>
            <w:pPr>
              <w:jc w:val="center"/>
              <w:ind w:right="3660"/>
              <w:spacing w:after="0"/>
              <w:rPr>
                <w:rFonts w:ascii="Arial" w:cs="Arial" w:eastAsia="Arial" w:hAnsi="Arial"/>
                <w:sz w:val="17"/>
                <w:szCs w:val="17"/>
                <w:b w:val="1"/>
                <w:bCs w:val="1"/>
                <w:color w:val="0000EE"/>
                <w:w w:val="98"/>
              </w:rPr>
            </w:pPr>
            <w:hyperlink w:anchor="page96">
              <w:r>
                <w:rPr>
                  <w:rFonts w:ascii="Arial" w:cs="Arial" w:eastAsia="Arial" w:hAnsi="Arial"/>
                  <w:sz w:val="17"/>
                  <w:szCs w:val="17"/>
                  <w:b w:val="1"/>
                  <w:bCs w:val="1"/>
                  <w:color w:val="0000EE"/>
                  <w:w w:val="98"/>
                </w:rPr>
                <w:t>PART III</w:t>
              </w:r>
            </w:hyperlink>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040" w:type="dxa"/>
            <w:vAlign w:val="bottom"/>
            <w:gridSpan w:val="4"/>
          </w:tcPr>
          <w:p>
            <w:pPr>
              <w:spacing w:after="0"/>
              <w:rPr>
                <w:rFonts w:ascii="Arial" w:cs="Arial" w:eastAsia="Arial" w:hAnsi="Arial"/>
                <w:sz w:val="17"/>
                <w:szCs w:val="17"/>
                <w:color w:val="0000EE"/>
              </w:rPr>
            </w:pPr>
            <w:hyperlink w:anchor="page96">
              <w:r>
                <w:rPr>
                  <w:rFonts w:ascii="Arial" w:cs="Arial" w:eastAsia="Arial" w:hAnsi="Arial"/>
                  <w:sz w:val="17"/>
                  <w:szCs w:val="17"/>
                  <w:color w:val="0000EE"/>
                </w:rPr>
                <w:t>Item 10.</w:t>
              </w:r>
            </w:hyperlink>
          </w:p>
        </w:tc>
        <w:tc>
          <w:tcPr>
            <w:tcW w:w="4340" w:type="dxa"/>
            <w:vAlign w:val="bottom"/>
            <w:gridSpan w:val="16"/>
          </w:tcPr>
          <w:p>
            <w:pPr>
              <w:spacing w:after="0"/>
              <w:rPr>
                <w:rFonts w:ascii="Arial" w:cs="Arial" w:eastAsia="Arial" w:hAnsi="Arial"/>
                <w:sz w:val="17"/>
                <w:szCs w:val="17"/>
                <w:color w:val="0000EE"/>
              </w:rPr>
            </w:pPr>
            <w:hyperlink w:anchor="page96">
              <w:r>
                <w:rPr>
                  <w:rFonts w:ascii="Arial" w:cs="Arial" w:eastAsia="Arial" w:hAnsi="Arial"/>
                  <w:sz w:val="17"/>
                  <w:szCs w:val="17"/>
                  <w:color w:val="0000EE"/>
                </w:rPr>
                <w:t>Directors, Executive Officers and Corporate Governance</w:t>
              </w:r>
            </w:hyperlink>
          </w:p>
        </w:tc>
        <w:tc>
          <w:tcPr>
            <w:tcW w:w="640" w:type="dxa"/>
            <w:vAlign w:val="bottom"/>
            <w:tcBorders>
              <w:top w:val="single" w:sz="8" w:color="0000EE"/>
            </w:tcBorders>
            <w:gridSpan w:val="6"/>
          </w:tcPr>
          <w:p>
            <w:pPr>
              <w:spacing w:after="0"/>
              <w:rPr>
                <w:sz w:val="19"/>
                <w:szCs w:val="19"/>
                <w:color w:val="auto"/>
              </w:rPr>
            </w:pPr>
          </w:p>
        </w:tc>
        <w:tc>
          <w:tcPr>
            <w:tcW w:w="3680" w:type="dxa"/>
            <w:vAlign w:val="bottom"/>
            <w:gridSpan w:val="6"/>
          </w:tcPr>
          <w:p>
            <w:pPr>
              <w:spacing w:after="0"/>
              <w:rPr>
                <w:sz w:val="19"/>
                <w:szCs w:val="19"/>
                <w:color w:val="auto"/>
              </w:rPr>
            </w:pPr>
          </w:p>
        </w:tc>
        <w:tc>
          <w:tcPr>
            <w:tcW w:w="1700" w:type="dxa"/>
            <w:vAlign w:val="bottom"/>
            <w:gridSpan w:val="5"/>
          </w:tcPr>
          <w:p>
            <w:pPr>
              <w:jc w:val="right"/>
              <w:ind w:right="20"/>
              <w:spacing w:after="0"/>
              <w:rPr>
                <w:rFonts w:ascii="Arial" w:cs="Arial" w:eastAsia="Arial" w:hAnsi="Arial"/>
                <w:sz w:val="17"/>
                <w:szCs w:val="17"/>
                <w:color w:val="0000EE"/>
              </w:rPr>
            </w:pPr>
            <w:hyperlink w:anchor="page96">
              <w:r>
                <w:rPr>
                  <w:rFonts w:ascii="Arial" w:cs="Arial" w:eastAsia="Arial" w:hAnsi="Arial"/>
                  <w:sz w:val="17"/>
                  <w:szCs w:val="17"/>
                  <w:color w:val="0000EE"/>
                </w:rPr>
                <w:t>92</w:t>
              </w:r>
            </w:hyperlink>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gridSpan w:val="6"/>
            <w:shd w:val="clear" w:color="auto" w:fill="0000EE"/>
          </w:tcPr>
          <w:p>
            <w:pPr>
              <w:spacing w:after="0" w:line="20" w:lineRule="exact"/>
              <w:rPr>
                <w:sz w:val="1"/>
                <w:szCs w:val="1"/>
                <w:color w:val="auto"/>
              </w:rPr>
            </w:pPr>
          </w:p>
        </w:tc>
        <w:tc>
          <w:tcPr>
            <w:tcW w:w="1440" w:type="dxa"/>
            <w:vAlign w:val="bottom"/>
            <w:tcBorders>
              <w:left w:val="single" w:sz="8" w:color="0000EE"/>
            </w:tcBorders>
            <w:gridSpan w:val="5"/>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gridSpan w:val="4"/>
          </w:tcPr>
          <w:p>
            <w:pPr>
              <w:spacing w:after="0"/>
              <w:rPr>
                <w:rFonts w:ascii="Arial" w:cs="Arial" w:eastAsia="Arial" w:hAnsi="Arial"/>
                <w:sz w:val="17"/>
                <w:szCs w:val="17"/>
                <w:color w:val="0000EE"/>
              </w:rPr>
            </w:pPr>
            <w:hyperlink w:anchor="page96">
              <w:r>
                <w:rPr>
                  <w:rFonts w:ascii="Arial" w:cs="Arial" w:eastAsia="Arial" w:hAnsi="Arial"/>
                  <w:sz w:val="17"/>
                  <w:szCs w:val="17"/>
                  <w:color w:val="0000EE"/>
                </w:rPr>
                <w:t>Item 11.</w:t>
              </w:r>
            </w:hyperlink>
          </w:p>
        </w:tc>
        <w:tc>
          <w:tcPr>
            <w:tcW w:w="8660" w:type="dxa"/>
            <w:vAlign w:val="bottom"/>
            <w:gridSpan w:val="28"/>
          </w:tcPr>
          <w:p>
            <w:pPr>
              <w:spacing w:after="0"/>
              <w:rPr>
                <w:rFonts w:ascii="Arial" w:cs="Arial" w:eastAsia="Arial" w:hAnsi="Arial"/>
                <w:sz w:val="17"/>
                <w:szCs w:val="17"/>
                <w:color w:val="0000EE"/>
              </w:rPr>
            </w:pPr>
            <w:hyperlink w:anchor="page96">
              <w:r>
                <w:rPr>
                  <w:rFonts w:ascii="Arial" w:cs="Arial" w:eastAsia="Arial" w:hAnsi="Arial"/>
                  <w:sz w:val="17"/>
                  <w:szCs w:val="17"/>
                  <w:color w:val="0000EE"/>
                </w:rPr>
                <w:t>Executive Compensation</w:t>
              </w:r>
            </w:hyperlink>
          </w:p>
        </w:tc>
        <w:tc>
          <w:tcPr>
            <w:tcW w:w="1700" w:type="dxa"/>
            <w:vAlign w:val="bottom"/>
            <w:gridSpan w:val="5"/>
          </w:tcPr>
          <w:p>
            <w:pPr>
              <w:jc w:val="right"/>
              <w:ind w:right="20"/>
              <w:spacing w:after="0"/>
              <w:rPr>
                <w:rFonts w:ascii="Arial" w:cs="Arial" w:eastAsia="Arial" w:hAnsi="Arial"/>
                <w:sz w:val="17"/>
                <w:szCs w:val="17"/>
                <w:color w:val="0000EE"/>
              </w:rPr>
            </w:pPr>
            <w:hyperlink w:anchor="page96">
              <w:r>
                <w:rPr>
                  <w:rFonts w:ascii="Arial" w:cs="Arial" w:eastAsia="Arial" w:hAnsi="Arial"/>
                  <w:sz w:val="17"/>
                  <w:szCs w:val="17"/>
                  <w:color w:val="0000EE"/>
                </w:rPr>
                <w:t>92</w:t>
              </w:r>
            </w:hyperlink>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gridSpan w:val="6"/>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gridSpan w:val="4"/>
          </w:tcPr>
          <w:p>
            <w:pPr>
              <w:spacing w:after="0"/>
              <w:rPr>
                <w:rFonts w:ascii="Arial" w:cs="Arial" w:eastAsia="Arial" w:hAnsi="Arial"/>
                <w:sz w:val="17"/>
                <w:szCs w:val="17"/>
                <w:color w:val="0000EE"/>
              </w:rPr>
            </w:pPr>
            <w:hyperlink w:anchor="page96">
              <w:r>
                <w:rPr>
                  <w:rFonts w:ascii="Arial" w:cs="Arial" w:eastAsia="Arial" w:hAnsi="Arial"/>
                  <w:sz w:val="17"/>
                  <w:szCs w:val="17"/>
                  <w:color w:val="0000EE"/>
                </w:rPr>
                <w:t>Item 12.</w:t>
              </w:r>
            </w:hyperlink>
          </w:p>
        </w:tc>
        <w:tc>
          <w:tcPr>
            <w:tcW w:w="8660" w:type="dxa"/>
            <w:vAlign w:val="bottom"/>
            <w:gridSpan w:val="28"/>
          </w:tcPr>
          <w:p>
            <w:pPr>
              <w:spacing w:after="0"/>
              <w:rPr>
                <w:rFonts w:ascii="Arial" w:cs="Arial" w:eastAsia="Arial" w:hAnsi="Arial"/>
                <w:sz w:val="17"/>
                <w:szCs w:val="17"/>
                <w:color w:val="0000EE"/>
              </w:rPr>
            </w:pPr>
            <w:hyperlink w:anchor="page96">
              <w:r>
                <w:rPr>
                  <w:rFonts w:ascii="Arial" w:cs="Arial" w:eastAsia="Arial" w:hAnsi="Arial"/>
                  <w:sz w:val="17"/>
                  <w:szCs w:val="17"/>
                  <w:color w:val="0000EE"/>
                </w:rPr>
                <w:t>Security Ownership of Certain Beneficial Owners and Management and Related Stockholder Matters</w:t>
              </w:r>
            </w:hyperlink>
          </w:p>
        </w:tc>
        <w:tc>
          <w:tcPr>
            <w:tcW w:w="1700" w:type="dxa"/>
            <w:vAlign w:val="bottom"/>
            <w:gridSpan w:val="5"/>
          </w:tcPr>
          <w:p>
            <w:pPr>
              <w:jc w:val="right"/>
              <w:ind w:right="20"/>
              <w:spacing w:after="0"/>
              <w:rPr>
                <w:rFonts w:ascii="Arial" w:cs="Arial" w:eastAsia="Arial" w:hAnsi="Arial"/>
                <w:sz w:val="17"/>
                <w:szCs w:val="17"/>
                <w:color w:val="0000EE"/>
              </w:rPr>
            </w:pPr>
            <w:hyperlink w:anchor="page96">
              <w:r>
                <w:rPr>
                  <w:rFonts w:ascii="Arial" w:cs="Arial" w:eastAsia="Arial" w:hAnsi="Arial"/>
                  <w:sz w:val="17"/>
                  <w:szCs w:val="17"/>
                  <w:color w:val="0000EE"/>
                </w:rPr>
                <w:t>92</w:t>
              </w:r>
            </w:hyperlink>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gridSpan w:val="6"/>
            <w:shd w:val="clear" w:color="auto" w:fill="0000EE"/>
          </w:tcPr>
          <w:p>
            <w:pPr>
              <w:spacing w:after="0" w:line="20" w:lineRule="exact"/>
              <w:rPr>
                <w:sz w:val="1"/>
                <w:szCs w:val="1"/>
                <w:color w:val="auto"/>
              </w:rPr>
            </w:pPr>
          </w:p>
        </w:tc>
        <w:tc>
          <w:tcPr>
            <w:tcW w:w="1440" w:type="dxa"/>
            <w:vAlign w:val="bottom"/>
            <w:tcBorders>
              <w:left w:val="single" w:sz="8" w:color="0000EE"/>
            </w:tcBorders>
            <w:gridSpan w:val="5"/>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gridSpan w:val="4"/>
          </w:tcPr>
          <w:p>
            <w:pPr>
              <w:spacing w:after="0"/>
              <w:rPr>
                <w:rFonts w:ascii="Arial" w:cs="Arial" w:eastAsia="Arial" w:hAnsi="Arial"/>
                <w:sz w:val="17"/>
                <w:szCs w:val="17"/>
                <w:color w:val="0000EE"/>
              </w:rPr>
            </w:pPr>
            <w:hyperlink w:anchor="page96">
              <w:r>
                <w:rPr>
                  <w:rFonts w:ascii="Arial" w:cs="Arial" w:eastAsia="Arial" w:hAnsi="Arial"/>
                  <w:sz w:val="17"/>
                  <w:szCs w:val="17"/>
                  <w:color w:val="0000EE"/>
                </w:rPr>
                <w:t>Item 13.</w:t>
              </w:r>
            </w:hyperlink>
          </w:p>
        </w:tc>
        <w:tc>
          <w:tcPr>
            <w:tcW w:w="8660" w:type="dxa"/>
            <w:vAlign w:val="bottom"/>
            <w:gridSpan w:val="28"/>
          </w:tcPr>
          <w:p>
            <w:pPr>
              <w:spacing w:after="0"/>
              <w:rPr>
                <w:rFonts w:ascii="Arial" w:cs="Arial" w:eastAsia="Arial" w:hAnsi="Arial"/>
                <w:sz w:val="17"/>
                <w:szCs w:val="17"/>
                <w:color w:val="0000EE"/>
              </w:rPr>
            </w:pPr>
            <w:hyperlink w:anchor="page96">
              <w:r>
                <w:rPr>
                  <w:rFonts w:ascii="Arial" w:cs="Arial" w:eastAsia="Arial" w:hAnsi="Arial"/>
                  <w:sz w:val="17"/>
                  <w:szCs w:val="17"/>
                  <w:color w:val="0000EE"/>
                </w:rPr>
                <w:t>Certain Relationships and Related Transactions, and Director Independence</w:t>
              </w:r>
            </w:hyperlink>
          </w:p>
        </w:tc>
        <w:tc>
          <w:tcPr>
            <w:tcW w:w="1700" w:type="dxa"/>
            <w:vAlign w:val="bottom"/>
            <w:gridSpan w:val="5"/>
          </w:tcPr>
          <w:p>
            <w:pPr>
              <w:jc w:val="right"/>
              <w:ind w:right="20"/>
              <w:spacing w:after="0"/>
              <w:rPr>
                <w:rFonts w:ascii="Arial" w:cs="Arial" w:eastAsia="Arial" w:hAnsi="Arial"/>
                <w:sz w:val="17"/>
                <w:szCs w:val="17"/>
                <w:color w:val="0000EE"/>
              </w:rPr>
            </w:pPr>
            <w:hyperlink w:anchor="page96">
              <w:r>
                <w:rPr>
                  <w:rFonts w:ascii="Arial" w:cs="Arial" w:eastAsia="Arial" w:hAnsi="Arial"/>
                  <w:sz w:val="17"/>
                  <w:szCs w:val="17"/>
                  <w:color w:val="0000EE"/>
                </w:rPr>
                <w:t>92</w:t>
              </w:r>
            </w:hyperlink>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gridSpan w:val="6"/>
            <w:shd w:val="clear" w:color="auto" w:fill="0000EE"/>
          </w:tcPr>
          <w:p>
            <w:pPr>
              <w:spacing w:after="0" w:line="20" w:lineRule="exact"/>
              <w:rPr>
                <w:sz w:val="1"/>
                <w:szCs w:val="1"/>
                <w:color w:val="auto"/>
              </w:rPr>
            </w:pPr>
          </w:p>
        </w:tc>
        <w:tc>
          <w:tcPr>
            <w:tcW w:w="1440" w:type="dxa"/>
            <w:vAlign w:val="bottom"/>
            <w:tcBorders>
              <w:left w:val="single" w:sz="8" w:color="0000EE"/>
            </w:tcBorders>
            <w:gridSpan w:val="5"/>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gridSpan w:val="4"/>
          </w:tcPr>
          <w:p>
            <w:pPr>
              <w:spacing w:after="0"/>
              <w:rPr>
                <w:rFonts w:ascii="Arial" w:cs="Arial" w:eastAsia="Arial" w:hAnsi="Arial"/>
                <w:sz w:val="17"/>
                <w:szCs w:val="17"/>
                <w:color w:val="0000EE"/>
              </w:rPr>
            </w:pPr>
            <w:hyperlink w:anchor="page96">
              <w:r>
                <w:rPr>
                  <w:rFonts w:ascii="Arial" w:cs="Arial" w:eastAsia="Arial" w:hAnsi="Arial"/>
                  <w:sz w:val="17"/>
                  <w:szCs w:val="17"/>
                  <w:color w:val="0000EE"/>
                </w:rPr>
                <w:t>Item 14.</w:t>
              </w:r>
            </w:hyperlink>
          </w:p>
        </w:tc>
        <w:tc>
          <w:tcPr>
            <w:tcW w:w="8660" w:type="dxa"/>
            <w:vAlign w:val="bottom"/>
            <w:gridSpan w:val="28"/>
          </w:tcPr>
          <w:p>
            <w:pPr>
              <w:spacing w:after="0"/>
              <w:rPr>
                <w:rFonts w:ascii="Arial" w:cs="Arial" w:eastAsia="Arial" w:hAnsi="Arial"/>
                <w:sz w:val="17"/>
                <w:szCs w:val="17"/>
                <w:color w:val="0000EE"/>
              </w:rPr>
            </w:pPr>
            <w:hyperlink w:anchor="page96">
              <w:r>
                <w:rPr>
                  <w:rFonts w:ascii="Arial" w:cs="Arial" w:eastAsia="Arial" w:hAnsi="Arial"/>
                  <w:sz w:val="17"/>
                  <w:szCs w:val="17"/>
                  <w:color w:val="0000EE"/>
                </w:rPr>
                <w:t>Principal Accounting Fees and Services</w:t>
              </w:r>
            </w:hyperlink>
          </w:p>
        </w:tc>
        <w:tc>
          <w:tcPr>
            <w:tcW w:w="1700" w:type="dxa"/>
            <w:vAlign w:val="bottom"/>
            <w:gridSpan w:val="5"/>
          </w:tcPr>
          <w:p>
            <w:pPr>
              <w:jc w:val="right"/>
              <w:ind w:right="20"/>
              <w:spacing w:after="0"/>
              <w:rPr>
                <w:rFonts w:ascii="Arial" w:cs="Arial" w:eastAsia="Arial" w:hAnsi="Arial"/>
                <w:sz w:val="17"/>
                <w:szCs w:val="17"/>
                <w:color w:val="0000EE"/>
              </w:rPr>
            </w:pPr>
            <w:hyperlink w:anchor="page96">
              <w:r>
                <w:rPr>
                  <w:rFonts w:ascii="Arial" w:cs="Arial" w:eastAsia="Arial" w:hAnsi="Arial"/>
                  <w:sz w:val="17"/>
                  <w:szCs w:val="17"/>
                  <w:color w:val="0000EE"/>
                </w:rPr>
                <w:t>92</w:t>
              </w:r>
            </w:hyperlink>
          </w:p>
        </w:tc>
      </w:tr>
      <w:tr>
        <w:trPr>
          <w:trHeight w:val="531"/>
        </w:trPr>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40" w:type="dxa"/>
            <w:vAlign w:val="bottom"/>
            <w:gridSpan w:val="13"/>
          </w:tcPr>
          <w:p>
            <w:pPr>
              <w:jc w:val="center"/>
              <w:ind w:right="3680"/>
              <w:spacing w:after="0"/>
              <w:rPr>
                <w:rFonts w:ascii="Arial" w:cs="Arial" w:eastAsia="Arial" w:hAnsi="Arial"/>
                <w:sz w:val="17"/>
                <w:szCs w:val="17"/>
                <w:b w:val="1"/>
                <w:bCs w:val="1"/>
                <w:color w:val="0000EE"/>
                <w:w w:val="98"/>
              </w:rPr>
            </w:pPr>
            <w:hyperlink w:anchor="page97">
              <w:r>
                <w:rPr>
                  <w:rFonts w:ascii="Arial" w:cs="Arial" w:eastAsia="Arial" w:hAnsi="Arial"/>
                  <w:sz w:val="17"/>
                  <w:szCs w:val="17"/>
                  <w:b w:val="1"/>
                  <w:bCs w:val="1"/>
                  <w:color w:val="0000EE"/>
                  <w:w w:val="98"/>
                </w:rPr>
                <w:t>PART IV</w:t>
              </w:r>
            </w:hyperlink>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040" w:type="dxa"/>
            <w:vAlign w:val="bottom"/>
            <w:gridSpan w:val="4"/>
          </w:tcPr>
          <w:p>
            <w:pPr>
              <w:spacing w:after="0"/>
              <w:rPr>
                <w:rFonts w:ascii="Arial" w:cs="Arial" w:eastAsia="Arial" w:hAnsi="Arial"/>
                <w:sz w:val="17"/>
                <w:szCs w:val="17"/>
                <w:color w:val="0000EE"/>
              </w:rPr>
            </w:pPr>
            <w:hyperlink w:anchor="page97">
              <w:r>
                <w:rPr>
                  <w:rFonts w:ascii="Arial" w:cs="Arial" w:eastAsia="Arial" w:hAnsi="Arial"/>
                  <w:sz w:val="17"/>
                  <w:szCs w:val="17"/>
                  <w:color w:val="0000EE"/>
                </w:rPr>
                <w:t>Item 15.</w:t>
              </w:r>
            </w:hyperlink>
          </w:p>
        </w:tc>
        <w:tc>
          <w:tcPr>
            <w:tcW w:w="4320" w:type="dxa"/>
            <w:vAlign w:val="bottom"/>
            <w:gridSpan w:val="15"/>
          </w:tcPr>
          <w:p>
            <w:pPr>
              <w:spacing w:after="0"/>
              <w:rPr>
                <w:rFonts w:ascii="Arial" w:cs="Arial" w:eastAsia="Arial" w:hAnsi="Arial"/>
                <w:sz w:val="17"/>
                <w:szCs w:val="17"/>
                <w:color w:val="0000EE"/>
              </w:rPr>
            </w:pPr>
            <w:hyperlink w:anchor="page97">
              <w:r>
                <w:rPr>
                  <w:rFonts w:ascii="Arial" w:cs="Arial" w:eastAsia="Arial" w:hAnsi="Arial"/>
                  <w:sz w:val="17"/>
                  <w:szCs w:val="17"/>
                  <w:color w:val="0000EE"/>
                </w:rPr>
                <w:t>Exhibits and Financial Statement Schedules</w:t>
              </w:r>
            </w:hyperlink>
          </w:p>
        </w:tc>
        <w:tc>
          <w:tcPr>
            <w:tcW w:w="660" w:type="dxa"/>
            <w:vAlign w:val="bottom"/>
            <w:tcBorders>
              <w:top w:val="single" w:sz="8" w:color="0000EE"/>
            </w:tcBorders>
            <w:gridSpan w:val="7"/>
          </w:tcPr>
          <w:p>
            <w:pPr>
              <w:spacing w:after="0"/>
              <w:rPr>
                <w:sz w:val="19"/>
                <w:szCs w:val="19"/>
                <w:color w:val="auto"/>
              </w:rPr>
            </w:pPr>
          </w:p>
        </w:tc>
        <w:tc>
          <w:tcPr>
            <w:tcW w:w="3680" w:type="dxa"/>
            <w:vAlign w:val="bottom"/>
            <w:gridSpan w:val="6"/>
          </w:tcPr>
          <w:p>
            <w:pPr>
              <w:spacing w:after="0"/>
              <w:rPr>
                <w:sz w:val="19"/>
                <w:szCs w:val="19"/>
                <w:color w:val="auto"/>
              </w:rPr>
            </w:pPr>
          </w:p>
        </w:tc>
        <w:tc>
          <w:tcPr>
            <w:tcW w:w="1700" w:type="dxa"/>
            <w:vAlign w:val="bottom"/>
            <w:gridSpan w:val="5"/>
          </w:tcPr>
          <w:p>
            <w:pPr>
              <w:jc w:val="right"/>
              <w:ind w:right="20"/>
              <w:spacing w:after="0"/>
              <w:rPr>
                <w:rFonts w:ascii="Arial" w:cs="Arial" w:eastAsia="Arial" w:hAnsi="Arial"/>
                <w:sz w:val="17"/>
                <w:szCs w:val="17"/>
                <w:color w:val="0000EE"/>
              </w:rPr>
            </w:pPr>
            <w:hyperlink w:anchor="page97">
              <w:r>
                <w:rPr>
                  <w:rFonts w:ascii="Arial" w:cs="Arial" w:eastAsia="Arial" w:hAnsi="Arial"/>
                  <w:sz w:val="17"/>
                  <w:szCs w:val="17"/>
                  <w:color w:val="0000EE"/>
                </w:rPr>
                <w:t>93</w:t>
              </w:r>
            </w:hyperlink>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gridSpan w:val="6"/>
            <w:shd w:val="clear" w:color="auto" w:fill="0000EE"/>
          </w:tcPr>
          <w:p>
            <w:pPr>
              <w:spacing w:after="0" w:line="20" w:lineRule="exact"/>
              <w:rPr>
                <w:sz w:val="1"/>
                <w:szCs w:val="1"/>
                <w:color w:val="auto"/>
              </w:rPr>
            </w:pPr>
          </w:p>
        </w:tc>
        <w:tc>
          <w:tcPr>
            <w:tcW w:w="1760" w:type="dxa"/>
            <w:vAlign w:val="bottom"/>
            <w:tcBorders>
              <w:left w:val="single" w:sz="8" w:color="0000EE"/>
            </w:tcBorders>
            <w:gridSpan w:val="6"/>
            <w:shd w:val="clear" w:color="auto" w:fill="0000EE"/>
          </w:tcPr>
          <w:p>
            <w:pPr>
              <w:spacing w:after="0" w:line="20" w:lineRule="exact"/>
              <w:rPr>
                <w:sz w:val="1"/>
                <w:szCs w:val="1"/>
                <w:color w:val="auto"/>
              </w:rPr>
            </w:pPr>
          </w:p>
        </w:tc>
        <w:tc>
          <w:tcPr>
            <w:tcW w:w="5320" w:type="dxa"/>
            <w:vAlign w:val="bottom"/>
            <w:gridSpan w:val="16"/>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gridSpan w:val="4"/>
          </w:tcPr>
          <w:p>
            <w:pPr>
              <w:spacing w:after="0"/>
              <w:rPr>
                <w:rFonts w:ascii="Arial" w:cs="Arial" w:eastAsia="Arial" w:hAnsi="Arial"/>
                <w:sz w:val="17"/>
                <w:szCs w:val="17"/>
                <w:color w:val="0000EE"/>
              </w:rPr>
            </w:pPr>
            <w:hyperlink w:anchor="page97">
              <w:r>
                <w:rPr>
                  <w:rFonts w:ascii="Arial" w:cs="Arial" w:eastAsia="Arial" w:hAnsi="Arial"/>
                  <w:sz w:val="17"/>
                  <w:szCs w:val="17"/>
                  <w:color w:val="0000EE"/>
                </w:rPr>
                <w:t>Item 16.</w:t>
              </w:r>
            </w:hyperlink>
          </w:p>
        </w:tc>
        <w:tc>
          <w:tcPr>
            <w:tcW w:w="8660" w:type="dxa"/>
            <w:vAlign w:val="bottom"/>
            <w:gridSpan w:val="28"/>
          </w:tcPr>
          <w:p>
            <w:pPr>
              <w:spacing w:after="0"/>
              <w:rPr>
                <w:rFonts w:ascii="Arial" w:cs="Arial" w:eastAsia="Arial" w:hAnsi="Arial"/>
                <w:sz w:val="17"/>
                <w:szCs w:val="17"/>
                <w:color w:val="0000EE"/>
              </w:rPr>
            </w:pPr>
            <w:hyperlink w:anchor="page97">
              <w:r>
                <w:rPr>
                  <w:rFonts w:ascii="Arial" w:cs="Arial" w:eastAsia="Arial" w:hAnsi="Arial"/>
                  <w:sz w:val="17"/>
                  <w:szCs w:val="17"/>
                  <w:color w:val="0000EE"/>
                </w:rPr>
                <w:t>Form 10-K Summary</w:t>
              </w:r>
            </w:hyperlink>
          </w:p>
        </w:tc>
        <w:tc>
          <w:tcPr>
            <w:tcW w:w="1700" w:type="dxa"/>
            <w:vAlign w:val="bottom"/>
            <w:gridSpan w:val="5"/>
          </w:tcPr>
          <w:p>
            <w:pPr>
              <w:jc w:val="right"/>
              <w:ind w:right="20"/>
              <w:spacing w:after="0"/>
              <w:rPr>
                <w:rFonts w:ascii="Arial" w:cs="Arial" w:eastAsia="Arial" w:hAnsi="Arial"/>
                <w:sz w:val="17"/>
                <w:szCs w:val="17"/>
                <w:color w:val="0000EE"/>
              </w:rPr>
            </w:pPr>
            <w:hyperlink w:anchor="page97">
              <w:r>
                <w:rPr>
                  <w:rFonts w:ascii="Arial" w:cs="Arial" w:eastAsia="Arial" w:hAnsi="Arial"/>
                  <w:sz w:val="17"/>
                  <w:szCs w:val="17"/>
                  <w:color w:val="0000EE"/>
                </w:rPr>
                <w:t>93</w:t>
              </w:r>
            </w:hyperlink>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31"/>
        </w:trPr>
        <w:tc>
          <w:tcPr>
            <w:tcW w:w="20" w:type="dxa"/>
            <w:vAlign w:val="bottom"/>
          </w:tcPr>
          <w:p>
            <w:pPr>
              <w:spacing w:after="0"/>
              <w:rPr>
                <w:sz w:val="24"/>
                <w:szCs w:val="24"/>
                <w:color w:val="auto"/>
              </w:rPr>
            </w:pPr>
          </w:p>
        </w:tc>
        <w:tc>
          <w:tcPr>
            <w:tcW w:w="1040" w:type="dxa"/>
            <w:vAlign w:val="bottom"/>
            <w:gridSpan w:val="4"/>
          </w:tcPr>
          <w:p>
            <w:pPr>
              <w:spacing w:after="0"/>
              <w:rPr>
                <w:rFonts w:ascii="Arial" w:cs="Arial" w:eastAsia="Arial" w:hAnsi="Arial"/>
                <w:sz w:val="17"/>
                <w:szCs w:val="17"/>
                <w:color w:val="0000EE"/>
              </w:rPr>
            </w:pPr>
            <w:hyperlink w:anchor="page101">
              <w:r>
                <w:rPr>
                  <w:rFonts w:ascii="Arial" w:cs="Arial" w:eastAsia="Arial" w:hAnsi="Arial"/>
                  <w:sz w:val="17"/>
                  <w:szCs w:val="17"/>
                  <w:color w:val="0000EE"/>
                </w:rPr>
                <w:t>Signatures</w:t>
              </w:r>
            </w:hyperlink>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gridSpan w:val="5"/>
          </w:tcPr>
          <w:p>
            <w:pPr>
              <w:jc w:val="right"/>
              <w:ind w:right="20"/>
              <w:spacing w:after="0"/>
              <w:rPr>
                <w:rFonts w:ascii="Arial" w:cs="Arial" w:eastAsia="Arial" w:hAnsi="Arial"/>
                <w:sz w:val="17"/>
                <w:szCs w:val="17"/>
                <w:color w:val="0000EE"/>
              </w:rPr>
            </w:pPr>
            <w:hyperlink w:anchor="page101">
              <w:r>
                <w:rPr>
                  <w:rFonts w:ascii="Arial" w:cs="Arial" w:eastAsia="Arial" w:hAnsi="Arial"/>
                  <w:sz w:val="17"/>
                  <w:szCs w:val="17"/>
                  <w:color w:val="0000EE"/>
                </w:rPr>
                <w:t>97</w:t>
              </w:r>
            </w:hyperlink>
          </w:p>
        </w:tc>
      </w:tr>
      <w:tr>
        <w:trPr>
          <w:trHeight w:val="20"/>
        </w:trPr>
        <w:tc>
          <w:tcPr>
            <w:tcW w:w="2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800" w:type="dxa"/>
            <w:vAlign w:val="bottom"/>
            <w:gridSpan w:val="7"/>
          </w:tcPr>
          <w:p>
            <w:pPr>
              <w:spacing w:after="0" w:line="20" w:lineRule="exact"/>
              <w:rPr>
                <w:sz w:val="1"/>
                <w:szCs w:val="1"/>
                <w:color w:val="auto"/>
              </w:rPr>
            </w:pPr>
          </w:p>
        </w:tc>
        <w:tc>
          <w:tcPr>
            <w:tcW w:w="7080" w:type="dxa"/>
            <w:vAlign w:val="bottom"/>
            <w:gridSpan w:val="2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700" w:type="dxa"/>
            <w:vAlign w:val="bottom"/>
            <w:gridSpan w:val="32"/>
          </w:tcPr>
          <w:p>
            <w:pPr>
              <w:spacing w:after="0"/>
              <w:rPr>
                <w:rFonts w:ascii="Arial" w:cs="Arial" w:eastAsia="Arial" w:hAnsi="Arial"/>
                <w:sz w:val="17"/>
                <w:szCs w:val="17"/>
                <w:color w:val="0000EE"/>
              </w:rPr>
            </w:pPr>
            <w:hyperlink w:anchor="page103">
              <w:r>
                <w:rPr>
                  <w:rFonts w:ascii="Arial" w:cs="Arial" w:eastAsia="Arial" w:hAnsi="Arial"/>
                  <w:sz w:val="17"/>
                  <w:szCs w:val="17"/>
                  <w:color w:val="0000EE"/>
                </w:rPr>
                <w:t>Consolidated Financial Statements</w:t>
              </w:r>
            </w:hyperlink>
          </w:p>
        </w:tc>
        <w:tc>
          <w:tcPr>
            <w:tcW w:w="1380" w:type="dxa"/>
            <w:vAlign w:val="bottom"/>
          </w:tcPr>
          <w:p>
            <w:pPr>
              <w:spacing w:after="0"/>
              <w:rPr>
                <w:sz w:val="19"/>
                <w:szCs w:val="19"/>
                <w:color w:val="auto"/>
              </w:rPr>
            </w:pPr>
          </w:p>
        </w:tc>
        <w:tc>
          <w:tcPr>
            <w:tcW w:w="320" w:type="dxa"/>
            <w:vAlign w:val="bottom"/>
            <w:gridSpan w:val="4"/>
          </w:tcPr>
          <w:p>
            <w:pPr>
              <w:jc w:val="right"/>
              <w:ind w:right="20"/>
              <w:spacing w:after="0"/>
              <w:rPr>
                <w:rFonts w:ascii="Arial" w:cs="Arial" w:eastAsia="Arial" w:hAnsi="Arial"/>
                <w:sz w:val="17"/>
                <w:szCs w:val="17"/>
                <w:color w:val="0000EE"/>
                <w:w w:val="92"/>
              </w:rPr>
            </w:pPr>
            <w:hyperlink w:anchor="page103">
              <w:r>
                <w:rPr>
                  <w:rFonts w:ascii="Arial" w:cs="Arial" w:eastAsia="Arial" w:hAnsi="Arial"/>
                  <w:sz w:val="17"/>
                  <w:szCs w:val="17"/>
                  <w:color w:val="0000EE"/>
                  <w:w w:val="92"/>
                </w:rPr>
                <w:t>F- 1</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119"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NOTE REGARDING FORWARD-LOOKING STATEMENTS</w:t>
      </w:r>
    </w:p>
    <w:p>
      <w:pPr>
        <w:spacing w:after="0" w:line="109" w:lineRule="exact"/>
        <w:rPr>
          <w:sz w:val="20"/>
          <w:szCs w:val="20"/>
          <w:color w:val="auto"/>
        </w:rPr>
      </w:pPr>
    </w:p>
    <w:p>
      <w:pPr>
        <w:ind w:right="40" w:firstLine="410"/>
        <w:spacing w:after="0" w:line="255" w:lineRule="auto"/>
        <w:rPr>
          <w:sz w:val="20"/>
          <w:szCs w:val="20"/>
          <w:color w:val="auto"/>
        </w:rPr>
      </w:pPr>
      <w:r>
        <w:rPr>
          <w:rFonts w:ascii="Arial" w:cs="Arial" w:eastAsia="Arial" w:hAnsi="Arial"/>
          <w:sz w:val="17"/>
          <w:szCs w:val="17"/>
          <w:color w:val="auto"/>
        </w:rPr>
        <w:t>This report contains forward-looking statements that are being made pursuant to the provisions of the Private Securities Litigation Reform Act of 1995 (the Act) with the intention of obtaining the benefits of the “Safe Harbor” provisions of the Act. These forward-looking statements may be accompanied by such words as “aim,” “anticipate,” “believe,” “could,” “estimate,” “expect,” “forecast,” “intend,” “may,” “plan,” “potential,” “possible,” “will” and other words and terms of similar meaning. Reference is made in particular to forward-looking statements regarding:</w:t>
      </w:r>
    </w:p>
    <w:p>
      <w:pPr>
        <w:spacing w:after="0" w:line="104" w:lineRule="exact"/>
        <w:rPr>
          <w:sz w:val="20"/>
          <w:szCs w:val="20"/>
          <w:color w:val="auto"/>
        </w:rPr>
      </w:pPr>
    </w:p>
    <w:p>
      <w:pPr>
        <w:ind w:left="380" w:right="60" w:hanging="301"/>
        <w:spacing w:after="0" w:line="255" w:lineRule="auto"/>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anticipated amount, timing and accounting of revenues, contingent payments, milestone, royalty and other payments under licensing, collaboration or acquisition agreements, tax positions and contingencies, collectability of receivables, pre-approval inventory, cost of sales, research and development costs, compensation and other selling, general and administrative expenses, amortization of intangible assets, foreign currency exchange risk, estimated fair value of assets and liabilities and impairment assessments;</w:t>
      </w:r>
    </w:p>
    <w:p>
      <w:pPr>
        <w:spacing w:after="0" w:line="104" w:lineRule="exact"/>
        <w:rPr>
          <w:rFonts w:ascii="Arial" w:cs="Arial" w:eastAsia="Arial" w:hAnsi="Arial"/>
          <w:sz w:val="17"/>
          <w:szCs w:val="17"/>
          <w:color w:val="auto"/>
        </w:rPr>
      </w:pPr>
    </w:p>
    <w:p>
      <w:pPr>
        <w:ind w:left="380" w:hanging="301"/>
        <w:spacing w:after="0"/>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expectations, plans and prospects relating to sales, pricing, growth and launch of our marketed and pipeline products;</w:t>
      </w:r>
    </w:p>
    <w:p>
      <w:pPr>
        <w:spacing w:after="0" w:line="124" w:lineRule="exact"/>
        <w:rPr>
          <w:rFonts w:ascii="Arial" w:cs="Arial" w:eastAsia="Arial" w:hAnsi="Arial"/>
          <w:sz w:val="17"/>
          <w:szCs w:val="17"/>
          <w:color w:val="auto"/>
        </w:rPr>
      </w:pPr>
    </w:p>
    <w:p>
      <w:pPr>
        <w:ind w:left="380" w:hanging="301"/>
        <w:spacing w:after="0"/>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to invest in emerging growth areas such as pain, ophthalmology, neuropsychiatry and acute neurology;</w:t>
      </w:r>
    </w:p>
    <w:p>
      <w:pPr>
        <w:spacing w:after="0" w:line="124" w:lineRule="exact"/>
        <w:rPr>
          <w:rFonts w:ascii="Arial" w:cs="Arial" w:eastAsia="Arial" w:hAnsi="Arial"/>
          <w:sz w:val="17"/>
          <w:szCs w:val="17"/>
          <w:color w:val="auto"/>
        </w:rPr>
      </w:pPr>
    </w:p>
    <w:p>
      <w:pPr>
        <w:ind w:left="380" w:hanging="301"/>
        <w:spacing w:after="0"/>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potential impact of increased product competition in the markets in which we compete;</w:t>
      </w:r>
    </w:p>
    <w:p>
      <w:pPr>
        <w:spacing w:after="0" w:line="124" w:lineRule="exact"/>
        <w:rPr>
          <w:rFonts w:ascii="Arial" w:cs="Arial" w:eastAsia="Arial" w:hAnsi="Arial"/>
          <w:sz w:val="17"/>
          <w:szCs w:val="17"/>
          <w:color w:val="auto"/>
        </w:rPr>
      </w:pPr>
    </w:p>
    <w:p>
      <w:pPr>
        <w:ind w:left="380" w:hanging="301"/>
        <w:spacing w:after="0"/>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patent terms, patent term extensions, patent office actions and expected availability and period of regulatory exclusivity;</w:t>
      </w:r>
    </w:p>
    <w:p>
      <w:pPr>
        <w:spacing w:after="0" w:line="124" w:lineRule="exact"/>
        <w:rPr>
          <w:rFonts w:ascii="Arial" w:cs="Arial" w:eastAsia="Arial" w:hAnsi="Arial"/>
          <w:sz w:val="17"/>
          <w:szCs w:val="17"/>
          <w:color w:val="auto"/>
        </w:rPr>
      </w:pPr>
    </w:p>
    <w:p>
      <w:pPr>
        <w:ind w:left="380" w:hanging="301"/>
        <w:spacing w:after="0" w:line="262" w:lineRule="auto"/>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costs and timing of potential clinical trials, filings and approvals, and the potential therapeutic scope of the development and commercialization of our and our collaborators’ pipeline products;</w:t>
      </w:r>
    </w:p>
    <w:p>
      <w:pPr>
        <w:spacing w:after="0" w:line="98" w:lineRule="exact"/>
        <w:rPr>
          <w:rFonts w:ascii="Arial" w:cs="Arial" w:eastAsia="Arial" w:hAnsi="Arial"/>
          <w:sz w:val="17"/>
          <w:szCs w:val="17"/>
          <w:color w:val="auto"/>
        </w:rPr>
      </w:pPr>
    </w:p>
    <w:p>
      <w:pPr>
        <w:ind w:left="380" w:right="520" w:hanging="301"/>
        <w:spacing w:after="0" w:line="262" w:lineRule="auto"/>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drivers for growing our business, including our plans and intent to commit resources relating to business development opportunities and research and development programs;</w:t>
      </w:r>
    </w:p>
    <w:p>
      <w:pPr>
        <w:spacing w:after="0" w:line="98" w:lineRule="exact"/>
        <w:rPr>
          <w:rFonts w:ascii="Arial" w:cs="Arial" w:eastAsia="Arial" w:hAnsi="Arial"/>
          <w:sz w:val="17"/>
          <w:szCs w:val="17"/>
          <w:color w:val="auto"/>
        </w:rPr>
      </w:pPr>
    </w:p>
    <w:p>
      <w:pPr>
        <w:ind w:left="380" w:right="40" w:hanging="301"/>
        <w:spacing w:after="0" w:line="262" w:lineRule="auto"/>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anticipated benefits and the potential costs and expenses related to our current or future initiatives to streamline our operations and reallocate resources;</w:t>
      </w:r>
    </w:p>
    <w:p>
      <w:pPr>
        <w:spacing w:after="0" w:line="98" w:lineRule="exact"/>
        <w:rPr>
          <w:rFonts w:ascii="Arial" w:cs="Arial" w:eastAsia="Arial" w:hAnsi="Arial"/>
          <w:sz w:val="17"/>
          <w:szCs w:val="17"/>
          <w:color w:val="auto"/>
        </w:rPr>
      </w:pPr>
    </w:p>
    <w:p>
      <w:pPr>
        <w:ind w:left="380" w:right="740" w:hanging="301"/>
        <w:spacing w:after="0" w:line="262" w:lineRule="auto"/>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manufacturing capacity, use of third-party contract manufacturing organizations and plans and timing relating to the expansion of our manufacturing capabilities, including anticipated investments and activities in new manufacturing facilities;</w:t>
      </w:r>
    </w:p>
    <w:p>
      <w:pPr>
        <w:spacing w:after="0" w:line="98" w:lineRule="exact"/>
        <w:rPr>
          <w:rFonts w:ascii="Arial" w:cs="Arial" w:eastAsia="Arial" w:hAnsi="Arial"/>
          <w:sz w:val="17"/>
          <w:szCs w:val="17"/>
          <w:color w:val="auto"/>
        </w:rPr>
      </w:pPr>
    </w:p>
    <w:p>
      <w:pPr>
        <w:ind w:left="380" w:right="160" w:hanging="301"/>
        <w:spacing w:after="0" w:line="262" w:lineRule="auto"/>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potential impact on our results of operations and liquidity of the United Kingdom's (U.K.) intent to voluntarily depart from the European Union (E.U.);</w:t>
      </w:r>
    </w:p>
    <w:p>
      <w:pPr>
        <w:spacing w:after="0" w:line="98" w:lineRule="exact"/>
        <w:rPr>
          <w:rFonts w:ascii="Arial" w:cs="Arial" w:eastAsia="Arial" w:hAnsi="Arial"/>
          <w:sz w:val="17"/>
          <w:szCs w:val="17"/>
          <w:color w:val="auto"/>
        </w:rPr>
      </w:pPr>
    </w:p>
    <w:p>
      <w:pPr>
        <w:ind w:left="380" w:right="660" w:hanging="301"/>
        <w:spacing w:after="0" w:line="262" w:lineRule="auto"/>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the continued uncertainty of the credit and economic conditions in certain countries in Europe and our collection of accounts receivable in such countries;</w:t>
      </w:r>
    </w:p>
    <w:p>
      <w:pPr>
        <w:spacing w:after="0" w:line="98" w:lineRule="exact"/>
        <w:rPr>
          <w:rFonts w:ascii="Arial" w:cs="Arial" w:eastAsia="Arial" w:hAnsi="Arial"/>
          <w:sz w:val="17"/>
          <w:szCs w:val="17"/>
          <w:color w:val="auto"/>
        </w:rPr>
      </w:pPr>
    </w:p>
    <w:p>
      <w:pPr>
        <w:ind w:left="380" w:right="80" w:hanging="301"/>
        <w:spacing w:after="0" w:line="262" w:lineRule="auto"/>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potential impact of healthcare reform in the United States (U.S.) and measures being taken worldwide designed to reduce healthcare costs to constrain the overall level of government expenditures, including the impact of pricing actions and reduced reimbursement for our products;</w:t>
      </w:r>
    </w:p>
    <w:p>
      <w:pPr>
        <w:spacing w:after="0" w:line="98" w:lineRule="exact"/>
        <w:rPr>
          <w:rFonts w:ascii="Arial" w:cs="Arial" w:eastAsia="Arial" w:hAnsi="Arial"/>
          <w:sz w:val="17"/>
          <w:szCs w:val="17"/>
          <w:color w:val="auto"/>
        </w:rPr>
      </w:pPr>
    </w:p>
    <w:p>
      <w:pPr>
        <w:ind w:left="380" w:right="200" w:hanging="301"/>
        <w:spacing w:after="0" w:line="257" w:lineRule="auto"/>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outcome and impact of administrative, regulatory, legal and other proceedings related to our patents and other proprietary and intellectual property rights, tax audits, assessments and settlements, pricing matters, sales and promotional practices, product liability and other matters;</w:t>
      </w:r>
    </w:p>
    <w:p>
      <w:pPr>
        <w:spacing w:after="0" w:line="101" w:lineRule="exact"/>
        <w:rPr>
          <w:rFonts w:ascii="Arial" w:cs="Arial" w:eastAsia="Arial" w:hAnsi="Arial"/>
          <w:sz w:val="17"/>
          <w:szCs w:val="17"/>
          <w:color w:val="auto"/>
        </w:rPr>
      </w:pPr>
    </w:p>
    <w:p>
      <w:pPr>
        <w:ind w:left="380" w:hanging="301"/>
        <w:spacing w:after="0"/>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lease commitments, purchase obligations and the timing and satisfaction of other contractual obligations;</w:t>
      </w:r>
    </w:p>
    <w:p>
      <w:pPr>
        <w:spacing w:after="0" w:line="124" w:lineRule="exact"/>
        <w:rPr>
          <w:rFonts w:ascii="Arial" w:cs="Arial" w:eastAsia="Arial" w:hAnsi="Arial"/>
          <w:sz w:val="17"/>
          <w:szCs w:val="17"/>
          <w:color w:val="auto"/>
        </w:rPr>
      </w:pPr>
    </w:p>
    <w:p>
      <w:pPr>
        <w:ind w:left="380" w:hanging="301"/>
        <w:spacing w:after="0"/>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finance our operations and business initiatives and obtain funding for such activities;</w:t>
      </w:r>
    </w:p>
    <w:p>
      <w:pPr>
        <w:spacing w:after="0" w:line="124" w:lineRule="exact"/>
        <w:rPr>
          <w:rFonts w:ascii="Arial" w:cs="Arial" w:eastAsia="Arial" w:hAnsi="Arial"/>
          <w:sz w:val="17"/>
          <w:szCs w:val="17"/>
          <w:color w:val="auto"/>
        </w:rPr>
      </w:pPr>
    </w:p>
    <w:p>
      <w:pPr>
        <w:ind w:left="380" w:hanging="301"/>
        <w:spacing w:after="0"/>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anticipated benefits, costs and tax treatment of the spin-off of our hemophilia business; and</w:t>
      </w:r>
    </w:p>
    <w:p>
      <w:pPr>
        <w:spacing w:after="0" w:line="124" w:lineRule="exact"/>
        <w:rPr>
          <w:rFonts w:ascii="Arial" w:cs="Arial" w:eastAsia="Arial" w:hAnsi="Arial"/>
          <w:sz w:val="17"/>
          <w:szCs w:val="17"/>
          <w:color w:val="auto"/>
        </w:rPr>
      </w:pPr>
    </w:p>
    <w:p>
      <w:pPr>
        <w:ind w:left="380" w:hanging="301"/>
        <w:spacing w:after="0"/>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new laws, including the Tax Cuts and Jobs Act of 2017, and accounting standards.</w:t>
      </w:r>
    </w:p>
    <w:p>
      <w:pPr>
        <w:spacing w:after="0" w:line="145" w:lineRule="exact"/>
        <w:rPr>
          <w:sz w:val="20"/>
          <w:szCs w:val="20"/>
          <w:color w:val="auto"/>
        </w:rPr>
      </w:pPr>
    </w:p>
    <w:p>
      <w:pPr>
        <w:ind w:right="100" w:firstLine="410"/>
        <w:spacing w:after="0" w:line="262" w:lineRule="auto"/>
        <w:rPr>
          <w:sz w:val="20"/>
          <w:szCs w:val="20"/>
          <w:color w:val="auto"/>
        </w:rPr>
      </w:pPr>
      <w:r>
        <w:rPr>
          <w:rFonts w:ascii="Arial" w:cs="Arial" w:eastAsia="Arial" w:hAnsi="Arial"/>
          <w:sz w:val="17"/>
          <w:szCs w:val="17"/>
          <w:color w:val="auto"/>
        </w:rPr>
        <w:t xml:space="preserve">These forward-looking statements involve risks and uncertainties, including those that are described in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included in this report and elsewhere in this report that could cause actual results to differ materially from those reflected in such statements. You should not place undue reliance on these statements. Forward-looking statements speak only as of the date of this report. Except as required by law, we do not undertake any obligation to publicly update any forward-looking statements, whether as a result of new information, future developments or otherwise.</w:t>
      </w:r>
    </w:p>
    <w:p>
      <w:pPr>
        <w:sectPr>
          <w:pgSz w:w="11900" w:h="16838" w:orient="portrait"/>
          <w:cols w:equalWidth="0" w:num="1">
            <w:col w:w="11400"/>
          </w:cols>
          <w:pgMar w:left="240" w:top="144" w:right="25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NOTE REGARDING COMPANY AND PRODUCT REFERENCES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References in this report to:</w:t>
      </w:r>
    </w:p>
    <w:p>
      <w:pPr>
        <w:spacing w:after="0" w:line="163" w:lineRule="exact"/>
        <w:rPr>
          <w:sz w:val="20"/>
          <w:szCs w:val="20"/>
          <w:color w:val="auto"/>
        </w:rPr>
      </w:pPr>
    </w:p>
    <w:p>
      <w:pPr>
        <w:ind w:left="380" w:hanging="301"/>
        <w:spacing w:after="0"/>
        <w:tabs>
          <w:tab w:leader="none" w:pos="380" w:val="left"/>
        </w:tabs>
        <w:numPr>
          <w:ilvl w:val="0"/>
          <w:numId w:val="4"/>
        </w:numPr>
        <w:rPr>
          <w:rFonts w:ascii="Arial" w:cs="Arial" w:eastAsia="Arial" w:hAnsi="Arial"/>
          <w:sz w:val="17"/>
          <w:szCs w:val="17"/>
          <w:color w:val="auto"/>
        </w:rPr>
      </w:pPr>
      <w:r>
        <w:rPr>
          <w:rFonts w:ascii="Arial" w:cs="Arial" w:eastAsia="Arial" w:hAnsi="Arial"/>
          <w:sz w:val="17"/>
          <w:szCs w:val="17"/>
          <w:color w:val="auto"/>
        </w:rPr>
        <w:t>“Biogen,” the “company,” “we,” “us” and “our” refer to Biogen Inc. and its consolidated subsidiaries;</w:t>
      </w:r>
    </w:p>
    <w:p>
      <w:pPr>
        <w:spacing w:after="0" w:line="163" w:lineRule="exact"/>
        <w:rPr>
          <w:rFonts w:ascii="Arial" w:cs="Arial" w:eastAsia="Arial" w:hAnsi="Arial"/>
          <w:sz w:val="17"/>
          <w:szCs w:val="17"/>
          <w:color w:val="auto"/>
        </w:rPr>
      </w:pPr>
    </w:p>
    <w:p>
      <w:pPr>
        <w:ind w:left="380" w:right="120" w:hanging="301"/>
        <w:spacing w:after="0" w:line="262" w:lineRule="auto"/>
        <w:tabs>
          <w:tab w:leader="none" w:pos="38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“RITUXAN” refers to both RITUXAN (the trade name for rituximab in the U.S., Canada and Japan) and MabThera (the trade name for rituximab outside the U.S., Canada and Japan); and</w:t>
      </w:r>
    </w:p>
    <w:p>
      <w:pPr>
        <w:spacing w:after="0" w:line="136" w:lineRule="exact"/>
        <w:rPr>
          <w:rFonts w:ascii="Arial" w:cs="Arial" w:eastAsia="Arial" w:hAnsi="Arial"/>
          <w:sz w:val="17"/>
          <w:szCs w:val="17"/>
          <w:color w:val="auto"/>
        </w:rPr>
      </w:pPr>
    </w:p>
    <w:p>
      <w:pPr>
        <w:ind w:left="380" w:right="360" w:hanging="301"/>
        <w:spacing w:after="0" w:line="262" w:lineRule="auto"/>
        <w:tabs>
          <w:tab w:leader="none" w:pos="380" w:val="left"/>
        </w:tabs>
        <w:numPr>
          <w:ilvl w:val="0"/>
          <w:numId w:val="4"/>
        </w:numPr>
        <w:rPr>
          <w:rFonts w:ascii="Arial" w:cs="Arial" w:eastAsia="Arial" w:hAnsi="Arial"/>
          <w:sz w:val="17"/>
          <w:szCs w:val="17"/>
          <w:color w:val="auto"/>
        </w:rPr>
      </w:pPr>
      <w:r>
        <w:rPr>
          <w:rFonts w:ascii="Arial" w:cs="Arial" w:eastAsia="Arial" w:hAnsi="Arial"/>
          <w:sz w:val="17"/>
          <w:szCs w:val="17"/>
          <w:color w:val="auto"/>
        </w:rPr>
        <w:t>"ELOCTATE" refers to both ELOCTATE (the trade name for Antihemophilic Factor (recombinant), Fc Fusion Protein in the U.S., Canada and Japan) and ELOCTA (the trade name for Antihemophilic Factor (recombinant), Fc Fusion Protein in the E.U.).</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NOTE REGARDING TRADEMARKS</w:t>
      </w:r>
    </w:p>
    <w:p>
      <w:pPr>
        <w:spacing w:after="0" w:line="109" w:lineRule="exact"/>
        <w:rPr>
          <w:sz w:val="20"/>
          <w:szCs w:val="20"/>
          <w:color w:val="auto"/>
        </w:rPr>
      </w:pPr>
    </w:p>
    <w:p>
      <w:pPr>
        <w:ind w:firstLine="410"/>
        <w:spacing w:after="0" w:line="255" w:lineRule="auto"/>
        <w:rPr>
          <w:sz w:val="20"/>
          <w:szCs w:val="20"/>
          <w:color w:val="auto"/>
        </w:rPr>
      </w:pPr>
      <w:r>
        <w:rPr>
          <w:rFonts w:ascii="Arial" w:cs="Arial" w:eastAsia="Arial" w:hAnsi="Arial"/>
          <w:sz w:val="17"/>
          <w:szCs w:val="17"/>
          <w:color w:val="auto"/>
        </w:rPr>
        <w:t>AVONEX®, PLEGRIDY®, RITUXAN®, RITUXAN HYCELA®, SPINRAZA®, TECFIDERA®, TYSABRI® and ZINBRYTA® are registered trademarks of Biogen. BENEPALI</w:t>
      </w:r>
      <w:r>
        <w:rPr>
          <w:rFonts w:ascii="Arial" w:cs="Arial" w:eastAsia="Arial" w:hAnsi="Arial"/>
          <w:sz w:val="14"/>
          <w:szCs w:val="14"/>
          <w:color w:val="auto"/>
        </w:rPr>
        <w:t>TM</w:t>
      </w:r>
      <w:r>
        <w:rPr>
          <w:rFonts w:ascii="Arial" w:cs="Arial" w:eastAsia="Arial" w:hAnsi="Arial"/>
          <w:sz w:val="17"/>
          <w:szCs w:val="17"/>
          <w:color w:val="auto"/>
        </w:rPr>
        <w:t>, FLIXABI</w:t>
      </w:r>
      <w:r>
        <w:rPr>
          <w:rFonts w:ascii="Arial" w:cs="Arial" w:eastAsia="Arial" w:hAnsi="Arial"/>
          <w:sz w:val="14"/>
          <w:szCs w:val="14"/>
          <w:color w:val="auto"/>
        </w:rPr>
        <w:t>TM</w:t>
      </w:r>
      <w:r>
        <w:rPr>
          <w:rFonts w:ascii="Arial" w:cs="Arial" w:eastAsia="Arial" w:hAnsi="Arial"/>
          <w:sz w:val="17"/>
          <w:szCs w:val="17"/>
          <w:color w:val="auto"/>
        </w:rPr>
        <w:t>, FUMADERM</w:t>
      </w:r>
      <w:r>
        <w:rPr>
          <w:rFonts w:ascii="Arial" w:cs="Arial" w:eastAsia="Arial" w:hAnsi="Arial"/>
          <w:sz w:val="14"/>
          <w:szCs w:val="14"/>
          <w:color w:val="auto"/>
        </w:rPr>
        <w:t>TM</w:t>
      </w:r>
      <w:r>
        <w:rPr>
          <w:rFonts w:ascii="Arial" w:cs="Arial" w:eastAsia="Arial" w:hAnsi="Arial"/>
          <w:sz w:val="17"/>
          <w:szCs w:val="17"/>
          <w:color w:val="auto"/>
        </w:rPr>
        <w:t xml:space="preserve"> and IMRALDI</w:t>
      </w:r>
      <w:r>
        <w:rPr>
          <w:rFonts w:ascii="Arial" w:cs="Arial" w:eastAsia="Arial" w:hAnsi="Arial"/>
          <w:sz w:val="14"/>
          <w:szCs w:val="14"/>
          <w:color w:val="auto"/>
        </w:rPr>
        <w:t>TM</w:t>
      </w:r>
      <w:r>
        <w:rPr>
          <w:rFonts w:ascii="Arial" w:cs="Arial" w:eastAsia="Arial" w:hAnsi="Arial"/>
          <w:sz w:val="17"/>
          <w:szCs w:val="17"/>
          <w:color w:val="auto"/>
        </w:rPr>
        <w:t xml:space="preserve"> are trademarks of Biogen. ALPROLIX®, ELOCTATE®, ENBREL®, FAMPYRA</w:t>
      </w:r>
      <w:r>
        <w:rPr>
          <w:rFonts w:ascii="Arial" w:cs="Arial" w:eastAsia="Arial" w:hAnsi="Arial"/>
          <w:sz w:val="14"/>
          <w:szCs w:val="14"/>
          <w:color w:val="auto"/>
        </w:rPr>
        <w:t>TM</w:t>
      </w:r>
      <w:r>
        <w:rPr>
          <w:rFonts w:ascii="Arial" w:cs="Arial" w:eastAsia="Arial" w:hAnsi="Arial"/>
          <w:sz w:val="17"/>
          <w:szCs w:val="17"/>
          <w:color w:val="auto"/>
        </w:rPr>
        <w:t>, GAZYVA®, HUMIRA®, OCREVUS®, REMICADE® and other trademarks referenced in this report are the property of their respective owners.</w:t>
      </w:r>
    </w:p>
    <w:p>
      <w:pPr>
        <w:sectPr>
          <w:pgSz w:w="11900" w:h="16838" w:orient="portrait"/>
          <w:cols w:equalWidth="0" w:num="1">
            <w:col w:w="11300"/>
          </w:cols>
          <w:pgMar w:left="240" w:top="144" w:right="35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PART I</w:t>
      </w:r>
    </w:p>
    <w:p>
      <w:pPr>
        <w:spacing w:after="0" w:line="39"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1C5A7D"/>
        </w:rPr>
        <w:t>Item 1.</w:t>
        <w:tab/>
        <w:t>Business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Overview</w:t>
      </w:r>
    </w:p>
    <w:p>
      <w:pPr>
        <w:spacing w:after="0" w:line="186" w:lineRule="exact"/>
        <w:rPr>
          <w:sz w:val="20"/>
          <w:szCs w:val="20"/>
          <w:color w:val="auto"/>
        </w:rPr>
      </w:pPr>
    </w:p>
    <w:p>
      <w:pPr>
        <w:ind w:firstLine="384"/>
        <w:spacing w:after="0" w:line="253" w:lineRule="auto"/>
        <w:rPr>
          <w:sz w:val="20"/>
          <w:szCs w:val="20"/>
          <w:color w:val="auto"/>
        </w:rPr>
      </w:pPr>
      <w:r>
        <w:rPr>
          <w:rFonts w:ascii="Arial" w:cs="Arial" w:eastAsia="Arial" w:hAnsi="Arial"/>
          <w:sz w:val="17"/>
          <w:szCs w:val="17"/>
          <w:color w:val="auto"/>
        </w:rPr>
        <w:t>Biogen is a global biopharmaceutical company focused on discovering, developing and delivering worldwide innovative therapies for people living with serious neurological and neurodegenerative diseases, including in our core growth areas of multiple sclerosis (MS) and neuroimmunology, Alzheimer’s disease (AD) and dementia, movement disorders and neuromuscular disorders, including spinal muscular atrophy (SMA) and amyotrophic lateral sclerosis (ALS). We also plan to invest in emerging growth areas such as pain, ophthalmology, neuropsychiatry and acute neurology. In addition, we are employing innovative technologies to discover potential treatments for rare and genetic disorders, including new ways of treating diseases through gene therapy in the previously mentioned areas. We also manufacture and commercialize biosimilars of advanced biologics.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wp:posOffset>
            </wp:positionV>
            <wp:extent cx="5546090" cy="1292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46090" cy="129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firstLine="384"/>
        <w:spacing w:after="0" w:line="254" w:lineRule="auto"/>
        <w:rPr>
          <w:sz w:val="20"/>
          <w:szCs w:val="20"/>
          <w:color w:val="auto"/>
        </w:rPr>
      </w:pPr>
      <w:r>
        <w:rPr>
          <w:rFonts w:ascii="Arial" w:cs="Arial" w:eastAsia="Arial" w:hAnsi="Arial"/>
          <w:sz w:val="17"/>
          <w:szCs w:val="17"/>
          <w:color w:val="auto"/>
        </w:rPr>
        <w:t>Our marketed products include TECFIDERA, AVONEX, PLEGRIDY, TYSABRI, ZINBRYTA and FAMPYRA for the treatment of MS, SPINRAZA for the treatment of SMA and FUMADERM for the treatment of severe plaque psoriasis. We also have certain business and financial rights with respect to RITUXAN for the treatment of non-Hodgkin's lymphoma, chronic lymphocytic leukemia (CLL) and other conditions, GAZYVA for the treatment of CLL and follicular lymphoma, OCREVUS for the treatment of primary progressive MS and relapsing MS and other potential anti-CD20 therapies under a collaboration agreement with Genentech, Inc. (Genentech), a wholly-owned member of the Roche Group.</w:t>
      </w:r>
    </w:p>
    <w:p>
      <w:pPr>
        <w:spacing w:after="0" w:line="144" w:lineRule="exact"/>
        <w:rPr>
          <w:sz w:val="20"/>
          <w:szCs w:val="20"/>
          <w:color w:val="auto"/>
        </w:rPr>
      </w:pPr>
    </w:p>
    <w:p>
      <w:pPr>
        <w:ind w:right="80" w:firstLine="384"/>
        <w:spacing w:after="0" w:line="253" w:lineRule="auto"/>
        <w:rPr>
          <w:sz w:val="20"/>
          <w:szCs w:val="20"/>
          <w:color w:val="auto"/>
        </w:rPr>
      </w:pPr>
      <w:r>
        <w:rPr>
          <w:rFonts w:ascii="Arial" w:cs="Arial" w:eastAsia="Arial" w:hAnsi="Arial"/>
          <w:sz w:val="17"/>
          <w:szCs w:val="17"/>
          <w:color w:val="auto"/>
        </w:rPr>
        <w:t>We support our drug discovery and development efforts through the commitment of significant resources to discovery, research and development programs and business development opportunities, particularly within our core and emerging growth areas. For nearly two decades we have led in the research and development of new therapies to treat MS, resulting in our leading portfolio of MS treatments. Now our research is focused on additional improvements in the treatment of MS, such as the development of next generation therapies for MS, with a goal to reverse or possibly repair damage caused by the disease. We are also applying our scientific expertise to solve some of the most challenging and complex diseases, including AD, progressive supranuclear palsy (PSP), a rare condition that affects movement, speech, vision and cognitive function, Parkinson's disease and ALS.</w:t>
      </w:r>
    </w:p>
    <w:p>
      <w:pPr>
        <w:spacing w:after="0" w:line="147" w:lineRule="exact"/>
        <w:rPr>
          <w:sz w:val="20"/>
          <w:szCs w:val="20"/>
          <w:color w:val="auto"/>
        </w:rPr>
      </w:pPr>
    </w:p>
    <w:p>
      <w:pPr>
        <w:ind w:right="20" w:firstLine="384"/>
        <w:spacing w:after="0" w:line="254" w:lineRule="auto"/>
        <w:rPr>
          <w:sz w:val="20"/>
          <w:szCs w:val="20"/>
          <w:color w:val="auto"/>
        </w:rPr>
      </w:pPr>
      <w:r>
        <w:rPr>
          <w:rFonts w:ascii="Arial" w:cs="Arial" w:eastAsia="Arial" w:hAnsi="Arial"/>
          <w:sz w:val="17"/>
          <w:szCs w:val="17"/>
          <w:color w:val="auto"/>
        </w:rPr>
        <w:t>Our innovative drug development and commercialization activities are complemented by our biosimilar therapies that expand access to medicines and reduce the cost burden for healthcare systems. We are leveraging our manufacturing capabilities and know-how to develop, manufacture and market biosimilars through Samsung Bioepis, our joint venture with Samsung BioLogics Co. Ltd. (Samsung Biologics). Under our commercial agreement, we market and sell BENEPALI, an etanercept biosimilar referencing ENBREL, and FLIXABI, an infliximab biosimilar referencing REMICADE, in the E.U.</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00"/>
          </w:cols>
          <w:pgMar w:left="240" w:top="144" w:right="25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Key Developments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During 2017 we had a number of key developments affecting our business.</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Corporate Matters</w:t>
      </w:r>
    </w:p>
    <w:p>
      <w:pPr>
        <w:sectPr>
          <w:pgSz w:w="11900" w:h="16838" w:orient="portrait"/>
          <w:cols w:equalWidth="0" w:num="1">
            <w:col w:w="11400"/>
          </w:cols>
          <w:pgMar w:left="240" w:top="144" w:right="259" w:bottom="1440" w:gutter="0" w:footer="0" w:header="0"/>
        </w:sectPr>
      </w:pPr>
    </w:p>
    <w:p>
      <w:pPr>
        <w:spacing w:after="0" w:line="16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2017 Corporate Strategy</w:t>
      </w:r>
    </w:p>
    <w:p>
      <w:pPr>
        <w:spacing w:after="0" w:line="104" w:lineRule="exact"/>
        <w:rPr>
          <w:sz w:val="20"/>
          <w:szCs w:val="20"/>
          <w:color w:val="auto"/>
        </w:rPr>
      </w:pPr>
    </w:p>
    <w:p>
      <w:pPr>
        <w:ind w:right="40" w:firstLine="384"/>
        <w:spacing w:after="0" w:line="253" w:lineRule="auto"/>
        <w:rPr>
          <w:sz w:val="20"/>
          <w:szCs w:val="20"/>
          <w:color w:val="auto"/>
        </w:rPr>
      </w:pPr>
      <w:r>
        <w:rPr>
          <w:rFonts w:ascii="Arial" w:cs="Arial" w:eastAsia="Arial" w:hAnsi="Arial"/>
          <w:sz w:val="17"/>
          <w:szCs w:val="17"/>
          <w:color w:val="auto"/>
        </w:rPr>
        <w:t>In July 2017 we announced an updated strategic framework to optimize the value of our MS business while investing for the future across our core growth areas of MS and neuroimmunology, AD and dementia, movement disorders and neuromuscular diseases, including SMA and ALS. We also plan to invest in emerging growth areas such as pain, ophthalmology, neuropsychiatry and acute neurology.</w:t>
      </w:r>
    </w:p>
    <w:p>
      <w:pPr>
        <w:spacing w:after="0" w:line="147" w:lineRule="exact"/>
        <w:rPr>
          <w:sz w:val="20"/>
          <w:szCs w:val="20"/>
          <w:color w:val="auto"/>
        </w:rPr>
      </w:pPr>
    </w:p>
    <w:p>
      <w:pPr>
        <w:ind w:firstLine="384"/>
        <w:spacing w:after="0" w:line="257" w:lineRule="auto"/>
        <w:rPr>
          <w:sz w:val="20"/>
          <w:szCs w:val="20"/>
          <w:color w:val="auto"/>
        </w:rPr>
      </w:pPr>
      <w:r>
        <w:rPr>
          <w:rFonts w:ascii="Arial" w:cs="Arial" w:eastAsia="Arial" w:hAnsi="Arial"/>
          <w:sz w:val="17"/>
          <w:szCs w:val="17"/>
          <w:color w:val="auto"/>
        </w:rPr>
        <w:t>In order to deliver positive results in the near term while investing in the next stages of our growth, we will focus on the following strategic priorities:</w:t>
      </w:r>
    </w:p>
    <w:p>
      <w:pPr>
        <w:spacing w:after="0" w:line="140" w:lineRule="exact"/>
        <w:rPr>
          <w:sz w:val="20"/>
          <w:szCs w:val="20"/>
          <w:color w:val="auto"/>
        </w:rPr>
      </w:pPr>
    </w:p>
    <w:p>
      <w:pPr>
        <w:ind w:left="380" w:hanging="301"/>
        <w:spacing w:after="0"/>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maximizing the resilience of our MS core business;</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accelerating efforts in SMA as a significant new growth opportunity;</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developing and expanding our neuroscience portfolio;</w:t>
      </w:r>
    </w:p>
    <w:p>
      <w:pPr>
        <w:spacing w:after="0" w:line="163" w:lineRule="exact"/>
        <w:rPr>
          <w:rFonts w:ascii="Arial" w:cs="Arial" w:eastAsia="Arial" w:hAnsi="Arial"/>
          <w:sz w:val="17"/>
          <w:szCs w:val="17"/>
          <w:color w:val="auto"/>
        </w:rPr>
      </w:pPr>
    </w:p>
    <w:p>
      <w:pPr>
        <w:ind w:left="380" w:right="120" w:hanging="301"/>
        <w:spacing w:after="0" w:line="262" w:lineRule="auto"/>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focusing our capital allocation efforts to drive investment for future growth; and</w:t>
      </w:r>
    </w:p>
    <w:p>
      <w:pPr>
        <w:spacing w:after="0" w:line="136" w:lineRule="exact"/>
        <w:rPr>
          <w:rFonts w:ascii="Arial" w:cs="Arial" w:eastAsia="Arial" w:hAnsi="Arial"/>
          <w:sz w:val="17"/>
          <w:szCs w:val="17"/>
          <w:color w:val="auto"/>
        </w:rPr>
      </w:pPr>
    </w:p>
    <w:p>
      <w:pPr>
        <w:ind w:left="380" w:right="240" w:hanging="301"/>
        <w:spacing w:after="0" w:line="257" w:lineRule="auto"/>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creating a leaner and simpler operating model to streamline our operations and reallocate resources towards prioritized research and development and commercial value creation opportunities.</w:t>
      </w:r>
    </w:p>
    <w:p>
      <w:pPr>
        <w:spacing w:after="0" w:line="140" w:lineRule="exact"/>
        <w:rPr>
          <w:sz w:val="20"/>
          <w:szCs w:val="20"/>
          <w:color w:val="auto"/>
        </w:rPr>
      </w:pPr>
    </w:p>
    <w:p>
      <w:pPr>
        <w:ind w:right="40" w:firstLine="384"/>
        <w:spacing w:after="0" w:line="253" w:lineRule="auto"/>
        <w:rPr>
          <w:sz w:val="20"/>
          <w:szCs w:val="20"/>
          <w:color w:val="auto"/>
        </w:rPr>
      </w:pPr>
      <w:r>
        <w:rPr>
          <w:rFonts w:ascii="Arial" w:cs="Arial" w:eastAsia="Arial" w:hAnsi="Arial"/>
          <w:sz w:val="17"/>
          <w:szCs w:val="17"/>
          <w:color w:val="auto"/>
        </w:rPr>
        <w:t>In October 2017, in connection with creating a leaner and simpler operating model, we approved a corporate restructuring program intended to streamline our operations and reallocate resources. We expect to make total non-recurring operating and capital expenditures of up to $170.0 million, primarily in 2018, and our goal is to redirect resources of up to $400.0 million annually by 2020 to prioritized research and development and other value creation opportunities.</w:t>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TECFIDERA Settlement and License Agreement</w:t>
      </w:r>
    </w:p>
    <w:p>
      <w:pPr>
        <w:spacing w:after="0" w:line="104" w:lineRule="exact"/>
        <w:rPr>
          <w:sz w:val="20"/>
          <w:szCs w:val="20"/>
          <w:color w:val="auto"/>
        </w:rPr>
      </w:pPr>
    </w:p>
    <w:p>
      <w:pPr>
        <w:ind w:right="60" w:firstLine="384"/>
        <w:spacing w:after="0" w:line="253" w:lineRule="auto"/>
        <w:rPr>
          <w:sz w:val="20"/>
          <w:szCs w:val="20"/>
          <w:color w:val="auto"/>
        </w:rPr>
      </w:pPr>
      <w:r>
        <w:rPr>
          <w:rFonts w:ascii="Arial" w:cs="Arial" w:eastAsia="Arial" w:hAnsi="Arial"/>
          <w:sz w:val="17"/>
          <w:szCs w:val="17"/>
          <w:color w:val="auto"/>
        </w:rPr>
        <w:t>In January 2017 we entered into a settlement and license agreement with Forward Pharma A/S (Forward Pharma). Pursuant to this agreement, we obtained U.S. and rest of world licenses to Forward Pharma’s intellectual property, including Forward Pharma’s intellectual property related to TECFIDERA. In exchange, we paid Forward Pharma $1.25 billion in cash. During the fourth quarter of 2016 we recognized a pre-tax charge of $454.8 million and in the first quarter of 2017 we recognized intangible assets of $795.2 million related to this agreement.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280" w:right="20" w:firstLine="384"/>
        <w:spacing w:after="0" w:line="252" w:lineRule="auto"/>
        <w:rPr>
          <w:sz w:val="20"/>
          <w:szCs w:val="20"/>
          <w:color w:val="auto"/>
        </w:rPr>
      </w:pPr>
      <w:r>
        <w:rPr>
          <w:rFonts w:ascii="Arial" w:cs="Arial" w:eastAsia="Arial" w:hAnsi="Arial"/>
          <w:sz w:val="17"/>
          <w:szCs w:val="17"/>
          <w:color w:val="auto"/>
        </w:rPr>
        <w:t>We have two intellectual property disputes with Forward Pharma, one in the U.S. and one in the E.U., concerning intellectual property related to TECFIDERA. In March 2017 the U.S. intellectual property dispute was decided in our favor. Forward Pharma appealed to the U.S. Court of Appeals for the Federal Circuit and the appeal is pending. We evaluated the recoverability of the U.S. asset acquired from Forward Pharma and recorded an impairment charge in the first quarter of 2017 to adjust the carrying value of the acquired U.S. asset to fair value reflecting the impact of the developments in the U.S. legal dispute. In January 2018 the European Patent Office (EPO) announced its decision revoking Forward Pharma’s European Patent No. 2 801 355. Forward Pharma has stated that it expects to file an appeal to the Technical Board of Appeal of the EPO. Based upon our assessment of these rulings, we continue to amortize the remaining net book value of the U.S. and rest of world intangible assets in our consolidated statements of income utilizing an economic consumption model.</w:t>
      </w:r>
    </w:p>
    <w:p>
      <w:pPr>
        <w:spacing w:after="0" w:line="148" w:lineRule="exact"/>
        <w:rPr>
          <w:sz w:val="20"/>
          <w:szCs w:val="20"/>
          <w:color w:val="auto"/>
        </w:rPr>
      </w:pPr>
    </w:p>
    <w:p>
      <w:pPr>
        <w:ind w:left="280" w:firstLine="384"/>
        <w:spacing w:after="0" w:line="253" w:lineRule="auto"/>
        <w:rPr>
          <w:sz w:val="20"/>
          <w:szCs w:val="20"/>
          <w:color w:val="auto"/>
        </w:rPr>
      </w:pPr>
      <w:r>
        <w:rPr>
          <w:rFonts w:ascii="Arial" w:cs="Arial" w:eastAsia="Arial" w:hAnsi="Arial"/>
          <w:sz w:val="17"/>
          <w:szCs w:val="17"/>
          <w:color w:val="auto"/>
        </w:rPr>
        <w:t xml:space="preserve">For additional information on our settlement and license agreement with Forward Pharma and related intangible assets, please read Note 7, </w:t>
      </w:r>
      <w:r>
        <w:rPr>
          <w:rFonts w:ascii="Arial" w:cs="Arial" w:eastAsia="Arial" w:hAnsi="Arial"/>
          <w:sz w:val="17"/>
          <w:szCs w:val="17"/>
          <w:i w:val="1"/>
          <w:iCs w:val="1"/>
          <w:color w:val="auto"/>
        </w:rPr>
        <w:t>Intangible Assets and Goodwill</w:t>
      </w:r>
      <w:r>
        <w:rPr>
          <w:rFonts w:ascii="Arial" w:cs="Arial" w:eastAsia="Arial" w:hAnsi="Arial"/>
          <w:sz w:val="17"/>
          <w:szCs w:val="17"/>
          <w:color w:val="auto"/>
        </w:rPr>
        <w:t>, to our consolidated financial statements</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in this report</w:t>
      </w:r>
      <w:r>
        <w:rPr>
          <w:rFonts w:ascii="Arial" w:cs="Arial" w:eastAsia="Arial" w:hAnsi="Arial"/>
          <w:sz w:val="17"/>
          <w:szCs w:val="17"/>
          <w:i w:val="1"/>
          <w:iCs w:val="1"/>
          <w:color w:val="auto"/>
        </w:rPr>
        <w:t>.</w:t>
      </w:r>
      <w:r>
        <w:rPr>
          <w:rFonts w:ascii="Arial" w:cs="Arial" w:eastAsia="Arial" w:hAnsi="Arial"/>
          <w:sz w:val="17"/>
          <w:szCs w:val="17"/>
          <w:color w:val="auto"/>
        </w:rPr>
        <w:t xml:space="preserve"> For additional information on these disputes, please read Note 21, </w:t>
      </w:r>
      <w:r>
        <w:rPr>
          <w:rFonts w:ascii="Arial" w:cs="Arial" w:eastAsia="Arial" w:hAnsi="Arial"/>
          <w:sz w:val="17"/>
          <w:szCs w:val="17"/>
          <w:i w:val="1"/>
          <w:iCs w:val="1"/>
          <w:color w:val="auto"/>
        </w:rPr>
        <w:t>Litigation</w:t>
      </w:r>
      <w:r>
        <w:rPr>
          <w:rFonts w:ascii="Arial" w:cs="Arial" w:eastAsia="Arial" w:hAnsi="Arial"/>
          <w:sz w:val="17"/>
          <w:szCs w:val="17"/>
          <w:color w:val="auto"/>
        </w:rPr>
        <w:t>, to our consolidated financial statements included in this report.</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538235"/>
        </w:rPr>
        <w:t>Tax Reform</w:t>
      </w:r>
    </w:p>
    <w:p>
      <w:pPr>
        <w:spacing w:after="0" w:line="104" w:lineRule="exact"/>
        <w:rPr>
          <w:sz w:val="20"/>
          <w:szCs w:val="20"/>
          <w:color w:val="auto"/>
        </w:rPr>
      </w:pPr>
    </w:p>
    <w:p>
      <w:pPr>
        <w:ind w:left="280" w:right="40" w:firstLine="384"/>
        <w:spacing w:after="0" w:line="252" w:lineRule="auto"/>
        <w:rPr>
          <w:sz w:val="20"/>
          <w:szCs w:val="20"/>
          <w:color w:val="auto"/>
        </w:rPr>
      </w:pPr>
      <w:r>
        <w:rPr>
          <w:rFonts w:ascii="Arial" w:cs="Arial" w:eastAsia="Arial" w:hAnsi="Arial"/>
          <w:sz w:val="17"/>
          <w:szCs w:val="17"/>
          <w:color w:val="auto"/>
        </w:rPr>
        <w:t>The Tax Cuts and Jobs Act of 2017 (the 2017 Tax Act), which was signed into law on December 22, 2017, has resulted in significant changes to the U.S. corporate income tax system. These changes include a federal statutory rate reduction from 35% to 21%, the elimination or reduction of certain domestic deductions and credits and limitations on the deductibility of interest expense and executive compensation. The 2017 Tax Act also transitions international taxation from a worldwide system to a modified territorial system and includes base erosion prevention measures on non-U.S. earnings, which has the effect of subjecting certain earnings of our foreign subsidiaries to U.S. taxation as global intangible low-taxed income (GILTI). These changes are effective beginning in 2018.</w:t>
      </w:r>
    </w:p>
    <w:p>
      <w:pPr>
        <w:spacing w:after="0" w:line="149" w:lineRule="exact"/>
        <w:rPr>
          <w:sz w:val="20"/>
          <w:szCs w:val="20"/>
          <w:color w:val="auto"/>
        </w:rPr>
      </w:pPr>
    </w:p>
    <w:p>
      <w:pPr>
        <w:ind w:left="280" w:right="60" w:firstLine="384"/>
        <w:spacing w:after="0" w:line="257" w:lineRule="auto"/>
        <w:rPr>
          <w:sz w:val="20"/>
          <w:szCs w:val="20"/>
          <w:color w:val="auto"/>
        </w:rPr>
      </w:pPr>
      <w:r>
        <w:rPr>
          <w:rFonts w:ascii="Arial" w:cs="Arial" w:eastAsia="Arial" w:hAnsi="Arial"/>
          <w:sz w:val="17"/>
          <w:szCs w:val="17"/>
          <w:color w:val="auto"/>
        </w:rPr>
        <w:t>The 2017 Tax Act also includes a one-time mandatory deemed repatriation tax on accumulated foreign subsidiaries' previously untaxed foreign earnings (the Transition Toll Tax).</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2</w:t>
      </w:r>
    </w:p>
    <w:p>
      <w:pPr>
        <w:sectPr>
          <w:pgSz w:w="11900" w:h="16838" w:orient="portrait"/>
          <w:cols w:equalWidth="0" w:num="2">
            <w:col w:w="5480" w:space="180"/>
            <w:col w:w="5740"/>
          </w:cols>
          <w:pgMar w:left="240" w:top="144" w:right="259" w:bottom="1440" w:gutter="0" w:footer="0" w:header="0"/>
          <w:type w:val="continuous"/>
        </w:sectPr>
      </w:pPr>
    </w:p>
    <w:bookmarkStart w:id="6" w:name="page7"/>
    <w:bookmarkEnd w:id="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383" w:lineRule="exact"/>
        <w:rPr>
          <w:sz w:val="20"/>
          <w:szCs w:val="20"/>
          <w:color w:val="auto"/>
        </w:rPr>
      </w:pPr>
    </w:p>
    <w:p>
      <w:pPr>
        <w:ind w:firstLine="384"/>
        <w:spacing w:after="0" w:line="253" w:lineRule="auto"/>
        <w:rPr>
          <w:sz w:val="20"/>
          <w:szCs w:val="20"/>
          <w:color w:val="auto"/>
        </w:rPr>
      </w:pPr>
      <w:r>
        <w:rPr>
          <w:rFonts w:ascii="Arial" w:cs="Arial" w:eastAsia="Arial" w:hAnsi="Arial"/>
          <w:sz w:val="17"/>
          <w:szCs w:val="17"/>
          <w:color w:val="auto"/>
        </w:rPr>
        <w:t>Changes in tax rates and tax laws are accounted for in the period of enactment. Therefore, during the year ended December 31, 2017, we recorded a charge totaling $1,173.6 million related to our current estimate of the provisions of the 2017 Tax Act, including a $989.6 million expense under the Transition Toll Tax. The Transition Toll Tax will be paid over an eight-year period, starting in 2018, and will not accrue interest.</w:t>
      </w:r>
    </w:p>
    <w:p>
      <w:pPr>
        <w:spacing w:after="0" w:line="146" w:lineRule="exact"/>
        <w:rPr>
          <w:sz w:val="20"/>
          <w:szCs w:val="20"/>
          <w:color w:val="auto"/>
        </w:rPr>
      </w:pPr>
    </w:p>
    <w:p>
      <w:pPr>
        <w:ind w:right="60" w:firstLine="384"/>
        <w:spacing w:after="0" w:line="255" w:lineRule="auto"/>
        <w:rPr>
          <w:sz w:val="20"/>
          <w:szCs w:val="20"/>
          <w:color w:val="auto"/>
        </w:rPr>
      </w:pPr>
      <w:r>
        <w:rPr>
          <w:rFonts w:ascii="Arial" w:cs="Arial" w:eastAsia="Arial" w:hAnsi="Arial"/>
          <w:sz w:val="17"/>
          <w:szCs w:val="17"/>
          <w:color w:val="auto"/>
        </w:rPr>
        <w:t>The 2017 Tax Act will provide us with flexibility in deploying our cash resources to advance our business interests. We expect that it will have a modest positive effect on our income tax rate in 2018 and a potential incremental benefit thereafter.</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Hemophilia Spin-Off</w:t>
      </w:r>
    </w:p>
    <w:p>
      <w:pPr>
        <w:spacing w:after="0" w:line="104" w:lineRule="exact"/>
        <w:rPr>
          <w:sz w:val="20"/>
          <w:szCs w:val="20"/>
          <w:color w:val="auto"/>
        </w:rPr>
      </w:pPr>
    </w:p>
    <w:p>
      <w:pPr>
        <w:ind w:firstLine="384"/>
        <w:spacing w:after="0" w:line="252" w:lineRule="auto"/>
        <w:rPr>
          <w:sz w:val="20"/>
          <w:szCs w:val="20"/>
          <w:color w:val="auto"/>
        </w:rPr>
      </w:pPr>
      <w:r>
        <w:rPr>
          <w:rFonts w:ascii="Arial" w:cs="Arial" w:eastAsia="Arial" w:hAnsi="Arial"/>
          <w:sz w:val="17"/>
          <w:szCs w:val="17"/>
          <w:color w:val="auto"/>
        </w:rPr>
        <w:t>On February 1, 2017, we completed the spin-off of our hemophilia business, Bioverativ Inc. (Bioverativ), as an independent, publicly traded company trading under the symbol "BIVV" on the Nasdaq Global Select Market. The spin-off was accomplished through the distribution of all the then outstanding shares of common stock of Bioverativ to Biogen shareholders, who received one share of Bioverativ common stock for every two shares of Biogen common stock they owned. The separation and distribution was structured to be tax-free for shareholders for federal income tax purposes. Bioverativ assumed all of our rights and obligations under our collaboration agreement with Swedish Orphan Biovitrum AB (Sobi) and our collaboration and license agreement with Sangamo Biosciences Inc. (Sangamo).</w:t>
      </w:r>
    </w:p>
    <w:p>
      <w:pPr>
        <w:spacing w:after="0" w:line="149" w:lineRule="exact"/>
        <w:rPr>
          <w:sz w:val="20"/>
          <w:szCs w:val="20"/>
          <w:color w:val="auto"/>
        </w:rPr>
      </w:pPr>
    </w:p>
    <w:p>
      <w:pPr>
        <w:ind w:right="460" w:firstLine="384"/>
        <w:spacing w:after="0" w:line="257" w:lineRule="auto"/>
        <w:rPr>
          <w:sz w:val="20"/>
          <w:szCs w:val="20"/>
          <w:color w:val="auto"/>
        </w:rPr>
      </w:pPr>
      <w:r>
        <w:rPr>
          <w:rFonts w:ascii="Arial" w:cs="Arial" w:eastAsia="Arial" w:hAnsi="Arial"/>
          <w:sz w:val="17"/>
          <w:szCs w:val="17"/>
          <w:color w:val="auto"/>
        </w:rPr>
        <w:t>Our consolidated results of operations and financial position included in this report reflect the financial results of our hemophilia business for all periods through January 31, 2017.</w:t>
      </w:r>
    </w:p>
    <w:p>
      <w:pPr>
        <w:spacing w:after="0" w:line="140" w:lineRule="exact"/>
        <w:rPr>
          <w:sz w:val="20"/>
          <w:szCs w:val="20"/>
          <w:color w:val="auto"/>
        </w:rPr>
      </w:pPr>
    </w:p>
    <w:p>
      <w:pPr>
        <w:ind w:right="80" w:firstLine="384"/>
        <w:spacing w:after="0" w:line="257" w:lineRule="auto"/>
        <w:rPr>
          <w:sz w:val="20"/>
          <w:szCs w:val="20"/>
          <w:color w:val="auto"/>
        </w:rPr>
      </w:pPr>
      <w:r>
        <w:rPr>
          <w:rFonts w:ascii="Arial" w:cs="Arial" w:eastAsia="Arial" w:hAnsi="Arial"/>
          <w:sz w:val="17"/>
          <w:szCs w:val="17"/>
          <w:color w:val="auto"/>
        </w:rPr>
        <w:t xml:space="preserve">For additional information on the spin-off of our hemophilia business, please read Note 3, </w:t>
      </w:r>
      <w:r>
        <w:rPr>
          <w:rFonts w:ascii="Arial" w:cs="Arial" w:eastAsia="Arial" w:hAnsi="Arial"/>
          <w:sz w:val="17"/>
          <w:szCs w:val="17"/>
          <w:i w:val="1"/>
          <w:iCs w:val="1"/>
          <w:color w:val="auto"/>
        </w:rPr>
        <w:t>Hemophilia Spin-Off,</w:t>
      </w:r>
      <w:r>
        <w:rPr>
          <w:rFonts w:ascii="Arial" w:cs="Arial" w:eastAsia="Arial" w:hAnsi="Arial"/>
          <w:sz w:val="17"/>
          <w:szCs w:val="17"/>
          <w:color w:val="auto"/>
        </w:rPr>
        <w:t xml:space="preserve"> to our consolidated financial statements included in this report</w:t>
      </w:r>
      <w:r>
        <w:rPr>
          <w:rFonts w:ascii="Arial" w:cs="Arial" w:eastAsia="Arial" w:hAnsi="Arial"/>
          <w:sz w:val="17"/>
          <w:szCs w:val="17"/>
          <w:i w:val="1"/>
          <w:iCs w:val="1"/>
          <w:color w:val="auto"/>
        </w:rPr>
        <w:t>.</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BIIB093 Acquisition</w:t>
      </w:r>
    </w:p>
    <w:p>
      <w:pPr>
        <w:spacing w:after="0" w:line="104" w:lineRule="exact"/>
        <w:rPr>
          <w:sz w:val="20"/>
          <w:szCs w:val="20"/>
          <w:color w:val="auto"/>
        </w:rPr>
      </w:pPr>
    </w:p>
    <w:p>
      <w:pPr>
        <w:ind w:firstLine="384"/>
        <w:spacing w:after="0" w:line="252" w:lineRule="auto"/>
        <w:rPr>
          <w:sz w:val="20"/>
          <w:szCs w:val="20"/>
          <w:color w:val="auto"/>
        </w:rPr>
      </w:pPr>
      <w:r>
        <w:rPr>
          <w:rFonts w:ascii="Arial" w:cs="Arial" w:eastAsia="Arial" w:hAnsi="Arial"/>
          <w:sz w:val="17"/>
          <w:szCs w:val="17"/>
          <w:color w:val="auto"/>
        </w:rPr>
        <w:t>In May 2017 we completed an asset purchase of the Phase 3-ready candidate BIIB093 (intravenous glibencamide) (formerly known as CIRARA) from Remedy Pharmaceuticals Inc. (Remedy). The target indication for BIIB093 is large hemispheric infarction (LHI), a severe form of ischemic stroke where brain swelling (cerebral edema) often leads to a disproportionately large share of stroke-related morbidity and mortality. The U.S. Food and Drug Administration (FDA) recently granted BIIB093 Orphan Drug Designation for severe cerebral edema in patients with acute ischemic (AI) stroke. The FDA has also granted BIIB093 Fast Track designation.</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280" w:right="240" w:firstLine="384"/>
        <w:spacing w:after="0" w:line="255" w:lineRule="auto"/>
        <w:rPr>
          <w:sz w:val="20"/>
          <w:szCs w:val="20"/>
          <w:color w:val="auto"/>
        </w:rPr>
      </w:pPr>
      <w:r>
        <w:rPr>
          <w:rFonts w:ascii="Arial" w:cs="Arial" w:eastAsia="Arial" w:hAnsi="Arial"/>
          <w:sz w:val="17"/>
          <w:szCs w:val="17"/>
          <w:color w:val="auto"/>
        </w:rPr>
        <w:t>Under this agreement, we are responsible for the future development and commercialization of BIIB093. Remedy will share in the cost of development for the target indication for BIIB093 in LHI stroke.</w:t>
      </w:r>
    </w:p>
    <w:p>
      <w:pPr>
        <w:spacing w:after="0" w:line="143" w:lineRule="exact"/>
        <w:rPr>
          <w:sz w:val="20"/>
          <w:szCs w:val="20"/>
          <w:color w:val="auto"/>
        </w:rPr>
      </w:pPr>
    </w:p>
    <w:p>
      <w:pPr>
        <w:ind w:left="280" w:right="140" w:firstLine="384"/>
        <w:spacing w:after="0" w:line="257" w:lineRule="auto"/>
        <w:rPr>
          <w:sz w:val="20"/>
          <w:szCs w:val="20"/>
          <w:color w:val="auto"/>
        </w:rPr>
      </w:pPr>
      <w:r>
        <w:rPr>
          <w:rFonts w:ascii="Arial" w:cs="Arial" w:eastAsia="Arial" w:hAnsi="Arial"/>
          <w:sz w:val="17"/>
          <w:szCs w:val="17"/>
          <w:color w:val="auto"/>
        </w:rPr>
        <w:t xml:space="preserve">For additional information on our transaction with Remedy, please read Note 2, </w:t>
      </w:r>
      <w:r>
        <w:rPr>
          <w:rFonts w:ascii="Arial" w:cs="Arial" w:eastAsia="Arial" w:hAnsi="Arial"/>
          <w:sz w:val="17"/>
          <w:szCs w:val="17"/>
          <w:i w:val="1"/>
          <w:iCs w:val="1"/>
          <w:color w:val="auto"/>
        </w:rPr>
        <w:t>Acquisitions,</w:t>
      </w:r>
      <w:r>
        <w:rPr>
          <w:rFonts w:ascii="Arial" w:cs="Arial" w:eastAsia="Arial" w:hAnsi="Arial"/>
          <w:sz w:val="17"/>
          <w:szCs w:val="17"/>
          <w:color w:val="auto"/>
        </w:rPr>
        <w:t xml:space="preserve"> to our consolidated financial statements included in this report</w:t>
      </w:r>
      <w:r>
        <w:rPr>
          <w:rFonts w:ascii="Arial" w:cs="Arial" w:eastAsia="Arial" w:hAnsi="Arial"/>
          <w:sz w:val="17"/>
          <w:szCs w:val="17"/>
          <w:i w:val="1"/>
          <w:iCs w:val="1"/>
          <w:color w:val="auto"/>
        </w:rPr>
        <w:t>.</w:t>
      </w:r>
    </w:p>
    <w:p>
      <w:pPr>
        <w:spacing w:after="0" w:line="122"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538235"/>
        </w:rPr>
        <w:t>BIIB092 License Agreement</w:t>
      </w:r>
    </w:p>
    <w:p>
      <w:pPr>
        <w:spacing w:after="0" w:line="104" w:lineRule="exact"/>
        <w:rPr>
          <w:sz w:val="20"/>
          <w:szCs w:val="20"/>
          <w:color w:val="auto"/>
        </w:rPr>
      </w:pPr>
    </w:p>
    <w:p>
      <w:pPr>
        <w:ind w:left="280" w:right="40" w:firstLine="384"/>
        <w:spacing w:after="0" w:line="253" w:lineRule="auto"/>
        <w:rPr>
          <w:sz w:val="20"/>
          <w:szCs w:val="20"/>
          <w:color w:val="auto"/>
        </w:rPr>
      </w:pPr>
      <w:r>
        <w:rPr>
          <w:rFonts w:ascii="Arial" w:cs="Arial" w:eastAsia="Arial" w:hAnsi="Arial"/>
          <w:sz w:val="17"/>
          <w:szCs w:val="17"/>
          <w:color w:val="auto"/>
        </w:rPr>
        <w:t>In June 2017 we completed an exclusive license agreement with Bristol-Myers Squibb Company (BMS) for BIIB092 (formerly known as BMS-986168), a Phase 2-ready experimental medicine with potential in AD and PSP. BIIB092 is an antibody targeting tau, the protein that forms the deposits, or tangles, in the brain associated with AD and other neurodegenerative tauopathies such as PSP.</w:t>
      </w:r>
    </w:p>
    <w:p>
      <w:pPr>
        <w:spacing w:after="0" w:line="147" w:lineRule="exact"/>
        <w:rPr>
          <w:sz w:val="20"/>
          <w:szCs w:val="20"/>
          <w:color w:val="auto"/>
        </w:rPr>
      </w:pPr>
    </w:p>
    <w:p>
      <w:pPr>
        <w:jc w:val="both"/>
        <w:ind w:left="280" w:firstLine="384"/>
        <w:spacing w:after="0" w:line="257" w:lineRule="auto"/>
        <w:rPr>
          <w:sz w:val="20"/>
          <w:szCs w:val="20"/>
          <w:color w:val="auto"/>
        </w:rPr>
      </w:pPr>
      <w:r>
        <w:rPr>
          <w:rFonts w:ascii="Arial" w:cs="Arial" w:eastAsia="Arial" w:hAnsi="Arial"/>
          <w:sz w:val="17"/>
          <w:szCs w:val="17"/>
          <w:color w:val="auto"/>
        </w:rPr>
        <w:t>Under this agreement, we received worldwide rights to BIIB092 and are responsible for the full development and global commercialization of BIIB092 in AD and PSP.</w:t>
      </w:r>
    </w:p>
    <w:p>
      <w:pPr>
        <w:spacing w:after="0" w:line="140" w:lineRule="exact"/>
        <w:rPr>
          <w:sz w:val="20"/>
          <w:szCs w:val="20"/>
          <w:color w:val="auto"/>
        </w:rPr>
      </w:pPr>
    </w:p>
    <w:p>
      <w:pPr>
        <w:jc w:val="both"/>
        <w:ind w:left="280" w:right="260" w:firstLine="384"/>
        <w:spacing w:after="0" w:line="257" w:lineRule="auto"/>
        <w:rPr>
          <w:sz w:val="20"/>
          <w:szCs w:val="20"/>
          <w:color w:val="auto"/>
        </w:rPr>
      </w:pPr>
      <w:r>
        <w:rPr>
          <w:rFonts w:ascii="Arial" w:cs="Arial" w:eastAsia="Arial" w:hAnsi="Arial"/>
          <w:sz w:val="17"/>
          <w:szCs w:val="17"/>
          <w:color w:val="auto"/>
        </w:rPr>
        <w:t xml:space="preserve">For additional information on our collaboration arrangement with BMS, please read Note 20, </w:t>
      </w:r>
      <w:r>
        <w:rPr>
          <w:rFonts w:ascii="Arial" w:cs="Arial" w:eastAsia="Arial" w:hAnsi="Arial"/>
          <w:sz w:val="17"/>
          <w:szCs w:val="17"/>
          <w:i w:val="1"/>
          <w:iCs w:val="1"/>
          <w:color w:val="auto"/>
        </w:rPr>
        <w:t>Collaborative and Other Relationships,</w:t>
      </w:r>
      <w:r>
        <w:rPr>
          <w:rFonts w:ascii="Arial" w:cs="Arial" w:eastAsia="Arial" w:hAnsi="Arial"/>
          <w:sz w:val="17"/>
          <w:szCs w:val="17"/>
          <w:color w:val="auto"/>
        </w:rPr>
        <w:t xml:space="preserve"> to our consolidated financial statements included in this report</w:t>
      </w:r>
      <w:r>
        <w:rPr>
          <w:rFonts w:ascii="Arial" w:cs="Arial" w:eastAsia="Arial" w:hAnsi="Arial"/>
          <w:sz w:val="17"/>
          <w:szCs w:val="17"/>
          <w:i w:val="1"/>
          <w:iCs w:val="1"/>
          <w:color w:val="auto"/>
        </w:rPr>
        <w:t>.</w:t>
      </w:r>
    </w:p>
    <w:p>
      <w:pPr>
        <w:spacing w:after="0" w:line="122"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538235"/>
        </w:rPr>
        <w:t>Eisai Collaboration Agreement</w:t>
      </w:r>
    </w:p>
    <w:p>
      <w:pPr>
        <w:spacing w:after="0" w:line="104" w:lineRule="exact"/>
        <w:rPr>
          <w:sz w:val="20"/>
          <w:szCs w:val="20"/>
          <w:color w:val="auto"/>
        </w:rPr>
      </w:pPr>
    </w:p>
    <w:p>
      <w:pPr>
        <w:ind w:left="280" w:right="60" w:firstLine="384"/>
        <w:spacing w:after="0" w:line="252" w:lineRule="auto"/>
        <w:rPr>
          <w:sz w:val="20"/>
          <w:szCs w:val="20"/>
          <w:color w:val="auto"/>
        </w:rPr>
      </w:pPr>
      <w:r>
        <w:rPr>
          <w:rFonts w:ascii="Arial" w:cs="Arial" w:eastAsia="Arial" w:hAnsi="Arial"/>
          <w:sz w:val="17"/>
          <w:szCs w:val="17"/>
          <w:color w:val="auto"/>
        </w:rPr>
        <w:t>In October 2017 we entered into a new collaboration agreement with Eisai Co. Ltd. (Eisai) for the joint development and commercialization of aducanumab, our anti-amyloid beta antibody candidate for AD (Aducanumab Collaboration Agreement). Under the Aducanumab Collaboration Agreement, we will continue to lead the ongoing Phase 3 development of aducanumab and will remain responsible for 100% of development costs for aducanumab until April 2018. Eisai will then reimburse us for 15% of aducanumab development expenses for the period April 2018 through December 2018, and 45% thereafter. Upon commercialization, both companies will co-promote aducanumab with a region-based profit split.</w:t>
      </w:r>
    </w:p>
    <w:p>
      <w:pPr>
        <w:spacing w:after="0" w:line="150" w:lineRule="exact"/>
        <w:rPr>
          <w:sz w:val="20"/>
          <w:szCs w:val="20"/>
          <w:color w:val="auto"/>
        </w:rPr>
      </w:pPr>
    </w:p>
    <w:p>
      <w:pPr>
        <w:ind w:left="280" w:right="20" w:firstLine="384"/>
        <w:spacing w:after="0" w:line="257" w:lineRule="auto"/>
        <w:rPr>
          <w:sz w:val="20"/>
          <w:szCs w:val="20"/>
          <w:color w:val="auto"/>
        </w:rPr>
      </w:pPr>
      <w:r>
        <w:rPr>
          <w:rFonts w:ascii="Arial" w:cs="Arial" w:eastAsia="Arial" w:hAnsi="Arial"/>
          <w:sz w:val="17"/>
          <w:szCs w:val="17"/>
          <w:color w:val="auto"/>
        </w:rPr>
        <w:t>In addition, we and Eisai will continue to jointly develop two product candidates for AD, BAN2401, a monoclonal antibody that targets amyloid beta aggregates, and E2609, a BACE inhibitor.</w:t>
      </w:r>
    </w:p>
    <w:p>
      <w:pPr>
        <w:spacing w:after="0" w:line="140" w:lineRule="exact"/>
        <w:rPr>
          <w:sz w:val="20"/>
          <w:szCs w:val="20"/>
          <w:color w:val="auto"/>
        </w:rPr>
      </w:pPr>
    </w:p>
    <w:p>
      <w:pPr>
        <w:ind w:left="280" w:right="280" w:firstLine="384"/>
        <w:spacing w:after="0" w:line="255" w:lineRule="auto"/>
        <w:rPr>
          <w:sz w:val="20"/>
          <w:szCs w:val="20"/>
          <w:color w:val="auto"/>
        </w:rPr>
      </w:pPr>
      <w:r>
        <w:rPr>
          <w:rFonts w:ascii="Arial" w:cs="Arial" w:eastAsia="Arial" w:hAnsi="Arial"/>
          <w:sz w:val="17"/>
          <w:szCs w:val="17"/>
          <w:color w:val="auto"/>
        </w:rPr>
        <w:t>We and Eisai will co-promote AVONEX, TYSABRI and TECFIDERA in Japan in certain settings and Eisai will distribute AVONEX, TYSABRI, TECFIDERA and PLEGRIDY in India and other Asia-Pacific markets, excluding China.</w:t>
      </w: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3</w:t>
      </w:r>
    </w:p>
    <w:p>
      <w:pPr>
        <w:sectPr>
          <w:pgSz w:w="11900" w:h="16838" w:orient="portrait"/>
          <w:cols w:equalWidth="0" w:num="2">
            <w:col w:w="5460" w:space="200"/>
            <w:col w:w="5760"/>
          </w:cols>
          <w:pgMar w:left="240" w:top="144" w:right="239" w:bottom="1440"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2" w:lineRule="exact"/>
        <w:rPr>
          <w:sz w:val="20"/>
          <w:szCs w:val="20"/>
          <w:color w:val="auto"/>
        </w:rPr>
      </w:pPr>
    </w:p>
    <w:p>
      <w:pPr>
        <w:jc w:val="both"/>
        <w:ind w:right="240" w:firstLine="384"/>
        <w:spacing w:after="0" w:line="257" w:lineRule="auto"/>
        <w:rPr>
          <w:sz w:val="20"/>
          <w:szCs w:val="20"/>
          <w:color w:val="auto"/>
        </w:rPr>
      </w:pPr>
      <w:r>
        <w:rPr>
          <w:rFonts w:ascii="Arial" w:cs="Arial" w:eastAsia="Arial" w:hAnsi="Arial"/>
          <w:sz w:val="17"/>
          <w:szCs w:val="17"/>
          <w:color w:val="auto"/>
        </w:rPr>
        <w:t xml:space="preserve">For additional information on our collaboration arrangement with Eisai, please read Note 20, </w:t>
      </w:r>
      <w:r>
        <w:rPr>
          <w:rFonts w:ascii="Arial" w:cs="Arial" w:eastAsia="Arial" w:hAnsi="Arial"/>
          <w:sz w:val="17"/>
          <w:szCs w:val="17"/>
          <w:i w:val="1"/>
          <w:iCs w:val="1"/>
          <w:color w:val="auto"/>
        </w:rPr>
        <w:t>Collaborative and Other Relationships,</w:t>
      </w:r>
      <w:r>
        <w:rPr>
          <w:rFonts w:ascii="Arial" w:cs="Arial" w:eastAsia="Arial" w:hAnsi="Arial"/>
          <w:sz w:val="17"/>
          <w:szCs w:val="17"/>
          <w:color w:val="auto"/>
        </w:rPr>
        <w:t xml:space="preserve"> to our consolidated financial statements included in this report.</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538235"/>
        </w:rPr>
        <w:t>Neurimmune Collaboration Agreement</w:t>
      </w:r>
    </w:p>
    <w:p>
      <w:pPr>
        <w:spacing w:after="0" w:line="104" w:lineRule="exact"/>
        <w:rPr>
          <w:sz w:val="20"/>
          <w:szCs w:val="20"/>
          <w:color w:val="auto"/>
        </w:rPr>
      </w:pPr>
    </w:p>
    <w:p>
      <w:pPr>
        <w:ind w:right="60" w:firstLine="384"/>
        <w:spacing w:after="0" w:line="252" w:lineRule="auto"/>
        <w:rPr>
          <w:sz w:val="20"/>
          <w:szCs w:val="20"/>
          <w:color w:val="auto"/>
        </w:rPr>
      </w:pPr>
      <w:r>
        <w:rPr>
          <w:rFonts w:ascii="Arial" w:cs="Arial" w:eastAsia="Arial" w:hAnsi="Arial"/>
          <w:sz w:val="17"/>
          <w:szCs w:val="17"/>
          <w:color w:val="auto"/>
        </w:rPr>
        <w:t>In October 2017 we amended the terms of our collaboration and license agreement with Neurimmune Subone AG (Neurimmune). Under the amended agreement, we made a $150.0 million payment to Neurimmune, which is reflected as a charge to noncontrolling interests, in exchange for a 15% reduction in royalty rates payable on products developed under the agreement, including on potential commercial sales of aducanumab. Our royalty rates payable on products developed under the agreement, including on potential commercial sales of aducanumab, will now range from the high single digits to low-teens.</w:t>
      </w:r>
    </w:p>
    <w:p>
      <w:pPr>
        <w:spacing w:after="0" w:line="151" w:lineRule="exact"/>
        <w:rPr>
          <w:sz w:val="20"/>
          <w:szCs w:val="20"/>
          <w:color w:val="auto"/>
        </w:rPr>
      </w:pPr>
    </w:p>
    <w:p>
      <w:pPr>
        <w:ind w:right="120" w:firstLine="384"/>
        <w:spacing w:after="0" w:line="254" w:lineRule="auto"/>
        <w:rPr>
          <w:sz w:val="20"/>
          <w:szCs w:val="20"/>
          <w:color w:val="auto"/>
        </w:rPr>
      </w:pPr>
      <w:r>
        <w:rPr>
          <w:rFonts w:ascii="Arial" w:cs="Arial" w:eastAsia="Arial" w:hAnsi="Arial"/>
          <w:sz w:val="17"/>
          <w:szCs w:val="17"/>
          <w:color w:val="auto"/>
        </w:rPr>
        <w:t>Under the amended agreement, we also have an option that will expire in April 2018 to further reduce our royalty rates payable on products developed under the agreement, including on potential commercial sales of aducanumab, by an additional 5% in exchange for a $50.0 million payment to Neurimmune.</w:t>
      </w:r>
    </w:p>
    <w:p>
      <w:pPr>
        <w:spacing w:after="0" w:line="144" w:lineRule="exact"/>
        <w:rPr>
          <w:sz w:val="20"/>
          <w:szCs w:val="20"/>
          <w:color w:val="auto"/>
        </w:rPr>
      </w:pPr>
    </w:p>
    <w:p>
      <w:pPr>
        <w:ind w:right="80" w:firstLine="384"/>
        <w:spacing w:after="0" w:line="257" w:lineRule="auto"/>
        <w:rPr>
          <w:sz w:val="20"/>
          <w:szCs w:val="20"/>
          <w:color w:val="auto"/>
        </w:rPr>
      </w:pPr>
      <w:r>
        <w:rPr>
          <w:rFonts w:ascii="Arial" w:cs="Arial" w:eastAsia="Arial" w:hAnsi="Arial"/>
          <w:sz w:val="17"/>
          <w:szCs w:val="17"/>
          <w:color w:val="auto"/>
        </w:rPr>
        <w:t xml:space="preserve">For additional information on our collaboration arrangement with Neurimmune, please read Note 19, </w:t>
      </w:r>
      <w:r>
        <w:rPr>
          <w:rFonts w:ascii="Arial" w:cs="Arial" w:eastAsia="Arial" w:hAnsi="Arial"/>
          <w:sz w:val="17"/>
          <w:szCs w:val="17"/>
          <w:i w:val="1"/>
          <w:iCs w:val="1"/>
          <w:color w:val="auto"/>
        </w:rPr>
        <w:t>Investments in Variable Interest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Entities, </w:t>
      </w:r>
      <w:r>
        <w:rPr>
          <w:rFonts w:ascii="Arial" w:cs="Arial" w:eastAsia="Arial" w:hAnsi="Arial"/>
          <w:sz w:val="17"/>
          <w:szCs w:val="17"/>
          <w:color w:val="auto"/>
        </w:rPr>
        <w:t>to our consolidated financial statements included in this report.</w:t>
      </w:r>
    </w:p>
    <w:p>
      <w:pPr>
        <w:spacing w:after="0" w:line="122"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538235"/>
        </w:rPr>
        <w:t>BIIB098 License Agreement</w:t>
      </w:r>
    </w:p>
    <w:p>
      <w:pPr>
        <w:spacing w:after="0" w:line="104" w:lineRule="exact"/>
        <w:rPr>
          <w:sz w:val="20"/>
          <w:szCs w:val="20"/>
          <w:color w:val="auto"/>
        </w:rPr>
      </w:pPr>
    </w:p>
    <w:p>
      <w:pPr>
        <w:ind w:right="160" w:firstLine="384"/>
        <w:spacing w:after="0" w:line="254" w:lineRule="auto"/>
        <w:rPr>
          <w:sz w:val="20"/>
          <w:szCs w:val="20"/>
          <w:color w:val="auto"/>
        </w:rPr>
      </w:pPr>
      <w:r>
        <w:rPr>
          <w:rFonts w:ascii="Arial" w:cs="Arial" w:eastAsia="Arial" w:hAnsi="Arial"/>
          <w:sz w:val="17"/>
          <w:szCs w:val="17"/>
          <w:color w:val="auto"/>
        </w:rPr>
        <w:t>In November 2017 we entered into an exclusive license and collaboration agreement with Alkermes Pharma Ireland Limited, a subsidiary of Alkermes plc (Alkermes), for BIIB098 (formerly known as ALKS 8700), an oral monomethyl fumarate (MMF) prodrug in Phase 3 development for the treatment of relapsing forms of MS.</w:t>
      </w:r>
    </w:p>
    <w:p>
      <w:pPr>
        <w:spacing w:after="0" w:line="144" w:lineRule="exact"/>
        <w:rPr>
          <w:sz w:val="20"/>
          <w:szCs w:val="20"/>
          <w:color w:val="auto"/>
        </w:rPr>
      </w:pPr>
    </w:p>
    <w:p>
      <w:pPr>
        <w:ind w:firstLine="384"/>
        <w:spacing w:after="0" w:line="253" w:lineRule="auto"/>
        <w:rPr>
          <w:sz w:val="20"/>
          <w:szCs w:val="20"/>
          <w:color w:val="auto"/>
        </w:rPr>
      </w:pPr>
      <w:r>
        <w:rPr>
          <w:rFonts w:ascii="Arial" w:cs="Arial" w:eastAsia="Arial" w:hAnsi="Arial"/>
          <w:sz w:val="17"/>
          <w:szCs w:val="17"/>
          <w:color w:val="auto"/>
        </w:rPr>
        <w:t>Under this agreement, we received an exclusive, worldwide license to develop and commercialize BIIB098 and will pay Alkermes a royalty on potential worldwide net sales of BIIB098. Beginning in 2018 we are responsible for all development expenses related to BIIB098. Alkermes will maintain responsibility for regulatory interactions with the FDA through the potential approval of the New Drug Application (NDA) for BIIB098 for the treatment of MS.</w:t>
      </w:r>
    </w:p>
    <w:p>
      <w:pPr>
        <w:spacing w:after="0" w:line="146" w:lineRule="exact"/>
        <w:rPr>
          <w:sz w:val="20"/>
          <w:szCs w:val="20"/>
          <w:color w:val="auto"/>
        </w:rPr>
      </w:pPr>
    </w:p>
    <w:p>
      <w:pPr>
        <w:ind w:right="100" w:firstLine="384"/>
        <w:spacing w:after="0" w:line="257" w:lineRule="auto"/>
        <w:rPr>
          <w:sz w:val="20"/>
          <w:szCs w:val="20"/>
          <w:color w:val="auto"/>
        </w:rPr>
      </w:pPr>
      <w:r>
        <w:rPr>
          <w:rFonts w:ascii="Arial" w:cs="Arial" w:eastAsia="Arial" w:hAnsi="Arial"/>
          <w:sz w:val="17"/>
          <w:szCs w:val="17"/>
          <w:color w:val="auto"/>
        </w:rPr>
        <w:t xml:space="preserve">For additional information on our collaboration arrangement with Alkermes, please read Note 20, </w:t>
      </w:r>
      <w:r>
        <w:rPr>
          <w:rFonts w:ascii="Arial" w:cs="Arial" w:eastAsia="Arial" w:hAnsi="Arial"/>
          <w:sz w:val="17"/>
          <w:szCs w:val="17"/>
          <w:i w:val="1"/>
          <w:iCs w:val="1"/>
          <w:color w:val="auto"/>
        </w:rPr>
        <w:t>Collaborative and Other Relationships,</w:t>
      </w:r>
      <w:r>
        <w:rPr>
          <w:rFonts w:ascii="Arial" w:cs="Arial" w:eastAsia="Arial" w:hAnsi="Arial"/>
          <w:sz w:val="17"/>
          <w:szCs w:val="17"/>
          <w:color w:val="auto"/>
        </w:rPr>
        <w:t xml:space="preserve"> to our consolidated financial statements included in this report</w:t>
      </w:r>
      <w:r>
        <w:rPr>
          <w:rFonts w:ascii="Arial" w:cs="Arial" w:eastAsia="Arial" w:hAnsi="Arial"/>
          <w:sz w:val="17"/>
          <w:szCs w:val="17"/>
          <w:i w:val="1"/>
          <w:i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538235"/>
        </w:rPr>
        <w:t>Ionis Collaboration Agreement</w:t>
      </w:r>
    </w:p>
    <w:p>
      <w:pPr>
        <w:spacing w:after="0" w:line="104" w:lineRule="exact"/>
        <w:rPr>
          <w:sz w:val="20"/>
          <w:szCs w:val="20"/>
          <w:color w:val="auto"/>
        </w:rPr>
      </w:pPr>
    </w:p>
    <w:p>
      <w:pPr>
        <w:ind w:left="280" w:firstLine="384"/>
        <w:spacing w:after="0" w:line="253" w:lineRule="auto"/>
        <w:rPr>
          <w:sz w:val="20"/>
          <w:szCs w:val="20"/>
          <w:color w:val="auto"/>
        </w:rPr>
      </w:pPr>
      <w:r>
        <w:rPr>
          <w:rFonts w:ascii="Arial" w:cs="Arial" w:eastAsia="Arial" w:hAnsi="Arial"/>
          <w:sz w:val="17"/>
          <w:szCs w:val="17"/>
          <w:color w:val="auto"/>
        </w:rPr>
        <w:t>In December 2017 we entered into a new collaboration agreement with Ionis Pharmaceuticals Inc. (Ionis) to identify new antisense oligonucleotide (ASO) drug candidates for the treatment of SMA. Under this agreement, we have the option to license therapies arising out of this collaboration and will be responsible for the development and commercialization of these therapies.</w:t>
      </w:r>
    </w:p>
    <w:p>
      <w:pPr>
        <w:spacing w:after="0" w:line="147" w:lineRule="exact"/>
        <w:rPr>
          <w:sz w:val="20"/>
          <w:szCs w:val="20"/>
          <w:color w:val="auto"/>
        </w:rPr>
      </w:pPr>
    </w:p>
    <w:p>
      <w:pPr>
        <w:ind w:left="280" w:right="40" w:firstLine="384"/>
        <w:spacing w:after="0" w:line="257" w:lineRule="auto"/>
        <w:rPr>
          <w:sz w:val="20"/>
          <w:szCs w:val="20"/>
          <w:color w:val="auto"/>
        </w:rPr>
      </w:pPr>
      <w:r>
        <w:rPr>
          <w:rFonts w:ascii="Arial" w:cs="Arial" w:eastAsia="Arial" w:hAnsi="Arial"/>
          <w:sz w:val="17"/>
          <w:szCs w:val="17"/>
          <w:color w:val="auto"/>
        </w:rPr>
        <w:t xml:space="preserve">For additional information on our new collaboration arrangement with Ionis, please read Note 20, </w:t>
      </w:r>
      <w:r>
        <w:rPr>
          <w:rFonts w:ascii="Arial" w:cs="Arial" w:eastAsia="Arial" w:hAnsi="Arial"/>
          <w:sz w:val="17"/>
          <w:szCs w:val="17"/>
          <w:i w:val="1"/>
          <w:iCs w:val="1"/>
          <w:color w:val="auto"/>
        </w:rPr>
        <w:t>Collaborative and Other Relationships</w:t>
      </w:r>
      <w:r>
        <w:rPr>
          <w:rFonts w:ascii="Arial" w:cs="Arial" w:eastAsia="Arial" w:hAnsi="Arial"/>
          <w:sz w:val="17"/>
          <w:szCs w:val="17"/>
          <w:color w:val="auto"/>
        </w:rPr>
        <w:t>, to our consolidated financial statements included in this report.</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538235"/>
        </w:rPr>
        <w:t>Management Changes</w:t>
      </w:r>
    </w:p>
    <w:p>
      <w:pPr>
        <w:spacing w:after="0" w:line="104" w:lineRule="exact"/>
        <w:rPr>
          <w:sz w:val="20"/>
          <w:szCs w:val="20"/>
          <w:color w:val="auto"/>
        </w:rPr>
      </w:pPr>
    </w:p>
    <w:p>
      <w:pPr>
        <w:ind w:left="280" w:right="60" w:firstLine="384"/>
        <w:spacing w:after="0" w:line="257" w:lineRule="auto"/>
        <w:rPr>
          <w:sz w:val="20"/>
          <w:szCs w:val="20"/>
          <w:color w:val="auto"/>
        </w:rPr>
      </w:pPr>
      <w:r>
        <w:rPr>
          <w:rFonts w:ascii="Arial" w:cs="Arial" w:eastAsia="Arial" w:hAnsi="Arial"/>
          <w:sz w:val="17"/>
          <w:szCs w:val="17"/>
          <w:color w:val="auto"/>
        </w:rPr>
        <w:t>During 2017 we appointed several new executives, each of whom has significant experience in the biopharmaceutical industry and is a leader in his or her functional area. These appointments included:</w:t>
      </w:r>
    </w:p>
    <w:p>
      <w:pPr>
        <w:spacing w:after="0" w:line="140" w:lineRule="exact"/>
        <w:rPr>
          <w:sz w:val="20"/>
          <w:szCs w:val="20"/>
          <w:color w:val="auto"/>
        </w:rPr>
      </w:pPr>
    </w:p>
    <w:p>
      <w:pPr>
        <w:ind w:left="660" w:hanging="301"/>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Michel Vounatsos, Chief Executive Officer;</w:t>
      </w:r>
    </w:p>
    <w:p>
      <w:pPr>
        <w:spacing w:after="0" w:line="163" w:lineRule="exact"/>
        <w:rPr>
          <w:rFonts w:ascii="Arial" w:cs="Arial" w:eastAsia="Arial" w:hAnsi="Arial"/>
          <w:sz w:val="17"/>
          <w:szCs w:val="17"/>
          <w:color w:val="auto"/>
        </w:rPr>
      </w:pPr>
    </w:p>
    <w:p>
      <w:pPr>
        <w:ind w:left="660" w:right="380" w:hanging="301"/>
        <w:spacing w:after="0" w:line="262"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Jeffrey Capello, Executive Vice President and Chief Financial Officer;</w:t>
      </w:r>
    </w:p>
    <w:p>
      <w:pPr>
        <w:spacing w:after="0" w:line="136" w:lineRule="exact"/>
        <w:rPr>
          <w:rFonts w:ascii="Arial" w:cs="Arial" w:eastAsia="Arial" w:hAnsi="Arial"/>
          <w:sz w:val="17"/>
          <w:szCs w:val="17"/>
          <w:color w:val="auto"/>
        </w:rPr>
      </w:pPr>
    </w:p>
    <w:p>
      <w:pPr>
        <w:ind w:left="660" w:right="500" w:hanging="301"/>
        <w:spacing w:after="0" w:line="262"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Ginger Gregory, Executive Vice President and Chief Human Resources Officer; and</w:t>
      </w:r>
    </w:p>
    <w:p>
      <w:pPr>
        <w:spacing w:after="0" w:line="136" w:lineRule="exact"/>
        <w:rPr>
          <w:rFonts w:ascii="Arial" w:cs="Arial" w:eastAsia="Arial" w:hAnsi="Arial"/>
          <w:sz w:val="17"/>
          <w:szCs w:val="17"/>
          <w:color w:val="auto"/>
        </w:rPr>
      </w:pPr>
    </w:p>
    <w:p>
      <w:pPr>
        <w:ind w:left="660" w:right="520" w:hanging="301"/>
        <w:spacing w:after="0" w:line="262"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Chirfi Guindo, Executive Vice President and Head of Global Marketing, Market Access and Customer Innovation.</w:t>
      </w:r>
    </w:p>
    <w:p>
      <w:pPr>
        <w:spacing w:after="0" w:line="137" w:lineRule="exact"/>
        <w:rPr>
          <w:sz w:val="20"/>
          <w:szCs w:val="20"/>
          <w:color w:val="auto"/>
        </w:rPr>
      </w:pPr>
    </w:p>
    <w:p>
      <w:pPr>
        <w:ind w:left="280" w:right="240" w:firstLine="384"/>
        <w:spacing w:after="0" w:line="257" w:lineRule="auto"/>
        <w:rPr>
          <w:sz w:val="20"/>
          <w:szCs w:val="20"/>
          <w:color w:val="auto"/>
        </w:rPr>
      </w:pPr>
      <w:r>
        <w:rPr>
          <w:rFonts w:ascii="Arial" w:cs="Arial" w:eastAsia="Arial" w:hAnsi="Arial"/>
          <w:sz w:val="17"/>
          <w:szCs w:val="17"/>
          <w:color w:val="auto"/>
        </w:rPr>
        <w:t xml:space="preserve">For additional information on these and our other executive officers, please read the subsection entitled </w:t>
      </w:r>
      <w:r>
        <w:rPr>
          <w:rFonts w:ascii="Arial" w:cs="Arial" w:eastAsia="Arial" w:hAnsi="Arial"/>
          <w:sz w:val="17"/>
          <w:szCs w:val="17"/>
          <w:i w:val="1"/>
          <w:iCs w:val="1"/>
          <w:color w:val="auto"/>
        </w:rPr>
        <w:t>“Our Executive Officers”</w:t>
      </w:r>
      <w:r>
        <w:rPr>
          <w:rFonts w:ascii="Arial" w:cs="Arial" w:eastAsia="Arial" w:hAnsi="Arial"/>
          <w:sz w:val="17"/>
          <w:szCs w:val="17"/>
          <w:color w:val="auto"/>
        </w:rPr>
        <w:t xml:space="preserve"> included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color w:val="auto"/>
        </w:rPr>
        <w:t>4</w:t>
      </w:r>
    </w:p>
    <w:p>
      <w:pPr>
        <w:sectPr>
          <w:pgSz w:w="11900" w:h="16838" w:orient="portrait"/>
          <w:cols w:equalWidth="0" w:num="2">
            <w:col w:w="5460" w:space="200"/>
            <w:col w:w="5680"/>
          </w:cols>
          <w:pgMar w:left="240" w:top="144" w:right="31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Product/Pipeline Developments</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Core Growth Areas</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Multiple Sclerosis and Neuroimmunology</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2573BA"/>
        </w:rPr>
        <w:t>TECFIDERA (dimethyl fumarate)</w:t>
      </w:r>
    </w:p>
    <w:p>
      <w:pPr>
        <w:spacing w:after="0" w:line="104" w:lineRule="exact"/>
        <w:rPr>
          <w:sz w:val="20"/>
          <w:szCs w:val="20"/>
          <w:color w:val="auto"/>
        </w:rPr>
      </w:pPr>
    </w:p>
    <w:p>
      <w:pPr>
        <w:ind w:left="380" w:right="620" w:hanging="301"/>
        <w:spacing w:after="0" w:line="262" w:lineRule="auto"/>
        <w:tabs>
          <w:tab w:leader="none" w:pos="3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April 2017 we presented new real-world data evidence supporting TECFIDERA at the 69</w:t>
      </w:r>
      <w:r>
        <w:rPr>
          <w:rFonts w:ascii="Arial" w:cs="Arial" w:eastAsia="Arial" w:hAnsi="Arial"/>
          <w:sz w:val="14"/>
          <w:szCs w:val="14"/>
          <w:color w:val="auto"/>
        </w:rPr>
        <w:t>th</w:t>
      </w:r>
      <w:r>
        <w:rPr>
          <w:rFonts w:ascii="Arial" w:cs="Arial" w:eastAsia="Arial" w:hAnsi="Arial"/>
          <w:sz w:val="17"/>
          <w:szCs w:val="17"/>
          <w:color w:val="auto"/>
        </w:rPr>
        <w:t xml:space="preserve"> annual meeting of the American Academy of Neurology (AAN) in Boston, MA.</w:t>
      </w:r>
    </w:p>
    <w:p>
      <w:pPr>
        <w:spacing w:after="0" w:line="137" w:lineRule="exact"/>
        <w:rPr>
          <w:sz w:val="20"/>
          <w:szCs w:val="20"/>
          <w:color w:val="auto"/>
        </w:rPr>
      </w:pPr>
    </w:p>
    <w:p>
      <w:pPr>
        <w:ind w:left="380" w:right="200"/>
        <w:spacing w:after="0" w:line="253" w:lineRule="auto"/>
        <w:rPr>
          <w:sz w:val="20"/>
          <w:szCs w:val="20"/>
          <w:color w:val="auto"/>
        </w:rPr>
      </w:pPr>
      <w:r>
        <w:rPr>
          <w:rFonts w:ascii="Arial" w:cs="Arial" w:eastAsia="Arial" w:hAnsi="Arial"/>
          <w:sz w:val="17"/>
          <w:szCs w:val="17"/>
          <w:color w:val="auto"/>
        </w:rPr>
        <w:t>We presented a comparison of real-world data that supported TECFIDERA’s strong efficacy relative to other oral MS therapies, both in newly-treated MS patients and those previously treated with a prior disease modifying therapy (DMT). Subgroup analyses of the open-label studies PROTEC and RESPOND assessed TECFIDERA in early MS and early switch patients, respectively. Results showed that TECFIDERA significantly reduced the annualized relapse rate over one year in the early MS subgroups, including those who switched to TECFIDERA from a prior DMT. Additional data presented at the AAN meeting affirmed the well-characterized, long-term safety profile of TECFIDERA in patients treated for up to nine years.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2573BA"/>
        </w:rPr>
        <w:t>TYSABRI (natalizumab)</w:t>
      </w:r>
    </w:p>
    <w:p>
      <w:pPr>
        <w:spacing w:after="0" w:line="104" w:lineRule="exact"/>
        <w:rPr>
          <w:sz w:val="20"/>
          <w:szCs w:val="20"/>
          <w:color w:val="auto"/>
        </w:rPr>
      </w:pPr>
    </w:p>
    <w:p>
      <w:pPr>
        <w:ind w:left="380" w:right="100" w:hanging="301"/>
        <w:spacing w:after="0" w:line="255" w:lineRule="auto"/>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February 2017 the Committee for Medicinal Products for Human Use (CHMP) of the European Medicines Agency (EMA) adopted a positive opinion to update the TYSABRI E.U. label with pediatric information to remove the contraindication in pediatrics and to describe the results of the post-marketing meta-analysis of pediatric data. The label update entitles us to apply for a six-month extension to the E.U. patent Supplementary Protection Certificate.</w:t>
      </w:r>
    </w:p>
    <w:p>
      <w:pPr>
        <w:spacing w:after="0" w:line="65" w:lineRule="exact"/>
        <w:rPr>
          <w:rFonts w:ascii="Arial" w:cs="Arial" w:eastAsia="Arial" w:hAnsi="Arial"/>
          <w:sz w:val="17"/>
          <w:szCs w:val="17"/>
          <w:color w:val="auto"/>
        </w:rPr>
      </w:pPr>
    </w:p>
    <w:p>
      <w:pPr>
        <w:ind w:left="380" w:right="60" w:hanging="301"/>
        <w:spacing w:after="0" w:line="257" w:lineRule="auto"/>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April 2017 we presented new real-world data from the TYSABRI Observational Program that confirmed the efficacy of TYSABRI and demonstrated that early and continued treatment leads to better clinical outcomes. These data were presented at the 69</w:t>
      </w:r>
      <w:r>
        <w:rPr>
          <w:rFonts w:ascii="Arial" w:cs="Arial" w:eastAsia="Arial" w:hAnsi="Arial"/>
          <w:sz w:val="14"/>
          <w:szCs w:val="14"/>
          <w:color w:val="auto"/>
        </w:rPr>
        <w:t>th</w:t>
      </w:r>
      <w:r>
        <w:rPr>
          <w:rFonts w:ascii="Arial" w:cs="Arial" w:eastAsia="Arial" w:hAnsi="Arial"/>
          <w:sz w:val="17"/>
          <w:szCs w:val="17"/>
          <w:color w:val="auto"/>
        </w:rPr>
        <w:t xml:space="preserve"> annual meeting of AAN in Boston, MA.</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2573BA"/>
        </w:rPr>
        <w:t>FAMPYRA (prolonged-release fampridine tablets)</w:t>
      </w:r>
    </w:p>
    <w:p>
      <w:pPr>
        <w:spacing w:after="0" w:line="104" w:lineRule="exact"/>
        <w:rPr>
          <w:sz w:val="20"/>
          <w:szCs w:val="20"/>
          <w:color w:val="auto"/>
        </w:rPr>
      </w:pPr>
    </w:p>
    <w:p>
      <w:pPr>
        <w:ind w:left="380" w:right="220" w:hanging="301"/>
        <w:spacing w:after="0" w:line="262" w:lineRule="auto"/>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May 2017 the European Commission (EC) granted a standard marketing authorization for FAMPYRA for walking improvement in people with MS.</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2573BA"/>
        </w:rPr>
        <w:t>ZINBRYTA (daclizumab)</w:t>
      </w:r>
    </w:p>
    <w:p>
      <w:pPr>
        <w:spacing w:after="0" w:line="104" w:lineRule="exact"/>
        <w:rPr>
          <w:sz w:val="20"/>
          <w:szCs w:val="20"/>
          <w:color w:val="auto"/>
        </w:rPr>
      </w:pPr>
    </w:p>
    <w:p>
      <w:pPr>
        <w:ind w:left="380" w:right="320" w:hanging="301"/>
        <w:spacing w:after="0" w:line="255" w:lineRule="auto"/>
        <w:tabs>
          <w:tab w:leader="none" w:pos="3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July 2017 the EMA announced that it had provisionally restricted the use of ZINBRYTA to adult patients with highly active relapsing disease despite a full and adequate course of treatment with at least one DMT or with rapidly evolving severe relapsing MS who are unsuitable for treatment with other DMTs. These restrictions followed the initiation of an EMA review (referred to as an Article 20 Procedure) of ZINBRYTA following the report of a case of fatal fulminant liver failure, as well as four cases of serious liver injury.</w:t>
      </w:r>
    </w:p>
    <w:p>
      <w:pPr>
        <w:spacing w:after="0" w:line="142" w:lineRule="exact"/>
        <w:rPr>
          <w:rFonts w:ascii="Arial" w:cs="Arial" w:eastAsia="Arial" w:hAnsi="Arial"/>
          <w:sz w:val="17"/>
          <w:szCs w:val="17"/>
          <w:color w:val="auto"/>
        </w:rPr>
      </w:pPr>
    </w:p>
    <w:p>
      <w:pPr>
        <w:ind w:left="380" w:right="100" w:hanging="301"/>
        <w:spacing w:after="0" w:line="262" w:lineRule="auto"/>
        <w:tabs>
          <w:tab w:leader="none" w:pos="3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October 2017, as part of the Article 20 Procedure of ZINBRYTA, the EMA Pharmacovigilance Risk Assessment Committee (PRAC) completed its assessment and recommended a further set of restrictions on the use of ZINBRYTA by MS patients.</w:t>
      </w:r>
    </w:p>
    <w:p>
      <w:pPr>
        <w:spacing w:after="0" w:line="136" w:lineRule="exact"/>
        <w:rPr>
          <w:rFonts w:ascii="Arial" w:cs="Arial" w:eastAsia="Arial" w:hAnsi="Arial"/>
          <w:sz w:val="17"/>
          <w:szCs w:val="17"/>
          <w:color w:val="auto"/>
        </w:rPr>
      </w:pPr>
    </w:p>
    <w:p>
      <w:pPr>
        <w:ind w:left="380" w:hanging="301"/>
        <w:spacing w:after="0" w:line="253" w:lineRule="auto"/>
        <w:tabs>
          <w:tab w:leader="none" w:pos="3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November 2017 the CHMP adopted an opinion, confirming the PRAC's recommendations, for further restrictions to minimize the risk of serious liver injury with ZINBRYTA, including restriction of its use to adult patients with relapsing forms of MS who have had an inadequate response to at least two DMTs and for whom treatment with any other DMT is contraindicated or otherwise unsuitable. In January 2018 the EC adopted a final and legally-binding decision, which concluded the Article 20 Procedure, confirming the CHMP opinion. As a result of the CHMP's recommendation of these restrictions, we recorded net impairment charges related to intangible assets, inventory, property, plant and equipment and prepaid tax assets, totaling approximately $190.8 million. Offsetting these amounts was an unrecorded tax benefit related to certain ZINBRYTA related assets totaling approximately $93.8 million.</w:t>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2573BA"/>
        </w:rPr>
        <w:t>Opicinumab (anti-LINGO-1)</w:t>
      </w:r>
    </w:p>
    <w:p>
      <w:pPr>
        <w:spacing w:after="0" w:line="104" w:lineRule="exact"/>
        <w:rPr>
          <w:sz w:val="20"/>
          <w:szCs w:val="20"/>
          <w:color w:val="auto"/>
        </w:rPr>
      </w:pPr>
    </w:p>
    <w:p>
      <w:pPr>
        <w:ind w:left="380" w:right="40" w:hanging="301"/>
        <w:spacing w:after="0" w:line="257" w:lineRule="auto"/>
        <w:tabs>
          <w:tab w:leader="none" w:pos="3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October 2017 we initiated the Phase 2b clinical trial AFFINITY, designed to evaluate opicinumab as an investigational add-on therapy in people with relapsing MS. The trial follows the comprehensive review of SYNERGY, a Phase 2 trial, which identified a specific population that may be more likely to respond to treatment.</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144" w:right="25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2" w:lineRule="exact"/>
        <w:rPr>
          <w:sz w:val="20"/>
          <w:szCs w:val="20"/>
          <w:color w:val="auto"/>
        </w:rPr>
      </w:pPr>
    </w:p>
    <w:p>
      <w:pPr>
        <w:ind w:left="380" w:hanging="301"/>
        <w:spacing w:after="0" w:line="257" w:lineRule="auto"/>
        <w:tabs>
          <w:tab w:leader="none" w:pos="3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October 2017 we presented data supporting opicinumab as a potential therapy to repair damage to the central nervous system caused by MS. These data were presented at the seventh Joint Meeting of the European Committee for Treatment and Research in MS and Americas Committee for Treatment and Research in MS (ECTRIMS-ACTRIMS).</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Neuromuscular Disorders</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2573BA"/>
        </w:rPr>
        <w:t>SPINRAZA (nusinersen)</w:t>
      </w:r>
    </w:p>
    <w:p>
      <w:pPr>
        <w:spacing w:after="0" w:line="104" w:lineRule="exact"/>
        <w:rPr>
          <w:sz w:val="20"/>
          <w:szCs w:val="20"/>
          <w:color w:val="auto"/>
        </w:rPr>
      </w:pPr>
    </w:p>
    <w:p>
      <w:pPr>
        <w:ind w:left="380" w:right="140" w:hanging="301"/>
        <w:spacing w:after="0" w:line="257" w:lineRule="auto"/>
        <w:tabs>
          <w:tab w:leader="none" w:pos="3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January 2017 we presented new data from the Phase 3 ENDEAR study of SPINRAZA, which demonstrated a statistically significant reduction in the risk of death or permanent ventilation in SPINRAZA-treated infants with SMA compared to untreated infants. The data were presented at the British Pediatric Neurology Association annual conference in Cambridge, U.K.</w:t>
      </w:r>
    </w:p>
    <w:p>
      <w:pPr>
        <w:spacing w:after="0" w:line="140" w:lineRule="exact"/>
        <w:rPr>
          <w:rFonts w:ascii="Arial" w:cs="Arial" w:eastAsia="Arial" w:hAnsi="Arial"/>
          <w:sz w:val="17"/>
          <w:szCs w:val="17"/>
          <w:color w:val="auto"/>
        </w:rPr>
      </w:pPr>
    </w:p>
    <w:p>
      <w:pPr>
        <w:ind w:left="380" w:right="20" w:hanging="301"/>
        <w:spacing w:after="0" w:line="262" w:lineRule="auto"/>
        <w:tabs>
          <w:tab w:leader="none" w:pos="3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April 2017 the CHMP of the EMA adopted a positive opinion recommending the granting of a marketing authorization in the E.U. for SPINRAZA to treat patients with SMA.</w:t>
      </w:r>
    </w:p>
    <w:p>
      <w:pPr>
        <w:spacing w:after="0" w:line="136" w:lineRule="exact"/>
        <w:rPr>
          <w:rFonts w:ascii="Arial" w:cs="Arial" w:eastAsia="Arial" w:hAnsi="Arial"/>
          <w:sz w:val="17"/>
          <w:szCs w:val="17"/>
          <w:color w:val="auto"/>
        </w:rPr>
      </w:pPr>
    </w:p>
    <w:p>
      <w:pPr>
        <w:ind w:left="380" w:right="540" w:hanging="301"/>
        <w:spacing w:after="0" w:line="255" w:lineRule="auto"/>
        <w:tabs>
          <w:tab w:leader="none" w:pos="3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April 2017 we presented Phase 3 end of study SPINRAZA data from CHERISH, which demonstrated a highly statistically significant and clinically meaningful improvement in motor function in children with later-onset (most likely to develop Type 2 or Type 3) SMA compared to untreated children. The overall findings continued to support the efficacy and favorable safety profile of SPINRAZA across a broad range of individuals with SMA.</w:t>
      </w:r>
    </w:p>
    <w:p>
      <w:pPr>
        <w:spacing w:after="0" w:line="142" w:lineRule="exact"/>
        <w:rPr>
          <w:rFonts w:ascii="Arial" w:cs="Arial" w:eastAsia="Arial" w:hAnsi="Arial"/>
          <w:sz w:val="17"/>
          <w:szCs w:val="17"/>
          <w:color w:val="auto"/>
        </w:rPr>
      </w:pPr>
    </w:p>
    <w:p>
      <w:pPr>
        <w:ind w:left="380"/>
        <w:spacing w:after="0" w:line="254" w:lineRule="auto"/>
        <w:rPr>
          <w:rFonts w:ascii="Arial" w:cs="Arial" w:eastAsia="Arial" w:hAnsi="Arial"/>
          <w:sz w:val="17"/>
          <w:szCs w:val="17"/>
          <w:color w:val="auto"/>
        </w:rPr>
      </w:pPr>
      <w:r>
        <w:rPr>
          <w:rFonts w:ascii="Arial" w:cs="Arial" w:eastAsia="Arial" w:hAnsi="Arial"/>
          <w:sz w:val="17"/>
          <w:szCs w:val="17"/>
          <w:color w:val="auto"/>
        </w:rPr>
        <w:t>We also presented interim data from the Phase 2 NURTURE study evaluating SPINRAZA for the treatment of infants under six weeks old with genetically diagnosed SMA who were presymptomatic at treatment initiation. At the time of the interim analysis, infants (n=20) were enrolled for a median of 317.5 days, and all infants were alive and none required respiratory intervention (chronic non-invasive ventilation, invasive ventilation or tracheostomy). Further, most infants achieved motor milestone and growth parameter gains generally consistent with normal development, such as head control, independent sitting, standing and walking independently, as measured by validated scales.</w:t>
      </w:r>
    </w:p>
    <w:p>
      <w:pPr>
        <w:spacing w:after="0" w:line="143" w:lineRule="exact"/>
        <w:rPr>
          <w:rFonts w:ascii="Arial" w:cs="Arial" w:eastAsia="Arial" w:hAnsi="Arial"/>
          <w:sz w:val="17"/>
          <w:szCs w:val="17"/>
          <w:color w:val="auto"/>
        </w:rPr>
      </w:pPr>
    </w:p>
    <w:p>
      <w:pPr>
        <w:ind w:left="380"/>
        <w:spacing w:after="0"/>
        <w:rPr>
          <w:rFonts w:ascii="Arial" w:cs="Arial" w:eastAsia="Arial" w:hAnsi="Arial"/>
          <w:sz w:val="17"/>
          <w:szCs w:val="17"/>
          <w:color w:val="auto"/>
        </w:rPr>
      </w:pPr>
      <w:r>
        <w:rPr>
          <w:rFonts w:ascii="Arial" w:cs="Arial" w:eastAsia="Arial" w:hAnsi="Arial"/>
          <w:sz w:val="17"/>
          <w:szCs w:val="17"/>
          <w:color w:val="auto"/>
        </w:rPr>
        <w:t>These data were presented at the 69</w:t>
      </w:r>
      <w:r>
        <w:rPr>
          <w:rFonts w:ascii="Arial" w:cs="Arial" w:eastAsia="Arial" w:hAnsi="Arial"/>
          <w:sz w:val="14"/>
          <w:szCs w:val="14"/>
          <w:color w:val="auto"/>
        </w:rPr>
        <w:t>th</w:t>
      </w:r>
      <w:r>
        <w:rPr>
          <w:rFonts w:ascii="Arial" w:cs="Arial" w:eastAsia="Arial" w:hAnsi="Arial"/>
          <w:sz w:val="17"/>
          <w:szCs w:val="17"/>
          <w:color w:val="auto"/>
        </w:rPr>
        <w:t xml:space="preserve"> annual meeting of AAN in Boston, MA.</w:t>
      </w:r>
    </w:p>
    <w:p>
      <w:pPr>
        <w:spacing w:after="0" w:line="163" w:lineRule="exact"/>
        <w:rPr>
          <w:rFonts w:ascii="Arial" w:cs="Arial" w:eastAsia="Arial" w:hAnsi="Arial"/>
          <w:sz w:val="17"/>
          <w:szCs w:val="17"/>
          <w:color w:val="auto"/>
        </w:rPr>
      </w:pPr>
    </w:p>
    <w:p>
      <w:pPr>
        <w:jc w:val="both"/>
        <w:ind w:left="380" w:right="400" w:hanging="301"/>
        <w:spacing w:after="0" w:line="262" w:lineRule="auto"/>
        <w:tabs>
          <w:tab w:leader="none" w:pos="3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June 2017 the EC granted a marketing authorization for SPINRAZA for the treatment of 5q SMA in pediatric and adult patients in the E.U. SPINRAZA is the first approved treatment in the E.U. for SMA. SPINRAZA was reviewed under the EMA’s accelerated assessment program.</w:t>
      </w:r>
    </w:p>
    <w:p>
      <w:pPr>
        <w:spacing w:after="0" w:line="136" w:lineRule="exact"/>
        <w:rPr>
          <w:rFonts w:ascii="Arial" w:cs="Arial" w:eastAsia="Arial" w:hAnsi="Arial"/>
          <w:sz w:val="17"/>
          <w:szCs w:val="17"/>
          <w:color w:val="auto"/>
        </w:rPr>
      </w:pPr>
    </w:p>
    <w:p>
      <w:pPr>
        <w:jc w:val="both"/>
        <w:ind w:left="380" w:right="300" w:hanging="301"/>
        <w:spacing w:after="0" w:line="257" w:lineRule="auto"/>
        <w:tabs>
          <w:tab w:leader="none" w:pos="3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June 2017 we presented robust efficacy and safety data from Phase 2 and Phase 3 SPINRAZA studies at the Cure SMA 2017 Annual SMA Conference in Orlando, FL. Data demonstrated motor function improvements in infants on permanent ventilation and no increase in the risk of adverse events in children with scoliosis.</w:t>
      </w:r>
    </w:p>
    <w:p>
      <w:pPr>
        <w:spacing w:after="0" w:line="140" w:lineRule="exact"/>
        <w:rPr>
          <w:rFonts w:ascii="Arial" w:cs="Arial" w:eastAsia="Arial" w:hAnsi="Arial"/>
          <w:sz w:val="17"/>
          <w:szCs w:val="17"/>
          <w:color w:val="auto"/>
        </w:rPr>
      </w:pPr>
    </w:p>
    <w:p>
      <w:pPr>
        <w:ind w:left="380" w:hanging="301"/>
        <w:spacing w:after="0"/>
        <w:tabs>
          <w:tab w:leader="none" w:pos="3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July 2017 the Japanese Ministry of Health, Labor and Welfare approved the use of SPINRAZA for the treatment of infantile SMA.</w:t>
      </w:r>
    </w:p>
    <w:p>
      <w:pPr>
        <w:spacing w:after="0" w:line="163" w:lineRule="exact"/>
        <w:rPr>
          <w:rFonts w:ascii="Arial" w:cs="Arial" w:eastAsia="Arial" w:hAnsi="Arial"/>
          <w:sz w:val="17"/>
          <w:szCs w:val="17"/>
          <w:color w:val="auto"/>
        </w:rPr>
      </w:pPr>
    </w:p>
    <w:p>
      <w:pPr>
        <w:ind w:left="380" w:right="240" w:hanging="301"/>
        <w:spacing w:after="0" w:line="262" w:lineRule="auto"/>
        <w:tabs>
          <w:tab w:leader="none" w:pos="3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September 2017 the Japanese Ministry of Health, Labor and Welfare approved the use of SPINRAZA for the treatment of pediatric and adult patients with SMA.</w:t>
      </w:r>
    </w:p>
    <w:p>
      <w:pPr>
        <w:spacing w:after="0" w:line="136" w:lineRule="exact"/>
        <w:rPr>
          <w:rFonts w:ascii="Arial" w:cs="Arial" w:eastAsia="Arial" w:hAnsi="Arial"/>
          <w:sz w:val="17"/>
          <w:szCs w:val="17"/>
          <w:color w:val="auto"/>
        </w:rPr>
      </w:pPr>
    </w:p>
    <w:p>
      <w:pPr>
        <w:ind w:left="380" w:right="220" w:hanging="301"/>
        <w:spacing w:after="0" w:line="257" w:lineRule="auto"/>
        <w:tabs>
          <w:tab w:leader="none" w:pos="3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October 2017 we presented new data at the 22</w:t>
      </w:r>
      <w:r>
        <w:rPr>
          <w:rFonts w:ascii="Arial" w:cs="Arial" w:eastAsia="Arial" w:hAnsi="Arial"/>
          <w:sz w:val="14"/>
          <w:szCs w:val="14"/>
          <w:color w:val="auto"/>
        </w:rPr>
        <w:t>nd</w:t>
      </w:r>
      <w:r>
        <w:rPr>
          <w:rFonts w:ascii="Arial" w:cs="Arial" w:eastAsia="Arial" w:hAnsi="Arial"/>
          <w:sz w:val="17"/>
          <w:szCs w:val="17"/>
          <w:color w:val="auto"/>
        </w:rPr>
        <w:t xml:space="preserve"> International Congress of the World Muscle Society demonstrating that earlier initiation of treatment with SPINRAZA may improve motor function outcomes in infants and children with SMA. Results demonstrated the favorable efficacy and safety profile of SPINRAZA.</w:t>
      </w:r>
    </w:p>
    <w:p>
      <w:pPr>
        <w:spacing w:after="0" w:line="140" w:lineRule="exact"/>
        <w:rPr>
          <w:rFonts w:ascii="Arial" w:cs="Arial" w:eastAsia="Arial" w:hAnsi="Arial"/>
          <w:sz w:val="17"/>
          <w:szCs w:val="17"/>
          <w:color w:val="auto"/>
        </w:rPr>
      </w:pPr>
    </w:p>
    <w:p>
      <w:pPr>
        <w:ind w:left="380" w:hanging="301"/>
        <w:spacing w:after="0"/>
        <w:tabs>
          <w:tab w:leader="none" w:pos="3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October 2017 we and Ionis were awarded the 2017 Prix Galien USA Award for Best Biotechnology Product for SPINRAZA.</w:t>
      </w:r>
    </w:p>
    <w:p>
      <w:pPr>
        <w:spacing w:after="0" w:line="145" w:lineRule="exact"/>
        <w:rPr>
          <w:rFonts w:ascii="Arial" w:cs="Arial" w:eastAsia="Arial" w:hAnsi="Arial"/>
          <w:sz w:val="17"/>
          <w:szCs w:val="17"/>
          <w:color w:val="auto"/>
        </w:rPr>
      </w:pPr>
    </w:p>
    <w:p>
      <w:pPr>
        <w:ind w:left="380" w:right="480" w:hanging="301"/>
        <w:spacing w:after="0" w:line="284" w:lineRule="auto"/>
        <w:tabs>
          <w:tab w:leader="none" w:pos="3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In November 2017 the end of study results from ENDEAR, the Phase 3 study of SPINRAZA, were published in </w:t>
      </w:r>
      <w:r>
        <w:rPr>
          <w:rFonts w:ascii="Arial" w:cs="Arial" w:eastAsia="Arial" w:hAnsi="Arial"/>
          <w:sz w:val="17"/>
          <w:szCs w:val="17"/>
          <w:i w:val="1"/>
          <w:iCs w:val="1"/>
          <w:color w:val="auto"/>
        </w:rPr>
        <w:t>The New England Journal of</w:t>
      </w:r>
      <w:r>
        <w:rPr>
          <w:rFonts w:ascii="Arial" w:cs="Arial" w:eastAsia="Arial" w:hAnsi="Arial"/>
          <w:sz w:val="17"/>
          <w:szCs w:val="17"/>
          <w:color w:val="auto"/>
        </w:rPr>
        <w:t xml:space="preserve"> </w:t>
      </w:r>
      <w:r>
        <w:rPr>
          <w:rFonts w:ascii="Arial" w:cs="Arial" w:eastAsia="Arial" w:hAnsi="Arial"/>
          <w:sz w:val="17"/>
          <w:szCs w:val="17"/>
          <w:i w:val="1"/>
          <w:iCs w:val="1"/>
          <w:color w:val="auto"/>
        </w:rPr>
        <w:t>Medicine</w:t>
      </w:r>
      <w:r>
        <w:rPr>
          <w:rFonts w:ascii="Arial" w:cs="Arial" w:eastAsia="Arial" w:hAnsi="Arial"/>
          <w:sz w:val="17"/>
          <w:szCs w:val="17"/>
          <w:color w:val="auto"/>
        </w:rPr>
        <w:t>.</w:t>
      </w:r>
    </w:p>
    <w:p>
      <w:pPr>
        <w:spacing w:after="0" w:line="101"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Alzheimer's Disease and Dementia</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2573BA"/>
        </w:rPr>
        <w:t>Aducanumab (BIIB037)</w:t>
      </w:r>
    </w:p>
    <w:p>
      <w:pPr>
        <w:spacing w:after="0" w:line="104" w:lineRule="exact"/>
        <w:rPr>
          <w:sz w:val="20"/>
          <w:szCs w:val="20"/>
          <w:color w:val="auto"/>
        </w:rPr>
      </w:pPr>
    </w:p>
    <w:p>
      <w:pPr>
        <w:ind w:left="380" w:right="220" w:hanging="301"/>
        <w:spacing w:after="0" w:line="262" w:lineRule="auto"/>
        <w:tabs>
          <w:tab w:leader="none" w:pos="3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March 2017 we presented data from research of aducanumab at the 13</w:t>
      </w:r>
      <w:r>
        <w:rPr>
          <w:rFonts w:ascii="Arial" w:cs="Arial" w:eastAsia="Arial" w:hAnsi="Arial"/>
          <w:sz w:val="14"/>
          <w:szCs w:val="14"/>
          <w:color w:val="auto"/>
        </w:rPr>
        <w:t>th</w:t>
      </w:r>
      <w:r>
        <w:rPr>
          <w:rFonts w:ascii="Arial" w:cs="Arial" w:eastAsia="Arial" w:hAnsi="Arial"/>
          <w:sz w:val="17"/>
          <w:szCs w:val="17"/>
          <w:color w:val="auto"/>
        </w:rPr>
        <w:t xml:space="preserve"> International Conference on Alzheimer’s and Parkinson’s Diseases (AD/PD™) in Vienna, Austria.</w:t>
      </w:r>
    </w:p>
    <w:p>
      <w:pPr>
        <w:spacing w:after="0" w:line="136" w:lineRule="exact"/>
        <w:rPr>
          <w:rFonts w:ascii="Arial" w:cs="Arial" w:eastAsia="Arial" w:hAnsi="Arial"/>
          <w:sz w:val="17"/>
          <w:szCs w:val="17"/>
          <w:color w:val="auto"/>
        </w:rPr>
      </w:pPr>
    </w:p>
    <w:p>
      <w:pPr>
        <w:ind w:left="380" w:right="440" w:hanging="301"/>
        <w:spacing w:after="0" w:line="262" w:lineRule="auto"/>
        <w:tabs>
          <w:tab w:leader="none" w:pos="3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April 2017 we presented data from a Phase 1b study of aducanumab at the 69</w:t>
      </w:r>
      <w:r>
        <w:rPr>
          <w:rFonts w:ascii="Arial" w:cs="Arial" w:eastAsia="Arial" w:hAnsi="Arial"/>
          <w:sz w:val="14"/>
          <w:szCs w:val="14"/>
          <w:color w:val="auto"/>
        </w:rPr>
        <w:t>th</w:t>
      </w:r>
      <w:r>
        <w:rPr>
          <w:rFonts w:ascii="Arial" w:cs="Arial" w:eastAsia="Arial" w:hAnsi="Arial"/>
          <w:sz w:val="17"/>
          <w:szCs w:val="17"/>
          <w:color w:val="auto"/>
        </w:rPr>
        <w:t xml:space="preserve"> annual meeting of the AAN in Boston, MA. This data was previously presented at the Clinical Trials on Alzheimer’s Disease (CTAD) meeting</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144" w:right="25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97" w:lineRule="exact"/>
        <w:rPr>
          <w:sz w:val="20"/>
          <w:szCs w:val="20"/>
          <w:color w:val="auto"/>
        </w:rPr>
      </w:pPr>
    </w:p>
    <w:p>
      <w:pPr>
        <w:ind w:left="380"/>
        <w:spacing w:after="0" w:line="309" w:lineRule="auto"/>
        <w:rPr>
          <w:sz w:val="20"/>
          <w:szCs w:val="20"/>
          <w:color w:val="auto"/>
        </w:rPr>
      </w:pPr>
      <w:r>
        <w:rPr>
          <w:rFonts w:ascii="Arial" w:cs="Arial" w:eastAsia="Arial" w:hAnsi="Arial"/>
          <w:sz w:val="17"/>
          <w:szCs w:val="17"/>
          <w:color w:val="auto"/>
        </w:rPr>
        <w:t>in December 2016 and included interim results from the titration cohort of the placebo-controlled period of the Phase 1b study as well as data from the first year of the long-term extension (LTE).</w:t>
      </w:r>
    </w:p>
    <w:p>
      <w:pPr>
        <w:spacing w:after="0" w:line="111" w:lineRule="exact"/>
        <w:rPr>
          <w:sz w:val="20"/>
          <w:szCs w:val="20"/>
          <w:color w:val="auto"/>
        </w:rPr>
      </w:pPr>
    </w:p>
    <w:p>
      <w:pPr>
        <w:ind w:left="380" w:right="40" w:hanging="301"/>
        <w:spacing w:after="0" w:line="255" w:lineRule="auto"/>
        <w:tabs>
          <w:tab w:leader="none" w:pos="3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May 2017 we announced that we had amended the protocol of the Phase 3 trials of aducanumab. ApoE4 carriers that previously would be on a high dose of 6 mg/kg may now be titrated up to 10 mg/kg. This amendment is being reviewed by regulatory bodies and clinical study ethic independent review boards globally and may be implemented on a country by country basis. The change has already been incorporated in the U.S.</w:t>
      </w:r>
    </w:p>
    <w:p>
      <w:pPr>
        <w:spacing w:after="0" w:line="142" w:lineRule="exact"/>
        <w:rPr>
          <w:rFonts w:ascii="Arial" w:cs="Arial" w:eastAsia="Arial" w:hAnsi="Arial"/>
          <w:sz w:val="17"/>
          <w:szCs w:val="17"/>
          <w:color w:val="auto"/>
        </w:rPr>
      </w:pPr>
    </w:p>
    <w:p>
      <w:pPr>
        <w:ind w:left="380" w:right="340" w:hanging="301"/>
        <w:spacing w:after="0" w:line="255" w:lineRule="auto"/>
        <w:tabs>
          <w:tab w:leader="none" w:pos="3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July 2017 we presented a new post-hoc analysis of the Phase 1b PRIME study of aducanumab at the Alzheimer’s Association International Conference in London, U.K. Data presented included changes in the cognitive and functional subscores of the clinical dementia rating score. Aducanumab slowed decline on both the cognitive and functional assessments compared to placebo, and the results of all subgroups studied were consistent with the overall study population.</w:t>
      </w:r>
    </w:p>
    <w:p>
      <w:pPr>
        <w:spacing w:after="0" w:line="142" w:lineRule="exact"/>
        <w:rPr>
          <w:rFonts w:ascii="Arial" w:cs="Arial" w:eastAsia="Arial" w:hAnsi="Arial"/>
          <w:sz w:val="17"/>
          <w:szCs w:val="17"/>
          <w:color w:val="auto"/>
        </w:rPr>
      </w:pPr>
    </w:p>
    <w:p>
      <w:pPr>
        <w:jc w:val="both"/>
        <w:ind w:left="380" w:right="40" w:hanging="301"/>
        <w:spacing w:after="0" w:line="255" w:lineRule="auto"/>
        <w:tabs>
          <w:tab w:leader="none" w:pos="3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August 2017 we announced results from a recently conducted analysis of the LTE of our ongoing Phase 1b study of aducanumab. The updated analyses include data from the placebo-controlled period and the LTE for patients treated with aducanumab up to 24 months in the titration cohort and up to 36 months in the fixed-dose cohorts. The results are consistent with previously reported analyses from this ongoing Phase 1b study and support the design of the ongoing Phase 3 studies of aducanumab for early AD.</w:t>
      </w:r>
    </w:p>
    <w:p>
      <w:pPr>
        <w:spacing w:after="0" w:line="142" w:lineRule="exact"/>
        <w:rPr>
          <w:rFonts w:ascii="Arial" w:cs="Arial" w:eastAsia="Arial" w:hAnsi="Arial"/>
          <w:sz w:val="17"/>
          <w:szCs w:val="17"/>
          <w:color w:val="auto"/>
        </w:rPr>
      </w:pPr>
    </w:p>
    <w:p>
      <w:pPr>
        <w:ind w:left="380" w:right="80" w:hanging="301"/>
        <w:spacing w:after="0" w:line="255" w:lineRule="auto"/>
        <w:tabs>
          <w:tab w:leader="none" w:pos="3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November 2017 we presented new data from the LTE of our ongoing Phase 1b study of aducanumab at the CTAD meeting in Boston, MA. The data included results from patients in the Phase 1b study who were treated with a gradually increased dose of aducanumab for up to 24 months and those who were treated with a fixed dose of 3, 6 or 10 mg/kg aducanumab for up to 36 months. The results are consistent with previously reported analyses from the Phase 1b study and support the design of the ongoing Phase 3 studies of aducanumab for early AD.</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2573BA"/>
        </w:rPr>
        <w:t>BAN2401 (Aβ mAb)</w:t>
      </w:r>
    </w:p>
    <w:p>
      <w:pPr>
        <w:spacing w:after="0" w:line="104" w:lineRule="exact"/>
        <w:rPr>
          <w:sz w:val="20"/>
          <w:szCs w:val="20"/>
          <w:color w:val="auto"/>
        </w:rPr>
      </w:pPr>
    </w:p>
    <w:p>
      <w:pPr>
        <w:ind w:left="380" w:right="20" w:hanging="301"/>
        <w:spacing w:after="0" w:line="255" w:lineRule="auto"/>
        <w:tabs>
          <w:tab w:leader="none" w:pos="3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 December 2017 we announced that an Independent Data Monitoring Committee determined that BAN2401 did not meet the criteria for success based on a Bayesian analysis at 12 months as the primary endpoint in an 856-patient Phase 2 clinical study. Following the predefined study protocol, the blinded study will continue and a comprehensive final analysis will be conducted at 18 months seeking to demonstrate clinically significant results. The results of the final analysis are expected to be obtained during the second half of 2018.</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2573BA"/>
        </w:rPr>
        <w:t>BIIB076</w:t>
      </w:r>
    </w:p>
    <w:p>
      <w:pPr>
        <w:spacing w:after="0" w:line="104" w:lineRule="exact"/>
        <w:rPr>
          <w:sz w:val="20"/>
          <w:szCs w:val="20"/>
          <w:color w:val="auto"/>
        </w:rPr>
      </w:pPr>
    </w:p>
    <w:p>
      <w:pPr>
        <w:ind w:left="380" w:hanging="301"/>
        <w:spacing w:after="0"/>
        <w:tabs>
          <w:tab w:leader="none" w:pos="3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 January 2017 we initiated a Phase 1 trial of BIIB076, an anti-tau monoclonal antibody, in healthy volunteers and participants with AD.</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2573BA"/>
        </w:rPr>
        <w:t>BIIB092</w:t>
      </w:r>
    </w:p>
    <w:p>
      <w:pPr>
        <w:spacing w:after="0" w:line="104" w:lineRule="exact"/>
        <w:rPr>
          <w:sz w:val="20"/>
          <w:szCs w:val="20"/>
          <w:color w:val="auto"/>
        </w:rPr>
      </w:pPr>
    </w:p>
    <w:p>
      <w:pPr>
        <w:ind w:left="380" w:hanging="301"/>
        <w:spacing w:after="0"/>
        <w:tabs>
          <w:tab w:leader="none" w:pos="3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 June 2017 we dosed our first patient in our Phase 2 study of BIIB092 for PSP.</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2573BA"/>
        </w:rPr>
        <w:t>BIIB080 (also known as Ionis-MAPT</w:t>
      </w:r>
      <w:r>
        <w:rPr>
          <w:rFonts w:ascii="Arial" w:cs="Arial" w:eastAsia="Arial" w:hAnsi="Arial"/>
          <w:sz w:val="14"/>
          <w:szCs w:val="14"/>
          <w:i w:val="1"/>
          <w:iCs w:val="1"/>
          <w:color w:val="2573BA"/>
        </w:rPr>
        <w:t>Rx</w:t>
      </w:r>
      <w:r>
        <w:rPr>
          <w:rFonts w:ascii="Arial" w:cs="Arial" w:eastAsia="Arial" w:hAnsi="Arial"/>
          <w:sz w:val="17"/>
          <w:szCs w:val="17"/>
          <w:i w:val="1"/>
          <w:iCs w:val="1"/>
          <w:color w:val="2573BA"/>
        </w:rPr>
        <w:t>)</w:t>
      </w:r>
    </w:p>
    <w:p>
      <w:pPr>
        <w:spacing w:after="0" w:line="104" w:lineRule="exact"/>
        <w:rPr>
          <w:sz w:val="20"/>
          <w:szCs w:val="20"/>
          <w:color w:val="auto"/>
        </w:rPr>
      </w:pPr>
    </w:p>
    <w:p>
      <w:pPr>
        <w:ind w:left="380" w:right="20" w:hanging="301"/>
        <w:spacing w:after="0" w:line="260" w:lineRule="auto"/>
        <w:tabs>
          <w:tab w:leader="none" w:pos="3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October 2017 our collaboration partner Ionis announced the initiation of a Phase 1/2a clinical study of IONIS-MAPT</w:t>
      </w:r>
      <w:r>
        <w:rPr>
          <w:rFonts w:ascii="Arial" w:cs="Arial" w:eastAsia="Arial" w:hAnsi="Arial"/>
          <w:sz w:val="14"/>
          <w:szCs w:val="14"/>
          <w:color w:val="auto"/>
        </w:rPr>
        <w:t>Rx</w:t>
      </w:r>
      <w:r>
        <w:rPr>
          <w:rFonts w:ascii="Arial" w:cs="Arial" w:eastAsia="Arial" w:hAnsi="Arial"/>
          <w:sz w:val="17"/>
          <w:szCs w:val="17"/>
          <w:color w:val="auto"/>
        </w:rPr>
        <w:t xml:space="preserve"> in patients with mild AD. IONIS-MAPT</w:t>
      </w:r>
      <w:r>
        <w:rPr>
          <w:rFonts w:ascii="Arial" w:cs="Arial" w:eastAsia="Arial" w:hAnsi="Arial"/>
          <w:sz w:val="14"/>
          <w:szCs w:val="14"/>
          <w:color w:val="auto"/>
        </w:rPr>
        <w:t>Rx</w:t>
      </w:r>
      <w:r>
        <w:rPr>
          <w:rFonts w:ascii="Arial" w:cs="Arial" w:eastAsia="Arial" w:hAnsi="Arial"/>
          <w:sz w:val="17"/>
          <w:szCs w:val="17"/>
          <w:color w:val="auto"/>
        </w:rPr>
        <w:t xml:space="preserve"> is an antisense drug designed to selectively reduce the production of microtubule-associated protein tau (MAPT), or tau protein, in the brain. We have an option to develop and commercialize IONIS-MAPT</w:t>
      </w:r>
      <w:r>
        <w:rPr>
          <w:rFonts w:ascii="Arial" w:cs="Arial" w:eastAsia="Arial" w:hAnsi="Arial"/>
          <w:sz w:val="14"/>
          <w:szCs w:val="14"/>
          <w:color w:val="auto"/>
        </w:rPr>
        <w:t>Rx</w:t>
      </w:r>
      <w:r>
        <w:rPr>
          <w:rFonts w:ascii="Arial" w:cs="Arial" w:eastAsia="Arial" w:hAnsi="Arial"/>
          <w:sz w:val="17"/>
          <w:szCs w:val="17"/>
          <w:color w:val="auto"/>
        </w:rPr>
        <w:t>.</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Movement Disorders</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2573BA"/>
        </w:rPr>
        <w:t>BIIB054 (anti-alpha-synuclein antibody)</w:t>
      </w:r>
    </w:p>
    <w:p>
      <w:pPr>
        <w:spacing w:after="0" w:line="104" w:lineRule="exact"/>
        <w:rPr>
          <w:sz w:val="20"/>
          <w:szCs w:val="20"/>
          <w:color w:val="auto"/>
        </w:rPr>
      </w:pPr>
    </w:p>
    <w:p>
      <w:pPr>
        <w:ind w:left="380" w:right="640" w:hanging="301"/>
        <w:spacing w:after="0" w:line="262" w:lineRule="auto"/>
        <w:tabs>
          <w:tab w:leader="none" w:pos="3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March 2017 we presented data from research of BIIB054, our investigational treatment for Parkinson’s disease, at the 13</w:t>
      </w:r>
      <w:r>
        <w:rPr>
          <w:rFonts w:ascii="Arial" w:cs="Arial" w:eastAsia="Arial" w:hAnsi="Arial"/>
          <w:sz w:val="14"/>
          <w:szCs w:val="14"/>
          <w:color w:val="auto"/>
        </w:rPr>
        <w:t>th</w:t>
      </w:r>
      <w:r>
        <w:rPr>
          <w:rFonts w:ascii="Arial" w:cs="Arial" w:eastAsia="Arial" w:hAnsi="Arial"/>
          <w:sz w:val="17"/>
          <w:szCs w:val="17"/>
          <w:color w:val="auto"/>
        </w:rPr>
        <w:t xml:space="preserve"> International Conference on Alzheimer’s and Parkinson’s Diseases (AD/PD™) in Vienna, Austria.</w:t>
      </w:r>
    </w:p>
    <w:p>
      <w:pPr>
        <w:spacing w:after="0" w:line="136" w:lineRule="exact"/>
        <w:rPr>
          <w:rFonts w:ascii="Arial" w:cs="Arial" w:eastAsia="Arial" w:hAnsi="Arial"/>
          <w:sz w:val="17"/>
          <w:szCs w:val="17"/>
          <w:color w:val="auto"/>
        </w:rPr>
      </w:pPr>
    </w:p>
    <w:p>
      <w:pPr>
        <w:ind w:left="380" w:right="600" w:hanging="301"/>
        <w:spacing w:after="0" w:line="262" w:lineRule="auto"/>
        <w:tabs>
          <w:tab w:leader="none" w:pos="3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July 2017 we completed enrollment in the Phase 1 study of BIIB054 in both healthy volunteers and patients with early onset Parkinson’s disease.</w:t>
      </w:r>
    </w:p>
    <w:p>
      <w:pPr>
        <w:spacing w:after="0" w:line="59" w:lineRule="exact"/>
        <w:rPr>
          <w:rFonts w:ascii="Arial" w:cs="Arial" w:eastAsia="Arial" w:hAnsi="Arial"/>
          <w:sz w:val="17"/>
          <w:szCs w:val="17"/>
          <w:color w:val="auto"/>
        </w:rPr>
      </w:pPr>
    </w:p>
    <w:p>
      <w:pPr>
        <w:ind w:left="380" w:hanging="301"/>
        <w:spacing w:after="0"/>
        <w:tabs>
          <w:tab w:leader="none" w:pos="3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January 2018 we dosed our first patient in our Phase 2 SPARK study of BIIB054 in Parkinson's disease.</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44"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Emerging Growth Areas</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Acute Neurology</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2573BA"/>
        </w:rPr>
        <w:t>Natalizumab (α4-integrin inhibitor) - Acute Ischemic Stroke</w:t>
      </w:r>
    </w:p>
    <w:p>
      <w:pPr>
        <w:spacing w:after="0" w:line="104" w:lineRule="exact"/>
        <w:rPr>
          <w:sz w:val="20"/>
          <w:szCs w:val="20"/>
          <w:color w:val="auto"/>
        </w:rPr>
      </w:pPr>
    </w:p>
    <w:p>
      <w:pPr>
        <w:ind w:left="380" w:right="660" w:hanging="301"/>
        <w:spacing w:after="0" w:line="262" w:lineRule="auto"/>
        <w:tabs>
          <w:tab w:leader="none" w:pos="3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 August 2017 we completed enrollment in the Phase 2b ACTION2 study evaluating the effects of natalizumab versus placebo on clinical measures of functional independence and activities of daily living in acute ischemic stroke patients.</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2573BA"/>
        </w:rPr>
        <w:t>Natalizumab - Epilepsy</w:t>
      </w:r>
    </w:p>
    <w:p>
      <w:pPr>
        <w:spacing w:after="0" w:line="104" w:lineRule="exact"/>
        <w:rPr>
          <w:sz w:val="20"/>
          <w:szCs w:val="20"/>
          <w:color w:val="auto"/>
        </w:rPr>
      </w:pPr>
    </w:p>
    <w:p>
      <w:pPr>
        <w:ind w:left="380" w:hanging="301"/>
        <w:spacing w:after="0"/>
        <w:tabs>
          <w:tab w:leader="none" w:pos="3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 October 2017 we initiated the Phase 2 OPUS study evaluating the efficacy, safety and tolerability of natalizumab in drug-resistant focal epilepsy.</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Biosimilars</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Samsung Bioepis - Biogen's Joint Venture with Samsung Biologics</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2573BA"/>
        </w:rPr>
        <w:t>BENEPALI (Etanercept)</w:t>
      </w:r>
    </w:p>
    <w:p>
      <w:pPr>
        <w:spacing w:after="0" w:line="104" w:lineRule="exact"/>
        <w:rPr>
          <w:sz w:val="20"/>
          <w:szCs w:val="20"/>
          <w:color w:val="auto"/>
        </w:rPr>
      </w:pPr>
    </w:p>
    <w:p>
      <w:pPr>
        <w:ind w:left="380" w:right="40" w:hanging="301"/>
        <w:spacing w:after="0" w:line="257" w:lineRule="auto"/>
        <w:tabs>
          <w:tab w:leader="none" w:pos="3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 June 2017 we presented real-world evidence from investigator-initiated studies supported by us demonstrating sustained efficacy and safety of, and high acceptance and adherence in patients initiating treatment with, BENEPALI. These data were presented at the Annual European Congress of Rheumatology (EULAR) in Madrid.</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2573BA"/>
        </w:rPr>
        <w:t>IMRALDI (Adalimumab)</w:t>
      </w:r>
    </w:p>
    <w:p>
      <w:pPr>
        <w:spacing w:after="0" w:line="104" w:lineRule="exact"/>
        <w:rPr>
          <w:sz w:val="20"/>
          <w:szCs w:val="20"/>
          <w:color w:val="auto"/>
        </w:rPr>
      </w:pPr>
    </w:p>
    <w:p>
      <w:pPr>
        <w:ind w:left="380" w:hanging="301"/>
        <w:spacing w:after="0"/>
        <w:tabs>
          <w:tab w:leader="none" w:pos="3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June 2017 the CHMP of the EMA issued a positive opinion for IMRALDI, an adalimumab biosimilar candidate referencing HUMIRA.</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August 2017 the EC granted a marketing authorization for IMRALDI.</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Genentech Relationship</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Anti-CD20 Therapies</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2573BA"/>
        </w:rPr>
        <w:t>OCREVUS (ocrelizumab)</w:t>
      </w:r>
    </w:p>
    <w:p>
      <w:pPr>
        <w:spacing w:after="0" w:line="104" w:lineRule="exact"/>
        <w:rPr>
          <w:sz w:val="20"/>
          <w:szCs w:val="20"/>
          <w:color w:val="auto"/>
        </w:rPr>
      </w:pPr>
    </w:p>
    <w:p>
      <w:pPr>
        <w:ind w:left="380" w:right="60" w:hanging="301"/>
        <w:spacing w:after="0" w:line="262" w:lineRule="auto"/>
        <w:tabs>
          <w:tab w:leader="none" w:pos="3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 March 2017 the FDA approved OCREVUS, a humanized anti-CD20 monoclonal antibody, for the treatment of relapsing MS (RMS) and primary progressive MS (PPMS).</w:t>
      </w:r>
    </w:p>
    <w:p>
      <w:pPr>
        <w:spacing w:after="0" w:line="136" w:lineRule="exact"/>
        <w:rPr>
          <w:rFonts w:ascii="Arial" w:cs="Arial" w:eastAsia="Arial" w:hAnsi="Arial"/>
          <w:sz w:val="17"/>
          <w:szCs w:val="17"/>
          <w:color w:val="auto"/>
        </w:rPr>
      </w:pPr>
    </w:p>
    <w:p>
      <w:pPr>
        <w:ind w:left="380" w:hanging="301"/>
        <w:spacing w:after="0"/>
        <w:tabs>
          <w:tab w:leader="none" w:pos="3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 July 2017 OCREVUS was approved in Australia for the treatment of RMS and PPMS.</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 September 2017 OCREVUS was approved in Switzerland for the treatment of RMS and PPMS.</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 January 2018 the EC granted a marketing authorization for OCREVUS for the treatment of RMS and PPMS.</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2573BA"/>
        </w:rPr>
        <w:t>RITUXAN (rituximab)</w:t>
      </w:r>
    </w:p>
    <w:p>
      <w:pPr>
        <w:spacing w:after="0" w:line="104" w:lineRule="exact"/>
        <w:rPr>
          <w:sz w:val="20"/>
          <w:szCs w:val="20"/>
          <w:color w:val="auto"/>
        </w:rPr>
      </w:pPr>
    </w:p>
    <w:p>
      <w:pPr>
        <w:ind w:left="380" w:right="100" w:hanging="301"/>
        <w:spacing w:after="0" w:line="255" w:lineRule="auto"/>
        <w:tabs>
          <w:tab w:leader="none" w:pos="3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 March 2017 Roche announced that the FDA’s Oncologic Drugs Advisory Committee voted unanimously that the benefit-risk of rituximab/hyaluronidase for subcutaneous (under the skin) injection was favorable for the treatment of certain blood cancers. This new co-formulation includes the same monoclonal antibody as intravenous RITUXAN and hyaluronidase, a molecule that helps to deliver medicine under the skin.</w:t>
      </w:r>
    </w:p>
    <w:p>
      <w:pPr>
        <w:spacing w:after="0" w:line="142" w:lineRule="exact"/>
        <w:rPr>
          <w:rFonts w:ascii="Arial" w:cs="Arial" w:eastAsia="Arial" w:hAnsi="Arial"/>
          <w:sz w:val="17"/>
          <w:szCs w:val="17"/>
          <w:color w:val="auto"/>
        </w:rPr>
      </w:pPr>
    </w:p>
    <w:p>
      <w:pPr>
        <w:jc w:val="both"/>
        <w:ind w:left="380" w:right="200" w:hanging="301"/>
        <w:spacing w:after="0" w:line="255" w:lineRule="auto"/>
        <w:tabs>
          <w:tab w:leader="none" w:pos="3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 June 2017 the FDA approved RITUXAN HYCELA (rituximab and hyaluronidase human) for subcutaneous injection for the treatment of adults with previously untreated and relapsed or refractory follicular lymphoma, previously untreated diffuse large B-cell lymphoma and CLL. This new treatment includes the same monoclonal antibody as intravenous RITUXAN in combination with hyaluronidase human, an enzyme that helps to deliver rituximab under the skin.</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2573BA"/>
        </w:rPr>
        <w:t>GAZYVA</w:t>
      </w:r>
    </w:p>
    <w:p>
      <w:pPr>
        <w:spacing w:after="0" w:line="104" w:lineRule="exact"/>
        <w:rPr>
          <w:sz w:val="20"/>
          <w:szCs w:val="20"/>
          <w:color w:val="auto"/>
        </w:rPr>
      </w:pPr>
    </w:p>
    <w:p>
      <w:pPr>
        <w:ind w:left="380" w:hanging="301"/>
        <w:spacing w:after="0" w:line="255" w:lineRule="auto"/>
        <w:tabs>
          <w:tab w:leader="none" w:pos="3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 November 2017 the FDA approved GAZYVA in combination with chemotherapy, followed by GAZYVA alone in those who responded, for people with previously untreated advanced follicular lymphoma. The approval is based on results from the Phase 3 GALLIUM study, which showed superior progression-free survival for patients who received this GAZYVA-based regimen compared with those who received a RITUXAN-based regimen as an initial therapy.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44"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Other</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Idiopathic Pulmonary Fibrosis</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2573BA"/>
        </w:rPr>
        <w:t>BG00011 (STX-100)</w:t>
      </w:r>
    </w:p>
    <w:p>
      <w:pPr>
        <w:spacing w:after="0" w:line="104" w:lineRule="exact"/>
        <w:rPr>
          <w:sz w:val="20"/>
          <w:szCs w:val="20"/>
          <w:color w:val="auto"/>
        </w:rPr>
      </w:pPr>
    </w:p>
    <w:p>
      <w:pPr>
        <w:ind w:left="380" w:hanging="301"/>
        <w:spacing w:after="0" w:line="257" w:lineRule="auto"/>
        <w:tabs>
          <w:tab w:leader="none" w:pos="3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 October 2017 we reported that BG00011 (STX-100) achieved proof of biology in a Phase 2a study in patients with idiopathic pulmonary fibrosis (IPF), a chronic irreversible and ultimately fatal disease characterized by a progressive decline in lung function. We plan to initiate a Phase 2b study for BG00011 in 2018.</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Marketed Products</w:t>
      </w:r>
    </w:p>
    <w:p>
      <w:pPr>
        <w:spacing w:after="0" w:line="109" w:lineRule="exact"/>
        <w:rPr>
          <w:sz w:val="20"/>
          <w:szCs w:val="20"/>
          <w:color w:val="auto"/>
        </w:rPr>
      </w:pPr>
    </w:p>
    <w:p>
      <w:pPr>
        <w:ind w:right="480" w:firstLine="384"/>
        <w:spacing w:after="0" w:line="262" w:lineRule="auto"/>
        <w:rPr>
          <w:sz w:val="20"/>
          <w:szCs w:val="20"/>
          <w:color w:val="auto"/>
        </w:rPr>
      </w:pPr>
      <w:r>
        <w:rPr>
          <w:rFonts w:ascii="Arial" w:cs="Arial" w:eastAsia="Arial" w:hAnsi="Arial"/>
          <w:sz w:val="17"/>
          <w:szCs w:val="17"/>
          <w:color w:val="auto"/>
        </w:rPr>
        <w:t>The following graphs show our revenues by product and revenues from anti-CD20 therapeutic programs and geography as a percentage of revenues for the years ended December 31, 2017,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-9525</wp:posOffset>
            </wp:positionV>
            <wp:extent cx="6343015" cy="51803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43015" cy="518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0" w:hanging="198"/>
        <w:spacing w:after="0"/>
        <w:tabs>
          <w:tab w:leader="none" w:pos="2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Interferon includes AVONEX and PLEGRIDY</w:t>
      </w:r>
    </w:p>
    <w:p>
      <w:pPr>
        <w:ind w:right="6420" w:firstLine="2"/>
        <w:spacing w:after="0" w:line="236" w:lineRule="auto"/>
        <w:tabs>
          <w:tab w:leader="none" w:pos="205" w:val="left"/>
        </w:tabs>
        <w:numPr>
          <w:ilvl w:val="0"/>
          <w:numId w:val="29"/>
        </w:numPr>
        <w:rPr>
          <w:rFonts w:ascii="Arial" w:cs="Arial" w:eastAsia="Arial" w:hAnsi="Arial"/>
          <w:sz w:val="14"/>
          <w:szCs w:val="14"/>
          <w:color w:val="auto"/>
        </w:rPr>
      </w:pPr>
      <w:r>
        <w:rPr>
          <w:rFonts w:ascii="Arial" w:cs="Arial" w:eastAsia="Arial" w:hAnsi="Arial"/>
          <w:sz w:val="14"/>
          <w:szCs w:val="14"/>
          <w:color w:val="auto"/>
        </w:rPr>
        <w:t>Other includes ZINBRYTA, FAMPYRA, ELOCTATE, ALPROLIX, FUMADERM, BENEPALI and FLIXABI</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60"/>
          </w:cols>
          <w:pgMar w:left="240" w:top="144" w:right="29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2" w:lineRule="exact"/>
        <w:rPr>
          <w:sz w:val="20"/>
          <w:szCs w:val="20"/>
          <w:color w:val="auto"/>
        </w:rPr>
      </w:pPr>
    </w:p>
    <w:p>
      <w:pPr>
        <w:ind w:right="80" w:firstLine="384"/>
        <w:spacing w:after="0" w:line="254" w:lineRule="auto"/>
        <w:rPr>
          <w:sz w:val="20"/>
          <w:szCs w:val="20"/>
          <w:color w:val="auto"/>
        </w:rPr>
      </w:pPr>
      <w:r>
        <w:rPr>
          <w:rFonts w:ascii="Arial" w:cs="Arial" w:eastAsia="Arial" w:hAnsi="Arial"/>
          <w:sz w:val="17"/>
          <w:szCs w:val="17"/>
          <w:color w:val="auto"/>
        </w:rPr>
        <w:t xml:space="preserve">Product sales for TECFIDERA, AVONEX and TYSABRI and anti-CD20 therapeutic programs for RITUXAN each accounted for more than 10% of our total revenues for the years ended December 31, 2017, 2016 and 2015. For additional financial information about our product and other revenues and geographic areas where we operate, please read Note 25, </w:t>
      </w:r>
      <w:r>
        <w:rPr>
          <w:rFonts w:ascii="Arial" w:cs="Arial" w:eastAsia="Arial" w:hAnsi="Arial"/>
          <w:sz w:val="17"/>
          <w:szCs w:val="17"/>
          <w:i w:val="1"/>
          <w:iCs w:val="1"/>
          <w:color w:val="auto"/>
        </w:rPr>
        <w:t>Segment Information,</w:t>
      </w:r>
      <w:r>
        <w:rPr>
          <w:rFonts w:ascii="Arial" w:cs="Arial" w:eastAsia="Arial" w:hAnsi="Arial"/>
          <w:sz w:val="17"/>
          <w:szCs w:val="17"/>
          <w:color w:val="auto"/>
        </w:rPr>
        <w:t xml:space="preserve"> to our consolidated financial statements, Item 6. </w:t>
      </w:r>
      <w:r>
        <w:rPr>
          <w:rFonts w:ascii="Arial" w:cs="Arial" w:eastAsia="Arial" w:hAnsi="Arial"/>
          <w:sz w:val="17"/>
          <w:szCs w:val="17"/>
          <w:i w:val="1"/>
          <w:iCs w:val="1"/>
          <w:color w:val="auto"/>
        </w:rPr>
        <w:t>Selected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Data </w:t>
      </w:r>
      <w:r>
        <w:rPr>
          <w:rFonts w:ascii="Arial" w:cs="Arial" w:eastAsia="Arial" w:hAnsi="Arial"/>
          <w:sz w:val="17"/>
          <w:szCs w:val="17"/>
          <w:color w:val="auto"/>
        </w:rPr>
        <w:t>and Item 7.</w:t>
      </w:r>
      <w:r>
        <w:rPr>
          <w:rFonts w:ascii="Arial" w:cs="Arial" w:eastAsia="Arial" w:hAnsi="Arial"/>
          <w:sz w:val="17"/>
          <w:szCs w:val="17"/>
          <w:i w:val="1"/>
          <w:iCs w:val="1"/>
          <w:color w:val="auto"/>
        </w:rPr>
        <w:t xml:space="preserve"> Management's Discussion and Analysis of Financial Condition and Results of Operations </w:t>
      </w:r>
      <w:r>
        <w:rPr>
          <w:rFonts w:ascii="Arial" w:cs="Arial" w:eastAsia="Arial" w:hAnsi="Arial"/>
          <w:sz w:val="17"/>
          <w:szCs w:val="17"/>
          <w:color w:val="auto"/>
        </w:rPr>
        <w:t>included in this report.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discussion of the risks attendant to our operations is set forth in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included in this report.</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Multiple Sclerosis and Neuroimmunology</w:t>
      </w:r>
    </w:p>
    <w:p>
      <w:pPr>
        <w:spacing w:after="0" w:line="106" w:lineRule="exact"/>
        <w:rPr>
          <w:sz w:val="20"/>
          <w:szCs w:val="20"/>
          <w:color w:val="auto"/>
        </w:rPr>
      </w:pPr>
    </w:p>
    <w:p>
      <w:pPr>
        <w:ind w:right="20" w:firstLine="410"/>
        <w:spacing w:after="0" w:line="255" w:lineRule="auto"/>
        <w:rPr>
          <w:sz w:val="20"/>
          <w:szCs w:val="20"/>
          <w:color w:val="auto"/>
        </w:rPr>
      </w:pPr>
      <w:r>
        <w:rPr>
          <w:rFonts w:ascii="Arial" w:cs="Arial" w:eastAsia="Arial" w:hAnsi="Arial"/>
          <w:sz w:val="17"/>
          <w:szCs w:val="17"/>
          <w:color w:val="auto"/>
        </w:rPr>
        <w:t>We develop, manufacture and market a number of products designed to treat patients with MS. MS is a progressive neurological disease in which the body loses the ability to transmit messages along nerve cells, leading to a loss of muscle control, paralysis and, in some cases, death. Patients with active RMS experience an uneven pattern of disease progression characterized by periods of stability that are interrupted by flare-ups of the disease after which the patient returns to a new baseline of functioning.</w:t>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MS products and major markets include: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w:t>
            </w:r>
          </w:p>
        </w:tc>
        <w:tc>
          <w:tcPr>
            <w:tcW w:w="482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Indication</w:t>
            </w:r>
          </w:p>
        </w:tc>
        <w:tc>
          <w:tcPr>
            <w:tcW w:w="25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Collaborator</w:t>
            </w:r>
          </w:p>
        </w:tc>
        <w:tc>
          <w:tcPr>
            <w:tcW w:w="218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Major Markets</w:t>
            </w:r>
          </w:p>
        </w:tc>
        <w:tc>
          <w:tcPr>
            <w:tcW w:w="0" w:type="dxa"/>
            <w:vAlign w:val="bottom"/>
          </w:tcPr>
          <w:p>
            <w:pPr>
              <w:spacing w:after="0"/>
              <w:rPr>
                <w:sz w:val="1"/>
                <w:szCs w:val="1"/>
                <w:color w:val="auto"/>
              </w:rPr>
            </w:pPr>
          </w:p>
        </w:tc>
      </w:tr>
      <w:tr>
        <w:trPr>
          <w:trHeight w:val="331"/>
        </w:trPr>
        <w:tc>
          <w:tcPr>
            <w:tcW w:w="18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180" w:type="dxa"/>
            <w:vAlign w:val="bottom"/>
          </w:tcPr>
          <w:p>
            <w:pPr>
              <w:ind w:left="400"/>
              <w:spacing w:after="0"/>
              <w:rPr>
                <w:sz w:val="20"/>
                <w:szCs w:val="20"/>
                <w:color w:val="auto"/>
              </w:rPr>
            </w:pPr>
            <w:r>
              <w:rPr>
                <w:rFonts w:ascii="Arial" w:cs="Arial" w:eastAsia="Arial" w:hAnsi="Arial"/>
                <w:sz w:val="17"/>
                <w:szCs w:val="17"/>
                <w:color w:val="auto"/>
              </w:rPr>
              <w:t>U.S.</w:t>
            </w: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180" w:type="dxa"/>
            <w:vAlign w:val="bottom"/>
          </w:tcPr>
          <w:p>
            <w:pPr>
              <w:ind w:left="400"/>
              <w:spacing w:after="0" w:line="192" w:lineRule="exact"/>
              <w:rPr>
                <w:sz w:val="20"/>
                <w:szCs w:val="20"/>
                <w:color w:val="auto"/>
              </w:rPr>
            </w:pPr>
            <w:r>
              <w:rPr>
                <w:rFonts w:ascii="Arial" w:cs="Arial" w:eastAsia="Arial" w:hAnsi="Arial"/>
                <w:sz w:val="17"/>
                <w:szCs w:val="17"/>
                <w:color w:val="auto"/>
              </w:rPr>
              <w:t>Canada</w:t>
            </w: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4820" w:type="dxa"/>
            <w:vAlign w:val="bottom"/>
            <w:vMerge w:val="restart"/>
          </w:tcPr>
          <w:p>
            <w:pPr>
              <w:ind w:left="1340"/>
              <w:spacing w:after="0"/>
              <w:rPr>
                <w:sz w:val="20"/>
                <w:szCs w:val="20"/>
                <w:color w:val="auto"/>
              </w:rPr>
            </w:pPr>
            <w:r>
              <w:rPr>
                <w:rFonts w:ascii="Arial" w:cs="Arial" w:eastAsia="Arial" w:hAnsi="Arial"/>
                <w:sz w:val="17"/>
                <w:szCs w:val="17"/>
                <w:color w:val="auto"/>
              </w:rPr>
              <w:t>Relapsing forms of MS in the U.S.</w:t>
            </w:r>
          </w:p>
        </w:tc>
        <w:tc>
          <w:tcPr>
            <w:tcW w:w="2540" w:type="dxa"/>
            <w:vAlign w:val="bottom"/>
          </w:tcPr>
          <w:p>
            <w:pPr>
              <w:spacing w:after="0"/>
              <w:rPr>
                <w:sz w:val="16"/>
                <w:szCs w:val="16"/>
                <w:color w:val="auto"/>
              </w:rPr>
            </w:pPr>
          </w:p>
        </w:tc>
        <w:tc>
          <w:tcPr>
            <w:tcW w:w="2180" w:type="dxa"/>
            <w:vAlign w:val="bottom"/>
          </w:tcPr>
          <w:p>
            <w:pPr>
              <w:ind w:left="400"/>
              <w:spacing w:after="0" w:line="192" w:lineRule="exact"/>
              <w:rPr>
                <w:sz w:val="20"/>
                <w:szCs w:val="20"/>
                <w:color w:val="auto"/>
              </w:rPr>
            </w:pPr>
            <w:r>
              <w:rPr>
                <w:rFonts w:ascii="Arial" w:cs="Arial" w:eastAsia="Arial" w:hAnsi="Arial"/>
                <w:sz w:val="17"/>
                <w:szCs w:val="17"/>
                <w:color w:val="auto"/>
              </w:rPr>
              <w:t>France</w:t>
            </w:r>
          </w:p>
        </w:tc>
        <w:tc>
          <w:tcPr>
            <w:tcW w:w="0" w:type="dxa"/>
            <w:vAlign w:val="bottom"/>
          </w:tcPr>
          <w:p>
            <w:pPr>
              <w:spacing w:after="0"/>
              <w:rPr>
                <w:sz w:val="1"/>
                <w:szCs w:val="1"/>
                <w:color w:val="auto"/>
              </w:rPr>
            </w:pPr>
          </w:p>
        </w:tc>
      </w:tr>
      <w:tr>
        <w:trPr>
          <w:trHeight w:val="64"/>
        </w:trPr>
        <w:tc>
          <w:tcPr>
            <w:tcW w:w="1880" w:type="dxa"/>
            <w:vAlign w:val="bottom"/>
          </w:tcPr>
          <w:p>
            <w:pPr>
              <w:spacing w:after="0"/>
              <w:rPr>
                <w:sz w:val="5"/>
                <w:szCs w:val="5"/>
                <w:color w:val="auto"/>
              </w:rPr>
            </w:pPr>
          </w:p>
        </w:tc>
        <w:tc>
          <w:tcPr>
            <w:tcW w:w="4820" w:type="dxa"/>
            <w:vAlign w:val="bottom"/>
            <w:vMerge w:val="continue"/>
          </w:tcPr>
          <w:p>
            <w:pPr>
              <w:spacing w:after="0"/>
              <w:rPr>
                <w:sz w:val="5"/>
                <w:szCs w:val="5"/>
                <w:color w:val="auto"/>
              </w:rPr>
            </w:pPr>
          </w:p>
        </w:tc>
        <w:tc>
          <w:tcPr>
            <w:tcW w:w="2540" w:type="dxa"/>
            <w:vAlign w:val="bottom"/>
            <w:vMerge w:val="restart"/>
          </w:tcPr>
          <w:p>
            <w:pPr>
              <w:ind w:left="200"/>
              <w:spacing w:after="0" w:line="192" w:lineRule="exact"/>
              <w:rPr>
                <w:sz w:val="20"/>
                <w:szCs w:val="20"/>
                <w:color w:val="auto"/>
              </w:rPr>
            </w:pPr>
            <w:r>
              <w:rPr>
                <w:rFonts w:ascii="Arial" w:cs="Arial" w:eastAsia="Arial" w:hAnsi="Arial"/>
                <w:sz w:val="17"/>
                <w:szCs w:val="17"/>
                <w:color w:val="auto"/>
              </w:rPr>
              <w:t>None</w:t>
            </w:r>
          </w:p>
        </w:tc>
        <w:tc>
          <w:tcPr>
            <w:tcW w:w="2180" w:type="dxa"/>
            <w:vAlign w:val="bottom"/>
            <w:vMerge w:val="restart"/>
          </w:tcPr>
          <w:p>
            <w:pPr>
              <w:ind w:left="400"/>
              <w:spacing w:after="0" w:line="192" w:lineRule="exact"/>
              <w:rPr>
                <w:sz w:val="20"/>
                <w:szCs w:val="20"/>
                <w:color w:val="auto"/>
              </w:rPr>
            </w:pPr>
            <w:r>
              <w:rPr>
                <w:rFonts w:ascii="Arial" w:cs="Arial" w:eastAsia="Arial" w:hAnsi="Arial"/>
                <w:sz w:val="17"/>
                <w:szCs w:val="17"/>
                <w:color w:val="auto"/>
              </w:rPr>
              <w:t>Germany</w:t>
            </w:r>
          </w:p>
        </w:tc>
        <w:tc>
          <w:tcPr>
            <w:tcW w:w="0" w:type="dxa"/>
            <w:vAlign w:val="bottom"/>
          </w:tcPr>
          <w:p>
            <w:pPr>
              <w:spacing w:after="0"/>
              <w:rPr>
                <w:sz w:val="1"/>
                <w:szCs w:val="1"/>
                <w:color w:val="auto"/>
              </w:rPr>
            </w:pPr>
          </w:p>
        </w:tc>
      </w:tr>
      <w:tr>
        <w:trPr>
          <w:trHeight w:val="128"/>
        </w:trPr>
        <w:tc>
          <w:tcPr>
            <w:tcW w:w="188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2540" w:type="dxa"/>
            <w:vAlign w:val="bottom"/>
            <w:vMerge w:val="continue"/>
          </w:tcPr>
          <w:p>
            <w:pPr>
              <w:spacing w:after="0"/>
              <w:rPr>
                <w:sz w:val="11"/>
                <w:szCs w:val="11"/>
                <w:color w:val="auto"/>
              </w:rPr>
            </w:pPr>
          </w:p>
        </w:tc>
        <w:tc>
          <w:tcPr>
            <w:tcW w:w="2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4820" w:type="dxa"/>
            <w:vAlign w:val="bottom"/>
            <w:vMerge w:val="restart"/>
          </w:tcPr>
          <w:p>
            <w:pPr>
              <w:ind w:left="1340"/>
              <w:spacing w:after="0"/>
              <w:rPr>
                <w:sz w:val="20"/>
                <w:szCs w:val="20"/>
                <w:color w:val="auto"/>
              </w:rPr>
            </w:pPr>
            <w:r>
              <w:rPr>
                <w:rFonts w:ascii="Arial" w:cs="Arial" w:eastAsia="Arial" w:hAnsi="Arial"/>
                <w:sz w:val="17"/>
                <w:szCs w:val="17"/>
                <w:color w:val="auto"/>
              </w:rPr>
              <w:t>Relapsing-remitting MS (RRMS) in the E.U.</w:t>
            </w:r>
          </w:p>
        </w:tc>
        <w:tc>
          <w:tcPr>
            <w:tcW w:w="2540" w:type="dxa"/>
            <w:vAlign w:val="bottom"/>
          </w:tcPr>
          <w:p>
            <w:pPr>
              <w:spacing w:after="0"/>
              <w:rPr>
                <w:sz w:val="16"/>
                <w:szCs w:val="16"/>
                <w:color w:val="auto"/>
              </w:rPr>
            </w:pPr>
          </w:p>
        </w:tc>
        <w:tc>
          <w:tcPr>
            <w:tcW w:w="2180" w:type="dxa"/>
            <w:vAlign w:val="bottom"/>
          </w:tcPr>
          <w:p>
            <w:pPr>
              <w:ind w:left="400"/>
              <w:spacing w:after="0" w:line="192" w:lineRule="exact"/>
              <w:rPr>
                <w:sz w:val="20"/>
                <w:szCs w:val="20"/>
                <w:color w:val="auto"/>
              </w:rPr>
            </w:pPr>
            <w:r>
              <w:rPr>
                <w:rFonts w:ascii="Arial" w:cs="Arial" w:eastAsia="Arial" w:hAnsi="Arial"/>
                <w:sz w:val="17"/>
                <w:szCs w:val="17"/>
                <w:color w:val="auto"/>
              </w:rPr>
              <w:t>Italy</w:t>
            </w:r>
          </w:p>
        </w:tc>
        <w:tc>
          <w:tcPr>
            <w:tcW w:w="0" w:type="dxa"/>
            <w:vAlign w:val="bottom"/>
          </w:tcPr>
          <w:p>
            <w:pPr>
              <w:spacing w:after="0"/>
              <w:rPr>
                <w:sz w:val="1"/>
                <w:szCs w:val="1"/>
                <w:color w:val="auto"/>
              </w:rPr>
            </w:pPr>
          </w:p>
        </w:tc>
      </w:tr>
      <w:tr>
        <w:trPr>
          <w:trHeight w:val="64"/>
        </w:trPr>
        <w:tc>
          <w:tcPr>
            <w:tcW w:w="1880" w:type="dxa"/>
            <w:vAlign w:val="bottom"/>
          </w:tcPr>
          <w:p>
            <w:pPr>
              <w:spacing w:after="0"/>
              <w:rPr>
                <w:sz w:val="5"/>
                <w:szCs w:val="5"/>
                <w:color w:val="auto"/>
              </w:rPr>
            </w:pPr>
          </w:p>
        </w:tc>
        <w:tc>
          <w:tcPr>
            <w:tcW w:w="4820" w:type="dxa"/>
            <w:vAlign w:val="bottom"/>
            <w:vMerge w:val="continue"/>
          </w:tcPr>
          <w:p>
            <w:pPr>
              <w:spacing w:after="0"/>
              <w:rPr>
                <w:sz w:val="5"/>
                <w:szCs w:val="5"/>
                <w:color w:val="auto"/>
              </w:rPr>
            </w:pPr>
          </w:p>
        </w:tc>
        <w:tc>
          <w:tcPr>
            <w:tcW w:w="2540" w:type="dxa"/>
            <w:vAlign w:val="bottom"/>
          </w:tcPr>
          <w:p>
            <w:pPr>
              <w:spacing w:after="0"/>
              <w:rPr>
                <w:sz w:val="5"/>
                <w:szCs w:val="5"/>
                <w:color w:val="auto"/>
              </w:rPr>
            </w:pPr>
          </w:p>
        </w:tc>
        <w:tc>
          <w:tcPr>
            <w:tcW w:w="2180" w:type="dxa"/>
            <w:vAlign w:val="bottom"/>
            <w:vMerge w:val="restart"/>
          </w:tcPr>
          <w:p>
            <w:pPr>
              <w:ind w:left="400"/>
              <w:spacing w:after="0" w:line="192" w:lineRule="exact"/>
              <w:rPr>
                <w:sz w:val="20"/>
                <w:szCs w:val="20"/>
                <w:color w:val="auto"/>
              </w:rPr>
            </w:pPr>
            <w:r>
              <w:rPr>
                <w:rFonts w:ascii="Arial" w:cs="Arial" w:eastAsia="Arial" w:hAnsi="Arial"/>
                <w:sz w:val="17"/>
                <w:szCs w:val="17"/>
                <w:color w:val="auto"/>
              </w:rPr>
              <w:t>Spain</w:t>
            </w:r>
          </w:p>
        </w:tc>
        <w:tc>
          <w:tcPr>
            <w:tcW w:w="0" w:type="dxa"/>
            <w:vAlign w:val="bottom"/>
          </w:tcPr>
          <w:p>
            <w:pPr>
              <w:spacing w:after="0"/>
              <w:rPr>
                <w:sz w:val="1"/>
                <w:szCs w:val="1"/>
                <w:color w:val="auto"/>
              </w:rPr>
            </w:pPr>
          </w:p>
        </w:tc>
      </w:tr>
      <w:tr>
        <w:trPr>
          <w:trHeight w:val="128"/>
        </w:trPr>
        <w:tc>
          <w:tcPr>
            <w:tcW w:w="188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1880" w:type="dxa"/>
            <w:vAlign w:val="bottom"/>
            <w:tcBorders>
              <w:bottom w:val="single" w:sz="8" w:color="auto"/>
            </w:tcBorders>
          </w:tcPr>
          <w:p>
            <w:pPr>
              <w:spacing w:after="0"/>
              <w:rPr>
                <w:sz w:val="18"/>
                <w:szCs w:val="18"/>
                <w:color w:val="auto"/>
              </w:rPr>
            </w:pPr>
          </w:p>
        </w:tc>
        <w:tc>
          <w:tcPr>
            <w:tcW w:w="48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ind w:left="400"/>
              <w:spacing w:after="0"/>
              <w:rPr>
                <w:sz w:val="20"/>
                <w:szCs w:val="20"/>
                <w:color w:val="auto"/>
              </w:rPr>
            </w:pPr>
            <w:r>
              <w:rPr>
                <w:rFonts w:ascii="Arial" w:cs="Arial" w:eastAsia="Arial" w:hAnsi="Arial"/>
                <w:sz w:val="17"/>
                <w:szCs w:val="17"/>
                <w:color w:val="auto"/>
              </w:rPr>
              <w:t>U.K.</w:t>
            </w:r>
          </w:p>
        </w:tc>
        <w:tc>
          <w:tcPr>
            <w:tcW w:w="0" w:type="dxa"/>
            <w:vAlign w:val="bottom"/>
          </w:tcPr>
          <w:p>
            <w:pPr>
              <w:spacing w:after="0"/>
              <w:rPr>
                <w:sz w:val="1"/>
                <w:szCs w:val="1"/>
                <w:color w:val="auto"/>
              </w:rPr>
            </w:pPr>
          </w:p>
        </w:tc>
      </w:tr>
      <w:tr>
        <w:trPr>
          <w:trHeight w:val="332"/>
        </w:trPr>
        <w:tc>
          <w:tcPr>
            <w:tcW w:w="18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180" w:type="dxa"/>
            <w:vAlign w:val="bottom"/>
          </w:tcPr>
          <w:p>
            <w:pPr>
              <w:ind w:left="400"/>
              <w:spacing w:after="0"/>
              <w:rPr>
                <w:sz w:val="20"/>
                <w:szCs w:val="20"/>
                <w:color w:val="auto"/>
              </w:rPr>
            </w:pPr>
            <w:r>
              <w:rPr>
                <w:rFonts w:ascii="Arial" w:cs="Arial" w:eastAsia="Arial" w:hAnsi="Arial"/>
                <w:sz w:val="17"/>
                <w:szCs w:val="17"/>
                <w:color w:val="auto"/>
              </w:rPr>
              <w:t>U.S.</w:t>
            </w: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180" w:type="dxa"/>
            <w:vAlign w:val="bottom"/>
          </w:tcPr>
          <w:p>
            <w:pPr>
              <w:ind w:left="400"/>
              <w:spacing w:after="0" w:line="192" w:lineRule="exact"/>
              <w:rPr>
                <w:sz w:val="20"/>
                <w:szCs w:val="20"/>
                <w:color w:val="auto"/>
              </w:rPr>
            </w:pPr>
            <w:r>
              <w:rPr>
                <w:rFonts w:ascii="Arial" w:cs="Arial" w:eastAsia="Arial" w:hAnsi="Arial"/>
                <w:sz w:val="17"/>
                <w:szCs w:val="17"/>
                <w:color w:val="auto"/>
              </w:rPr>
              <w:t>France</w:t>
            </w: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180" w:type="dxa"/>
            <w:vAlign w:val="bottom"/>
          </w:tcPr>
          <w:p>
            <w:pPr>
              <w:ind w:left="400"/>
              <w:spacing w:after="0" w:line="192" w:lineRule="exact"/>
              <w:rPr>
                <w:sz w:val="20"/>
                <w:szCs w:val="20"/>
                <w:color w:val="auto"/>
              </w:rPr>
            </w:pPr>
            <w:r>
              <w:rPr>
                <w:rFonts w:ascii="Arial" w:cs="Arial" w:eastAsia="Arial" w:hAnsi="Arial"/>
                <w:sz w:val="17"/>
                <w:szCs w:val="17"/>
                <w:color w:val="auto"/>
              </w:rPr>
              <w:t>Germany</w:t>
            </w: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4820" w:type="dxa"/>
            <w:vAlign w:val="bottom"/>
          </w:tcPr>
          <w:p>
            <w:pPr>
              <w:ind w:left="1340"/>
              <w:spacing w:after="0" w:line="192" w:lineRule="exact"/>
              <w:rPr>
                <w:sz w:val="20"/>
                <w:szCs w:val="20"/>
                <w:color w:val="auto"/>
              </w:rPr>
            </w:pPr>
            <w:r>
              <w:rPr>
                <w:rFonts w:ascii="Arial" w:cs="Arial" w:eastAsia="Arial" w:hAnsi="Arial"/>
                <w:sz w:val="17"/>
                <w:szCs w:val="17"/>
                <w:color w:val="auto"/>
              </w:rPr>
              <w:t>Relapsing forms of MS</w:t>
            </w:r>
          </w:p>
        </w:tc>
        <w:tc>
          <w:tcPr>
            <w:tcW w:w="2540" w:type="dxa"/>
            <w:vAlign w:val="bottom"/>
          </w:tcPr>
          <w:p>
            <w:pPr>
              <w:ind w:left="200"/>
              <w:spacing w:after="0" w:line="192" w:lineRule="exact"/>
              <w:rPr>
                <w:sz w:val="20"/>
                <w:szCs w:val="20"/>
                <w:color w:val="auto"/>
              </w:rPr>
            </w:pPr>
            <w:r>
              <w:rPr>
                <w:rFonts w:ascii="Arial" w:cs="Arial" w:eastAsia="Arial" w:hAnsi="Arial"/>
                <w:sz w:val="17"/>
                <w:szCs w:val="17"/>
                <w:color w:val="auto"/>
              </w:rPr>
              <w:t>None</w:t>
            </w:r>
          </w:p>
        </w:tc>
        <w:tc>
          <w:tcPr>
            <w:tcW w:w="2180" w:type="dxa"/>
            <w:vAlign w:val="bottom"/>
          </w:tcPr>
          <w:p>
            <w:pPr>
              <w:ind w:left="400"/>
              <w:spacing w:after="0" w:line="192" w:lineRule="exact"/>
              <w:rPr>
                <w:sz w:val="20"/>
                <w:szCs w:val="20"/>
                <w:color w:val="auto"/>
              </w:rPr>
            </w:pPr>
            <w:r>
              <w:rPr>
                <w:rFonts w:ascii="Arial" w:cs="Arial" w:eastAsia="Arial" w:hAnsi="Arial"/>
                <w:sz w:val="17"/>
                <w:szCs w:val="17"/>
                <w:color w:val="auto"/>
              </w:rPr>
              <w:t>Japan</w:t>
            </w: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180" w:type="dxa"/>
            <w:vAlign w:val="bottom"/>
          </w:tcPr>
          <w:p>
            <w:pPr>
              <w:ind w:left="400"/>
              <w:spacing w:after="0" w:line="192" w:lineRule="exact"/>
              <w:rPr>
                <w:sz w:val="20"/>
                <w:szCs w:val="20"/>
                <w:color w:val="auto"/>
              </w:rPr>
            </w:pPr>
            <w:r>
              <w:rPr>
                <w:rFonts w:ascii="Arial" w:cs="Arial" w:eastAsia="Arial" w:hAnsi="Arial"/>
                <w:sz w:val="17"/>
                <w:szCs w:val="17"/>
                <w:color w:val="auto"/>
              </w:rPr>
              <w:t>Italy</w:t>
            </w: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180" w:type="dxa"/>
            <w:vAlign w:val="bottom"/>
          </w:tcPr>
          <w:p>
            <w:pPr>
              <w:ind w:left="400"/>
              <w:spacing w:after="0" w:line="192" w:lineRule="exact"/>
              <w:rPr>
                <w:sz w:val="20"/>
                <w:szCs w:val="20"/>
                <w:color w:val="auto"/>
              </w:rPr>
            </w:pPr>
            <w:r>
              <w:rPr>
                <w:rFonts w:ascii="Arial" w:cs="Arial" w:eastAsia="Arial" w:hAnsi="Arial"/>
                <w:sz w:val="17"/>
                <w:szCs w:val="17"/>
                <w:color w:val="auto"/>
              </w:rPr>
              <w:t>Spain</w:t>
            </w:r>
          </w:p>
        </w:tc>
        <w:tc>
          <w:tcPr>
            <w:tcW w:w="0" w:type="dxa"/>
            <w:vAlign w:val="bottom"/>
          </w:tcPr>
          <w:p>
            <w:pPr>
              <w:spacing w:after="0"/>
              <w:rPr>
                <w:sz w:val="1"/>
                <w:szCs w:val="1"/>
                <w:color w:val="auto"/>
              </w:rPr>
            </w:pPr>
          </w:p>
        </w:tc>
      </w:tr>
      <w:tr>
        <w:trPr>
          <w:trHeight w:val="212"/>
        </w:trPr>
        <w:tc>
          <w:tcPr>
            <w:tcW w:w="1880" w:type="dxa"/>
            <w:vAlign w:val="bottom"/>
            <w:tcBorders>
              <w:bottom w:val="single" w:sz="8" w:color="auto"/>
            </w:tcBorders>
          </w:tcPr>
          <w:p>
            <w:pPr>
              <w:spacing w:after="0"/>
              <w:rPr>
                <w:sz w:val="18"/>
                <w:szCs w:val="18"/>
                <w:color w:val="auto"/>
              </w:rPr>
            </w:pPr>
          </w:p>
        </w:tc>
        <w:tc>
          <w:tcPr>
            <w:tcW w:w="48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ind w:left="400"/>
              <w:spacing w:after="0"/>
              <w:rPr>
                <w:sz w:val="20"/>
                <w:szCs w:val="20"/>
                <w:color w:val="auto"/>
              </w:rPr>
            </w:pPr>
            <w:r>
              <w:rPr>
                <w:rFonts w:ascii="Arial" w:cs="Arial" w:eastAsia="Arial" w:hAnsi="Arial"/>
                <w:sz w:val="17"/>
                <w:szCs w:val="17"/>
                <w:color w:val="auto"/>
              </w:rPr>
              <w:t>U.K.</w:t>
            </w:r>
          </w:p>
        </w:tc>
        <w:tc>
          <w:tcPr>
            <w:tcW w:w="0" w:type="dxa"/>
            <w:vAlign w:val="bottom"/>
          </w:tcPr>
          <w:p>
            <w:pPr>
              <w:spacing w:after="0"/>
              <w:rPr>
                <w:sz w:val="1"/>
                <w:szCs w:val="1"/>
                <w:color w:val="auto"/>
              </w:rPr>
            </w:pPr>
          </w:p>
        </w:tc>
      </w:tr>
      <w:tr>
        <w:trPr>
          <w:trHeight w:val="332"/>
        </w:trPr>
        <w:tc>
          <w:tcPr>
            <w:tcW w:w="18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180" w:type="dxa"/>
            <w:vAlign w:val="bottom"/>
          </w:tcPr>
          <w:p>
            <w:pPr>
              <w:ind w:left="400"/>
              <w:spacing w:after="0"/>
              <w:rPr>
                <w:sz w:val="20"/>
                <w:szCs w:val="20"/>
                <w:color w:val="auto"/>
              </w:rPr>
            </w:pPr>
            <w:r>
              <w:rPr>
                <w:rFonts w:ascii="Arial" w:cs="Arial" w:eastAsia="Arial" w:hAnsi="Arial"/>
                <w:sz w:val="17"/>
                <w:szCs w:val="17"/>
                <w:color w:val="auto"/>
              </w:rPr>
              <w:t>U.S.</w:t>
            </w: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4820" w:type="dxa"/>
            <w:vAlign w:val="bottom"/>
            <w:vMerge w:val="restart"/>
          </w:tcPr>
          <w:p>
            <w:pPr>
              <w:ind w:left="1340"/>
              <w:spacing w:after="0"/>
              <w:rPr>
                <w:sz w:val="20"/>
                <w:szCs w:val="20"/>
                <w:color w:val="auto"/>
              </w:rPr>
            </w:pPr>
            <w:r>
              <w:rPr>
                <w:rFonts w:ascii="Arial" w:cs="Arial" w:eastAsia="Arial" w:hAnsi="Arial"/>
                <w:sz w:val="17"/>
                <w:szCs w:val="17"/>
                <w:color w:val="auto"/>
              </w:rPr>
              <w:t>Relapsing forms of MS in the U.S.</w:t>
            </w:r>
          </w:p>
        </w:tc>
        <w:tc>
          <w:tcPr>
            <w:tcW w:w="2540" w:type="dxa"/>
            <w:vAlign w:val="bottom"/>
          </w:tcPr>
          <w:p>
            <w:pPr>
              <w:spacing w:after="0"/>
              <w:rPr>
                <w:sz w:val="16"/>
                <w:szCs w:val="16"/>
                <w:color w:val="auto"/>
              </w:rPr>
            </w:pPr>
          </w:p>
        </w:tc>
        <w:tc>
          <w:tcPr>
            <w:tcW w:w="2180" w:type="dxa"/>
            <w:vAlign w:val="bottom"/>
          </w:tcPr>
          <w:p>
            <w:pPr>
              <w:ind w:left="400"/>
              <w:spacing w:after="0" w:line="192" w:lineRule="exact"/>
              <w:rPr>
                <w:sz w:val="20"/>
                <w:szCs w:val="20"/>
                <w:color w:val="auto"/>
              </w:rPr>
            </w:pPr>
            <w:r>
              <w:rPr>
                <w:rFonts w:ascii="Arial" w:cs="Arial" w:eastAsia="Arial" w:hAnsi="Arial"/>
                <w:sz w:val="17"/>
                <w:szCs w:val="17"/>
                <w:color w:val="auto"/>
              </w:rPr>
              <w:t>France</w:t>
            </w:r>
          </w:p>
        </w:tc>
        <w:tc>
          <w:tcPr>
            <w:tcW w:w="0" w:type="dxa"/>
            <w:vAlign w:val="bottom"/>
          </w:tcPr>
          <w:p>
            <w:pPr>
              <w:spacing w:after="0"/>
              <w:rPr>
                <w:sz w:val="1"/>
                <w:szCs w:val="1"/>
                <w:color w:val="auto"/>
              </w:rPr>
            </w:pPr>
          </w:p>
        </w:tc>
      </w:tr>
      <w:tr>
        <w:trPr>
          <w:trHeight w:val="102"/>
        </w:trPr>
        <w:tc>
          <w:tcPr>
            <w:tcW w:w="1880" w:type="dxa"/>
            <w:vAlign w:val="bottom"/>
          </w:tcPr>
          <w:p>
            <w:pPr>
              <w:spacing w:after="0"/>
              <w:rPr>
                <w:sz w:val="8"/>
                <w:szCs w:val="8"/>
                <w:color w:val="auto"/>
              </w:rPr>
            </w:pPr>
          </w:p>
        </w:tc>
        <w:tc>
          <w:tcPr>
            <w:tcW w:w="4820" w:type="dxa"/>
            <w:vAlign w:val="bottom"/>
            <w:vMerge w:val="continue"/>
          </w:tcPr>
          <w:p>
            <w:pPr>
              <w:spacing w:after="0"/>
              <w:rPr>
                <w:sz w:val="8"/>
                <w:szCs w:val="8"/>
                <w:color w:val="auto"/>
              </w:rPr>
            </w:pPr>
          </w:p>
        </w:tc>
        <w:tc>
          <w:tcPr>
            <w:tcW w:w="2540" w:type="dxa"/>
            <w:vAlign w:val="bottom"/>
            <w:vMerge w:val="restart"/>
          </w:tcPr>
          <w:p>
            <w:pPr>
              <w:ind w:left="200"/>
              <w:spacing w:after="0"/>
              <w:rPr>
                <w:sz w:val="20"/>
                <w:szCs w:val="20"/>
                <w:color w:val="auto"/>
              </w:rPr>
            </w:pPr>
            <w:r>
              <w:rPr>
                <w:rFonts w:ascii="Arial" w:cs="Arial" w:eastAsia="Arial" w:hAnsi="Arial"/>
                <w:sz w:val="17"/>
                <w:szCs w:val="17"/>
                <w:color w:val="auto"/>
              </w:rPr>
              <w:t>None</w:t>
            </w:r>
          </w:p>
        </w:tc>
        <w:tc>
          <w:tcPr>
            <w:tcW w:w="2180" w:type="dxa"/>
            <w:vAlign w:val="bottom"/>
            <w:vMerge w:val="restart"/>
          </w:tcPr>
          <w:p>
            <w:pPr>
              <w:ind w:left="400"/>
              <w:spacing w:after="0" w:line="192" w:lineRule="exact"/>
              <w:rPr>
                <w:sz w:val="20"/>
                <w:szCs w:val="20"/>
                <w:color w:val="auto"/>
              </w:rPr>
            </w:pPr>
            <w:r>
              <w:rPr>
                <w:rFonts w:ascii="Arial" w:cs="Arial" w:eastAsia="Arial" w:hAnsi="Arial"/>
                <w:sz w:val="17"/>
                <w:szCs w:val="17"/>
                <w:color w:val="auto"/>
              </w:rPr>
              <w:t>Germany</w:t>
            </w:r>
          </w:p>
        </w:tc>
        <w:tc>
          <w:tcPr>
            <w:tcW w:w="0" w:type="dxa"/>
            <w:vAlign w:val="bottom"/>
          </w:tcPr>
          <w:p>
            <w:pPr>
              <w:spacing w:after="0"/>
              <w:rPr>
                <w:sz w:val="1"/>
                <w:szCs w:val="1"/>
                <w:color w:val="auto"/>
              </w:rPr>
            </w:pPr>
          </w:p>
        </w:tc>
      </w:tr>
      <w:tr>
        <w:trPr>
          <w:trHeight w:val="90"/>
        </w:trPr>
        <w:tc>
          <w:tcPr>
            <w:tcW w:w="1880" w:type="dxa"/>
            <w:vAlign w:val="bottom"/>
          </w:tcPr>
          <w:p>
            <w:pPr>
              <w:spacing w:after="0"/>
              <w:rPr>
                <w:sz w:val="7"/>
                <w:szCs w:val="7"/>
                <w:color w:val="auto"/>
              </w:rPr>
            </w:pPr>
          </w:p>
        </w:tc>
        <w:tc>
          <w:tcPr>
            <w:tcW w:w="4820" w:type="dxa"/>
            <w:vAlign w:val="bottom"/>
          </w:tcPr>
          <w:p>
            <w:pPr>
              <w:spacing w:after="0"/>
              <w:rPr>
                <w:sz w:val="7"/>
                <w:szCs w:val="7"/>
                <w:color w:val="auto"/>
              </w:rPr>
            </w:pPr>
          </w:p>
        </w:tc>
        <w:tc>
          <w:tcPr>
            <w:tcW w:w="2540" w:type="dxa"/>
            <w:vAlign w:val="bottom"/>
            <w:vMerge w:val="continue"/>
          </w:tcPr>
          <w:p>
            <w:pPr>
              <w:spacing w:after="0"/>
              <w:rPr>
                <w:sz w:val="7"/>
                <w:szCs w:val="7"/>
                <w:color w:val="auto"/>
              </w:rPr>
            </w:pPr>
          </w:p>
        </w:tc>
        <w:tc>
          <w:tcPr>
            <w:tcW w:w="2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1880" w:type="dxa"/>
            <w:vAlign w:val="bottom"/>
          </w:tcPr>
          <w:p>
            <w:pPr>
              <w:spacing w:after="0"/>
              <w:rPr>
                <w:sz w:val="8"/>
                <w:szCs w:val="8"/>
                <w:color w:val="auto"/>
              </w:rPr>
            </w:pPr>
          </w:p>
        </w:tc>
        <w:tc>
          <w:tcPr>
            <w:tcW w:w="4820" w:type="dxa"/>
            <w:vAlign w:val="bottom"/>
            <w:vMerge w:val="restart"/>
          </w:tcPr>
          <w:p>
            <w:pPr>
              <w:ind w:left="1340"/>
              <w:spacing w:after="0"/>
              <w:rPr>
                <w:sz w:val="20"/>
                <w:szCs w:val="20"/>
                <w:color w:val="auto"/>
              </w:rPr>
            </w:pPr>
            <w:r>
              <w:rPr>
                <w:rFonts w:ascii="Arial" w:cs="Arial" w:eastAsia="Arial" w:hAnsi="Arial"/>
                <w:sz w:val="17"/>
                <w:szCs w:val="17"/>
                <w:color w:val="auto"/>
              </w:rPr>
              <w:t>RRMS in the E.U.</w:t>
            </w:r>
          </w:p>
        </w:tc>
        <w:tc>
          <w:tcPr>
            <w:tcW w:w="2540" w:type="dxa"/>
            <w:vAlign w:val="bottom"/>
            <w:vMerge w:val="continue"/>
          </w:tcPr>
          <w:p>
            <w:pPr>
              <w:spacing w:after="0"/>
              <w:rPr>
                <w:sz w:val="8"/>
                <w:szCs w:val="8"/>
                <w:color w:val="auto"/>
              </w:rPr>
            </w:pPr>
          </w:p>
        </w:tc>
        <w:tc>
          <w:tcPr>
            <w:tcW w:w="2180" w:type="dxa"/>
            <w:vAlign w:val="bottom"/>
            <w:vMerge w:val="restart"/>
          </w:tcPr>
          <w:p>
            <w:pPr>
              <w:ind w:left="400"/>
              <w:spacing w:after="0" w:line="192" w:lineRule="exact"/>
              <w:rPr>
                <w:sz w:val="20"/>
                <w:szCs w:val="20"/>
                <w:color w:val="auto"/>
              </w:rPr>
            </w:pPr>
            <w:r>
              <w:rPr>
                <w:rFonts w:ascii="Arial" w:cs="Arial" w:eastAsia="Arial" w:hAnsi="Arial"/>
                <w:sz w:val="17"/>
                <w:szCs w:val="17"/>
                <w:color w:val="auto"/>
              </w:rPr>
              <w:t>Italy</w:t>
            </w:r>
          </w:p>
        </w:tc>
        <w:tc>
          <w:tcPr>
            <w:tcW w:w="0" w:type="dxa"/>
            <w:vAlign w:val="bottom"/>
          </w:tcPr>
          <w:p>
            <w:pPr>
              <w:spacing w:after="0"/>
              <w:rPr>
                <w:sz w:val="1"/>
                <w:szCs w:val="1"/>
                <w:color w:val="auto"/>
              </w:rPr>
            </w:pPr>
          </w:p>
        </w:tc>
      </w:tr>
      <w:tr>
        <w:trPr>
          <w:trHeight w:val="90"/>
        </w:trPr>
        <w:tc>
          <w:tcPr>
            <w:tcW w:w="1880" w:type="dxa"/>
            <w:vAlign w:val="bottom"/>
          </w:tcPr>
          <w:p>
            <w:pPr>
              <w:spacing w:after="0"/>
              <w:rPr>
                <w:sz w:val="7"/>
                <w:szCs w:val="7"/>
                <w:color w:val="auto"/>
              </w:rPr>
            </w:pPr>
          </w:p>
        </w:tc>
        <w:tc>
          <w:tcPr>
            <w:tcW w:w="4820" w:type="dxa"/>
            <w:vAlign w:val="bottom"/>
            <w:vMerge w:val="continue"/>
          </w:tcPr>
          <w:p>
            <w:pPr>
              <w:spacing w:after="0"/>
              <w:rPr>
                <w:sz w:val="7"/>
                <w:szCs w:val="7"/>
                <w:color w:val="auto"/>
              </w:rPr>
            </w:pPr>
          </w:p>
        </w:tc>
        <w:tc>
          <w:tcPr>
            <w:tcW w:w="2540" w:type="dxa"/>
            <w:vAlign w:val="bottom"/>
          </w:tcPr>
          <w:p>
            <w:pPr>
              <w:spacing w:after="0"/>
              <w:rPr>
                <w:sz w:val="7"/>
                <w:szCs w:val="7"/>
                <w:color w:val="auto"/>
              </w:rPr>
            </w:pPr>
          </w:p>
        </w:tc>
        <w:tc>
          <w:tcPr>
            <w:tcW w:w="2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1880" w:type="dxa"/>
            <w:vAlign w:val="bottom"/>
          </w:tcPr>
          <w:p>
            <w:pPr>
              <w:spacing w:after="0"/>
              <w:rPr>
                <w:sz w:val="8"/>
                <w:szCs w:val="8"/>
                <w:color w:val="auto"/>
              </w:rPr>
            </w:pPr>
          </w:p>
        </w:tc>
        <w:tc>
          <w:tcPr>
            <w:tcW w:w="4820" w:type="dxa"/>
            <w:vAlign w:val="bottom"/>
            <w:vMerge w:val="continue"/>
          </w:tcPr>
          <w:p>
            <w:pPr>
              <w:spacing w:after="0"/>
              <w:rPr>
                <w:sz w:val="8"/>
                <w:szCs w:val="8"/>
                <w:color w:val="auto"/>
              </w:rPr>
            </w:pPr>
          </w:p>
        </w:tc>
        <w:tc>
          <w:tcPr>
            <w:tcW w:w="2540" w:type="dxa"/>
            <w:vAlign w:val="bottom"/>
          </w:tcPr>
          <w:p>
            <w:pPr>
              <w:spacing w:after="0"/>
              <w:rPr>
                <w:sz w:val="8"/>
                <w:szCs w:val="8"/>
                <w:color w:val="auto"/>
              </w:rPr>
            </w:pPr>
          </w:p>
        </w:tc>
        <w:tc>
          <w:tcPr>
            <w:tcW w:w="2180" w:type="dxa"/>
            <w:vAlign w:val="bottom"/>
            <w:vMerge w:val="restart"/>
          </w:tcPr>
          <w:p>
            <w:pPr>
              <w:ind w:left="400"/>
              <w:spacing w:after="0" w:line="192" w:lineRule="exact"/>
              <w:rPr>
                <w:sz w:val="20"/>
                <w:szCs w:val="20"/>
                <w:color w:val="auto"/>
              </w:rPr>
            </w:pPr>
            <w:r>
              <w:rPr>
                <w:rFonts w:ascii="Arial" w:cs="Arial" w:eastAsia="Arial" w:hAnsi="Arial"/>
                <w:sz w:val="17"/>
                <w:szCs w:val="17"/>
                <w:color w:val="auto"/>
              </w:rPr>
              <w:t>Spain</w:t>
            </w:r>
          </w:p>
        </w:tc>
        <w:tc>
          <w:tcPr>
            <w:tcW w:w="0" w:type="dxa"/>
            <w:vAlign w:val="bottom"/>
          </w:tcPr>
          <w:p>
            <w:pPr>
              <w:spacing w:after="0"/>
              <w:rPr>
                <w:sz w:val="1"/>
                <w:szCs w:val="1"/>
                <w:color w:val="auto"/>
              </w:rPr>
            </w:pPr>
          </w:p>
        </w:tc>
      </w:tr>
      <w:tr>
        <w:trPr>
          <w:trHeight w:val="90"/>
        </w:trPr>
        <w:tc>
          <w:tcPr>
            <w:tcW w:w="1880" w:type="dxa"/>
            <w:vAlign w:val="bottom"/>
          </w:tcPr>
          <w:p>
            <w:pPr>
              <w:spacing w:after="0"/>
              <w:rPr>
                <w:sz w:val="7"/>
                <w:szCs w:val="7"/>
                <w:color w:val="auto"/>
              </w:rPr>
            </w:pPr>
          </w:p>
        </w:tc>
        <w:tc>
          <w:tcPr>
            <w:tcW w:w="4820" w:type="dxa"/>
            <w:vAlign w:val="bottom"/>
          </w:tcPr>
          <w:p>
            <w:pPr>
              <w:spacing w:after="0"/>
              <w:rPr>
                <w:sz w:val="7"/>
                <w:szCs w:val="7"/>
                <w:color w:val="auto"/>
              </w:rPr>
            </w:pPr>
          </w:p>
        </w:tc>
        <w:tc>
          <w:tcPr>
            <w:tcW w:w="2540" w:type="dxa"/>
            <w:vAlign w:val="bottom"/>
          </w:tcPr>
          <w:p>
            <w:pPr>
              <w:spacing w:after="0"/>
              <w:rPr>
                <w:sz w:val="7"/>
                <w:szCs w:val="7"/>
                <w:color w:val="auto"/>
              </w:rPr>
            </w:pPr>
          </w:p>
        </w:tc>
        <w:tc>
          <w:tcPr>
            <w:tcW w:w="2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1880" w:type="dxa"/>
            <w:vAlign w:val="bottom"/>
            <w:tcBorders>
              <w:bottom w:val="single" w:sz="8" w:color="auto"/>
            </w:tcBorders>
          </w:tcPr>
          <w:p>
            <w:pPr>
              <w:spacing w:after="0"/>
              <w:rPr>
                <w:sz w:val="18"/>
                <w:szCs w:val="18"/>
                <w:color w:val="auto"/>
              </w:rPr>
            </w:pPr>
          </w:p>
        </w:tc>
        <w:tc>
          <w:tcPr>
            <w:tcW w:w="48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ind w:left="400"/>
              <w:spacing w:after="0"/>
              <w:rPr>
                <w:sz w:val="20"/>
                <w:szCs w:val="20"/>
                <w:color w:val="auto"/>
              </w:rPr>
            </w:pPr>
            <w:r>
              <w:rPr>
                <w:rFonts w:ascii="Arial" w:cs="Arial" w:eastAsia="Arial" w:hAnsi="Arial"/>
                <w:sz w:val="17"/>
                <w:szCs w:val="17"/>
                <w:color w:val="auto"/>
              </w:rPr>
              <w:t>U.K.</w:t>
            </w:r>
          </w:p>
        </w:tc>
        <w:tc>
          <w:tcPr>
            <w:tcW w:w="0" w:type="dxa"/>
            <w:vAlign w:val="bottom"/>
          </w:tcPr>
          <w:p>
            <w:pPr>
              <w:spacing w:after="0"/>
              <w:rPr>
                <w:sz w:val="1"/>
                <w:szCs w:val="1"/>
                <w:color w:val="auto"/>
              </w:rPr>
            </w:pPr>
          </w:p>
        </w:tc>
      </w:tr>
      <w:tr>
        <w:trPr>
          <w:trHeight w:val="332"/>
        </w:trPr>
        <w:tc>
          <w:tcPr>
            <w:tcW w:w="18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180" w:type="dxa"/>
            <w:vAlign w:val="bottom"/>
          </w:tcPr>
          <w:p>
            <w:pPr>
              <w:ind w:left="400"/>
              <w:spacing w:after="0"/>
              <w:rPr>
                <w:sz w:val="20"/>
                <w:szCs w:val="20"/>
                <w:color w:val="auto"/>
              </w:rPr>
            </w:pPr>
            <w:r>
              <w:rPr>
                <w:rFonts w:ascii="Arial" w:cs="Arial" w:eastAsia="Arial" w:hAnsi="Arial"/>
                <w:sz w:val="17"/>
                <w:szCs w:val="17"/>
                <w:color w:val="auto"/>
              </w:rPr>
              <w:t>U.S.</w:t>
            </w: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4820" w:type="dxa"/>
            <w:vAlign w:val="bottom"/>
            <w:vMerge w:val="restart"/>
          </w:tcPr>
          <w:p>
            <w:pPr>
              <w:ind w:left="1340"/>
              <w:spacing w:after="0"/>
              <w:rPr>
                <w:sz w:val="20"/>
                <w:szCs w:val="20"/>
                <w:color w:val="auto"/>
              </w:rPr>
            </w:pPr>
            <w:r>
              <w:rPr>
                <w:rFonts w:ascii="Arial" w:cs="Arial" w:eastAsia="Arial" w:hAnsi="Arial"/>
                <w:sz w:val="17"/>
                <w:szCs w:val="17"/>
                <w:color w:val="auto"/>
              </w:rPr>
              <w:t>Relapsing forms of MS</w:t>
            </w:r>
          </w:p>
        </w:tc>
        <w:tc>
          <w:tcPr>
            <w:tcW w:w="2540" w:type="dxa"/>
            <w:vAlign w:val="bottom"/>
          </w:tcPr>
          <w:p>
            <w:pPr>
              <w:spacing w:after="0"/>
              <w:rPr>
                <w:sz w:val="16"/>
                <w:szCs w:val="16"/>
                <w:color w:val="auto"/>
              </w:rPr>
            </w:pPr>
          </w:p>
        </w:tc>
        <w:tc>
          <w:tcPr>
            <w:tcW w:w="2180" w:type="dxa"/>
            <w:vAlign w:val="bottom"/>
          </w:tcPr>
          <w:p>
            <w:pPr>
              <w:ind w:left="400"/>
              <w:spacing w:after="0" w:line="192" w:lineRule="exact"/>
              <w:rPr>
                <w:sz w:val="20"/>
                <w:szCs w:val="20"/>
                <w:color w:val="auto"/>
              </w:rPr>
            </w:pPr>
            <w:r>
              <w:rPr>
                <w:rFonts w:ascii="Arial" w:cs="Arial" w:eastAsia="Arial" w:hAnsi="Arial"/>
                <w:sz w:val="17"/>
                <w:szCs w:val="17"/>
                <w:color w:val="auto"/>
              </w:rPr>
              <w:t>France</w:t>
            </w:r>
          </w:p>
        </w:tc>
        <w:tc>
          <w:tcPr>
            <w:tcW w:w="0" w:type="dxa"/>
            <w:vAlign w:val="bottom"/>
          </w:tcPr>
          <w:p>
            <w:pPr>
              <w:spacing w:after="0"/>
              <w:rPr>
                <w:sz w:val="1"/>
                <w:szCs w:val="1"/>
                <w:color w:val="auto"/>
              </w:rPr>
            </w:pPr>
          </w:p>
        </w:tc>
      </w:tr>
      <w:tr>
        <w:trPr>
          <w:trHeight w:val="102"/>
        </w:trPr>
        <w:tc>
          <w:tcPr>
            <w:tcW w:w="1880" w:type="dxa"/>
            <w:vAlign w:val="bottom"/>
          </w:tcPr>
          <w:p>
            <w:pPr>
              <w:spacing w:after="0"/>
              <w:rPr>
                <w:sz w:val="8"/>
                <w:szCs w:val="8"/>
                <w:color w:val="auto"/>
              </w:rPr>
            </w:pPr>
          </w:p>
        </w:tc>
        <w:tc>
          <w:tcPr>
            <w:tcW w:w="4820" w:type="dxa"/>
            <w:vAlign w:val="bottom"/>
            <w:vMerge w:val="continue"/>
          </w:tcPr>
          <w:p>
            <w:pPr>
              <w:spacing w:after="0"/>
              <w:rPr>
                <w:sz w:val="8"/>
                <w:szCs w:val="8"/>
                <w:color w:val="auto"/>
              </w:rPr>
            </w:pPr>
          </w:p>
        </w:tc>
        <w:tc>
          <w:tcPr>
            <w:tcW w:w="2540" w:type="dxa"/>
            <w:vAlign w:val="bottom"/>
            <w:vMerge w:val="restart"/>
          </w:tcPr>
          <w:p>
            <w:pPr>
              <w:ind w:left="200"/>
              <w:spacing w:after="0"/>
              <w:rPr>
                <w:sz w:val="20"/>
                <w:szCs w:val="20"/>
                <w:color w:val="auto"/>
              </w:rPr>
            </w:pPr>
            <w:r>
              <w:rPr>
                <w:rFonts w:ascii="Arial" w:cs="Arial" w:eastAsia="Arial" w:hAnsi="Arial"/>
                <w:sz w:val="17"/>
                <w:szCs w:val="17"/>
                <w:color w:val="auto"/>
              </w:rPr>
              <w:t>None</w:t>
            </w:r>
          </w:p>
        </w:tc>
        <w:tc>
          <w:tcPr>
            <w:tcW w:w="2180" w:type="dxa"/>
            <w:vAlign w:val="bottom"/>
            <w:vMerge w:val="restart"/>
          </w:tcPr>
          <w:p>
            <w:pPr>
              <w:ind w:left="400"/>
              <w:spacing w:after="0" w:line="192" w:lineRule="exact"/>
              <w:rPr>
                <w:sz w:val="20"/>
                <w:szCs w:val="20"/>
                <w:color w:val="auto"/>
              </w:rPr>
            </w:pPr>
            <w:r>
              <w:rPr>
                <w:rFonts w:ascii="Arial" w:cs="Arial" w:eastAsia="Arial" w:hAnsi="Arial"/>
                <w:sz w:val="17"/>
                <w:szCs w:val="17"/>
                <w:color w:val="auto"/>
              </w:rPr>
              <w:t>Germany</w:t>
            </w:r>
          </w:p>
        </w:tc>
        <w:tc>
          <w:tcPr>
            <w:tcW w:w="0" w:type="dxa"/>
            <w:vAlign w:val="bottom"/>
          </w:tcPr>
          <w:p>
            <w:pPr>
              <w:spacing w:after="0"/>
              <w:rPr>
                <w:sz w:val="1"/>
                <w:szCs w:val="1"/>
                <w:color w:val="auto"/>
              </w:rPr>
            </w:pPr>
          </w:p>
        </w:tc>
      </w:tr>
      <w:tr>
        <w:trPr>
          <w:trHeight w:val="90"/>
        </w:trPr>
        <w:tc>
          <w:tcPr>
            <w:tcW w:w="1880" w:type="dxa"/>
            <w:vAlign w:val="bottom"/>
          </w:tcPr>
          <w:p>
            <w:pPr>
              <w:spacing w:after="0"/>
              <w:rPr>
                <w:sz w:val="7"/>
                <w:szCs w:val="7"/>
                <w:color w:val="auto"/>
              </w:rPr>
            </w:pPr>
          </w:p>
        </w:tc>
        <w:tc>
          <w:tcPr>
            <w:tcW w:w="4820" w:type="dxa"/>
            <w:vAlign w:val="bottom"/>
          </w:tcPr>
          <w:p>
            <w:pPr>
              <w:spacing w:after="0"/>
              <w:rPr>
                <w:sz w:val="7"/>
                <w:szCs w:val="7"/>
                <w:color w:val="auto"/>
              </w:rPr>
            </w:pPr>
          </w:p>
        </w:tc>
        <w:tc>
          <w:tcPr>
            <w:tcW w:w="2540" w:type="dxa"/>
            <w:vAlign w:val="bottom"/>
            <w:vMerge w:val="continue"/>
          </w:tcPr>
          <w:p>
            <w:pPr>
              <w:spacing w:after="0"/>
              <w:rPr>
                <w:sz w:val="7"/>
                <w:szCs w:val="7"/>
                <w:color w:val="auto"/>
              </w:rPr>
            </w:pPr>
          </w:p>
        </w:tc>
        <w:tc>
          <w:tcPr>
            <w:tcW w:w="2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1880" w:type="dxa"/>
            <w:vAlign w:val="bottom"/>
          </w:tcPr>
          <w:p>
            <w:pPr>
              <w:spacing w:after="0"/>
              <w:rPr>
                <w:sz w:val="8"/>
                <w:szCs w:val="8"/>
                <w:color w:val="auto"/>
              </w:rPr>
            </w:pPr>
          </w:p>
        </w:tc>
        <w:tc>
          <w:tcPr>
            <w:tcW w:w="4820" w:type="dxa"/>
            <w:vAlign w:val="bottom"/>
            <w:vMerge w:val="restart"/>
          </w:tcPr>
          <w:p>
            <w:pPr>
              <w:ind w:left="1340"/>
              <w:spacing w:after="0"/>
              <w:rPr>
                <w:sz w:val="20"/>
                <w:szCs w:val="20"/>
                <w:color w:val="auto"/>
              </w:rPr>
            </w:pPr>
            <w:r>
              <w:rPr>
                <w:rFonts w:ascii="Arial" w:cs="Arial" w:eastAsia="Arial" w:hAnsi="Arial"/>
                <w:sz w:val="17"/>
                <w:szCs w:val="17"/>
                <w:color w:val="auto"/>
              </w:rPr>
              <w:t>Crohn's disease in the U.S.</w:t>
            </w:r>
          </w:p>
        </w:tc>
        <w:tc>
          <w:tcPr>
            <w:tcW w:w="2540" w:type="dxa"/>
            <w:vAlign w:val="bottom"/>
            <w:vMerge w:val="continue"/>
          </w:tcPr>
          <w:p>
            <w:pPr>
              <w:spacing w:after="0"/>
              <w:rPr>
                <w:sz w:val="8"/>
                <w:szCs w:val="8"/>
                <w:color w:val="auto"/>
              </w:rPr>
            </w:pPr>
          </w:p>
        </w:tc>
        <w:tc>
          <w:tcPr>
            <w:tcW w:w="2180" w:type="dxa"/>
            <w:vAlign w:val="bottom"/>
            <w:vMerge w:val="restart"/>
          </w:tcPr>
          <w:p>
            <w:pPr>
              <w:ind w:left="400"/>
              <w:spacing w:after="0" w:line="192" w:lineRule="exact"/>
              <w:rPr>
                <w:sz w:val="20"/>
                <w:szCs w:val="20"/>
                <w:color w:val="auto"/>
              </w:rPr>
            </w:pPr>
            <w:r>
              <w:rPr>
                <w:rFonts w:ascii="Arial" w:cs="Arial" w:eastAsia="Arial" w:hAnsi="Arial"/>
                <w:sz w:val="17"/>
                <w:szCs w:val="17"/>
                <w:color w:val="auto"/>
              </w:rPr>
              <w:t>Italy</w:t>
            </w:r>
          </w:p>
        </w:tc>
        <w:tc>
          <w:tcPr>
            <w:tcW w:w="0" w:type="dxa"/>
            <w:vAlign w:val="bottom"/>
          </w:tcPr>
          <w:p>
            <w:pPr>
              <w:spacing w:after="0"/>
              <w:rPr>
                <w:sz w:val="1"/>
                <w:szCs w:val="1"/>
                <w:color w:val="auto"/>
              </w:rPr>
            </w:pPr>
          </w:p>
        </w:tc>
      </w:tr>
      <w:tr>
        <w:trPr>
          <w:trHeight w:val="90"/>
        </w:trPr>
        <w:tc>
          <w:tcPr>
            <w:tcW w:w="1880" w:type="dxa"/>
            <w:vAlign w:val="bottom"/>
          </w:tcPr>
          <w:p>
            <w:pPr>
              <w:spacing w:after="0"/>
              <w:rPr>
                <w:sz w:val="7"/>
                <w:szCs w:val="7"/>
                <w:color w:val="auto"/>
              </w:rPr>
            </w:pPr>
          </w:p>
        </w:tc>
        <w:tc>
          <w:tcPr>
            <w:tcW w:w="4820" w:type="dxa"/>
            <w:vAlign w:val="bottom"/>
            <w:vMerge w:val="continue"/>
          </w:tcPr>
          <w:p>
            <w:pPr>
              <w:spacing w:after="0"/>
              <w:rPr>
                <w:sz w:val="7"/>
                <w:szCs w:val="7"/>
                <w:color w:val="auto"/>
              </w:rPr>
            </w:pPr>
          </w:p>
        </w:tc>
        <w:tc>
          <w:tcPr>
            <w:tcW w:w="2540" w:type="dxa"/>
            <w:vAlign w:val="bottom"/>
          </w:tcPr>
          <w:p>
            <w:pPr>
              <w:spacing w:after="0"/>
              <w:rPr>
                <w:sz w:val="7"/>
                <w:szCs w:val="7"/>
                <w:color w:val="auto"/>
              </w:rPr>
            </w:pPr>
          </w:p>
        </w:tc>
        <w:tc>
          <w:tcPr>
            <w:tcW w:w="2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1880" w:type="dxa"/>
            <w:vAlign w:val="bottom"/>
          </w:tcPr>
          <w:p>
            <w:pPr>
              <w:spacing w:after="0"/>
              <w:rPr>
                <w:sz w:val="8"/>
                <w:szCs w:val="8"/>
                <w:color w:val="auto"/>
              </w:rPr>
            </w:pPr>
          </w:p>
        </w:tc>
        <w:tc>
          <w:tcPr>
            <w:tcW w:w="4820" w:type="dxa"/>
            <w:vAlign w:val="bottom"/>
            <w:vMerge w:val="continue"/>
          </w:tcPr>
          <w:p>
            <w:pPr>
              <w:spacing w:after="0"/>
              <w:rPr>
                <w:sz w:val="8"/>
                <w:szCs w:val="8"/>
                <w:color w:val="auto"/>
              </w:rPr>
            </w:pPr>
          </w:p>
        </w:tc>
        <w:tc>
          <w:tcPr>
            <w:tcW w:w="2540" w:type="dxa"/>
            <w:vAlign w:val="bottom"/>
          </w:tcPr>
          <w:p>
            <w:pPr>
              <w:spacing w:after="0"/>
              <w:rPr>
                <w:sz w:val="8"/>
                <w:szCs w:val="8"/>
                <w:color w:val="auto"/>
              </w:rPr>
            </w:pPr>
          </w:p>
        </w:tc>
        <w:tc>
          <w:tcPr>
            <w:tcW w:w="2180" w:type="dxa"/>
            <w:vAlign w:val="bottom"/>
            <w:vMerge w:val="restart"/>
          </w:tcPr>
          <w:p>
            <w:pPr>
              <w:ind w:left="400"/>
              <w:spacing w:after="0" w:line="192" w:lineRule="exact"/>
              <w:rPr>
                <w:sz w:val="20"/>
                <w:szCs w:val="20"/>
                <w:color w:val="auto"/>
              </w:rPr>
            </w:pPr>
            <w:r>
              <w:rPr>
                <w:rFonts w:ascii="Arial" w:cs="Arial" w:eastAsia="Arial" w:hAnsi="Arial"/>
                <w:sz w:val="17"/>
                <w:szCs w:val="17"/>
                <w:color w:val="auto"/>
              </w:rPr>
              <w:t>Spain</w:t>
            </w:r>
          </w:p>
        </w:tc>
        <w:tc>
          <w:tcPr>
            <w:tcW w:w="0" w:type="dxa"/>
            <w:vAlign w:val="bottom"/>
          </w:tcPr>
          <w:p>
            <w:pPr>
              <w:spacing w:after="0"/>
              <w:rPr>
                <w:sz w:val="1"/>
                <w:szCs w:val="1"/>
                <w:color w:val="auto"/>
              </w:rPr>
            </w:pPr>
          </w:p>
        </w:tc>
      </w:tr>
      <w:tr>
        <w:trPr>
          <w:trHeight w:val="90"/>
        </w:trPr>
        <w:tc>
          <w:tcPr>
            <w:tcW w:w="1880" w:type="dxa"/>
            <w:vAlign w:val="bottom"/>
          </w:tcPr>
          <w:p>
            <w:pPr>
              <w:spacing w:after="0"/>
              <w:rPr>
                <w:sz w:val="7"/>
                <w:szCs w:val="7"/>
                <w:color w:val="auto"/>
              </w:rPr>
            </w:pPr>
          </w:p>
        </w:tc>
        <w:tc>
          <w:tcPr>
            <w:tcW w:w="4820" w:type="dxa"/>
            <w:vAlign w:val="bottom"/>
          </w:tcPr>
          <w:p>
            <w:pPr>
              <w:spacing w:after="0"/>
              <w:rPr>
                <w:sz w:val="7"/>
                <w:szCs w:val="7"/>
                <w:color w:val="auto"/>
              </w:rPr>
            </w:pPr>
          </w:p>
        </w:tc>
        <w:tc>
          <w:tcPr>
            <w:tcW w:w="2540" w:type="dxa"/>
            <w:vAlign w:val="bottom"/>
          </w:tcPr>
          <w:p>
            <w:pPr>
              <w:spacing w:after="0"/>
              <w:rPr>
                <w:sz w:val="7"/>
                <w:szCs w:val="7"/>
                <w:color w:val="auto"/>
              </w:rPr>
            </w:pPr>
          </w:p>
        </w:tc>
        <w:tc>
          <w:tcPr>
            <w:tcW w:w="2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1880" w:type="dxa"/>
            <w:vAlign w:val="bottom"/>
            <w:tcBorders>
              <w:bottom w:val="single" w:sz="8" w:color="auto"/>
            </w:tcBorders>
          </w:tcPr>
          <w:p>
            <w:pPr>
              <w:spacing w:after="0"/>
              <w:rPr>
                <w:sz w:val="18"/>
                <w:szCs w:val="18"/>
                <w:color w:val="auto"/>
              </w:rPr>
            </w:pPr>
          </w:p>
        </w:tc>
        <w:tc>
          <w:tcPr>
            <w:tcW w:w="48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ind w:left="400"/>
              <w:spacing w:after="0"/>
              <w:rPr>
                <w:sz w:val="20"/>
                <w:szCs w:val="20"/>
                <w:color w:val="auto"/>
              </w:rPr>
            </w:pPr>
            <w:r>
              <w:rPr>
                <w:rFonts w:ascii="Arial" w:cs="Arial" w:eastAsia="Arial" w:hAnsi="Arial"/>
                <w:sz w:val="17"/>
                <w:szCs w:val="17"/>
                <w:color w:val="auto"/>
              </w:rPr>
              <w:t>U.K.</w:t>
            </w:r>
          </w:p>
        </w:tc>
        <w:tc>
          <w:tcPr>
            <w:tcW w:w="0" w:type="dxa"/>
            <w:vAlign w:val="bottom"/>
          </w:tcPr>
          <w:p>
            <w:pPr>
              <w:spacing w:after="0"/>
              <w:rPr>
                <w:sz w:val="1"/>
                <w:szCs w:val="1"/>
                <w:color w:val="auto"/>
              </w:rPr>
            </w:pPr>
          </w:p>
        </w:tc>
      </w:tr>
      <w:tr>
        <w:trPr>
          <w:trHeight w:val="473"/>
        </w:trPr>
        <w:tc>
          <w:tcPr>
            <w:tcW w:w="1880" w:type="dxa"/>
            <w:vAlign w:val="bottom"/>
          </w:tcPr>
          <w:p>
            <w:pPr>
              <w:spacing w:after="0"/>
              <w:rPr>
                <w:sz w:val="24"/>
                <w:szCs w:val="24"/>
                <w:color w:val="auto"/>
              </w:rPr>
            </w:pPr>
          </w:p>
        </w:tc>
        <w:tc>
          <w:tcPr>
            <w:tcW w:w="4820" w:type="dxa"/>
            <w:vAlign w:val="bottom"/>
            <w:vMerge w:val="restart"/>
          </w:tcPr>
          <w:p>
            <w:pPr>
              <w:ind w:left="1340"/>
              <w:spacing w:after="0"/>
              <w:rPr>
                <w:sz w:val="20"/>
                <w:szCs w:val="20"/>
                <w:color w:val="auto"/>
              </w:rPr>
            </w:pPr>
            <w:r>
              <w:rPr>
                <w:rFonts w:ascii="Arial" w:cs="Arial" w:eastAsia="Arial" w:hAnsi="Arial"/>
                <w:sz w:val="17"/>
                <w:szCs w:val="17"/>
                <w:color w:val="auto"/>
              </w:rPr>
              <w:t>Relapsing forms of MS</w:t>
            </w:r>
          </w:p>
        </w:tc>
        <w:tc>
          <w:tcPr>
            <w:tcW w:w="2540" w:type="dxa"/>
            <w:vAlign w:val="bottom"/>
            <w:vMerge w:val="restart"/>
          </w:tcPr>
          <w:p>
            <w:pPr>
              <w:ind w:left="200"/>
              <w:spacing w:after="0"/>
              <w:rPr>
                <w:sz w:val="20"/>
                <w:szCs w:val="20"/>
                <w:color w:val="auto"/>
              </w:rPr>
            </w:pPr>
            <w:r>
              <w:rPr>
                <w:rFonts w:ascii="Arial" w:cs="Arial" w:eastAsia="Arial" w:hAnsi="Arial"/>
                <w:sz w:val="17"/>
                <w:szCs w:val="17"/>
                <w:color w:val="auto"/>
              </w:rPr>
              <w:t>AbbVie Inc. (AbbVie)</w:t>
            </w:r>
          </w:p>
        </w:tc>
        <w:tc>
          <w:tcPr>
            <w:tcW w:w="2180" w:type="dxa"/>
            <w:vAlign w:val="bottom"/>
          </w:tcPr>
          <w:p>
            <w:pPr>
              <w:ind w:left="400"/>
              <w:spacing w:after="0"/>
              <w:rPr>
                <w:sz w:val="20"/>
                <w:szCs w:val="20"/>
                <w:color w:val="auto"/>
              </w:rPr>
            </w:pPr>
            <w:r>
              <w:rPr>
                <w:rFonts w:ascii="Arial" w:cs="Arial" w:eastAsia="Arial" w:hAnsi="Arial"/>
                <w:sz w:val="17"/>
                <w:szCs w:val="17"/>
                <w:color w:val="auto"/>
              </w:rPr>
              <w:t>U.S.</w:t>
            </w:r>
          </w:p>
        </w:tc>
        <w:tc>
          <w:tcPr>
            <w:tcW w:w="0" w:type="dxa"/>
            <w:vAlign w:val="bottom"/>
          </w:tcPr>
          <w:p>
            <w:pPr>
              <w:spacing w:after="0"/>
              <w:rPr>
                <w:sz w:val="1"/>
                <w:szCs w:val="1"/>
                <w:color w:val="auto"/>
              </w:rPr>
            </w:pPr>
          </w:p>
        </w:tc>
      </w:tr>
      <w:tr>
        <w:trPr>
          <w:trHeight w:val="115"/>
        </w:trPr>
        <w:tc>
          <w:tcPr>
            <w:tcW w:w="1880" w:type="dxa"/>
            <w:vAlign w:val="bottom"/>
          </w:tcPr>
          <w:p>
            <w:pPr>
              <w:spacing w:after="0"/>
              <w:rPr>
                <w:sz w:val="9"/>
                <w:szCs w:val="9"/>
                <w:color w:val="auto"/>
              </w:rPr>
            </w:pPr>
          </w:p>
        </w:tc>
        <w:tc>
          <w:tcPr>
            <w:tcW w:w="4820" w:type="dxa"/>
            <w:vAlign w:val="bottom"/>
            <w:vMerge w:val="continue"/>
          </w:tcPr>
          <w:p>
            <w:pPr>
              <w:spacing w:after="0"/>
              <w:rPr>
                <w:sz w:val="9"/>
                <w:szCs w:val="9"/>
                <w:color w:val="auto"/>
              </w:rPr>
            </w:pPr>
          </w:p>
        </w:tc>
        <w:tc>
          <w:tcPr>
            <w:tcW w:w="2540" w:type="dxa"/>
            <w:vAlign w:val="bottom"/>
            <w:vMerge w:val="continue"/>
          </w:tcPr>
          <w:p>
            <w:pPr>
              <w:spacing w:after="0"/>
              <w:rPr>
                <w:sz w:val="9"/>
                <w:szCs w:val="9"/>
                <w:color w:val="auto"/>
              </w:rPr>
            </w:pPr>
          </w:p>
        </w:tc>
        <w:tc>
          <w:tcPr>
            <w:tcW w:w="2180" w:type="dxa"/>
            <w:vAlign w:val="bottom"/>
            <w:vMerge w:val="restart"/>
          </w:tcPr>
          <w:p>
            <w:pPr>
              <w:ind w:left="400"/>
              <w:spacing w:after="0"/>
              <w:rPr>
                <w:sz w:val="20"/>
                <w:szCs w:val="20"/>
                <w:color w:val="auto"/>
              </w:rPr>
            </w:pPr>
            <w:r>
              <w:rPr>
                <w:rFonts w:ascii="Arial" w:cs="Arial" w:eastAsia="Arial" w:hAnsi="Arial"/>
                <w:sz w:val="17"/>
                <w:szCs w:val="17"/>
                <w:color w:val="auto"/>
              </w:rPr>
              <w:t>Germany</w:t>
            </w:r>
          </w:p>
        </w:tc>
        <w:tc>
          <w:tcPr>
            <w:tcW w:w="0" w:type="dxa"/>
            <w:vAlign w:val="bottom"/>
          </w:tcPr>
          <w:p>
            <w:pPr>
              <w:spacing w:after="0"/>
              <w:rPr>
                <w:sz w:val="1"/>
                <w:szCs w:val="1"/>
                <w:color w:val="auto"/>
              </w:rPr>
            </w:pPr>
          </w:p>
        </w:tc>
      </w:tr>
      <w:tr>
        <w:trPr>
          <w:trHeight w:val="90"/>
        </w:trPr>
        <w:tc>
          <w:tcPr>
            <w:tcW w:w="1880" w:type="dxa"/>
            <w:vAlign w:val="bottom"/>
          </w:tcPr>
          <w:p>
            <w:pPr>
              <w:spacing w:after="0"/>
              <w:rPr>
                <w:sz w:val="7"/>
                <w:szCs w:val="7"/>
                <w:color w:val="auto"/>
              </w:rPr>
            </w:pPr>
          </w:p>
        </w:tc>
        <w:tc>
          <w:tcPr>
            <w:tcW w:w="4820" w:type="dxa"/>
            <w:vAlign w:val="bottom"/>
          </w:tcPr>
          <w:p>
            <w:pPr>
              <w:spacing w:after="0"/>
              <w:rPr>
                <w:sz w:val="7"/>
                <w:szCs w:val="7"/>
                <w:color w:val="auto"/>
              </w:rPr>
            </w:pPr>
          </w:p>
        </w:tc>
        <w:tc>
          <w:tcPr>
            <w:tcW w:w="2540" w:type="dxa"/>
            <w:vAlign w:val="bottom"/>
          </w:tcPr>
          <w:p>
            <w:pPr>
              <w:spacing w:after="0"/>
              <w:rPr>
                <w:sz w:val="7"/>
                <w:szCs w:val="7"/>
                <w:color w:val="auto"/>
              </w:rPr>
            </w:pPr>
          </w:p>
        </w:tc>
        <w:tc>
          <w:tcPr>
            <w:tcW w:w="2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1880" w:type="dxa"/>
            <w:vAlign w:val="bottom"/>
            <w:tcBorders>
              <w:bottom w:val="single" w:sz="8" w:color="auto"/>
            </w:tcBorders>
          </w:tcPr>
          <w:p>
            <w:pPr>
              <w:spacing w:after="0"/>
              <w:rPr>
                <w:sz w:val="14"/>
                <w:szCs w:val="14"/>
                <w:color w:val="auto"/>
              </w:rPr>
            </w:pPr>
          </w:p>
        </w:tc>
        <w:tc>
          <w:tcPr>
            <w:tcW w:w="48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25"/>
        </w:trPr>
        <w:tc>
          <w:tcPr>
            <w:tcW w:w="18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540" w:type="dxa"/>
            <w:vAlign w:val="bottom"/>
            <w:vMerge w:val="restart"/>
          </w:tcPr>
          <w:p>
            <w:pPr>
              <w:ind w:left="200"/>
              <w:spacing w:after="0"/>
              <w:rPr>
                <w:sz w:val="20"/>
                <w:szCs w:val="20"/>
                <w:color w:val="auto"/>
              </w:rPr>
            </w:pPr>
            <w:r>
              <w:rPr>
                <w:rFonts w:ascii="Arial" w:cs="Arial" w:eastAsia="Arial" w:hAnsi="Arial"/>
                <w:sz w:val="17"/>
                <w:szCs w:val="17"/>
                <w:color w:val="auto"/>
              </w:rPr>
              <w:t>Acorda Therapeutics, Inc.</w:t>
            </w:r>
          </w:p>
        </w:tc>
        <w:tc>
          <w:tcPr>
            <w:tcW w:w="2180" w:type="dxa"/>
            <w:vAlign w:val="bottom"/>
          </w:tcPr>
          <w:p>
            <w:pPr>
              <w:ind w:left="400"/>
              <w:spacing w:after="0"/>
              <w:rPr>
                <w:sz w:val="20"/>
                <w:szCs w:val="20"/>
                <w:color w:val="auto"/>
              </w:rPr>
            </w:pPr>
            <w:r>
              <w:rPr>
                <w:rFonts w:ascii="Arial" w:cs="Arial" w:eastAsia="Arial" w:hAnsi="Arial"/>
                <w:sz w:val="17"/>
                <w:szCs w:val="17"/>
                <w:color w:val="auto"/>
              </w:rPr>
              <w:t>France</w:t>
            </w:r>
          </w:p>
        </w:tc>
        <w:tc>
          <w:tcPr>
            <w:tcW w:w="0" w:type="dxa"/>
            <w:vAlign w:val="bottom"/>
          </w:tcPr>
          <w:p>
            <w:pPr>
              <w:spacing w:after="0"/>
              <w:rPr>
                <w:sz w:val="1"/>
                <w:szCs w:val="1"/>
                <w:color w:val="auto"/>
              </w:rPr>
            </w:pPr>
          </w:p>
        </w:tc>
      </w:tr>
      <w:tr>
        <w:trPr>
          <w:trHeight w:val="90"/>
        </w:trPr>
        <w:tc>
          <w:tcPr>
            <w:tcW w:w="1880" w:type="dxa"/>
            <w:vAlign w:val="bottom"/>
          </w:tcPr>
          <w:p>
            <w:pPr>
              <w:spacing w:after="0"/>
              <w:rPr>
                <w:sz w:val="7"/>
                <w:szCs w:val="7"/>
                <w:color w:val="auto"/>
              </w:rPr>
            </w:pPr>
          </w:p>
        </w:tc>
        <w:tc>
          <w:tcPr>
            <w:tcW w:w="4820" w:type="dxa"/>
            <w:vAlign w:val="bottom"/>
            <w:vMerge w:val="restart"/>
          </w:tcPr>
          <w:p>
            <w:pPr>
              <w:ind w:left="1340"/>
              <w:spacing w:after="0"/>
              <w:rPr>
                <w:sz w:val="20"/>
                <w:szCs w:val="20"/>
                <w:color w:val="auto"/>
              </w:rPr>
            </w:pPr>
            <w:r>
              <w:rPr>
                <w:rFonts w:ascii="Arial" w:cs="Arial" w:eastAsia="Arial" w:hAnsi="Arial"/>
                <w:sz w:val="17"/>
                <w:szCs w:val="17"/>
                <w:color w:val="auto"/>
              </w:rPr>
              <w:t>Walking ability for patients with MS</w:t>
            </w:r>
          </w:p>
        </w:tc>
        <w:tc>
          <w:tcPr>
            <w:tcW w:w="2540" w:type="dxa"/>
            <w:vAlign w:val="bottom"/>
            <w:vMerge w:val="continue"/>
          </w:tcPr>
          <w:p>
            <w:pPr>
              <w:spacing w:after="0"/>
              <w:rPr>
                <w:sz w:val="7"/>
                <w:szCs w:val="7"/>
                <w:color w:val="auto"/>
              </w:rPr>
            </w:pPr>
          </w:p>
        </w:tc>
        <w:tc>
          <w:tcPr>
            <w:tcW w:w="2180" w:type="dxa"/>
            <w:vAlign w:val="bottom"/>
            <w:vMerge w:val="restart"/>
          </w:tcPr>
          <w:p>
            <w:pPr>
              <w:ind w:left="400"/>
              <w:spacing w:after="0"/>
              <w:rPr>
                <w:sz w:val="20"/>
                <w:szCs w:val="20"/>
                <w:color w:val="auto"/>
              </w:rPr>
            </w:pPr>
            <w:r>
              <w:rPr>
                <w:rFonts w:ascii="Arial" w:cs="Arial" w:eastAsia="Arial" w:hAnsi="Arial"/>
                <w:sz w:val="17"/>
                <w:szCs w:val="17"/>
                <w:color w:val="auto"/>
              </w:rPr>
              <w:t>Germany</w:t>
            </w:r>
          </w:p>
        </w:tc>
        <w:tc>
          <w:tcPr>
            <w:tcW w:w="0" w:type="dxa"/>
            <w:vAlign w:val="bottom"/>
          </w:tcPr>
          <w:p>
            <w:pPr>
              <w:spacing w:after="0"/>
              <w:rPr>
                <w:sz w:val="1"/>
                <w:szCs w:val="1"/>
                <w:color w:val="auto"/>
              </w:rPr>
            </w:pPr>
          </w:p>
        </w:tc>
      </w:tr>
      <w:tr>
        <w:trPr>
          <w:trHeight w:val="115"/>
        </w:trPr>
        <w:tc>
          <w:tcPr>
            <w:tcW w:w="1880" w:type="dxa"/>
            <w:vAlign w:val="bottom"/>
          </w:tcPr>
          <w:p>
            <w:pPr>
              <w:spacing w:after="0"/>
              <w:rPr>
                <w:sz w:val="9"/>
                <w:szCs w:val="9"/>
                <w:color w:val="auto"/>
              </w:rPr>
            </w:pPr>
          </w:p>
        </w:tc>
        <w:tc>
          <w:tcPr>
            <w:tcW w:w="4820" w:type="dxa"/>
            <w:vAlign w:val="bottom"/>
            <w:vMerge w:val="continue"/>
          </w:tcPr>
          <w:p>
            <w:pPr>
              <w:spacing w:after="0"/>
              <w:rPr>
                <w:sz w:val="9"/>
                <w:szCs w:val="9"/>
                <w:color w:val="auto"/>
              </w:rPr>
            </w:pPr>
          </w:p>
        </w:tc>
        <w:tc>
          <w:tcPr>
            <w:tcW w:w="2540" w:type="dxa"/>
            <w:vAlign w:val="bottom"/>
            <w:vMerge w:val="restart"/>
          </w:tcPr>
          <w:p>
            <w:pPr>
              <w:ind w:left="200"/>
              <w:spacing w:after="0"/>
              <w:rPr>
                <w:sz w:val="20"/>
                <w:szCs w:val="20"/>
                <w:color w:val="auto"/>
              </w:rPr>
            </w:pPr>
            <w:r>
              <w:rPr>
                <w:rFonts w:ascii="Arial" w:cs="Arial" w:eastAsia="Arial" w:hAnsi="Arial"/>
                <w:sz w:val="17"/>
                <w:szCs w:val="17"/>
                <w:color w:val="auto"/>
              </w:rPr>
              <w:t>(Acorda)</w:t>
            </w:r>
          </w:p>
        </w:tc>
        <w:tc>
          <w:tcPr>
            <w:tcW w:w="2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880" w:type="dxa"/>
            <w:vAlign w:val="bottom"/>
          </w:tcPr>
          <w:p>
            <w:pPr>
              <w:spacing w:after="0"/>
              <w:rPr>
                <w:sz w:val="7"/>
                <w:szCs w:val="7"/>
                <w:color w:val="auto"/>
              </w:rPr>
            </w:pPr>
          </w:p>
        </w:tc>
        <w:tc>
          <w:tcPr>
            <w:tcW w:w="4820" w:type="dxa"/>
            <w:vAlign w:val="bottom"/>
          </w:tcPr>
          <w:p>
            <w:pPr>
              <w:spacing w:after="0"/>
              <w:rPr>
                <w:sz w:val="7"/>
                <w:szCs w:val="7"/>
                <w:color w:val="auto"/>
              </w:rPr>
            </w:pPr>
          </w:p>
        </w:tc>
        <w:tc>
          <w:tcPr>
            <w:tcW w:w="2540" w:type="dxa"/>
            <w:vAlign w:val="bottom"/>
            <w:vMerge w:val="continue"/>
          </w:tcPr>
          <w:p>
            <w:pPr>
              <w:spacing w:after="0"/>
              <w:rPr>
                <w:sz w:val="7"/>
                <w:szCs w:val="7"/>
                <w:color w:val="auto"/>
              </w:rPr>
            </w:pPr>
          </w:p>
        </w:tc>
        <w:tc>
          <w:tcPr>
            <w:tcW w:w="2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880" w:type="dxa"/>
            <w:vAlign w:val="bottom"/>
            <w:tcBorders>
              <w:bottom w:val="single" w:sz="8" w:color="auto"/>
            </w:tcBorders>
          </w:tcPr>
          <w:p>
            <w:pPr>
              <w:spacing w:after="0"/>
              <w:rPr>
                <w:sz w:val="10"/>
                <w:szCs w:val="10"/>
                <w:color w:val="auto"/>
              </w:rPr>
            </w:pPr>
          </w:p>
        </w:tc>
        <w:tc>
          <w:tcPr>
            <w:tcW w:w="4820" w:type="dxa"/>
            <w:vAlign w:val="bottom"/>
            <w:tcBorders>
              <w:bottom w:val="single" w:sz="8" w:color="auto"/>
            </w:tcBorders>
          </w:tcPr>
          <w:p>
            <w:pPr>
              <w:spacing w:after="0"/>
              <w:rPr>
                <w:sz w:val="10"/>
                <w:szCs w:val="10"/>
                <w:color w:val="auto"/>
              </w:rPr>
            </w:pPr>
          </w:p>
        </w:tc>
        <w:tc>
          <w:tcPr>
            <w:tcW w:w="254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27"/>
        </w:trPr>
        <w:tc>
          <w:tcPr>
            <w:tcW w:w="1880" w:type="dxa"/>
            <w:vAlign w:val="bottom"/>
          </w:tcPr>
          <w:p>
            <w:pPr>
              <w:spacing w:after="0"/>
              <w:rPr>
                <w:sz w:val="24"/>
                <w:szCs w:val="24"/>
                <w:color w:val="auto"/>
              </w:rPr>
            </w:pPr>
          </w:p>
        </w:tc>
        <w:tc>
          <w:tcPr>
            <w:tcW w:w="4820" w:type="dxa"/>
            <w:vAlign w:val="bottom"/>
          </w:tcPr>
          <w:p>
            <w:pPr>
              <w:ind w:left="3740"/>
              <w:spacing w:after="0"/>
              <w:rPr>
                <w:sz w:val="20"/>
                <w:szCs w:val="20"/>
                <w:color w:val="auto"/>
              </w:rPr>
            </w:pPr>
            <w:r>
              <w:rPr>
                <w:rFonts w:ascii="Arial" w:cs="Arial" w:eastAsia="Arial" w:hAnsi="Arial"/>
                <w:sz w:val="17"/>
                <w:szCs w:val="17"/>
                <w:color w:val="auto"/>
              </w:rPr>
              <w:t>10</w:t>
            </w:r>
          </w:p>
        </w:tc>
        <w:tc>
          <w:tcPr>
            <w:tcW w:w="25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-4560570</wp:posOffset>
            </wp:positionV>
            <wp:extent cx="1398905" cy="300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98905" cy="30099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-3641725</wp:posOffset>
            </wp:positionV>
            <wp:extent cx="1089660" cy="3987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89660" cy="39878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-2853055</wp:posOffset>
            </wp:positionV>
            <wp:extent cx="1040765" cy="6261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40765" cy="62611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-1210310</wp:posOffset>
            </wp:positionV>
            <wp:extent cx="1170940" cy="431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70940" cy="43116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-633095</wp:posOffset>
            </wp:positionV>
            <wp:extent cx="1081405" cy="300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81405" cy="3009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Neuromuscular Diseases</w:t>
      </w:r>
    </w:p>
    <w:p>
      <w:pPr>
        <w:spacing w:after="0" w:line="106" w:lineRule="exact"/>
        <w:rPr>
          <w:sz w:val="20"/>
          <w:szCs w:val="20"/>
          <w:color w:val="auto"/>
        </w:rPr>
      </w:pPr>
    </w:p>
    <w:p>
      <w:pPr>
        <w:ind w:right="40" w:firstLine="410"/>
        <w:spacing w:after="0" w:line="253" w:lineRule="auto"/>
        <w:rPr>
          <w:sz w:val="20"/>
          <w:szCs w:val="20"/>
          <w:color w:val="auto"/>
        </w:rPr>
      </w:pPr>
      <w:r>
        <w:rPr>
          <w:rFonts w:ascii="Arial" w:cs="Arial" w:eastAsia="Arial" w:hAnsi="Arial"/>
          <w:sz w:val="17"/>
          <w:szCs w:val="17"/>
          <w:color w:val="auto"/>
        </w:rPr>
        <w:t>SMA is characterized by loss of motor neurons in the spinal cord and lower brain stem, resulting in severe and progressive muscular atrophy and weakness. Ultimately, individuals with the most severe type of SMA can become paralyzed and have difficulty performing the basic functions of life, like breathing and swallowing. Due to a loss of, or defect in, the SMN1 gene, people with SMA do not produce enough survival motor neuron (SMN) protein, which is critical for the maintenance of motor neurons. The severity of SMA correlates with the amount of SMN protein. People with Type 1 SMA, the most severe life-threatening form, produce very little SMN protein and do not achieve the ability to sit without support or live beyond two years without respiratory support. People with Type 2 and Type 3 SMA produce greater amounts of SMN protein and have less severe, but still life-altering, forms of SMA.</w:t>
      </w:r>
    </w:p>
    <w:p>
      <w:pPr>
        <w:spacing w:after="0" w:line="6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December 2016 the FDA approved SPINRAZA for the treatment of SMA in pediatric and adult patients. In June 2017 the EC approved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SPINRAZA for the treatment of SMA in pediatric and adult patients in the E.U. The Japanese Ministry of Health, Labor and Welfare approved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SPINRAZA for the treatment of infantile SMA in July 2017 and for the treatment of pediatric and adult patients with SMA in September 2017.</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products for SMA and major markets include: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w:t>
            </w:r>
          </w:p>
        </w:tc>
        <w:tc>
          <w:tcPr>
            <w:tcW w:w="350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Indication</w:t>
            </w:r>
          </w:p>
        </w:tc>
        <w:tc>
          <w:tcPr>
            <w:tcW w:w="328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Collaborator</w:t>
            </w:r>
          </w:p>
        </w:tc>
        <w:tc>
          <w:tcPr>
            <w:tcW w:w="276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Major Markets</w:t>
            </w:r>
          </w:p>
        </w:tc>
      </w:tr>
      <w:tr>
        <w:trPr>
          <w:trHeight w:val="382"/>
        </w:trPr>
        <w:tc>
          <w:tcPr>
            <w:tcW w:w="18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760" w:type="dxa"/>
            <w:vAlign w:val="bottom"/>
          </w:tcPr>
          <w:p>
            <w:pPr>
              <w:ind w:left="980"/>
              <w:spacing w:after="0"/>
              <w:rPr>
                <w:sz w:val="20"/>
                <w:szCs w:val="20"/>
                <w:color w:val="auto"/>
              </w:rPr>
            </w:pPr>
            <w:r>
              <w:rPr>
                <w:rFonts w:ascii="Arial" w:cs="Arial" w:eastAsia="Arial" w:hAnsi="Arial"/>
                <w:sz w:val="17"/>
                <w:szCs w:val="17"/>
                <w:color w:val="auto"/>
              </w:rPr>
              <w:t>U.S.</w:t>
            </w:r>
          </w:p>
        </w:tc>
      </w:tr>
      <w:tr>
        <w:trPr>
          <w:trHeight w:val="192"/>
        </w:trPr>
        <w:tc>
          <w:tcPr>
            <w:tcW w:w="18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760" w:type="dxa"/>
            <w:vAlign w:val="bottom"/>
          </w:tcPr>
          <w:p>
            <w:pPr>
              <w:ind w:left="980"/>
              <w:spacing w:after="0" w:line="192" w:lineRule="exact"/>
              <w:rPr>
                <w:sz w:val="20"/>
                <w:szCs w:val="20"/>
                <w:color w:val="auto"/>
              </w:rPr>
            </w:pPr>
            <w:r>
              <w:rPr>
                <w:rFonts w:ascii="Arial" w:cs="Arial" w:eastAsia="Arial" w:hAnsi="Arial"/>
                <w:sz w:val="17"/>
                <w:szCs w:val="17"/>
                <w:color w:val="auto"/>
              </w:rPr>
              <w:t>France</w:t>
            </w:r>
          </w:p>
        </w:tc>
      </w:tr>
      <w:tr>
        <w:trPr>
          <w:trHeight w:val="192"/>
        </w:trPr>
        <w:tc>
          <w:tcPr>
            <w:tcW w:w="1880" w:type="dxa"/>
            <w:vAlign w:val="bottom"/>
          </w:tcPr>
          <w:p>
            <w:pPr>
              <w:spacing w:after="0"/>
              <w:rPr>
                <w:sz w:val="16"/>
                <w:szCs w:val="16"/>
                <w:color w:val="auto"/>
              </w:rPr>
            </w:pPr>
          </w:p>
        </w:tc>
        <w:tc>
          <w:tcPr>
            <w:tcW w:w="3500" w:type="dxa"/>
            <w:vAlign w:val="bottom"/>
          </w:tcPr>
          <w:p>
            <w:pPr>
              <w:ind w:left="1340"/>
              <w:spacing w:after="0" w:line="192" w:lineRule="exact"/>
              <w:rPr>
                <w:sz w:val="20"/>
                <w:szCs w:val="20"/>
                <w:color w:val="auto"/>
              </w:rPr>
            </w:pPr>
            <w:r>
              <w:rPr>
                <w:rFonts w:ascii="Arial" w:cs="Arial" w:eastAsia="Arial" w:hAnsi="Arial"/>
                <w:sz w:val="17"/>
                <w:szCs w:val="17"/>
                <w:color w:val="auto"/>
              </w:rPr>
              <w:t>SMA</w:t>
            </w:r>
          </w:p>
        </w:tc>
        <w:tc>
          <w:tcPr>
            <w:tcW w:w="3280" w:type="dxa"/>
            <w:vAlign w:val="bottom"/>
          </w:tcPr>
          <w:p>
            <w:pPr>
              <w:ind w:left="1520"/>
              <w:spacing w:after="0" w:line="192" w:lineRule="exact"/>
              <w:rPr>
                <w:sz w:val="20"/>
                <w:szCs w:val="20"/>
                <w:color w:val="auto"/>
              </w:rPr>
            </w:pPr>
            <w:r>
              <w:rPr>
                <w:rFonts w:ascii="Arial" w:cs="Arial" w:eastAsia="Arial" w:hAnsi="Arial"/>
                <w:sz w:val="17"/>
                <w:szCs w:val="17"/>
                <w:color w:val="auto"/>
              </w:rPr>
              <w:t>Ionis</w:t>
            </w:r>
          </w:p>
        </w:tc>
        <w:tc>
          <w:tcPr>
            <w:tcW w:w="2760" w:type="dxa"/>
            <w:vAlign w:val="bottom"/>
          </w:tcPr>
          <w:p>
            <w:pPr>
              <w:ind w:left="980"/>
              <w:spacing w:after="0" w:line="192" w:lineRule="exact"/>
              <w:rPr>
                <w:sz w:val="20"/>
                <w:szCs w:val="20"/>
                <w:color w:val="auto"/>
              </w:rPr>
            </w:pPr>
            <w:r>
              <w:rPr>
                <w:rFonts w:ascii="Arial" w:cs="Arial" w:eastAsia="Arial" w:hAnsi="Arial"/>
                <w:sz w:val="17"/>
                <w:szCs w:val="17"/>
                <w:color w:val="auto"/>
              </w:rPr>
              <w:t>Germany</w:t>
            </w:r>
          </w:p>
        </w:tc>
      </w:tr>
      <w:tr>
        <w:trPr>
          <w:trHeight w:val="192"/>
        </w:trPr>
        <w:tc>
          <w:tcPr>
            <w:tcW w:w="18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760" w:type="dxa"/>
            <w:vAlign w:val="bottom"/>
          </w:tcPr>
          <w:p>
            <w:pPr>
              <w:ind w:left="980"/>
              <w:spacing w:after="0" w:line="192" w:lineRule="exact"/>
              <w:rPr>
                <w:sz w:val="20"/>
                <w:szCs w:val="20"/>
                <w:color w:val="auto"/>
              </w:rPr>
            </w:pPr>
            <w:r>
              <w:rPr>
                <w:rFonts w:ascii="Arial" w:cs="Arial" w:eastAsia="Arial" w:hAnsi="Arial"/>
                <w:sz w:val="17"/>
                <w:szCs w:val="17"/>
                <w:color w:val="auto"/>
              </w:rPr>
              <w:t>Japan</w:t>
            </w:r>
          </w:p>
        </w:tc>
      </w:tr>
      <w:tr>
        <w:trPr>
          <w:trHeight w:val="204"/>
        </w:trPr>
        <w:tc>
          <w:tcPr>
            <w:tcW w:w="188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760" w:type="dxa"/>
            <w:vAlign w:val="bottom"/>
          </w:tcPr>
          <w:p>
            <w:pPr>
              <w:ind w:left="980"/>
              <w:spacing w:after="0"/>
              <w:rPr>
                <w:sz w:val="20"/>
                <w:szCs w:val="20"/>
                <w:color w:val="auto"/>
              </w:rPr>
            </w:pPr>
            <w:r>
              <w:rPr>
                <w:rFonts w:ascii="Arial" w:cs="Arial" w:eastAsia="Arial" w:hAnsi="Arial"/>
                <w:sz w:val="17"/>
                <w:szCs w:val="17"/>
                <w:color w:val="auto"/>
              </w:rPr>
              <w:t>Turkey</w:t>
            </w:r>
          </w:p>
        </w:tc>
      </w:tr>
      <w:tr>
        <w:trPr>
          <w:trHeight w:val="65"/>
        </w:trPr>
        <w:tc>
          <w:tcPr>
            <w:tcW w:w="1880" w:type="dxa"/>
            <w:vAlign w:val="bottom"/>
            <w:tcBorders>
              <w:bottom w:val="single" w:sz="8" w:color="auto"/>
            </w:tcBorders>
          </w:tcPr>
          <w:p>
            <w:pPr>
              <w:spacing w:after="0"/>
              <w:rPr>
                <w:sz w:val="5"/>
                <w:szCs w:val="5"/>
                <w:color w:val="auto"/>
              </w:rPr>
            </w:pPr>
          </w:p>
        </w:tc>
        <w:tc>
          <w:tcPr>
            <w:tcW w:w="3500" w:type="dxa"/>
            <w:vAlign w:val="bottom"/>
            <w:tcBorders>
              <w:bottom w:val="single" w:sz="8" w:color="auto"/>
            </w:tcBorders>
          </w:tcPr>
          <w:p>
            <w:pPr>
              <w:spacing w:after="0"/>
              <w:rPr>
                <w:sz w:val="5"/>
                <w:szCs w:val="5"/>
                <w:color w:val="auto"/>
              </w:rPr>
            </w:pPr>
          </w:p>
        </w:tc>
        <w:tc>
          <w:tcPr>
            <w:tcW w:w="3280" w:type="dxa"/>
            <w:vAlign w:val="bottom"/>
            <w:tcBorders>
              <w:bottom w:val="single" w:sz="8" w:color="auto"/>
            </w:tcBorders>
          </w:tcPr>
          <w:p>
            <w:pPr>
              <w:spacing w:after="0"/>
              <w:rPr>
                <w:sz w:val="5"/>
                <w:szCs w:val="5"/>
                <w:color w:val="auto"/>
              </w:rPr>
            </w:pPr>
          </w:p>
        </w:tc>
        <w:tc>
          <w:tcPr>
            <w:tcW w:w="2760" w:type="dxa"/>
            <w:vAlign w:val="bottom"/>
            <w:tcBorders>
              <w:bottom w:val="single" w:sz="8" w:color="auto"/>
            </w:tcBorders>
          </w:tcPr>
          <w:p>
            <w:pPr>
              <w:spacing w:after="0"/>
              <w:rPr>
                <w:sz w:val="5"/>
                <w:szCs w:val="5"/>
                <w:color w:val="auto"/>
              </w:rPr>
            </w:pPr>
          </w:p>
        </w:tc>
      </w:tr>
    </w:tbl>
    <w:p>
      <w:pPr>
        <w:spacing w:after="0" w:line="13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Biosimilars</w:t>
      </w:r>
    </w:p>
    <w:p>
      <w:pPr>
        <w:spacing w:after="0" w:line="106" w:lineRule="exact"/>
        <w:rPr>
          <w:sz w:val="20"/>
          <w:szCs w:val="20"/>
          <w:color w:val="auto"/>
        </w:rPr>
      </w:pPr>
    </w:p>
    <w:p>
      <w:pPr>
        <w:ind w:right="180" w:firstLine="384"/>
        <w:spacing w:after="0" w:line="255" w:lineRule="auto"/>
        <w:rPr>
          <w:sz w:val="20"/>
          <w:szCs w:val="20"/>
          <w:color w:val="auto"/>
        </w:rPr>
      </w:pPr>
      <w:r>
        <w:rPr>
          <w:rFonts w:ascii="Arial" w:cs="Arial" w:eastAsia="Arial" w:hAnsi="Arial"/>
          <w:sz w:val="17"/>
          <w:szCs w:val="17"/>
          <w:color w:val="auto"/>
        </w:rPr>
        <w:t>Biosimilars are a group of biologic medicines that are similar to currently available biologic therapies known as originators. Under our agreement with Samsung Bioepis, we manufacture and commercialize two anti-TNF biosimilars in certain countries in the E.U.: BENEPALI, an etanercept biosimilar referencing ENBREL, and FLIXABI, an infliximab biosimilar referencing REMICADE. In August 2017 the EC granted a marketing authorization for IMRALDI, an adalimumab biosimilar referencing HUMIRA, in the E.U.</w:t>
      </w:r>
    </w:p>
    <w:p>
      <w:pPr>
        <w:spacing w:after="0" w:line="183" w:lineRule="exact"/>
        <w:rPr>
          <w:sz w:val="20"/>
          <w:szCs w:val="20"/>
          <w:color w:val="auto"/>
        </w:rPr>
      </w:pPr>
    </w:p>
    <w:p>
      <w:pPr>
        <w:ind w:left="20"/>
        <w:spacing w:after="0"/>
        <w:tabs>
          <w:tab w:leader="none" w:pos="3200" w:val="left"/>
          <w:tab w:leader="none" w:pos="9720" w:val="left"/>
        </w:tabs>
        <w:rPr>
          <w:sz w:val="20"/>
          <w:szCs w:val="20"/>
          <w:color w:val="auto"/>
        </w:rPr>
      </w:pPr>
      <w:r>
        <w:rPr>
          <w:rFonts w:ascii="Arial" w:cs="Arial" w:eastAsia="Arial" w:hAnsi="Arial"/>
          <w:sz w:val="14"/>
          <w:szCs w:val="14"/>
          <w:b w:val="1"/>
          <w:bCs w:val="1"/>
          <w:color w:val="auto"/>
        </w:rPr>
        <w:t>Product</w:t>
      </w:r>
      <w:r>
        <w:rPr>
          <w:sz w:val="20"/>
          <w:szCs w:val="20"/>
          <w:color w:val="auto"/>
        </w:rPr>
        <w:tab/>
      </w:r>
      <w:r>
        <w:rPr>
          <w:rFonts w:ascii="Arial" w:cs="Arial" w:eastAsia="Arial" w:hAnsi="Arial"/>
          <w:sz w:val="14"/>
          <w:szCs w:val="14"/>
          <w:b w:val="1"/>
          <w:bCs w:val="1"/>
          <w:color w:val="auto"/>
        </w:rPr>
        <w:t>Indication</w:t>
      </w:r>
      <w:r>
        <w:rPr>
          <w:sz w:val="20"/>
          <w:szCs w:val="20"/>
          <w:color w:val="auto"/>
        </w:rPr>
        <w:tab/>
      </w:r>
      <w:r>
        <w:rPr>
          <w:rFonts w:ascii="Arial" w:cs="Arial" w:eastAsia="Arial" w:hAnsi="Arial"/>
          <w:sz w:val="13"/>
          <w:szCs w:val="13"/>
          <w:b w:val="1"/>
          <w:bCs w:val="1"/>
          <w:color w:val="auto"/>
        </w:rPr>
        <w:t>Major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72536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p>
      <w:pPr>
        <w:spacing w:after="0" w:line="179" w:lineRule="exact"/>
        <w:rPr>
          <w:sz w:val="20"/>
          <w:szCs w:val="20"/>
          <w:color w:val="auto"/>
        </w:rPr>
      </w:pPr>
    </w:p>
    <w:p>
      <w:pPr>
        <w:ind w:left="3220"/>
        <w:spacing w:after="0"/>
        <w:rPr>
          <w:sz w:val="20"/>
          <w:szCs w:val="20"/>
          <w:color w:val="auto"/>
        </w:rPr>
      </w:pPr>
      <w:r>
        <w:rPr>
          <w:rFonts w:ascii="Arial" w:cs="Arial" w:eastAsia="Arial" w:hAnsi="Arial"/>
          <w:sz w:val="17"/>
          <w:szCs w:val="17"/>
          <w:color w:val="auto"/>
        </w:rPr>
        <w:t>Moderate to severe rheumatoid arthritis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-80010</wp:posOffset>
            </wp:positionV>
            <wp:extent cx="1146810" cy="3987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46810" cy="398780"/>
                    </a:xfrm>
                    <a:prstGeom prst="rect">
                      <a:avLst/>
                    </a:prstGeom>
                    <a:noFill/>
                  </pic:spPr>
                </pic:pic>
              </a:graphicData>
            </a:graphic>
          </wp:anchor>
        </w:drawing>
      </w:r>
    </w:p>
    <w:p>
      <w:pPr>
        <w:ind w:left="3220"/>
        <w:spacing w:after="0" w:line="235" w:lineRule="auto"/>
        <w:rPr>
          <w:sz w:val="20"/>
          <w:szCs w:val="20"/>
          <w:color w:val="auto"/>
        </w:rPr>
      </w:pPr>
      <w:r>
        <w:rPr>
          <w:rFonts w:ascii="Arial" w:cs="Arial" w:eastAsia="Arial" w:hAnsi="Arial"/>
          <w:sz w:val="17"/>
          <w:szCs w:val="17"/>
          <w:color w:val="auto"/>
        </w:rPr>
        <w:t>Progressive psoriatic arthritis</w:t>
      </w:r>
    </w:p>
    <w:p>
      <w:pPr>
        <w:ind w:left="3220"/>
        <w:spacing w:after="0" w:line="236" w:lineRule="auto"/>
        <w:rPr>
          <w:sz w:val="20"/>
          <w:szCs w:val="20"/>
          <w:color w:val="auto"/>
        </w:rPr>
      </w:pPr>
      <w:r>
        <w:rPr>
          <w:rFonts w:ascii="Arial" w:cs="Arial" w:eastAsia="Arial" w:hAnsi="Arial"/>
          <w:sz w:val="17"/>
          <w:szCs w:val="17"/>
          <w:color w:val="auto"/>
        </w:rPr>
        <w:t>Axial spondyloarthritis</w:t>
      </w:r>
    </w:p>
    <w:p>
      <w:pPr>
        <w:spacing w:after="0" w:line="1" w:lineRule="exact"/>
        <w:rPr>
          <w:sz w:val="20"/>
          <w:szCs w:val="20"/>
          <w:color w:val="auto"/>
        </w:rPr>
      </w:pPr>
    </w:p>
    <w:p>
      <w:pPr>
        <w:ind w:left="3220"/>
        <w:spacing w:after="0"/>
        <w:rPr>
          <w:sz w:val="20"/>
          <w:szCs w:val="20"/>
          <w:color w:val="auto"/>
        </w:rPr>
      </w:pPr>
      <w:r>
        <w:rPr>
          <w:rFonts w:ascii="Arial" w:cs="Arial" w:eastAsia="Arial" w:hAnsi="Arial"/>
          <w:sz w:val="17"/>
          <w:szCs w:val="17"/>
          <w:color w:val="auto"/>
        </w:rPr>
        <w:t>Moderate to severe plaque psoriasis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2536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153" w:lineRule="exact"/>
        <w:rPr>
          <w:sz w:val="20"/>
          <w:szCs w:val="20"/>
          <w:color w:val="auto"/>
        </w:rPr>
      </w:pPr>
    </w:p>
    <w:p>
      <w:pPr>
        <w:ind w:left="3220"/>
        <w:spacing w:after="0"/>
        <w:rPr>
          <w:sz w:val="20"/>
          <w:szCs w:val="20"/>
          <w:color w:val="auto"/>
        </w:rPr>
      </w:pPr>
      <w:r>
        <w:rPr>
          <w:rFonts w:ascii="Arial" w:cs="Arial" w:eastAsia="Arial" w:hAnsi="Arial"/>
          <w:sz w:val="17"/>
          <w:szCs w:val="17"/>
          <w:color w:val="auto"/>
        </w:rPr>
        <w:t>Rheumatoid arthritis</w:t>
      </w:r>
    </w:p>
    <w:p>
      <w:pPr>
        <w:ind w:left="3220"/>
        <w:spacing w:after="0" w:line="235" w:lineRule="auto"/>
        <w:rPr>
          <w:sz w:val="20"/>
          <w:szCs w:val="20"/>
          <w:color w:val="auto"/>
        </w:rPr>
      </w:pPr>
      <w:r>
        <w:rPr>
          <w:rFonts w:ascii="Arial" w:cs="Arial" w:eastAsia="Arial" w:hAnsi="Arial"/>
          <w:sz w:val="17"/>
          <w:szCs w:val="17"/>
          <w:color w:val="auto"/>
        </w:rPr>
        <w:t>Moderate to severe Crohn's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-80010</wp:posOffset>
            </wp:positionV>
            <wp:extent cx="1081405" cy="3987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81405" cy="398780"/>
                    </a:xfrm>
                    <a:prstGeom prst="rect">
                      <a:avLst/>
                    </a:prstGeom>
                    <a:noFill/>
                  </pic:spPr>
                </pic:pic>
              </a:graphicData>
            </a:graphic>
          </wp:anchor>
        </w:drawing>
      </w:r>
    </w:p>
    <w:p>
      <w:pPr>
        <w:ind w:left="3220"/>
        <w:spacing w:after="0" w:line="236" w:lineRule="auto"/>
        <w:rPr>
          <w:sz w:val="20"/>
          <w:szCs w:val="20"/>
          <w:color w:val="auto"/>
        </w:rPr>
      </w:pPr>
      <w:r>
        <w:rPr>
          <w:rFonts w:ascii="Arial" w:cs="Arial" w:eastAsia="Arial" w:hAnsi="Arial"/>
          <w:sz w:val="17"/>
          <w:szCs w:val="17"/>
          <w:color w:val="auto"/>
        </w:rPr>
        <w:t>Severe ulcerative colitis</w:t>
      </w:r>
    </w:p>
    <w:p>
      <w:pPr>
        <w:ind w:left="3220"/>
        <w:spacing w:after="0" w:line="236" w:lineRule="auto"/>
        <w:rPr>
          <w:sz w:val="20"/>
          <w:szCs w:val="20"/>
          <w:color w:val="auto"/>
        </w:rPr>
      </w:pPr>
      <w:r>
        <w:rPr>
          <w:rFonts w:ascii="Arial" w:cs="Arial" w:eastAsia="Arial" w:hAnsi="Arial"/>
          <w:sz w:val="17"/>
          <w:szCs w:val="17"/>
          <w:color w:val="auto"/>
        </w:rPr>
        <w:t>Severe ankylosing spondylitis</w:t>
      </w:r>
    </w:p>
    <w:p>
      <w:pPr>
        <w:ind w:left="3220"/>
        <w:spacing w:after="0" w:line="236" w:lineRule="auto"/>
        <w:rPr>
          <w:sz w:val="20"/>
          <w:szCs w:val="20"/>
          <w:color w:val="auto"/>
        </w:rPr>
      </w:pPr>
      <w:r>
        <w:rPr>
          <w:rFonts w:ascii="Arial" w:cs="Arial" w:eastAsia="Arial" w:hAnsi="Arial"/>
          <w:sz w:val="17"/>
          <w:szCs w:val="17"/>
          <w:color w:val="auto"/>
        </w:rPr>
        <w:t>Psoriatic arthritis</w:t>
      </w:r>
    </w:p>
    <w:p>
      <w:pPr>
        <w:ind w:left="3220"/>
        <w:spacing w:after="0"/>
        <w:rPr>
          <w:sz w:val="20"/>
          <w:szCs w:val="20"/>
          <w:color w:val="auto"/>
        </w:rPr>
      </w:pPr>
      <w:r>
        <w:rPr>
          <w:rFonts w:ascii="Arial" w:cs="Arial" w:eastAsia="Arial" w:hAnsi="Arial"/>
          <w:sz w:val="17"/>
          <w:szCs w:val="17"/>
          <w:color w:val="auto"/>
        </w:rPr>
        <w:t>Moderate to severe plaque psoriasis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2536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24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Germany</w:t>
      </w:r>
    </w:p>
    <w:p>
      <w:pPr>
        <w:spacing w:after="0" w:line="235" w:lineRule="auto"/>
        <w:rPr>
          <w:sz w:val="20"/>
          <w:szCs w:val="20"/>
          <w:color w:val="auto"/>
        </w:rPr>
      </w:pPr>
      <w:r>
        <w:rPr>
          <w:rFonts w:ascii="Arial" w:cs="Arial" w:eastAsia="Arial" w:hAnsi="Arial"/>
          <w:sz w:val="17"/>
          <w:szCs w:val="17"/>
          <w:color w:val="auto"/>
        </w:rPr>
        <w:t>Norway</w:t>
      </w:r>
    </w:p>
    <w:p>
      <w:pPr>
        <w:spacing w:after="0" w:line="236" w:lineRule="auto"/>
        <w:rPr>
          <w:sz w:val="20"/>
          <w:szCs w:val="20"/>
          <w:color w:val="auto"/>
        </w:rPr>
      </w:pPr>
      <w:r>
        <w:rPr>
          <w:rFonts w:ascii="Arial" w:cs="Arial" w:eastAsia="Arial" w:hAnsi="Arial"/>
          <w:sz w:val="17"/>
          <w:szCs w:val="17"/>
          <w:color w:val="auto"/>
        </w:rPr>
        <w:t>Sweden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U.K.</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Germany</w:t>
      </w:r>
    </w:p>
    <w:p>
      <w:pPr>
        <w:sectPr>
          <w:pgSz w:w="11900" w:h="16838" w:orient="portrait"/>
          <w:cols w:equalWidth="0" w:num="2">
            <w:col w:w="9020" w:space="720"/>
            <w:col w:w="1680"/>
          </w:cols>
          <w:pgMar w:left="240" w:top="144" w:right="2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Genentech Relationships</w:t>
      </w:r>
    </w:p>
    <w:p>
      <w:pPr>
        <w:spacing w:after="0" w:line="106" w:lineRule="exact"/>
        <w:rPr>
          <w:sz w:val="20"/>
          <w:szCs w:val="20"/>
          <w:color w:val="auto"/>
        </w:rPr>
      </w:pPr>
    </w:p>
    <w:p>
      <w:pPr>
        <w:ind w:right="220" w:firstLine="410"/>
        <w:spacing w:after="0" w:line="262" w:lineRule="auto"/>
        <w:rPr>
          <w:sz w:val="20"/>
          <w:szCs w:val="20"/>
          <w:color w:val="auto"/>
        </w:rPr>
      </w:pPr>
      <w:r>
        <w:rPr>
          <w:rFonts w:ascii="Arial" w:cs="Arial" w:eastAsia="Arial" w:hAnsi="Arial"/>
          <w:sz w:val="17"/>
          <w:szCs w:val="17"/>
          <w:color w:val="auto"/>
        </w:rPr>
        <w:t>We have a collaboration agreement with Genentech that entitles us to certain business and financial rights with respect to RITUXAN, GAZYVA, OCREVUS and other anti-CD20 product candidates. Current products include: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w:t>
            </w:r>
          </w:p>
        </w:tc>
        <w:tc>
          <w:tcPr>
            <w:tcW w:w="706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Indication</w:t>
            </w:r>
          </w:p>
        </w:tc>
        <w:tc>
          <w:tcPr>
            <w:tcW w:w="248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Major Markets</w:t>
            </w:r>
          </w:p>
        </w:tc>
        <w:tc>
          <w:tcPr>
            <w:tcW w:w="0" w:type="dxa"/>
            <w:vAlign w:val="bottom"/>
          </w:tcPr>
          <w:p>
            <w:pPr>
              <w:spacing w:after="0"/>
              <w:rPr>
                <w:sz w:val="1"/>
                <w:szCs w:val="1"/>
                <w:color w:val="auto"/>
              </w:rPr>
            </w:pPr>
          </w:p>
        </w:tc>
      </w:tr>
      <w:tr>
        <w:trPr>
          <w:trHeight w:val="331"/>
        </w:trPr>
        <w:tc>
          <w:tcPr>
            <w:tcW w:w="1880" w:type="dxa"/>
            <w:vAlign w:val="bottom"/>
          </w:tcPr>
          <w:p>
            <w:pPr>
              <w:spacing w:after="0"/>
              <w:rPr>
                <w:sz w:val="24"/>
                <w:szCs w:val="24"/>
                <w:color w:val="auto"/>
              </w:rPr>
            </w:pPr>
          </w:p>
        </w:tc>
        <w:tc>
          <w:tcPr>
            <w:tcW w:w="7060" w:type="dxa"/>
            <w:vAlign w:val="bottom"/>
          </w:tcPr>
          <w:p>
            <w:pPr>
              <w:ind w:left="1340"/>
              <w:spacing w:after="0"/>
              <w:rPr>
                <w:sz w:val="20"/>
                <w:szCs w:val="20"/>
                <w:color w:val="auto"/>
              </w:rPr>
            </w:pPr>
            <w:r>
              <w:rPr>
                <w:rFonts w:ascii="Arial" w:cs="Arial" w:eastAsia="Arial" w:hAnsi="Arial"/>
                <w:sz w:val="17"/>
                <w:szCs w:val="17"/>
                <w:color w:val="auto"/>
              </w:rPr>
              <w:t>Non-Hodgkin's lymphoma</w:t>
            </w: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7060" w:type="dxa"/>
            <w:vAlign w:val="bottom"/>
          </w:tcPr>
          <w:p>
            <w:pPr>
              <w:ind w:left="1340"/>
              <w:spacing w:after="0" w:line="192" w:lineRule="exact"/>
              <w:rPr>
                <w:sz w:val="20"/>
                <w:szCs w:val="20"/>
                <w:color w:val="auto"/>
              </w:rPr>
            </w:pPr>
            <w:r>
              <w:rPr>
                <w:rFonts w:ascii="Arial" w:cs="Arial" w:eastAsia="Arial" w:hAnsi="Arial"/>
                <w:sz w:val="17"/>
                <w:szCs w:val="17"/>
                <w:color w:val="auto"/>
              </w:rPr>
              <w:t>CLL</w:t>
            </w:r>
          </w:p>
        </w:tc>
        <w:tc>
          <w:tcPr>
            <w:tcW w:w="2480" w:type="dxa"/>
            <w:vAlign w:val="bottom"/>
            <w:vMerge w:val="restart"/>
          </w:tcPr>
          <w:p>
            <w:pPr>
              <w:ind w:left="1040"/>
              <w:spacing w:after="0"/>
              <w:rPr>
                <w:sz w:val="20"/>
                <w:szCs w:val="20"/>
                <w:color w:val="auto"/>
              </w:rPr>
            </w:pPr>
            <w:r>
              <w:rPr>
                <w:rFonts w:ascii="Arial" w:cs="Arial" w:eastAsia="Arial" w:hAnsi="Arial"/>
                <w:sz w:val="17"/>
                <w:szCs w:val="17"/>
                <w:color w:val="auto"/>
              </w:rPr>
              <w:t>U.S.</w:t>
            </w:r>
          </w:p>
        </w:tc>
        <w:tc>
          <w:tcPr>
            <w:tcW w:w="0" w:type="dxa"/>
            <w:vAlign w:val="bottom"/>
          </w:tcPr>
          <w:p>
            <w:pPr>
              <w:spacing w:after="0"/>
              <w:rPr>
                <w:sz w:val="1"/>
                <w:szCs w:val="1"/>
                <w:color w:val="auto"/>
              </w:rPr>
            </w:pPr>
          </w:p>
        </w:tc>
      </w:tr>
      <w:tr>
        <w:trPr>
          <w:trHeight w:val="90"/>
        </w:trPr>
        <w:tc>
          <w:tcPr>
            <w:tcW w:w="1880" w:type="dxa"/>
            <w:vAlign w:val="bottom"/>
          </w:tcPr>
          <w:p>
            <w:pPr>
              <w:spacing w:after="0"/>
              <w:rPr>
                <w:sz w:val="7"/>
                <w:szCs w:val="7"/>
                <w:color w:val="auto"/>
              </w:rPr>
            </w:pPr>
          </w:p>
        </w:tc>
        <w:tc>
          <w:tcPr>
            <w:tcW w:w="7060" w:type="dxa"/>
            <w:vAlign w:val="bottom"/>
            <w:vMerge w:val="restart"/>
          </w:tcPr>
          <w:p>
            <w:pPr>
              <w:ind w:left="1340"/>
              <w:spacing w:after="0" w:line="192" w:lineRule="exact"/>
              <w:rPr>
                <w:sz w:val="20"/>
                <w:szCs w:val="20"/>
                <w:color w:val="auto"/>
              </w:rPr>
            </w:pPr>
            <w:r>
              <w:rPr>
                <w:rFonts w:ascii="Arial" w:cs="Arial" w:eastAsia="Arial" w:hAnsi="Arial"/>
                <w:sz w:val="17"/>
                <w:szCs w:val="17"/>
                <w:color w:val="auto"/>
              </w:rPr>
              <w:t>Rheumatoid arthritis</w:t>
            </w:r>
          </w:p>
        </w:tc>
        <w:tc>
          <w:tcPr>
            <w:tcW w:w="2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1880" w:type="dxa"/>
            <w:vAlign w:val="bottom"/>
          </w:tcPr>
          <w:p>
            <w:pPr>
              <w:spacing w:after="0"/>
              <w:rPr>
                <w:sz w:val="8"/>
                <w:szCs w:val="8"/>
                <w:color w:val="auto"/>
              </w:rPr>
            </w:pPr>
          </w:p>
        </w:tc>
        <w:tc>
          <w:tcPr>
            <w:tcW w:w="7060" w:type="dxa"/>
            <w:vAlign w:val="bottom"/>
            <w:vMerge w:val="continue"/>
          </w:tcPr>
          <w:p>
            <w:pPr>
              <w:spacing w:after="0"/>
              <w:rPr>
                <w:sz w:val="8"/>
                <w:szCs w:val="8"/>
                <w:color w:val="auto"/>
              </w:rPr>
            </w:pPr>
          </w:p>
        </w:tc>
        <w:tc>
          <w:tcPr>
            <w:tcW w:w="2480" w:type="dxa"/>
            <w:vAlign w:val="bottom"/>
            <w:vMerge w:val="restart"/>
          </w:tcPr>
          <w:p>
            <w:pPr>
              <w:ind w:left="1040"/>
              <w:spacing w:after="0"/>
              <w:rPr>
                <w:sz w:val="20"/>
                <w:szCs w:val="20"/>
                <w:color w:val="auto"/>
              </w:rPr>
            </w:pPr>
            <w:r>
              <w:rPr>
                <w:rFonts w:ascii="Arial" w:cs="Arial" w:eastAsia="Arial" w:hAnsi="Arial"/>
                <w:sz w:val="17"/>
                <w:szCs w:val="17"/>
                <w:color w:val="auto"/>
              </w:rPr>
              <w:t>Canada</w:t>
            </w:r>
          </w:p>
        </w:tc>
        <w:tc>
          <w:tcPr>
            <w:tcW w:w="0" w:type="dxa"/>
            <w:vAlign w:val="bottom"/>
          </w:tcPr>
          <w:p>
            <w:pPr>
              <w:spacing w:after="0"/>
              <w:rPr>
                <w:sz w:val="1"/>
                <w:szCs w:val="1"/>
                <w:color w:val="auto"/>
              </w:rPr>
            </w:pPr>
          </w:p>
        </w:tc>
      </w:tr>
      <w:tr>
        <w:trPr>
          <w:trHeight w:val="102"/>
        </w:trPr>
        <w:tc>
          <w:tcPr>
            <w:tcW w:w="1880" w:type="dxa"/>
            <w:vAlign w:val="bottom"/>
          </w:tcPr>
          <w:p>
            <w:pPr>
              <w:spacing w:after="0"/>
              <w:rPr>
                <w:sz w:val="8"/>
                <w:szCs w:val="8"/>
                <w:color w:val="auto"/>
              </w:rPr>
            </w:pPr>
          </w:p>
        </w:tc>
        <w:tc>
          <w:tcPr>
            <w:tcW w:w="7060" w:type="dxa"/>
            <w:vAlign w:val="bottom"/>
            <w:vMerge w:val="restart"/>
          </w:tcPr>
          <w:p>
            <w:pPr>
              <w:ind w:left="1340"/>
              <w:spacing w:after="0"/>
              <w:rPr>
                <w:sz w:val="20"/>
                <w:szCs w:val="20"/>
                <w:color w:val="auto"/>
              </w:rPr>
            </w:pPr>
            <w:r>
              <w:rPr>
                <w:rFonts w:ascii="Arial" w:cs="Arial" w:eastAsia="Arial" w:hAnsi="Arial"/>
                <w:sz w:val="17"/>
                <w:szCs w:val="17"/>
                <w:color w:val="auto"/>
              </w:rPr>
              <w:t>Two forms of ANCA-associated vasculitis</w:t>
            </w:r>
          </w:p>
        </w:tc>
        <w:tc>
          <w:tcPr>
            <w:tcW w:w="2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80" w:type="dxa"/>
            <w:vAlign w:val="bottom"/>
          </w:tcPr>
          <w:p>
            <w:pPr>
              <w:spacing w:after="0"/>
              <w:rPr>
                <w:sz w:val="8"/>
                <w:szCs w:val="8"/>
                <w:color w:val="auto"/>
              </w:rPr>
            </w:pPr>
          </w:p>
        </w:tc>
        <w:tc>
          <w:tcPr>
            <w:tcW w:w="7060" w:type="dxa"/>
            <w:vAlign w:val="bottom"/>
            <w:vMerge w:val="continue"/>
          </w:tcPr>
          <w:p>
            <w:pPr>
              <w:spacing w:after="0"/>
              <w:rPr>
                <w:sz w:val="8"/>
                <w:szCs w:val="8"/>
                <w:color w:val="auto"/>
              </w:rPr>
            </w:pPr>
          </w:p>
        </w:tc>
        <w:tc>
          <w:tcPr>
            <w:tcW w:w="2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1880" w:type="dxa"/>
            <w:vAlign w:val="bottom"/>
            <w:tcBorders>
              <w:bottom w:val="single" w:sz="8" w:color="auto"/>
            </w:tcBorders>
          </w:tcPr>
          <w:p>
            <w:pPr>
              <w:spacing w:after="0"/>
              <w:rPr>
                <w:sz w:val="17"/>
                <w:szCs w:val="17"/>
                <w:color w:val="auto"/>
              </w:rPr>
            </w:pPr>
          </w:p>
        </w:tc>
        <w:tc>
          <w:tcPr>
            <w:tcW w:w="706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91"/>
        </w:trPr>
        <w:tc>
          <w:tcPr>
            <w:tcW w:w="1880" w:type="dxa"/>
            <w:vAlign w:val="bottom"/>
          </w:tcPr>
          <w:p>
            <w:pPr>
              <w:spacing w:after="0"/>
              <w:rPr>
                <w:sz w:val="24"/>
                <w:szCs w:val="24"/>
                <w:color w:val="auto"/>
              </w:rPr>
            </w:pPr>
          </w:p>
        </w:tc>
        <w:tc>
          <w:tcPr>
            <w:tcW w:w="7060" w:type="dxa"/>
            <w:vAlign w:val="bottom"/>
          </w:tcPr>
          <w:p>
            <w:pPr>
              <w:ind w:left="1340"/>
              <w:spacing w:after="0"/>
              <w:rPr>
                <w:sz w:val="20"/>
                <w:szCs w:val="20"/>
                <w:color w:val="auto"/>
              </w:rPr>
            </w:pPr>
            <w:r>
              <w:rPr>
                <w:rFonts w:ascii="Arial" w:cs="Arial" w:eastAsia="Arial" w:hAnsi="Arial"/>
                <w:sz w:val="17"/>
                <w:szCs w:val="17"/>
                <w:color w:val="auto"/>
              </w:rPr>
              <w:t>In combination with chlorambucil for previously untreated CLL</w:t>
            </w:r>
          </w:p>
        </w:tc>
        <w:tc>
          <w:tcPr>
            <w:tcW w:w="2480" w:type="dxa"/>
            <w:vAlign w:val="bottom"/>
            <w:vMerge w:val="restart"/>
          </w:tcPr>
          <w:p>
            <w:pPr>
              <w:ind w:left="1040"/>
              <w:spacing w:after="0"/>
              <w:rPr>
                <w:sz w:val="20"/>
                <w:szCs w:val="20"/>
                <w:color w:val="auto"/>
              </w:rPr>
            </w:pPr>
            <w:r>
              <w:rPr>
                <w:rFonts w:ascii="Arial" w:cs="Arial" w:eastAsia="Arial" w:hAnsi="Arial"/>
                <w:sz w:val="17"/>
                <w:szCs w:val="17"/>
                <w:color w:val="auto"/>
              </w:rPr>
              <w:t>U.S.</w:t>
            </w:r>
          </w:p>
        </w:tc>
        <w:tc>
          <w:tcPr>
            <w:tcW w:w="0" w:type="dxa"/>
            <w:vAlign w:val="bottom"/>
          </w:tcPr>
          <w:p>
            <w:pPr>
              <w:spacing w:after="0"/>
              <w:rPr>
                <w:sz w:val="1"/>
                <w:szCs w:val="1"/>
                <w:color w:val="auto"/>
              </w:rPr>
            </w:pPr>
          </w:p>
        </w:tc>
      </w:tr>
      <w:tr>
        <w:trPr>
          <w:trHeight w:val="115"/>
        </w:trPr>
        <w:tc>
          <w:tcPr>
            <w:tcW w:w="1880" w:type="dxa"/>
            <w:vAlign w:val="bottom"/>
          </w:tcPr>
          <w:p>
            <w:pPr>
              <w:spacing w:after="0"/>
              <w:rPr>
                <w:sz w:val="9"/>
                <w:szCs w:val="9"/>
                <w:color w:val="auto"/>
              </w:rPr>
            </w:pPr>
          </w:p>
        </w:tc>
        <w:tc>
          <w:tcPr>
            <w:tcW w:w="7060" w:type="dxa"/>
            <w:vAlign w:val="bottom"/>
            <w:vMerge w:val="restart"/>
          </w:tcPr>
          <w:p>
            <w:pPr>
              <w:ind w:left="1340"/>
              <w:spacing w:after="0"/>
              <w:rPr>
                <w:sz w:val="20"/>
                <w:szCs w:val="20"/>
                <w:color w:val="auto"/>
              </w:rPr>
            </w:pPr>
            <w:r>
              <w:rPr>
                <w:rFonts w:ascii="Arial" w:cs="Arial" w:eastAsia="Arial" w:hAnsi="Arial"/>
                <w:sz w:val="17"/>
                <w:szCs w:val="17"/>
                <w:color w:val="auto"/>
              </w:rPr>
              <w:t>Follicular lymphoma</w:t>
            </w:r>
          </w:p>
        </w:tc>
        <w:tc>
          <w:tcPr>
            <w:tcW w:w="2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880" w:type="dxa"/>
            <w:vAlign w:val="bottom"/>
          </w:tcPr>
          <w:p>
            <w:pPr>
              <w:spacing w:after="0"/>
              <w:rPr>
                <w:sz w:val="7"/>
                <w:szCs w:val="7"/>
                <w:color w:val="auto"/>
              </w:rPr>
            </w:pPr>
          </w:p>
        </w:tc>
        <w:tc>
          <w:tcPr>
            <w:tcW w:w="7060" w:type="dxa"/>
            <w:vAlign w:val="bottom"/>
            <w:vMerge w:val="continue"/>
          </w:tcPr>
          <w:p>
            <w:pPr>
              <w:spacing w:after="0"/>
              <w:rPr>
                <w:sz w:val="7"/>
                <w:szCs w:val="7"/>
                <w:color w:val="auto"/>
              </w:rPr>
            </w:pPr>
          </w:p>
        </w:tc>
        <w:tc>
          <w:tcPr>
            <w:tcW w:w="2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1880" w:type="dxa"/>
            <w:vAlign w:val="bottom"/>
            <w:tcBorders>
              <w:bottom w:val="single" w:sz="8" w:color="auto"/>
            </w:tcBorders>
          </w:tcPr>
          <w:p>
            <w:pPr>
              <w:spacing w:after="0"/>
              <w:rPr>
                <w:sz w:val="16"/>
                <w:szCs w:val="16"/>
                <w:color w:val="auto"/>
              </w:rPr>
            </w:pPr>
          </w:p>
        </w:tc>
        <w:tc>
          <w:tcPr>
            <w:tcW w:w="70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880" w:type="dxa"/>
            <w:vAlign w:val="bottom"/>
          </w:tcPr>
          <w:p>
            <w:pPr>
              <w:spacing w:after="0"/>
              <w:rPr>
                <w:sz w:val="24"/>
                <w:szCs w:val="24"/>
                <w:color w:val="auto"/>
              </w:rPr>
            </w:pPr>
          </w:p>
        </w:tc>
        <w:tc>
          <w:tcPr>
            <w:tcW w:w="7060" w:type="dxa"/>
            <w:vAlign w:val="bottom"/>
            <w:vMerge w:val="restart"/>
          </w:tcPr>
          <w:p>
            <w:pPr>
              <w:ind w:left="1340"/>
              <w:spacing w:after="0"/>
              <w:rPr>
                <w:sz w:val="20"/>
                <w:szCs w:val="20"/>
                <w:color w:val="auto"/>
              </w:rPr>
            </w:pPr>
            <w:r>
              <w:rPr>
                <w:rFonts w:ascii="Arial" w:cs="Arial" w:eastAsia="Arial" w:hAnsi="Arial"/>
                <w:sz w:val="17"/>
                <w:szCs w:val="17"/>
                <w:color w:val="auto"/>
              </w:rPr>
              <w:t>RMS</w:t>
            </w:r>
          </w:p>
        </w:tc>
        <w:tc>
          <w:tcPr>
            <w:tcW w:w="2480" w:type="dxa"/>
            <w:vAlign w:val="bottom"/>
          </w:tcPr>
          <w:p>
            <w:pPr>
              <w:ind w:left="1040"/>
              <w:spacing w:after="0"/>
              <w:rPr>
                <w:sz w:val="20"/>
                <w:szCs w:val="20"/>
                <w:color w:val="auto"/>
              </w:rPr>
            </w:pPr>
            <w:r>
              <w:rPr>
                <w:rFonts w:ascii="Arial" w:cs="Arial" w:eastAsia="Arial" w:hAnsi="Arial"/>
                <w:sz w:val="17"/>
                <w:szCs w:val="17"/>
                <w:color w:val="auto"/>
              </w:rPr>
              <w:t>U.S.</w:t>
            </w:r>
          </w:p>
        </w:tc>
        <w:tc>
          <w:tcPr>
            <w:tcW w:w="0" w:type="dxa"/>
            <w:vAlign w:val="bottom"/>
          </w:tcPr>
          <w:p>
            <w:pPr>
              <w:spacing w:after="0"/>
              <w:rPr>
                <w:sz w:val="1"/>
                <w:szCs w:val="1"/>
                <w:color w:val="auto"/>
              </w:rPr>
            </w:pPr>
          </w:p>
        </w:tc>
      </w:tr>
      <w:tr>
        <w:trPr>
          <w:trHeight w:val="102"/>
        </w:trPr>
        <w:tc>
          <w:tcPr>
            <w:tcW w:w="1880" w:type="dxa"/>
            <w:vAlign w:val="bottom"/>
          </w:tcPr>
          <w:p>
            <w:pPr>
              <w:spacing w:after="0"/>
              <w:rPr>
                <w:sz w:val="8"/>
                <w:szCs w:val="8"/>
                <w:color w:val="auto"/>
              </w:rPr>
            </w:pPr>
          </w:p>
        </w:tc>
        <w:tc>
          <w:tcPr>
            <w:tcW w:w="7060" w:type="dxa"/>
            <w:vAlign w:val="bottom"/>
            <w:vMerge w:val="continue"/>
          </w:tcPr>
          <w:p>
            <w:pPr>
              <w:spacing w:after="0"/>
              <w:rPr>
                <w:sz w:val="8"/>
                <w:szCs w:val="8"/>
                <w:color w:val="auto"/>
              </w:rPr>
            </w:pPr>
          </w:p>
        </w:tc>
        <w:tc>
          <w:tcPr>
            <w:tcW w:w="2480" w:type="dxa"/>
            <w:vAlign w:val="bottom"/>
            <w:vMerge w:val="restart"/>
          </w:tcPr>
          <w:p>
            <w:pPr>
              <w:ind w:left="1040"/>
              <w:spacing w:after="0" w:line="192" w:lineRule="exact"/>
              <w:rPr>
                <w:sz w:val="20"/>
                <w:szCs w:val="20"/>
                <w:color w:val="auto"/>
              </w:rPr>
            </w:pPr>
            <w:r>
              <w:rPr>
                <w:rFonts w:ascii="Arial" w:cs="Arial" w:eastAsia="Arial" w:hAnsi="Arial"/>
                <w:sz w:val="17"/>
                <w:szCs w:val="17"/>
                <w:color w:val="auto"/>
              </w:rPr>
              <w:t>Australia</w:t>
            </w:r>
          </w:p>
        </w:tc>
        <w:tc>
          <w:tcPr>
            <w:tcW w:w="0" w:type="dxa"/>
            <w:vAlign w:val="bottom"/>
          </w:tcPr>
          <w:p>
            <w:pPr>
              <w:spacing w:after="0"/>
              <w:rPr>
                <w:sz w:val="1"/>
                <w:szCs w:val="1"/>
                <w:color w:val="auto"/>
              </w:rPr>
            </w:pPr>
          </w:p>
        </w:tc>
      </w:tr>
      <w:tr>
        <w:trPr>
          <w:trHeight w:val="90"/>
        </w:trPr>
        <w:tc>
          <w:tcPr>
            <w:tcW w:w="1880" w:type="dxa"/>
            <w:vAlign w:val="bottom"/>
          </w:tcPr>
          <w:p>
            <w:pPr>
              <w:spacing w:after="0"/>
              <w:rPr>
                <w:sz w:val="7"/>
                <w:szCs w:val="7"/>
                <w:color w:val="auto"/>
              </w:rPr>
            </w:pPr>
          </w:p>
        </w:tc>
        <w:tc>
          <w:tcPr>
            <w:tcW w:w="7060" w:type="dxa"/>
            <w:vAlign w:val="bottom"/>
            <w:vMerge w:val="restart"/>
          </w:tcPr>
          <w:p>
            <w:pPr>
              <w:ind w:left="1340"/>
              <w:spacing w:after="0"/>
              <w:rPr>
                <w:sz w:val="20"/>
                <w:szCs w:val="20"/>
                <w:color w:val="auto"/>
              </w:rPr>
            </w:pPr>
            <w:r>
              <w:rPr>
                <w:rFonts w:ascii="Arial" w:cs="Arial" w:eastAsia="Arial" w:hAnsi="Arial"/>
                <w:sz w:val="17"/>
                <w:szCs w:val="17"/>
                <w:color w:val="auto"/>
              </w:rPr>
              <w:t>PPMS</w:t>
            </w:r>
          </w:p>
        </w:tc>
        <w:tc>
          <w:tcPr>
            <w:tcW w:w="2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880" w:type="dxa"/>
            <w:vAlign w:val="bottom"/>
          </w:tcPr>
          <w:p>
            <w:pPr>
              <w:spacing w:after="0"/>
              <w:rPr>
                <w:sz w:val="9"/>
                <w:szCs w:val="9"/>
                <w:color w:val="auto"/>
              </w:rPr>
            </w:pPr>
          </w:p>
        </w:tc>
        <w:tc>
          <w:tcPr>
            <w:tcW w:w="7060" w:type="dxa"/>
            <w:vAlign w:val="bottom"/>
            <w:vMerge w:val="continue"/>
          </w:tcPr>
          <w:p>
            <w:pPr>
              <w:spacing w:after="0"/>
              <w:rPr>
                <w:sz w:val="9"/>
                <w:szCs w:val="9"/>
                <w:color w:val="auto"/>
              </w:rPr>
            </w:pPr>
          </w:p>
        </w:tc>
        <w:tc>
          <w:tcPr>
            <w:tcW w:w="2480" w:type="dxa"/>
            <w:vAlign w:val="bottom"/>
            <w:vMerge w:val="restart"/>
          </w:tcPr>
          <w:p>
            <w:pPr>
              <w:ind w:left="1040"/>
              <w:spacing w:after="0"/>
              <w:rPr>
                <w:sz w:val="20"/>
                <w:szCs w:val="20"/>
                <w:color w:val="auto"/>
              </w:rPr>
            </w:pPr>
            <w:r>
              <w:rPr>
                <w:rFonts w:ascii="Arial" w:cs="Arial" w:eastAsia="Arial" w:hAnsi="Arial"/>
                <w:sz w:val="17"/>
                <w:szCs w:val="17"/>
                <w:color w:val="auto"/>
              </w:rPr>
              <w:t>Switzerland</w:t>
            </w:r>
          </w:p>
        </w:tc>
        <w:tc>
          <w:tcPr>
            <w:tcW w:w="0" w:type="dxa"/>
            <w:vAlign w:val="bottom"/>
          </w:tcPr>
          <w:p>
            <w:pPr>
              <w:spacing w:after="0"/>
              <w:rPr>
                <w:sz w:val="1"/>
                <w:szCs w:val="1"/>
                <w:color w:val="auto"/>
              </w:rPr>
            </w:pPr>
          </w:p>
        </w:tc>
      </w:tr>
      <w:tr>
        <w:trPr>
          <w:trHeight w:val="90"/>
        </w:trPr>
        <w:tc>
          <w:tcPr>
            <w:tcW w:w="1880" w:type="dxa"/>
            <w:vAlign w:val="bottom"/>
          </w:tcPr>
          <w:p>
            <w:pPr>
              <w:spacing w:after="0"/>
              <w:rPr>
                <w:sz w:val="7"/>
                <w:szCs w:val="7"/>
                <w:color w:val="auto"/>
              </w:rPr>
            </w:pPr>
          </w:p>
        </w:tc>
        <w:tc>
          <w:tcPr>
            <w:tcW w:w="7060" w:type="dxa"/>
            <w:vAlign w:val="bottom"/>
          </w:tcPr>
          <w:p>
            <w:pPr>
              <w:spacing w:after="0"/>
              <w:rPr>
                <w:sz w:val="7"/>
                <w:szCs w:val="7"/>
                <w:color w:val="auto"/>
              </w:rPr>
            </w:pPr>
          </w:p>
        </w:tc>
        <w:tc>
          <w:tcPr>
            <w:tcW w:w="2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880" w:type="dxa"/>
            <w:vAlign w:val="bottom"/>
            <w:tcBorders>
              <w:bottom w:val="single" w:sz="8" w:color="auto"/>
            </w:tcBorders>
          </w:tcPr>
          <w:p>
            <w:pPr>
              <w:spacing w:after="0"/>
              <w:rPr>
                <w:sz w:val="3"/>
                <w:szCs w:val="3"/>
                <w:color w:val="auto"/>
              </w:rPr>
            </w:pPr>
          </w:p>
        </w:tc>
        <w:tc>
          <w:tcPr>
            <w:tcW w:w="706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-1601470</wp:posOffset>
            </wp:positionV>
            <wp:extent cx="1040765" cy="374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40765" cy="37401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-991235</wp:posOffset>
            </wp:positionV>
            <wp:extent cx="617855" cy="4635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7855" cy="46355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-414020</wp:posOffset>
            </wp:positionV>
            <wp:extent cx="1268730" cy="390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68730" cy="390525"/>
                    </a:xfrm>
                    <a:prstGeom prst="rect">
                      <a:avLst/>
                    </a:prstGeom>
                    <a:noFill/>
                  </pic:spPr>
                </pic:pic>
              </a:graphicData>
            </a:graphic>
          </wp:anchor>
        </w:drawing>
      </w:r>
    </w:p>
    <w:p>
      <w:pPr>
        <w:spacing w:after="0" w:line="115" w:lineRule="exact"/>
        <w:rPr>
          <w:sz w:val="20"/>
          <w:szCs w:val="20"/>
          <w:color w:val="auto"/>
        </w:rPr>
      </w:pPr>
    </w:p>
    <w:p>
      <w:pPr>
        <w:ind w:right="140" w:firstLine="410"/>
        <w:spacing w:after="0" w:line="284" w:lineRule="auto"/>
        <w:rPr>
          <w:sz w:val="20"/>
          <w:szCs w:val="20"/>
          <w:color w:val="auto"/>
        </w:rPr>
      </w:pPr>
      <w:r>
        <w:rPr>
          <w:rFonts w:ascii="Arial" w:cs="Arial" w:eastAsia="Arial" w:hAnsi="Arial"/>
          <w:sz w:val="17"/>
          <w:szCs w:val="17"/>
          <w:color w:val="auto"/>
        </w:rPr>
        <w:t xml:space="preserve">For information about our anti-CD20 therapeutic programs and related agreements with Genentech, please read Note 1, </w:t>
      </w:r>
      <w:r>
        <w:rPr>
          <w:rFonts w:ascii="Arial" w:cs="Arial" w:eastAsia="Arial" w:hAnsi="Arial"/>
          <w:sz w:val="17"/>
          <w:szCs w:val="17"/>
          <w:i w:val="1"/>
          <w:iCs w:val="1"/>
          <w:color w:val="auto"/>
        </w:rPr>
        <w:t>Summary of Significant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Policies, </w:t>
      </w:r>
      <w:r>
        <w:rPr>
          <w:rFonts w:ascii="Arial" w:cs="Arial" w:eastAsia="Arial" w:hAnsi="Arial"/>
          <w:sz w:val="17"/>
          <w:szCs w:val="17"/>
          <w:color w:val="auto"/>
        </w:rPr>
        <w:t>and Note 20,</w:t>
      </w:r>
      <w:r>
        <w:rPr>
          <w:rFonts w:ascii="Arial" w:cs="Arial" w:eastAsia="Arial" w:hAnsi="Arial"/>
          <w:sz w:val="17"/>
          <w:szCs w:val="17"/>
          <w:i w:val="1"/>
          <w:iCs w:val="1"/>
          <w:color w:val="auto"/>
        </w:rPr>
        <w:t xml:space="preserve"> Collaborative and Other Relationships, </w:t>
      </w:r>
      <w:r>
        <w:rPr>
          <w:rFonts w:ascii="Arial" w:cs="Arial" w:eastAsia="Arial" w:hAnsi="Arial"/>
          <w:sz w:val="17"/>
          <w:szCs w:val="17"/>
          <w:color w:val="auto"/>
        </w:rPr>
        <w:t>to our consolidated financial statements included in this report.</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Other</w:t>
      </w:r>
    </w:p>
    <w:p>
      <w:pPr>
        <w:spacing w:after="0" w:line="198" w:lineRule="exact"/>
        <w:rPr>
          <w:sz w:val="20"/>
          <w:szCs w:val="20"/>
          <w:color w:val="auto"/>
        </w:rPr>
      </w:pPr>
    </w:p>
    <w:p>
      <w:pPr>
        <w:ind w:left="20"/>
        <w:spacing w:after="0"/>
        <w:tabs>
          <w:tab w:leader="none" w:pos="3200" w:val="left"/>
          <w:tab w:leader="none" w:pos="6980" w:val="left"/>
          <w:tab w:leader="none" w:pos="9720" w:val="left"/>
        </w:tabs>
        <w:rPr>
          <w:sz w:val="20"/>
          <w:szCs w:val="20"/>
          <w:color w:val="auto"/>
        </w:rPr>
      </w:pPr>
      <w:r>
        <w:rPr>
          <w:rFonts w:ascii="Arial" w:cs="Arial" w:eastAsia="Arial" w:hAnsi="Arial"/>
          <w:sz w:val="14"/>
          <w:szCs w:val="14"/>
          <w:b w:val="1"/>
          <w:bCs w:val="1"/>
          <w:color w:val="auto"/>
        </w:rPr>
        <w:t>Product</w:t>
      </w:r>
      <w:r>
        <w:rPr>
          <w:sz w:val="20"/>
          <w:szCs w:val="20"/>
          <w:color w:val="auto"/>
        </w:rPr>
        <w:tab/>
      </w:r>
      <w:r>
        <w:rPr>
          <w:rFonts w:ascii="Arial" w:cs="Arial" w:eastAsia="Arial" w:hAnsi="Arial"/>
          <w:sz w:val="14"/>
          <w:szCs w:val="14"/>
          <w:b w:val="1"/>
          <w:bCs w:val="1"/>
          <w:color w:val="auto"/>
        </w:rPr>
        <w:t>Indication</w:t>
      </w:r>
      <w:r>
        <w:rPr>
          <w:sz w:val="20"/>
          <w:szCs w:val="20"/>
          <w:color w:val="auto"/>
        </w:rPr>
        <w:tab/>
      </w:r>
      <w:r>
        <w:rPr>
          <w:rFonts w:ascii="Arial" w:cs="Arial" w:eastAsia="Arial" w:hAnsi="Arial"/>
          <w:sz w:val="14"/>
          <w:szCs w:val="14"/>
          <w:b w:val="1"/>
          <w:bCs w:val="1"/>
          <w:color w:val="auto"/>
        </w:rPr>
        <w:t>Collaborator</w:t>
      </w:r>
      <w:r>
        <w:rPr>
          <w:sz w:val="20"/>
          <w:szCs w:val="20"/>
          <w:color w:val="auto"/>
        </w:rPr>
        <w:tab/>
      </w:r>
      <w:r>
        <w:rPr>
          <w:rFonts w:ascii="Arial" w:cs="Arial" w:eastAsia="Arial" w:hAnsi="Arial"/>
          <w:sz w:val="13"/>
          <w:szCs w:val="13"/>
          <w:b w:val="1"/>
          <w:bCs w:val="1"/>
          <w:color w:val="auto"/>
        </w:rPr>
        <w:t>Major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34925</wp:posOffset>
            </wp:positionV>
            <wp:extent cx="72536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825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132715</wp:posOffset>
            </wp:positionV>
            <wp:extent cx="943610" cy="3657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43610" cy="365760"/>
                    </a:xfrm>
                    <a:prstGeom prst="rect">
                      <a:avLst/>
                    </a:prstGeom>
                    <a:noFill/>
                  </pic:spPr>
                </pic:pic>
              </a:graphicData>
            </a:graphic>
          </wp:anchor>
        </w:drawing>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500" w:type="dxa"/>
            <w:vAlign w:val="bottom"/>
          </w:tcPr>
          <w:p>
            <w:pPr>
              <w:jc w:val="right"/>
              <w:ind w:right="435"/>
              <w:spacing w:after="0"/>
              <w:rPr>
                <w:sz w:val="20"/>
                <w:szCs w:val="20"/>
                <w:color w:val="auto"/>
              </w:rPr>
            </w:pPr>
            <w:r>
              <w:rPr>
                <w:rFonts w:ascii="Arial" w:cs="Arial" w:eastAsia="Arial" w:hAnsi="Arial"/>
                <w:sz w:val="17"/>
                <w:szCs w:val="17"/>
                <w:color w:val="auto"/>
              </w:rPr>
              <w:t>Moderate to severe plaque psoriasis</w:t>
            </w:r>
          </w:p>
        </w:tc>
        <w:tc>
          <w:tcPr>
            <w:tcW w:w="2080" w:type="dxa"/>
            <w:vAlign w:val="bottom"/>
            <w:vMerge w:val="restart"/>
          </w:tcPr>
          <w:p>
            <w:pPr>
              <w:ind w:left="500"/>
              <w:spacing w:after="0"/>
              <w:rPr>
                <w:sz w:val="20"/>
                <w:szCs w:val="20"/>
                <w:color w:val="auto"/>
              </w:rPr>
            </w:pPr>
            <w:r>
              <w:rPr>
                <w:rFonts w:ascii="Arial" w:cs="Arial" w:eastAsia="Arial" w:hAnsi="Arial"/>
                <w:sz w:val="17"/>
                <w:szCs w:val="17"/>
                <w:color w:val="auto"/>
              </w:rPr>
              <w:t>None</w:t>
            </w:r>
          </w:p>
        </w:tc>
        <w:tc>
          <w:tcPr>
            <w:tcW w:w="2840" w:type="dxa"/>
            <w:vAlign w:val="bottom"/>
          </w:tcPr>
          <w:p>
            <w:pPr>
              <w:ind w:left="1160"/>
              <w:spacing w:after="0"/>
              <w:rPr>
                <w:sz w:val="20"/>
                <w:szCs w:val="20"/>
                <w:color w:val="auto"/>
              </w:rPr>
            </w:pPr>
            <w:r>
              <w:rPr>
                <w:rFonts w:ascii="Arial" w:cs="Arial" w:eastAsia="Arial" w:hAnsi="Arial"/>
                <w:sz w:val="17"/>
                <w:szCs w:val="17"/>
                <w:color w:val="auto"/>
              </w:rPr>
              <w:t>Germany</w:t>
            </w:r>
          </w:p>
        </w:tc>
        <w:tc>
          <w:tcPr>
            <w:tcW w:w="0" w:type="dxa"/>
            <w:vAlign w:val="bottom"/>
          </w:tcPr>
          <w:p>
            <w:pPr>
              <w:spacing w:after="0"/>
              <w:rPr>
                <w:sz w:val="1"/>
                <w:szCs w:val="1"/>
                <w:color w:val="auto"/>
              </w:rPr>
            </w:pPr>
          </w:p>
        </w:tc>
      </w:tr>
      <w:tr>
        <w:trPr>
          <w:trHeight w:val="77"/>
        </w:trPr>
        <w:tc>
          <w:tcPr>
            <w:tcW w:w="6500" w:type="dxa"/>
            <w:vAlign w:val="bottom"/>
          </w:tcPr>
          <w:p>
            <w:pPr>
              <w:spacing w:after="0"/>
              <w:rPr>
                <w:sz w:val="6"/>
                <w:szCs w:val="6"/>
                <w:color w:val="auto"/>
              </w:rPr>
            </w:pPr>
          </w:p>
        </w:tc>
        <w:tc>
          <w:tcPr>
            <w:tcW w:w="2080" w:type="dxa"/>
            <w:vAlign w:val="bottom"/>
            <w:vMerge w:val="continue"/>
          </w:tcPr>
          <w:p>
            <w:pPr>
              <w:spacing w:after="0"/>
              <w:rPr>
                <w:sz w:val="6"/>
                <w:szCs w:val="6"/>
                <w:color w:val="auto"/>
              </w:rPr>
            </w:pPr>
          </w:p>
        </w:tc>
        <w:tc>
          <w:tcPr>
            <w:tcW w:w="2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650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tcPr>
          <w:p>
            <w:pPr>
              <w:spacing w:after="0"/>
              <w:rPr>
                <w:sz w:val="11"/>
                <w:szCs w:val="11"/>
                <w:color w:val="auto"/>
              </w:rPr>
            </w:pPr>
          </w:p>
        </w:tc>
        <w:tc>
          <w:tcPr>
            <w:tcW w:w="28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7"/>
        </w:trPr>
        <w:tc>
          <w:tcPr>
            <w:tcW w:w="6500" w:type="dxa"/>
            <w:vAlign w:val="bottom"/>
          </w:tcPr>
          <w:p>
            <w:pPr>
              <w:jc w:val="right"/>
              <w:ind w:right="615"/>
              <w:spacing w:after="0"/>
              <w:rPr>
                <w:sz w:val="20"/>
                <w:szCs w:val="20"/>
                <w:color w:val="auto"/>
              </w:rPr>
            </w:pPr>
            <w:r>
              <w:rPr>
                <w:rFonts w:ascii="Arial" w:cs="Arial" w:eastAsia="Arial" w:hAnsi="Arial"/>
                <w:sz w:val="17"/>
                <w:szCs w:val="17"/>
                <w:color w:val="auto"/>
              </w:rPr>
              <w:t>12</w:t>
            </w:r>
          </w:p>
        </w:tc>
        <w:tc>
          <w:tcPr>
            <w:tcW w:w="20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 w:right="239" w:bottom="1440" w:gutter="0" w:footer="0" w:header="0"/>
        </w:sectPr>
      </w:pPr>
    </w:p>
    <w:bookmarkStart w:id="16" w:name="page17"/>
    <w:bookmarkEnd w:id="1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Patient Support and Access</w:t>
      </w:r>
    </w:p>
    <w:p>
      <w:pPr>
        <w:spacing w:after="0" w:line="109"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We interact with patients, advocacy organizations and healthcare societies in order to gain insights into unmet needs. The insights gained from these engagements help us support patients with services, programs and applications that are designed to help patients lead better lives. Among other things, we provide customer service and other related programs for our products, such as disease and product specific websites, insurance research services, financial assistance programs and the facilitation of the procurement of our marketed products.</w:t>
      </w:r>
    </w:p>
    <w:p>
      <w:pPr>
        <w:spacing w:after="0" w:line="144"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We are dedicated to helping patients obtain access to our therapies. Our patient representatives have access to a comprehensive suite of financial assistance tools. With those tools, we help patients understand their insurance coverage and, if needed, help patients compare and select new insurance options and programs. In the U.S., we have established programs that provide co-pay assistance or free marketed product for qualified uninsured or underinsured patients, based on specific eligibility criteria. We also provide charitable contributions to independent charitable organizations that assist patients with out-of-pocket expenses associated with their therapy.</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Marketing and Distribution</w:t>
      </w:r>
    </w:p>
    <w:p>
      <w:pPr>
        <w:spacing w:after="0" w:line="8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Sales Force and Marketing</w:t>
      </w:r>
    </w:p>
    <w:p>
      <w:pPr>
        <w:spacing w:after="0" w:line="106" w:lineRule="exact"/>
        <w:rPr>
          <w:sz w:val="20"/>
          <w:szCs w:val="20"/>
          <w:color w:val="auto"/>
        </w:rPr>
      </w:pPr>
    </w:p>
    <w:p>
      <w:pPr>
        <w:ind w:right="60" w:firstLine="410"/>
        <w:spacing w:after="0" w:line="254" w:lineRule="auto"/>
        <w:rPr>
          <w:sz w:val="20"/>
          <w:szCs w:val="20"/>
          <w:color w:val="auto"/>
        </w:rPr>
      </w:pPr>
      <w:r>
        <w:rPr>
          <w:rFonts w:ascii="Arial" w:cs="Arial" w:eastAsia="Arial" w:hAnsi="Arial"/>
          <w:sz w:val="17"/>
          <w:szCs w:val="17"/>
          <w:color w:val="auto"/>
        </w:rPr>
        <w:t>We promote our products worldwide, including in the U.S., most of the major countries of the E.U. and Japan, primarily through our own sales forces and marketing groups. In some countries, particularly in areas where we continue to expand into new geographic areas, we partner with third parties.</w:t>
      </w:r>
    </w:p>
    <w:p>
      <w:pPr>
        <w:spacing w:after="0" w:line="144" w:lineRule="exact"/>
        <w:rPr>
          <w:sz w:val="20"/>
          <w:szCs w:val="20"/>
          <w:color w:val="auto"/>
        </w:rPr>
      </w:pPr>
    </w:p>
    <w:p>
      <w:pPr>
        <w:ind w:right="20" w:firstLine="410"/>
        <w:spacing w:after="0" w:line="257" w:lineRule="auto"/>
        <w:rPr>
          <w:sz w:val="20"/>
          <w:szCs w:val="20"/>
          <w:color w:val="auto"/>
        </w:rPr>
      </w:pPr>
      <w:r>
        <w:rPr>
          <w:rFonts w:ascii="Arial" w:cs="Arial" w:eastAsia="Arial" w:hAnsi="Arial"/>
          <w:sz w:val="17"/>
          <w:szCs w:val="17"/>
          <w:color w:val="auto"/>
        </w:rPr>
        <w:t>We co-promote ZINBRYTA with AbbVie in the U.S., E.U. and Canadian territories and BENEPALI and FLIXABI with Samsung Bioepis in certain countries in the E.U.</w:t>
      </w:r>
    </w:p>
    <w:p>
      <w:pPr>
        <w:spacing w:after="0" w:line="140" w:lineRule="exact"/>
        <w:rPr>
          <w:sz w:val="20"/>
          <w:szCs w:val="20"/>
          <w:color w:val="auto"/>
        </w:rPr>
      </w:pPr>
    </w:p>
    <w:p>
      <w:pPr>
        <w:ind w:right="40" w:firstLine="410"/>
        <w:spacing w:after="0" w:line="262" w:lineRule="auto"/>
        <w:rPr>
          <w:sz w:val="20"/>
          <w:szCs w:val="20"/>
          <w:color w:val="auto"/>
        </w:rPr>
      </w:pPr>
      <w:r>
        <w:rPr>
          <w:rFonts w:ascii="Arial" w:cs="Arial" w:eastAsia="Arial" w:hAnsi="Arial"/>
          <w:sz w:val="17"/>
          <w:szCs w:val="17"/>
          <w:color w:val="auto"/>
        </w:rPr>
        <w:t>We and Eisai co-promote AVONEX, TYSABRI and TECFIDERA in Japan in certain settings.</w:t>
      </w:r>
    </w:p>
    <w:p>
      <w:pPr>
        <w:spacing w:after="0" w:line="137" w:lineRule="exact"/>
        <w:rPr>
          <w:sz w:val="20"/>
          <w:szCs w:val="20"/>
          <w:color w:val="auto"/>
        </w:rPr>
      </w:pPr>
    </w:p>
    <w:p>
      <w:pPr>
        <w:ind w:right="200" w:firstLine="410"/>
        <w:spacing w:after="0" w:line="262" w:lineRule="auto"/>
        <w:rPr>
          <w:sz w:val="20"/>
          <w:szCs w:val="20"/>
          <w:color w:val="auto"/>
        </w:rPr>
      </w:pPr>
      <w:r>
        <w:rPr>
          <w:rFonts w:ascii="Arial" w:cs="Arial" w:eastAsia="Arial" w:hAnsi="Arial"/>
          <w:sz w:val="17"/>
          <w:szCs w:val="17"/>
          <w:color w:val="auto"/>
        </w:rPr>
        <w:t>RITUXAN, GAZYVA and OCREVUS are marketed by the Roche Group and its sublicensees.</w:t>
      </w:r>
    </w:p>
    <w:p>
      <w:pPr>
        <w:spacing w:after="0" w:line="137" w:lineRule="exact"/>
        <w:rPr>
          <w:sz w:val="20"/>
          <w:szCs w:val="20"/>
          <w:color w:val="auto"/>
        </w:rPr>
      </w:pPr>
    </w:p>
    <w:p>
      <w:pPr>
        <w:ind w:right="120" w:firstLine="410"/>
        <w:spacing w:after="0" w:line="253" w:lineRule="auto"/>
        <w:rPr>
          <w:sz w:val="20"/>
          <w:szCs w:val="20"/>
          <w:color w:val="auto"/>
        </w:rPr>
      </w:pPr>
      <w:r>
        <w:rPr>
          <w:rFonts w:ascii="Arial" w:cs="Arial" w:eastAsia="Arial" w:hAnsi="Arial"/>
          <w:sz w:val="17"/>
          <w:szCs w:val="17"/>
          <w:color w:val="auto"/>
        </w:rPr>
        <w:t>We focus our sales and marketing efforts on specialist physicians in private practice or at major medical centers. We use customary pharmaceutical company practices to market our products and to educate physicians, such as sales representatives calling on individual physicians, advertisements, professional symposia, direct mail, public relations and other methods.</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2573BA"/>
        </w:rPr>
        <w:t>Distribution Arrangements</w:t>
      </w:r>
    </w:p>
    <w:p>
      <w:pPr>
        <w:spacing w:after="0" w:line="106" w:lineRule="exact"/>
        <w:rPr>
          <w:sz w:val="20"/>
          <w:szCs w:val="20"/>
          <w:color w:val="auto"/>
        </w:rPr>
      </w:pPr>
    </w:p>
    <w:p>
      <w:pPr>
        <w:ind w:left="320" w:firstLine="410"/>
        <w:spacing w:after="0" w:line="253" w:lineRule="auto"/>
        <w:rPr>
          <w:sz w:val="20"/>
          <w:szCs w:val="20"/>
          <w:color w:val="auto"/>
        </w:rPr>
      </w:pPr>
      <w:r>
        <w:rPr>
          <w:rFonts w:ascii="Arial" w:cs="Arial" w:eastAsia="Arial" w:hAnsi="Arial"/>
          <w:sz w:val="17"/>
          <w:szCs w:val="17"/>
          <w:color w:val="auto"/>
        </w:rPr>
        <w:t>We distribute our products in the U.S. principally through wholesale distributors of pharmaceutical products, mail order specialty distributors or shipping service providers. In other countries, the distribution of our products varies from country to country, including through wholesale distributors of pharmaceutical products and third-party distribution partners who are responsible for most marketing and distribution activities.</w:t>
      </w:r>
    </w:p>
    <w:p>
      <w:pPr>
        <w:spacing w:after="0" w:line="146" w:lineRule="exact"/>
        <w:rPr>
          <w:sz w:val="20"/>
          <w:szCs w:val="20"/>
          <w:color w:val="auto"/>
        </w:rPr>
      </w:pPr>
    </w:p>
    <w:p>
      <w:pPr>
        <w:ind w:left="320" w:right="580" w:firstLine="410"/>
        <w:spacing w:after="0" w:line="262" w:lineRule="auto"/>
        <w:rPr>
          <w:sz w:val="20"/>
          <w:szCs w:val="20"/>
          <w:color w:val="auto"/>
        </w:rPr>
      </w:pPr>
      <w:r>
        <w:rPr>
          <w:rFonts w:ascii="Arial" w:cs="Arial" w:eastAsia="Arial" w:hAnsi="Arial"/>
          <w:sz w:val="17"/>
          <w:szCs w:val="17"/>
          <w:color w:val="auto"/>
        </w:rPr>
        <w:t>AbbVie distributes ZINBRYTA in the U.S., and we distribute ZINBRYTA in ex-U.S. markets.</w:t>
      </w:r>
    </w:p>
    <w:p>
      <w:pPr>
        <w:spacing w:after="0" w:line="137" w:lineRule="exact"/>
        <w:rPr>
          <w:sz w:val="20"/>
          <w:szCs w:val="20"/>
          <w:color w:val="auto"/>
        </w:rPr>
      </w:pPr>
    </w:p>
    <w:p>
      <w:pPr>
        <w:ind w:left="740"/>
        <w:spacing w:after="0"/>
        <w:rPr>
          <w:sz w:val="20"/>
          <w:szCs w:val="20"/>
          <w:color w:val="auto"/>
        </w:rPr>
      </w:pPr>
      <w:r>
        <w:rPr>
          <w:rFonts w:ascii="Arial" w:cs="Arial" w:eastAsia="Arial" w:hAnsi="Arial"/>
          <w:sz w:val="17"/>
          <w:szCs w:val="17"/>
          <w:color w:val="auto"/>
        </w:rPr>
        <w:t>We distribute BENEPALI and FLIXABI in certain countries in the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E.U.</w:t>
      </w:r>
    </w:p>
    <w:p>
      <w:pPr>
        <w:spacing w:after="0" w:line="163" w:lineRule="exact"/>
        <w:rPr>
          <w:sz w:val="20"/>
          <w:szCs w:val="20"/>
          <w:color w:val="auto"/>
        </w:rPr>
      </w:pPr>
    </w:p>
    <w:p>
      <w:pPr>
        <w:ind w:left="320" w:firstLine="410"/>
        <w:spacing w:after="0" w:line="262" w:lineRule="auto"/>
        <w:rPr>
          <w:sz w:val="20"/>
          <w:szCs w:val="20"/>
          <w:color w:val="auto"/>
        </w:rPr>
      </w:pPr>
      <w:r>
        <w:rPr>
          <w:rFonts w:ascii="Arial" w:cs="Arial" w:eastAsia="Arial" w:hAnsi="Arial"/>
          <w:sz w:val="17"/>
          <w:szCs w:val="17"/>
          <w:color w:val="auto"/>
        </w:rPr>
        <w:t>Eisai distributes AVONEX, TYSABRI, TECFIDERA and PLEGRIDY in India and other Asia-Pacific markets, excluding China.</w:t>
      </w:r>
    </w:p>
    <w:p>
      <w:pPr>
        <w:spacing w:after="0" w:line="137" w:lineRule="exact"/>
        <w:rPr>
          <w:sz w:val="20"/>
          <w:szCs w:val="20"/>
          <w:color w:val="auto"/>
        </w:rPr>
      </w:pPr>
    </w:p>
    <w:p>
      <w:pPr>
        <w:ind w:left="320" w:right="140" w:firstLine="410"/>
        <w:spacing w:after="0" w:line="262" w:lineRule="auto"/>
        <w:rPr>
          <w:sz w:val="20"/>
          <w:szCs w:val="20"/>
          <w:color w:val="auto"/>
        </w:rPr>
      </w:pPr>
      <w:r>
        <w:rPr>
          <w:rFonts w:ascii="Arial" w:cs="Arial" w:eastAsia="Arial" w:hAnsi="Arial"/>
          <w:sz w:val="17"/>
          <w:szCs w:val="17"/>
          <w:color w:val="auto"/>
        </w:rPr>
        <w:t>RITUXAN, GAZYVA and OCREVUS are distributed by the Roche Group and its sublicensees.</w:t>
      </w:r>
    </w:p>
    <w:p>
      <w:pPr>
        <w:spacing w:after="0" w:line="137" w:lineRule="exact"/>
        <w:rPr>
          <w:sz w:val="20"/>
          <w:szCs w:val="20"/>
          <w:color w:val="auto"/>
        </w:rPr>
      </w:pPr>
    </w:p>
    <w:p>
      <w:pPr>
        <w:ind w:left="320" w:right="40" w:firstLine="410"/>
        <w:spacing w:after="0" w:line="253" w:lineRule="auto"/>
        <w:rPr>
          <w:sz w:val="20"/>
          <w:szCs w:val="20"/>
          <w:color w:val="auto"/>
        </w:rPr>
      </w:pPr>
      <w:r>
        <w:rPr>
          <w:rFonts w:ascii="Arial" w:cs="Arial" w:eastAsia="Arial" w:hAnsi="Arial"/>
          <w:sz w:val="17"/>
          <w:szCs w:val="17"/>
          <w:color w:val="auto"/>
        </w:rPr>
        <w:t xml:space="preserve">Our product sales to two wholesale distributors, AmerisourceBergen and McKesson, each accounted for more than 10% of our total revenues for the years ended December 31, 2017, 2016 and 2015, and on a combined basis, accounted for approximately 56%, 57% and 60% of our gross product revenues for the years ended December 31, 2017, 2016 and 2015, respectively. For additional information, please read Note 25, </w:t>
      </w:r>
      <w:r>
        <w:rPr>
          <w:rFonts w:ascii="Arial" w:cs="Arial" w:eastAsia="Arial" w:hAnsi="Arial"/>
          <w:sz w:val="17"/>
          <w:szCs w:val="17"/>
          <w:i w:val="1"/>
          <w:iCs w:val="1"/>
          <w:color w:val="auto"/>
        </w:rPr>
        <w:t>Segment Information</w:t>
      </w:r>
      <w:r>
        <w:rPr>
          <w:rFonts w:ascii="Arial" w:cs="Arial" w:eastAsia="Arial" w:hAnsi="Arial"/>
          <w:sz w:val="17"/>
          <w:szCs w:val="17"/>
          <w:color w:val="auto"/>
        </w:rPr>
        <w:t>, to our consolidated financial statements included in this report.</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578196"/>
        </w:rPr>
        <w:t>Patents and Other Proprietary Rights</w:t>
      </w:r>
    </w:p>
    <w:p>
      <w:pPr>
        <w:spacing w:after="0" w:line="109" w:lineRule="exact"/>
        <w:rPr>
          <w:sz w:val="20"/>
          <w:szCs w:val="20"/>
          <w:color w:val="auto"/>
        </w:rPr>
      </w:pPr>
    </w:p>
    <w:p>
      <w:pPr>
        <w:ind w:left="320" w:right="160" w:firstLine="410"/>
        <w:spacing w:after="0" w:line="254" w:lineRule="auto"/>
        <w:rPr>
          <w:sz w:val="20"/>
          <w:szCs w:val="20"/>
          <w:color w:val="auto"/>
        </w:rPr>
      </w:pPr>
      <w:r>
        <w:rPr>
          <w:rFonts w:ascii="Arial" w:cs="Arial" w:eastAsia="Arial" w:hAnsi="Arial"/>
          <w:sz w:val="17"/>
          <w:szCs w:val="17"/>
          <w:color w:val="auto"/>
        </w:rPr>
        <w:t>Patents are important to obtaining and protecting exclusive rights in our products and product candidates. We regularly seek patent protection in the U.S. and in selected countries outside the U.S. for inventions originating from our research and development efforts. In addition, we license rights to various patents and patent applications.</w:t>
      </w:r>
    </w:p>
    <w:p>
      <w:pPr>
        <w:spacing w:after="0" w:line="144" w:lineRule="exact"/>
        <w:rPr>
          <w:sz w:val="20"/>
          <w:szCs w:val="20"/>
          <w:color w:val="auto"/>
        </w:rPr>
      </w:pPr>
    </w:p>
    <w:p>
      <w:pPr>
        <w:ind w:left="320" w:right="60" w:firstLine="410"/>
        <w:spacing w:after="0" w:line="252" w:lineRule="auto"/>
        <w:rPr>
          <w:sz w:val="20"/>
          <w:szCs w:val="20"/>
          <w:color w:val="auto"/>
        </w:rPr>
      </w:pPr>
      <w:r>
        <w:rPr>
          <w:rFonts w:ascii="Arial" w:cs="Arial" w:eastAsia="Arial" w:hAnsi="Arial"/>
          <w:sz w:val="17"/>
          <w:szCs w:val="17"/>
          <w:color w:val="auto"/>
        </w:rPr>
        <w:t>U.S. patents, as well as most foreign patents, are generally effective for 20 years from the date the earliest application was filed; however, U.S. patents that issue on applications filed before June 8, 1995 may be effective until 17 years from the issue date, if that is later than the 20-year date. In some cases, the patent term may be extended to recapture a portion of the term lost during regulatory review of the claimed therapeutic or, in the case of the U.S., because of U.S. Patent and Trademark Office (USPTO) delays in prosecuting the application. Specifically, in the U.S., under the Drug Price Competition and Patent Term Restoration Act of 1984, commonly known as the Hatch-Waxman Act, a patent that covers an FDA-approved drug may be eligible for patent term</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13</w:t>
      </w:r>
    </w:p>
    <w:p>
      <w:pPr>
        <w:sectPr>
          <w:pgSz w:w="11900" w:h="16838" w:orient="portrait"/>
          <w:cols w:equalWidth="0" w:num="2">
            <w:col w:w="5460" w:space="160"/>
            <w:col w:w="5800"/>
          </w:cols>
          <w:pgMar w:left="240" w:top="144" w:right="239" w:bottom="1440" w:gutter="0" w:footer="0" w:header="0"/>
          <w:type w:val="continuous"/>
        </w:sectPr>
      </w:pPr>
    </w:p>
    <w:bookmarkStart w:id="17" w:name="page18"/>
    <w:bookmarkEnd w:id="1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383"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extension (for up to 5 years, but not beyond a total of 14 years from the date of product approval) as compensation for patent term lost during the FDA regulatory review process. The duration and extension of the term of foreign patents varies, in accordance with local law. For example, supplementary protection certificates (SPCs) on some of our products have been granted in a number of European countries, compensating in part for delays in obtaining marketing approval.</w:t>
      </w:r>
    </w:p>
    <w:p>
      <w:pPr>
        <w:spacing w:after="0" w:line="146"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Regulatory exclusivity, which may consist of regulatory data protection and market protection, also can provide meaningful protection for our products. Regulatory data protection provides to the holder of a drug or biologic marketing authorization, for a set period of time, the exclusive use of the proprietary pre-clinical and clinical data that it created at significant cost and submitted to the applicable regulatory authority to obtain approval of its product. After the applicable set period of time, third parties are then permitted to rely upon our data to file for approval of their abbreviated applications for, and to market (subject to any applicable market protection), their generic drugs and biosimilars referencing our data. Market protection provides to the holder of a drug or biologic marketing authorization the exclusive right to commercialize its product for a set period of time, thereby preventing the commercialization of another product containing the same active ingredient(s) during that period. Although the World Trade Organization's agreement on trade-related aspects of intellectual property rights (TRIPS) requires signatory countries to provide regulatory exclusivity to innovative pharmaceutical products, implementation and enforcement varies widely from country to country.</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320" w:right="80" w:firstLine="410"/>
        <w:spacing w:after="0" w:line="253" w:lineRule="auto"/>
        <w:rPr>
          <w:sz w:val="20"/>
          <w:szCs w:val="20"/>
          <w:color w:val="auto"/>
        </w:rPr>
      </w:pPr>
      <w:r>
        <w:rPr>
          <w:rFonts w:ascii="Arial" w:cs="Arial" w:eastAsia="Arial" w:hAnsi="Arial"/>
          <w:sz w:val="17"/>
          <w:szCs w:val="17"/>
          <w:color w:val="auto"/>
        </w:rPr>
        <w:t>We also rely upon other forms of unpatented confidential information to remain competitive. We protect such information principally through confidentiality agreements with our employees, consultants, outside scientific collaborators, scientists whose research we sponsor and other advisers. In the case of our employees, these agreements also provide, in compliance with relevant law, that inventions and other intellectual property conceived by such employees during their employment shall be our exclusive property.</w:t>
      </w:r>
    </w:p>
    <w:p>
      <w:pPr>
        <w:spacing w:after="0" w:line="144" w:lineRule="exact"/>
        <w:rPr>
          <w:sz w:val="20"/>
          <w:szCs w:val="20"/>
          <w:color w:val="auto"/>
        </w:rPr>
      </w:pPr>
    </w:p>
    <w:p>
      <w:pPr>
        <w:ind w:left="320" w:firstLine="410"/>
        <w:spacing w:after="0" w:line="253" w:lineRule="auto"/>
        <w:rPr>
          <w:sz w:val="20"/>
          <w:szCs w:val="20"/>
          <w:color w:val="auto"/>
        </w:rPr>
      </w:pPr>
      <w:r>
        <w:rPr>
          <w:rFonts w:ascii="Arial" w:cs="Arial" w:eastAsia="Arial" w:hAnsi="Arial"/>
          <w:sz w:val="17"/>
          <w:szCs w:val="17"/>
          <w:color w:val="auto"/>
        </w:rPr>
        <w:t>Our trademarks are important to us and are generally covered by trademark applications or registrations in the USPTO and the patent or trademark offices of other countries. We also use trademarks licensed from third parties, such as the trademark FAMPYRA which we license from Acorda. Trademark protection varies in accordance with local law, and continues in some countries as long as the trademark is used and in other countries as long as the trademark is registered. Trademark registrations generally are for fixed but renewable terms.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2573BA"/>
        </w:rPr>
        <w:t>Our Patent Portfolio</w:t>
      </w:r>
    </w:p>
    <w:p>
      <w:pPr>
        <w:spacing w:after="0" w:line="106" w:lineRule="exact"/>
        <w:rPr>
          <w:sz w:val="20"/>
          <w:szCs w:val="20"/>
          <w:color w:val="auto"/>
        </w:rPr>
      </w:pPr>
    </w:p>
    <w:p>
      <w:pPr>
        <w:ind w:left="320" w:right="40" w:firstLine="410"/>
        <w:spacing w:after="0" w:line="252" w:lineRule="auto"/>
        <w:rPr>
          <w:sz w:val="20"/>
          <w:szCs w:val="20"/>
          <w:color w:val="auto"/>
        </w:rPr>
      </w:pPr>
      <w:r>
        <w:rPr>
          <w:rFonts w:ascii="Arial" w:cs="Arial" w:eastAsia="Arial" w:hAnsi="Arial"/>
          <w:sz w:val="17"/>
          <w:szCs w:val="17"/>
          <w:color w:val="auto"/>
        </w:rPr>
        <w:t>The following table describes our patents in the U.S. and Europe that we currently consider of primary importance to our marketed products, including the territory, patent number, general subject matter and expected expiration dates. Except as otherwise noted, the expected expiration dates include any granted patent term extensions and issued SPCs. In some instances, there are later-expiring patents relating to our products directed to, among other things, particular forms or compositions, methods of manufacturing or use of the drug in the treatment of particular diseases or conditions. We also continue to pursue additional patents and patent term extensions in the U.S. and other territories covering various aspects of our products that may, if issued, extend exclusivity beyond the expiration of the patents listed in the table.</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14</w:t>
      </w:r>
    </w:p>
    <w:p>
      <w:pPr>
        <w:sectPr>
          <w:pgSz w:w="11900" w:h="16838" w:orient="portrait"/>
          <w:cols w:equalWidth="0" w:num="2">
            <w:col w:w="5460" w:space="160"/>
            <w:col w:w="5800"/>
          </w:cols>
          <w:pgMar w:left="240" w:top="144" w:right="23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160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516"/>
        </w:trPr>
        <w:tc>
          <w:tcPr>
            <w:tcW w:w="106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8"/>
              </w:rPr>
              <w:t>Patent</w:t>
            </w:r>
          </w:p>
        </w:tc>
      </w:tr>
      <w:tr>
        <w:trPr>
          <w:trHeight w:val="194"/>
        </w:trPr>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Product</w:t>
            </w:r>
          </w:p>
        </w:tc>
        <w:tc>
          <w:tcPr>
            <w:tcW w:w="120" w:type="dxa"/>
            <w:vAlign w:val="bottom"/>
          </w:tcPr>
          <w:p>
            <w:pPr>
              <w:spacing w:after="0"/>
              <w:rPr>
                <w:sz w:val="16"/>
                <w:szCs w:val="16"/>
                <w:color w:val="auto"/>
              </w:rPr>
            </w:pPr>
          </w:p>
        </w:tc>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Territory</w:t>
            </w:r>
          </w:p>
        </w:tc>
        <w:tc>
          <w:tcPr>
            <w:tcW w:w="120" w:type="dxa"/>
            <w:vAlign w:val="bottom"/>
          </w:tcPr>
          <w:p>
            <w:pPr>
              <w:spacing w:after="0"/>
              <w:rPr>
                <w:sz w:val="16"/>
                <w:szCs w:val="16"/>
                <w:color w:val="auto"/>
              </w:rPr>
            </w:pPr>
          </w:p>
        </w:tc>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Patent No.</w:t>
            </w:r>
          </w:p>
        </w:tc>
        <w:tc>
          <w:tcPr>
            <w:tcW w:w="120" w:type="dxa"/>
            <w:vAlign w:val="bottom"/>
          </w:tcPr>
          <w:p>
            <w:pPr>
              <w:spacing w:after="0"/>
              <w:rPr>
                <w:sz w:val="16"/>
                <w:szCs w:val="16"/>
                <w:color w:val="auto"/>
              </w:rPr>
            </w:pPr>
          </w:p>
        </w:tc>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General Subject Matter</w:t>
            </w:r>
          </w:p>
        </w:tc>
        <w:tc>
          <w:tcPr>
            <w:tcW w:w="120" w:type="dxa"/>
            <w:vAlign w:val="bottom"/>
          </w:tcPr>
          <w:p>
            <w:pPr>
              <w:spacing w:after="0"/>
              <w:rPr>
                <w:sz w:val="16"/>
                <w:szCs w:val="16"/>
                <w:color w:val="auto"/>
              </w:rPr>
            </w:pPr>
          </w:p>
        </w:tc>
        <w:tc>
          <w:tcPr>
            <w:tcW w:w="1460" w:type="dxa"/>
            <w:vAlign w:val="bottom"/>
            <w:tcBorders>
              <w:bottom w:val="single" w:sz="8" w:color="auto"/>
            </w:tcBorders>
          </w:tcPr>
          <w:p>
            <w:pPr>
              <w:jc w:val="center"/>
              <w:spacing w:after="0" w:line="193" w:lineRule="exact"/>
              <w:rPr>
                <w:sz w:val="20"/>
                <w:szCs w:val="20"/>
                <w:color w:val="auto"/>
              </w:rPr>
            </w:pPr>
            <w:r>
              <w:rPr>
                <w:rFonts w:ascii="Arial" w:cs="Arial" w:eastAsia="Arial" w:hAnsi="Arial"/>
                <w:sz w:val="14"/>
                <w:szCs w:val="14"/>
                <w:b w:val="1"/>
                <w:bCs w:val="1"/>
                <w:color w:val="auto"/>
                <w:w w:val="94"/>
              </w:rPr>
              <w:t>Expiration</w:t>
            </w:r>
            <w:r>
              <w:rPr>
                <w:rFonts w:ascii="Arial" w:cs="Arial" w:eastAsia="Arial" w:hAnsi="Arial"/>
                <w:sz w:val="22"/>
                <w:szCs w:val="22"/>
                <w:b w:val="1"/>
                <w:bCs w:val="1"/>
                <w:color w:val="auto"/>
                <w:w w:val="94"/>
                <w:vertAlign w:val="superscript"/>
              </w:rPr>
              <w:t>(1)</w:t>
            </w:r>
          </w:p>
        </w:tc>
      </w:tr>
      <w:tr>
        <w:trPr>
          <w:trHeight w:val="205"/>
        </w:trPr>
        <w:tc>
          <w:tcPr>
            <w:tcW w:w="1600" w:type="dxa"/>
            <w:vAlign w:val="bottom"/>
            <w:gridSpan w:val="3"/>
          </w:tcPr>
          <w:p>
            <w:pPr>
              <w:ind w:left="20"/>
              <w:spacing w:after="0"/>
              <w:rPr>
                <w:sz w:val="20"/>
                <w:szCs w:val="20"/>
                <w:color w:val="auto"/>
              </w:rPr>
            </w:pPr>
            <w:r>
              <w:rPr>
                <w:rFonts w:ascii="Arial" w:cs="Arial" w:eastAsia="Arial" w:hAnsi="Arial"/>
                <w:sz w:val="15"/>
                <w:szCs w:val="15"/>
                <w:color w:val="2573BA"/>
              </w:rPr>
              <w:t>TECFIDERA</w:t>
            </w: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U.S.</w:t>
            </w:r>
          </w:p>
        </w:tc>
        <w:tc>
          <w:tcPr>
            <w:tcW w:w="1480" w:type="dxa"/>
            <w:vAlign w:val="bottom"/>
          </w:tcPr>
          <w:p>
            <w:pPr>
              <w:ind w:left="20"/>
              <w:spacing w:after="0"/>
              <w:rPr>
                <w:sz w:val="20"/>
                <w:szCs w:val="20"/>
                <w:color w:val="auto"/>
              </w:rPr>
            </w:pPr>
            <w:r>
              <w:rPr>
                <w:rFonts w:ascii="Arial" w:cs="Arial" w:eastAsia="Arial" w:hAnsi="Arial"/>
                <w:sz w:val="15"/>
                <w:szCs w:val="15"/>
                <w:color w:val="2573BA"/>
              </w:rPr>
              <w:t>7,619,001</w:t>
            </w:r>
          </w:p>
        </w:tc>
        <w:tc>
          <w:tcPr>
            <w:tcW w:w="120" w:type="dxa"/>
            <w:vAlign w:val="bottom"/>
          </w:tcPr>
          <w:p>
            <w:pPr>
              <w:spacing w:after="0"/>
              <w:rPr>
                <w:sz w:val="17"/>
                <w:szCs w:val="17"/>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573BA"/>
              </w:rPr>
              <w:t>Methods of treatment</w:t>
            </w:r>
          </w:p>
        </w:tc>
        <w:tc>
          <w:tcPr>
            <w:tcW w:w="1460" w:type="dxa"/>
            <w:vAlign w:val="bottom"/>
          </w:tcPr>
          <w:p>
            <w:pPr>
              <w:jc w:val="center"/>
              <w:spacing w:after="0"/>
              <w:rPr>
                <w:sz w:val="20"/>
                <w:szCs w:val="20"/>
                <w:color w:val="auto"/>
              </w:rPr>
            </w:pPr>
            <w:r>
              <w:rPr>
                <w:rFonts w:ascii="Arial" w:cs="Arial" w:eastAsia="Arial" w:hAnsi="Arial"/>
                <w:sz w:val="15"/>
                <w:szCs w:val="15"/>
                <w:color w:val="2573BA"/>
              </w:rPr>
              <w:t>2018</w:t>
            </w:r>
          </w:p>
        </w:tc>
      </w:tr>
      <w:tr>
        <w:trPr>
          <w:trHeight w:val="243"/>
        </w:trPr>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U.S.</w:t>
            </w:r>
          </w:p>
        </w:tc>
        <w:tc>
          <w:tcPr>
            <w:tcW w:w="1480" w:type="dxa"/>
            <w:vAlign w:val="bottom"/>
          </w:tcPr>
          <w:p>
            <w:pPr>
              <w:ind w:left="20"/>
              <w:spacing w:after="0"/>
              <w:rPr>
                <w:sz w:val="20"/>
                <w:szCs w:val="20"/>
                <w:color w:val="auto"/>
              </w:rPr>
            </w:pPr>
            <w:r>
              <w:rPr>
                <w:rFonts w:ascii="Arial" w:cs="Arial" w:eastAsia="Arial" w:hAnsi="Arial"/>
                <w:sz w:val="15"/>
                <w:szCs w:val="15"/>
                <w:color w:val="2573BA"/>
              </w:rPr>
              <w:t>7,803,840</w:t>
            </w:r>
          </w:p>
        </w:tc>
        <w:tc>
          <w:tcPr>
            <w:tcW w:w="120" w:type="dxa"/>
            <w:vAlign w:val="bottom"/>
          </w:tcPr>
          <w:p>
            <w:pPr>
              <w:spacing w:after="0"/>
              <w:rPr>
                <w:sz w:val="21"/>
                <w:szCs w:val="21"/>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573BA"/>
              </w:rPr>
              <w:t>Methods of treatment</w:t>
            </w:r>
          </w:p>
        </w:tc>
        <w:tc>
          <w:tcPr>
            <w:tcW w:w="1460" w:type="dxa"/>
            <w:vAlign w:val="bottom"/>
          </w:tcPr>
          <w:p>
            <w:pPr>
              <w:jc w:val="center"/>
              <w:spacing w:after="0"/>
              <w:rPr>
                <w:sz w:val="20"/>
                <w:szCs w:val="20"/>
                <w:color w:val="auto"/>
              </w:rPr>
            </w:pPr>
            <w:r>
              <w:rPr>
                <w:rFonts w:ascii="Arial" w:cs="Arial" w:eastAsia="Arial" w:hAnsi="Arial"/>
                <w:sz w:val="15"/>
                <w:szCs w:val="15"/>
                <w:color w:val="2573BA"/>
              </w:rPr>
              <w:t>2018</w:t>
            </w:r>
          </w:p>
        </w:tc>
      </w:tr>
      <w:tr>
        <w:trPr>
          <w:trHeight w:val="256"/>
        </w:trPr>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U.S.</w:t>
            </w:r>
          </w:p>
        </w:tc>
        <w:tc>
          <w:tcPr>
            <w:tcW w:w="1480" w:type="dxa"/>
            <w:vAlign w:val="bottom"/>
          </w:tcPr>
          <w:p>
            <w:pPr>
              <w:ind w:left="20"/>
              <w:spacing w:after="0"/>
              <w:rPr>
                <w:sz w:val="20"/>
                <w:szCs w:val="20"/>
                <w:color w:val="auto"/>
              </w:rPr>
            </w:pPr>
            <w:r>
              <w:rPr>
                <w:rFonts w:ascii="Arial" w:cs="Arial" w:eastAsia="Arial" w:hAnsi="Arial"/>
                <w:sz w:val="15"/>
                <w:szCs w:val="15"/>
                <w:color w:val="2573BA"/>
              </w:rPr>
              <w:t>8,399,514</w:t>
            </w:r>
          </w:p>
        </w:tc>
        <w:tc>
          <w:tcPr>
            <w:tcW w:w="120" w:type="dxa"/>
            <w:vAlign w:val="bottom"/>
          </w:tcPr>
          <w:p>
            <w:pPr>
              <w:spacing w:after="0"/>
              <w:rPr>
                <w:sz w:val="22"/>
                <w:szCs w:val="22"/>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573BA"/>
              </w:rPr>
              <w:t>Methods of treatment</w:t>
            </w:r>
          </w:p>
        </w:tc>
        <w:tc>
          <w:tcPr>
            <w:tcW w:w="1460" w:type="dxa"/>
            <w:vAlign w:val="bottom"/>
          </w:tcPr>
          <w:p>
            <w:pPr>
              <w:jc w:val="center"/>
              <w:spacing w:after="0"/>
              <w:rPr>
                <w:sz w:val="20"/>
                <w:szCs w:val="20"/>
                <w:color w:val="auto"/>
              </w:rPr>
            </w:pPr>
            <w:r>
              <w:rPr>
                <w:rFonts w:ascii="Arial" w:cs="Arial" w:eastAsia="Arial" w:hAnsi="Arial"/>
                <w:sz w:val="15"/>
                <w:szCs w:val="15"/>
                <w:color w:val="2573BA"/>
              </w:rPr>
              <w:t>2028</w:t>
            </w:r>
          </w:p>
        </w:tc>
      </w:tr>
      <w:tr>
        <w:trPr>
          <w:trHeight w:val="256"/>
        </w:trPr>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U.S.</w:t>
            </w:r>
          </w:p>
        </w:tc>
        <w:tc>
          <w:tcPr>
            <w:tcW w:w="1480" w:type="dxa"/>
            <w:vAlign w:val="bottom"/>
          </w:tcPr>
          <w:p>
            <w:pPr>
              <w:ind w:left="20"/>
              <w:spacing w:after="0"/>
              <w:rPr>
                <w:sz w:val="20"/>
                <w:szCs w:val="20"/>
                <w:color w:val="auto"/>
              </w:rPr>
            </w:pPr>
            <w:r>
              <w:rPr>
                <w:rFonts w:ascii="Arial" w:cs="Arial" w:eastAsia="Arial" w:hAnsi="Arial"/>
                <w:sz w:val="15"/>
                <w:szCs w:val="15"/>
                <w:color w:val="2573BA"/>
              </w:rPr>
              <w:t>8,524,773</w:t>
            </w:r>
          </w:p>
        </w:tc>
        <w:tc>
          <w:tcPr>
            <w:tcW w:w="120" w:type="dxa"/>
            <w:vAlign w:val="bottom"/>
          </w:tcPr>
          <w:p>
            <w:pPr>
              <w:spacing w:after="0"/>
              <w:rPr>
                <w:sz w:val="22"/>
                <w:szCs w:val="22"/>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573BA"/>
              </w:rPr>
              <w:t>Methods of treatment</w:t>
            </w:r>
          </w:p>
        </w:tc>
        <w:tc>
          <w:tcPr>
            <w:tcW w:w="1460" w:type="dxa"/>
            <w:vAlign w:val="bottom"/>
          </w:tcPr>
          <w:p>
            <w:pPr>
              <w:jc w:val="center"/>
              <w:spacing w:after="0"/>
              <w:rPr>
                <w:sz w:val="20"/>
                <w:szCs w:val="20"/>
                <w:color w:val="auto"/>
              </w:rPr>
            </w:pPr>
            <w:r>
              <w:rPr>
                <w:rFonts w:ascii="Arial" w:cs="Arial" w:eastAsia="Arial" w:hAnsi="Arial"/>
                <w:sz w:val="15"/>
                <w:szCs w:val="15"/>
                <w:color w:val="2573BA"/>
              </w:rPr>
              <w:t>2018</w:t>
            </w:r>
          </w:p>
        </w:tc>
      </w:tr>
      <w:tr>
        <w:trPr>
          <w:trHeight w:val="250"/>
        </w:trPr>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U.S.</w:t>
            </w:r>
          </w:p>
        </w:tc>
        <w:tc>
          <w:tcPr>
            <w:tcW w:w="1480" w:type="dxa"/>
            <w:vAlign w:val="bottom"/>
          </w:tcPr>
          <w:p>
            <w:pPr>
              <w:ind w:left="20"/>
              <w:spacing w:after="0"/>
              <w:rPr>
                <w:sz w:val="20"/>
                <w:szCs w:val="20"/>
                <w:color w:val="auto"/>
              </w:rPr>
            </w:pPr>
            <w:r>
              <w:rPr>
                <w:rFonts w:ascii="Arial" w:cs="Arial" w:eastAsia="Arial" w:hAnsi="Arial"/>
                <w:sz w:val="15"/>
                <w:szCs w:val="15"/>
                <w:color w:val="2573BA"/>
              </w:rPr>
              <w:t>6,509,376</w:t>
            </w:r>
          </w:p>
        </w:tc>
        <w:tc>
          <w:tcPr>
            <w:tcW w:w="120" w:type="dxa"/>
            <w:vAlign w:val="bottom"/>
          </w:tcPr>
          <w:p>
            <w:pPr>
              <w:spacing w:after="0"/>
              <w:rPr>
                <w:sz w:val="21"/>
                <w:szCs w:val="21"/>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573BA"/>
              </w:rPr>
              <w:t>Formulations of dialkyl fumarates for use in the treatment of autoimmune</w:t>
            </w:r>
          </w:p>
        </w:tc>
        <w:tc>
          <w:tcPr>
            <w:tcW w:w="1460" w:type="dxa"/>
            <w:vAlign w:val="bottom"/>
          </w:tcPr>
          <w:p>
            <w:pPr>
              <w:jc w:val="center"/>
              <w:spacing w:after="0"/>
              <w:rPr>
                <w:sz w:val="20"/>
                <w:szCs w:val="20"/>
                <w:color w:val="auto"/>
              </w:rPr>
            </w:pPr>
            <w:r>
              <w:rPr>
                <w:rFonts w:ascii="Arial" w:cs="Arial" w:eastAsia="Arial" w:hAnsi="Arial"/>
                <w:sz w:val="15"/>
                <w:szCs w:val="15"/>
                <w:color w:val="2573BA"/>
              </w:rPr>
              <w:t>2019</w:t>
            </w:r>
          </w:p>
        </w:tc>
      </w:tr>
      <w:tr>
        <w:trPr>
          <w:trHeight w:val="185"/>
        </w:trPr>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573BA"/>
              </w:rPr>
              <w:t>diseases</w:t>
            </w:r>
          </w:p>
        </w:tc>
        <w:tc>
          <w:tcPr>
            <w:tcW w:w="1460" w:type="dxa"/>
            <w:vAlign w:val="bottom"/>
          </w:tcPr>
          <w:p>
            <w:pPr>
              <w:spacing w:after="0"/>
              <w:rPr>
                <w:sz w:val="16"/>
                <w:szCs w:val="16"/>
                <w:color w:val="auto"/>
              </w:rPr>
            </w:pPr>
          </w:p>
        </w:tc>
      </w:tr>
      <w:tr>
        <w:trPr>
          <w:trHeight w:val="231"/>
        </w:trPr>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U.S.</w:t>
            </w:r>
          </w:p>
        </w:tc>
        <w:tc>
          <w:tcPr>
            <w:tcW w:w="1480" w:type="dxa"/>
            <w:vAlign w:val="bottom"/>
          </w:tcPr>
          <w:p>
            <w:pPr>
              <w:ind w:left="20"/>
              <w:spacing w:after="0"/>
              <w:rPr>
                <w:sz w:val="20"/>
                <w:szCs w:val="20"/>
                <w:color w:val="auto"/>
              </w:rPr>
            </w:pPr>
            <w:r>
              <w:rPr>
                <w:rFonts w:ascii="Arial" w:cs="Arial" w:eastAsia="Arial" w:hAnsi="Arial"/>
                <w:sz w:val="15"/>
                <w:szCs w:val="15"/>
                <w:color w:val="2573BA"/>
              </w:rPr>
              <w:t>8,759,393</w:t>
            </w:r>
          </w:p>
        </w:tc>
        <w:tc>
          <w:tcPr>
            <w:tcW w:w="120" w:type="dxa"/>
            <w:vAlign w:val="bottom"/>
          </w:tcPr>
          <w:p>
            <w:pPr>
              <w:spacing w:after="0"/>
              <w:rPr>
                <w:sz w:val="20"/>
                <w:szCs w:val="20"/>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573BA"/>
              </w:rPr>
              <w:t>Formulations</w:t>
            </w:r>
          </w:p>
        </w:tc>
        <w:tc>
          <w:tcPr>
            <w:tcW w:w="1460" w:type="dxa"/>
            <w:vAlign w:val="bottom"/>
          </w:tcPr>
          <w:p>
            <w:pPr>
              <w:jc w:val="center"/>
              <w:spacing w:after="0"/>
              <w:rPr>
                <w:sz w:val="20"/>
                <w:szCs w:val="20"/>
                <w:color w:val="auto"/>
              </w:rPr>
            </w:pPr>
            <w:r>
              <w:rPr>
                <w:rFonts w:ascii="Arial" w:cs="Arial" w:eastAsia="Arial" w:hAnsi="Arial"/>
                <w:sz w:val="15"/>
                <w:szCs w:val="15"/>
                <w:color w:val="2573BA"/>
              </w:rPr>
              <w:t>2019</w:t>
            </w:r>
          </w:p>
        </w:tc>
      </w:tr>
      <w:tr>
        <w:trPr>
          <w:trHeight w:val="256"/>
        </w:trPr>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U.S.</w:t>
            </w:r>
          </w:p>
        </w:tc>
        <w:tc>
          <w:tcPr>
            <w:tcW w:w="1480" w:type="dxa"/>
            <w:vAlign w:val="bottom"/>
          </w:tcPr>
          <w:p>
            <w:pPr>
              <w:ind w:left="20"/>
              <w:spacing w:after="0"/>
              <w:rPr>
                <w:sz w:val="20"/>
                <w:szCs w:val="20"/>
                <w:color w:val="auto"/>
              </w:rPr>
            </w:pPr>
            <w:r>
              <w:rPr>
                <w:rFonts w:ascii="Arial" w:cs="Arial" w:eastAsia="Arial" w:hAnsi="Arial"/>
                <w:sz w:val="15"/>
                <w:szCs w:val="15"/>
                <w:color w:val="2573BA"/>
              </w:rPr>
              <w:t>7,320,999</w:t>
            </w:r>
          </w:p>
        </w:tc>
        <w:tc>
          <w:tcPr>
            <w:tcW w:w="120" w:type="dxa"/>
            <w:vAlign w:val="bottom"/>
          </w:tcPr>
          <w:p>
            <w:pPr>
              <w:spacing w:after="0"/>
              <w:rPr>
                <w:sz w:val="22"/>
                <w:szCs w:val="22"/>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573BA"/>
              </w:rPr>
              <w:t>Methods of treatment</w:t>
            </w:r>
          </w:p>
        </w:tc>
        <w:tc>
          <w:tcPr>
            <w:tcW w:w="1460" w:type="dxa"/>
            <w:vAlign w:val="bottom"/>
          </w:tcPr>
          <w:p>
            <w:pPr>
              <w:jc w:val="center"/>
              <w:spacing w:after="0"/>
              <w:rPr>
                <w:sz w:val="20"/>
                <w:szCs w:val="20"/>
                <w:color w:val="auto"/>
              </w:rPr>
            </w:pPr>
            <w:r>
              <w:rPr>
                <w:rFonts w:ascii="Arial" w:cs="Arial" w:eastAsia="Arial" w:hAnsi="Arial"/>
                <w:sz w:val="15"/>
                <w:szCs w:val="15"/>
                <w:color w:val="2573BA"/>
              </w:rPr>
              <w:t>2018</w:t>
            </w:r>
          </w:p>
        </w:tc>
      </w:tr>
      <w:tr>
        <w:trPr>
          <w:trHeight w:val="250"/>
        </w:trPr>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Europe</w:t>
            </w:r>
          </w:p>
        </w:tc>
        <w:tc>
          <w:tcPr>
            <w:tcW w:w="1480" w:type="dxa"/>
            <w:vAlign w:val="bottom"/>
          </w:tcPr>
          <w:p>
            <w:pPr>
              <w:ind w:left="20"/>
              <w:spacing w:after="0"/>
              <w:rPr>
                <w:sz w:val="20"/>
                <w:szCs w:val="20"/>
                <w:color w:val="auto"/>
              </w:rPr>
            </w:pPr>
            <w:r>
              <w:rPr>
                <w:rFonts w:ascii="Arial" w:cs="Arial" w:eastAsia="Arial" w:hAnsi="Arial"/>
                <w:sz w:val="15"/>
                <w:szCs w:val="15"/>
                <w:color w:val="2573BA"/>
              </w:rPr>
              <w:t>1131065</w:t>
            </w:r>
          </w:p>
        </w:tc>
        <w:tc>
          <w:tcPr>
            <w:tcW w:w="120" w:type="dxa"/>
            <w:vAlign w:val="bottom"/>
          </w:tcPr>
          <w:p>
            <w:pPr>
              <w:spacing w:after="0"/>
              <w:rPr>
                <w:sz w:val="21"/>
                <w:szCs w:val="21"/>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573BA"/>
              </w:rPr>
              <w:t>Formulations of dialkyl fumarates and their use for treating autoimmune</w:t>
            </w:r>
          </w:p>
        </w:tc>
        <w:tc>
          <w:tcPr>
            <w:tcW w:w="1460" w:type="dxa"/>
            <w:vAlign w:val="bottom"/>
          </w:tcPr>
          <w:p>
            <w:pPr>
              <w:jc w:val="center"/>
              <w:spacing w:after="0" w:line="250" w:lineRule="exact"/>
              <w:rPr>
                <w:sz w:val="20"/>
                <w:szCs w:val="20"/>
                <w:color w:val="auto"/>
              </w:rPr>
            </w:pPr>
            <w:r>
              <w:rPr>
                <w:rFonts w:ascii="Arial" w:cs="Arial" w:eastAsia="Arial" w:hAnsi="Arial"/>
                <w:sz w:val="15"/>
                <w:szCs w:val="15"/>
                <w:color w:val="2573BA"/>
                <w:w w:val="92"/>
              </w:rPr>
              <w:t>2019</w:t>
            </w:r>
            <w:r>
              <w:rPr>
                <w:rFonts w:ascii="Arial" w:cs="Arial" w:eastAsia="Arial" w:hAnsi="Arial"/>
                <w:sz w:val="25"/>
                <w:szCs w:val="25"/>
                <w:color w:val="2573BA"/>
                <w:w w:val="92"/>
                <w:vertAlign w:val="superscript"/>
              </w:rPr>
              <w:t>(2)</w:t>
            </w:r>
          </w:p>
        </w:tc>
      </w:tr>
      <w:tr>
        <w:trPr>
          <w:trHeight w:val="185"/>
        </w:trPr>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573BA"/>
              </w:rPr>
              <w:t>diseases</w:t>
            </w:r>
          </w:p>
        </w:tc>
        <w:tc>
          <w:tcPr>
            <w:tcW w:w="1460" w:type="dxa"/>
            <w:vAlign w:val="bottom"/>
          </w:tcPr>
          <w:p>
            <w:pPr>
              <w:spacing w:after="0"/>
              <w:rPr>
                <w:sz w:val="16"/>
                <w:szCs w:val="16"/>
                <w:color w:val="auto"/>
              </w:rPr>
            </w:pPr>
          </w:p>
        </w:tc>
      </w:tr>
      <w:tr>
        <w:trPr>
          <w:trHeight w:val="274"/>
        </w:trPr>
        <w:tc>
          <w:tcPr>
            <w:tcW w:w="106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2573BA"/>
              </w:rPr>
              <w:t>Europe</w:t>
            </w:r>
          </w:p>
        </w:tc>
        <w:tc>
          <w:tcPr>
            <w:tcW w:w="120" w:type="dxa"/>
            <w:vAlign w:val="bottom"/>
          </w:tcPr>
          <w:p>
            <w:pPr>
              <w:spacing w:after="0"/>
              <w:rPr>
                <w:sz w:val="23"/>
                <w:szCs w:val="23"/>
                <w:color w:val="auto"/>
              </w:rPr>
            </w:pPr>
          </w:p>
        </w:tc>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2573BA"/>
              </w:rPr>
              <w:t>2137537</w:t>
            </w:r>
          </w:p>
        </w:tc>
        <w:tc>
          <w:tcPr>
            <w:tcW w:w="120" w:type="dxa"/>
            <w:vAlign w:val="bottom"/>
          </w:tcPr>
          <w:p>
            <w:pPr>
              <w:spacing w:after="0"/>
              <w:rPr>
                <w:sz w:val="23"/>
                <w:szCs w:val="23"/>
                <w:color w:val="auto"/>
              </w:rPr>
            </w:pPr>
          </w:p>
        </w:tc>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2573BA"/>
              </w:rPr>
              <w:t>Methods of use</w:t>
            </w:r>
          </w:p>
        </w:tc>
        <w:tc>
          <w:tcPr>
            <w:tcW w:w="120" w:type="dxa"/>
            <w:vAlign w:val="bottom"/>
          </w:tcPr>
          <w:p>
            <w:pPr>
              <w:spacing w:after="0"/>
              <w:rPr>
                <w:sz w:val="23"/>
                <w:szCs w:val="23"/>
                <w:color w:val="auto"/>
              </w:rPr>
            </w:pPr>
          </w:p>
        </w:tc>
        <w:tc>
          <w:tcPr>
            <w:tcW w:w="1460" w:type="dxa"/>
            <w:vAlign w:val="bottom"/>
            <w:tcBorders>
              <w:bottom w:val="single" w:sz="8" w:color="auto"/>
            </w:tcBorders>
          </w:tcPr>
          <w:p>
            <w:pPr>
              <w:jc w:val="center"/>
              <w:spacing w:after="0" w:line="274" w:lineRule="exact"/>
              <w:rPr>
                <w:sz w:val="20"/>
                <w:szCs w:val="20"/>
                <w:color w:val="auto"/>
              </w:rPr>
            </w:pPr>
            <w:r>
              <w:rPr>
                <w:rFonts w:ascii="Arial" w:cs="Arial" w:eastAsia="Arial" w:hAnsi="Arial"/>
                <w:sz w:val="15"/>
                <w:szCs w:val="15"/>
                <w:color w:val="2573BA"/>
                <w:w w:val="92"/>
              </w:rPr>
              <w:t>2028</w:t>
            </w:r>
            <w:r>
              <w:rPr>
                <w:rFonts w:ascii="Arial" w:cs="Arial" w:eastAsia="Arial" w:hAnsi="Arial"/>
                <w:sz w:val="25"/>
                <w:szCs w:val="25"/>
                <w:color w:val="2573BA"/>
                <w:w w:val="92"/>
                <w:vertAlign w:val="superscript"/>
              </w:rPr>
              <w:t>(3)</w:t>
            </w:r>
          </w:p>
        </w:tc>
      </w:tr>
      <w:tr>
        <w:trPr>
          <w:trHeight w:val="199"/>
        </w:trPr>
        <w:tc>
          <w:tcPr>
            <w:tcW w:w="1600" w:type="dxa"/>
            <w:vAlign w:val="bottom"/>
            <w:gridSpan w:val="3"/>
          </w:tcPr>
          <w:p>
            <w:pPr>
              <w:ind w:left="20"/>
              <w:spacing w:after="0"/>
              <w:rPr>
                <w:sz w:val="20"/>
                <w:szCs w:val="20"/>
                <w:color w:val="auto"/>
              </w:rPr>
            </w:pPr>
            <w:r>
              <w:rPr>
                <w:rFonts w:ascii="Arial" w:cs="Arial" w:eastAsia="Arial" w:hAnsi="Arial"/>
                <w:sz w:val="15"/>
                <w:szCs w:val="15"/>
                <w:color w:val="2573BA"/>
              </w:rPr>
              <w:t>AVONEX and</w:t>
            </w: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U.S.</w:t>
            </w:r>
          </w:p>
        </w:tc>
        <w:tc>
          <w:tcPr>
            <w:tcW w:w="1480" w:type="dxa"/>
            <w:vAlign w:val="bottom"/>
          </w:tcPr>
          <w:p>
            <w:pPr>
              <w:ind w:left="20"/>
              <w:spacing w:after="0"/>
              <w:rPr>
                <w:sz w:val="20"/>
                <w:szCs w:val="20"/>
                <w:color w:val="auto"/>
              </w:rPr>
            </w:pPr>
            <w:r>
              <w:rPr>
                <w:rFonts w:ascii="Arial" w:cs="Arial" w:eastAsia="Arial" w:hAnsi="Arial"/>
                <w:sz w:val="15"/>
                <w:szCs w:val="15"/>
                <w:color w:val="2573BA"/>
              </w:rPr>
              <w:t>7,588,755</w:t>
            </w:r>
          </w:p>
        </w:tc>
        <w:tc>
          <w:tcPr>
            <w:tcW w:w="120" w:type="dxa"/>
            <w:vAlign w:val="bottom"/>
          </w:tcPr>
          <w:p>
            <w:pPr>
              <w:spacing w:after="0"/>
              <w:rPr>
                <w:sz w:val="17"/>
                <w:szCs w:val="17"/>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573BA"/>
              </w:rPr>
              <w:t>Use of recombinant beta interferon for immunomodulation</w:t>
            </w:r>
          </w:p>
        </w:tc>
        <w:tc>
          <w:tcPr>
            <w:tcW w:w="1460" w:type="dxa"/>
            <w:vAlign w:val="bottom"/>
          </w:tcPr>
          <w:p>
            <w:pPr>
              <w:jc w:val="center"/>
              <w:spacing w:after="0"/>
              <w:rPr>
                <w:sz w:val="20"/>
                <w:szCs w:val="20"/>
                <w:color w:val="auto"/>
              </w:rPr>
            </w:pPr>
            <w:r>
              <w:rPr>
                <w:rFonts w:ascii="Arial" w:cs="Arial" w:eastAsia="Arial" w:hAnsi="Arial"/>
                <w:sz w:val="15"/>
                <w:szCs w:val="15"/>
                <w:color w:val="2573BA"/>
              </w:rPr>
              <w:t>2026</w:t>
            </w:r>
          </w:p>
        </w:tc>
      </w:tr>
      <w:tr>
        <w:trPr>
          <w:trHeight w:val="196"/>
        </w:trPr>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color w:val="2573BA"/>
              </w:rPr>
              <w:t>PLEGRIDY</w:t>
            </w:r>
          </w:p>
        </w:tc>
        <w:tc>
          <w:tcPr>
            <w:tcW w:w="120" w:type="dxa"/>
            <w:vAlign w:val="bottom"/>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r>
      <w:tr>
        <w:trPr>
          <w:trHeight w:val="212"/>
        </w:trPr>
        <w:tc>
          <w:tcPr>
            <w:tcW w:w="1600" w:type="dxa"/>
            <w:vAlign w:val="bottom"/>
            <w:gridSpan w:val="3"/>
          </w:tcPr>
          <w:p>
            <w:pPr>
              <w:ind w:left="20"/>
              <w:spacing w:after="0"/>
              <w:rPr>
                <w:sz w:val="20"/>
                <w:szCs w:val="20"/>
                <w:color w:val="auto"/>
              </w:rPr>
            </w:pPr>
            <w:r>
              <w:rPr>
                <w:rFonts w:ascii="Arial" w:cs="Arial" w:eastAsia="Arial" w:hAnsi="Arial"/>
                <w:sz w:val="15"/>
                <w:szCs w:val="15"/>
                <w:color w:val="2573BA"/>
              </w:rPr>
              <w:t>PLEGRIDY</w:t>
            </w: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U.S.</w:t>
            </w:r>
          </w:p>
        </w:tc>
        <w:tc>
          <w:tcPr>
            <w:tcW w:w="1480" w:type="dxa"/>
            <w:vAlign w:val="bottom"/>
          </w:tcPr>
          <w:p>
            <w:pPr>
              <w:ind w:left="20"/>
              <w:spacing w:after="0"/>
              <w:rPr>
                <w:sz w:val="20"/>
                <w:szCs w:val="20"/>
                <w:color w:val="auto"/>
              </w:rPr>
            </w:pPr>
            <w:r>
              <w:rPr>
                <w:rFonts w:ascii="Arial" w:cs="Arial" w:eastAsia="Arial" w:hAnsi="Arial"/>
                <w:sz w:val="15"/>
                <w:szCs w:val="15"/>
                <w:color w:val="2573BA"/>
              </w:rPr>
              <w:t>7,446,173</w:t>
            </w:r>
          </w:p>
        </w:tc>
        <w:tc>
          <w:tcPr>
            <w:tcW w:w="120" w:type="dxa"/>
            <w:vAlign w:val="bottom"/>
          </w:tcPr>
          <w:p>
            <w:pPr>
              <w:spacing w:after="0"/>
              <w:rPr>
                <w:sz w:val="18"/>
                <w:szCs w:val="18"/>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573BA"/>
              </w:rPr>
              <w:t>Polymer conjugates of interferon beta-1a</w:t>
            </w:r>
          </w:p>
        </w:tc>
        <w:tc>
          <w:tcPr>
            <w:tcW w:w="1460" w:type="dxa"/>
            <w:vAlign w:val="bottom"/>
          </w:tcPr>
          <w:p>
            <w:pPr>
              <w:jc w:val="center"/>
              <w:spacing w:after="0"/>
              <w:rPr>
                <w:sz w:val="20"/>
                <w:szCs w:val="20"/>
                <w:color w:val="auto"/>
              </w:rPr>
            </w:pPr>
            <w:r>
              <w:rPr>
                <w:rFonts w:ascii="Arial" w:cs="Arial" w:eastAsia="Arial" w:hAnsi="Arial"/>
                <w:sz w:val="15"/>
                <w:szCs w:val="15"/>
                <w:color w:val="2573BA"/>
              </w:rPr>
              <w:t>2022</w:t>
            </w:r>
          </w:p>
        </w:tc>
      </w:tr>
      <w:tr>
        <w:trPr>
          <w:trHeight w:val="243"/>
        </w:trPr>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U.S.</w:t>
            </w:r>
          </w:p>
        </w:tc>
        <w:tc>
          <w:tcPr>
            <w:tcW w:w="1480" w:type="dxa"/>
            <w:vAlign w:val="bottom"/>
          </w:tcPr>
          <w:p>
            <w:pPr>
              <w:ind w:left="20"/>
              <w:spacing w:after="0"/>
              <w:rPr>
                <w:sz w:val="20"/>
                <w:szCs w:val="20"/>
                <w:color w:val="auto"/>
              </w:rPr>
            </w:pPr>
            <w:r>
              <w:rPr>
                <w:rFonts w:ascii="Arial" w:cs="Arial" w:eastAsia="Arial" w:hAnsi="Arial"/>
                <w:sz w:val="15"/>
                <w:szCs w:val="15"/>
                <w:color w:val="2573BA"/>
              </w:rPr>
              <w:t>8,524,660</w:t>
            </w:r>
          </w:p>
        </w:tc>
        <w:tc>
          <w:tcPr>
            <w:tcW w:w="120" w:type="dxa"/>
            <w:vAlign w:val="bottom"/>
          </w:tcPr>
          <w:p>
            <w:pPr>
              <w:spacing w:after="0"/>
              <w:rPr>
                <w:sz w:val="21"/>
                <w:szCs w:val="21"/>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573BA"/>
              </w:rPr>
              <w:t>Methods of treatment</w:t>
            </w:r>
          </w:p>
        </w:tc>
        <w:tc>
          <w:tcPr>
            <w:tcW w:w="1460" w:type="dxa"/>
            <w:vAlign w:val="bottom"/>
          </w:tcPr>
          <w:p>
            <w:pPr>
              <w:jc w:val="center"/>
              <w:spacing w:after="0"/>
              <w:rPr>
                <w:sz w:val="20"/>
                <w:szCs w:val="20"/>
                <w:color w:val="auto"/>
              </w:rPr>
            </w:pPr>
            <w:r>
              <w:rPr>
                <w:rFonts w:ascii="Arial" w:cs="Arial" w:eastAsia="Arial" w:hAnsi="Arial"/>
                <w:sz w:val="15"/>
                <w:szCs w:val="15"/>
                <w:color w:val="2573BA"/>
              </w:rPr>
              <w:t>2023</w:t>
            </w:r>
          </w:p>
        </w:tc>
      </w:tr>
      <w:tr>
        <w:trPr>
          <w:trHeight w:val="256"/>
        </w:trPr>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U.S.</w:t>
            </w:r>
          </w:p>
        </w:tc>
        <w:tc>
          <w:tcPr>
            <w:tcW w:w="1480" w:type="dxa"/>
            <w:vAlign w:val="bottom"/>
          </w:tcPr>
          <w:p>
            <w:pPr>
              <w:ind w:left="20"/>
              <w:spacing w:after="0"/>
              <w:rPr>
                <w:sz w:val="20"/>
                <w:szCs w:val="20"/>
                <w:color w:val="auto"/>
              </w:rPr>
            </w:pPr>
            <w:r>
              <w:rPr>
                <w:rFonts w:ascii="Arial" w:cs="Arial" w:eastAsia="Arial" w:hAnsi="Arial"/>
                <w:sz w:val="15"/>
                <w:szCs w:val="15"/>
                <w:color w:val="2573BA"/>
              </w:rPr>
              <w:t>8,017,733</w:t>
            </w:r>
          </w:p>
        </w:tc>
        <w:tc>
          <w:tcPr>
            <w:tcW w:w="120" w:type="dxa"/>
            <w:vAlign w:val="bottom"/>
          </w:tcPr>
          <w:p>
            <w:pPr>
              <w:spacing w:after="0"/>
              <w:rPr>
                <w:sz w:val="22"/>
                <w:szCs w:val="22"/>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573BA"/>
              </w:rPr>
              <w:t>Polymer conjugates of interferon beta-1a</w:t>
            </w:r>
          </w:p>
        </w:tc>
        <w:tc>
          <w:tcPr>
            <w:tcW w:w="1460" w:type="dxa"/>
            <w:vAlign w:val="bottom"/>
          </w:tcPr>
          <w:p>
            <w:pPr>
              <w:jc w:val="center"/>
              <w:spacing w:after="0"/>
              <w:rPr>
                <w:sz w:val="20"/>
                <w:szCs w:val="20"/>
                <w:color w:val="auto"/>
              </w:rPr>
            </w:pPr>
            <w:r>
              <w:rPr>
                <w:rFonts w:ascii="Arial" w:cs="Arial" w:eastAsia="Arial" w:hAnsi="Arial"/>
                <w:sz w:val="15"/>
                <w:szCs w:val="15"/>
                <w:color w:val="2573BA"/>
              </w:rPr>
              <w:t>2027</w:t>
            </w:r>
          </w:p>
        </w:tc>
      </w:tr>
      <w:tr>
        <w:trPr>
          <w:trHeight w:val="256"/>
        </w:trPr>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Europe</w:t>
            </w:r>
          </w:p>
        </w:tc>
        <w:tc>
          <w:tcPr>
            <w:tcW w:w="1480" w:type="dxa"/>
            <w:vAlign w:val="bottom"/>
          </w:tcPr>
          <w:p>
            <w:pPr>
              <w:ind w:left="20"/>
              <w:spacing w:after="0"/>
              <w:rPr>
                <w:sz w:val="20"/>
                <w:szCs w:val="20"/>
                <w:color w:val="auto"/>
              </w:rPr>
            </w:pPr>
            <w:r>
              <w:rPr>
                <w:rFonts w:ascii="Arial" w:cs="Arial" w:eastAsia="Arial" w:hAnsi="Arial"/>
                <w:sz w:val="15"/>
                <w:szCs w:val="15"/>
                <w:color w:val="2573BA"/>
              </w:rPr>
              <w:t>1656952</w:t>
            </w:r>
          </w:p>
        </w:tc>
        <w:tc>
          <w:tcPr>
            <w:tcW w:w="120" w:type="dxa"/>
            <w:vAlign w:val="bottom"/>
          </w:tcPr>
          <w:p>
            <w:pPr>
              <w:spacing w:after="0"/>
              <w:rPr>
                <w:sz w:val="22"/>
                <w:szCs w:val="22"/>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573BA"/>
              </w:rPr>
              <w:t>Polymer conjugates of interferon-beta-1a and uses thereof</w:t>
            </w:r>
          </w:p>
        </w:tc>
        <w:tc>
          <w:tcPr>
            <w:tcW w:w="1460" w:type="dxa"/>
            <w:vAlign w:val="bottom"/>
          </w:tcPr>
          <w:p>
            <w:pPr>
              <w:jc w:val="center"/>
              <w:spacing w:after="0"/>
              <w:rPr>
                <w:sz w:val="20"/>
                <w:szCs w:val="20"/>
                <w:color w:val="auto"/>
              </w:rPr>
            </w:pPr>
            <w:r>
              <w:rPr>
                <w:rFonts w:ascii="Arial" w:cs="Arial" w:eastAsia="Arial" w:hAnsi="Arial"/>
                <w:sz w:val="15"/>
                <w:szCs w:val="15"/>
                <w:color w:val="2573BA"/>
              </w:rPr>
              <w:t>2019</w:t>
            </w:r>
          </w:p>
        </w:tc>
      </w:tr>
      <w:tr>
        <w:trPr>
          <w:trHeight w:val="300"/>
        </w:trPr>
        <w:tc>
          <w:tcPr>
            <w:tcW w:w="10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2573BA"/>
              </w:rPr>
              <w:t>Europe</w:t>
            </w:r>
          </w:p>
        </w:tc>
        <w:tc>
          <w:tcPr>
            <w:tcW w:w="120" w:type="dxa"/>
            <w:vAlign w:val="bottom"/>
          </w:tcPr>
          <w:p>
            <w:pPr>
              <w:spacing w:after="0"/>
              <w:rPr>
                <w:sz w:val="24"/>
                <w:szCs w:val="24"/>
                <w:color w:val="auto"/>
              </w:rPr>
            </w:pPr>
          </w:p>
        </w:tc>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2573BA"/>
              </w:rPr>
              <w:t>1476181</w:t>
            </w:r>
          </w:p>
        </w:tc>
        <w:tc>
          <w:tcPr>
            <w:tcW w:w="120" w:type="dxa"/>
            <w:vAlign w:val="bottom"/>
          </w:tcPr>
          <w:p>
            <w:pPr>
              <w:spacing w:after="0"/>
              <w:rPr>
                <w:sz w:val="24"/>
                <w:szCs w:val="24"/>
                <w:color w:val="auto"/>
              </w:rPr>
            </w:pPr>
          </w:p>
        </w:tc>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2573BA"/>
              </w:rPr>
              <w:t>Polymer conjugates of interferon-beta-1a and uses thereof</w:t>
            </w:r>
          </w:p>
        </w:tc>
        <w:tc>
          <w:tcPr>
            <w:tcW w:w="120" w:type="dxa"/>
            <w:vAlign w:val="bottom"/>
          </w:tcPr>
          <w:p>
            <w:pPr>
              <w:spacing w:after="0"/>
              <w:rPr>
                <w:sz w:val="24"/>
                <w:szCs w:val="2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2573BA"/>
                <w:w w:val="92"/>
              </w:rPr>
              <w:t>2023</w:t>
            </w:r>
            <w:r>
              <w:rPr>
                <w:rFonts w:ascii="Arial" w:cs="Arial" w:eastAsia="Arial" w:hAnsi="Arial"/>
                <w:sz w:val="25"/>
                <w:szCs w:val="25"/>
                <w:color w:val="2573BA"/>
                <w:w w:val="92"/>
                <w:vertAlign w:val="superscript"/>
              </w:rPr>
              <w:t>(4)</w:t>
            </w:r>
          </w:p>
        </w:tc>
      </w:tr>
      <w:tr>
        <w:trPr>
          <w:trHeight w:val="199"/>
        </w:trPr>
        <w:tc>
          <w:tcPr>
            <w:tcW w:w="1600" w:type="dxa"/>
            <w:vAlign w:val="bottom"/>
            <w:gridSpan w:val="3"/>
          </w:tcPr>
          <w:p>
            <w:pPr>
              <w:ind w:left="20"/>
              <w:spacing w:after="0"/>
              <w:rPr>
                <w:sz w:val="20"/>
                <w:szCs w:val="20"/>
                <w:color w:val="auto"/>
              </w:rPr>
            </w:pPr>
            <w:r>
              <w:rPr>
                <w:rFonts w:ascii="Arial" w:cs="Arial" w:eastAsia="Arial" w:hAnsi="Arial"/>
                <w:sz w:val="15"/>
                <w:szCs w:val="15"/>
                <w:color w:val="2573BA"/>
              </w:rPr>
              <w:t>TYSABRI</w:t>
            </w: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U.S.</w:t>
            </w:r>
          </w:p>
        </w:tc>
        <w:tc>
          <w:tcPr>
            <w:tcW w:w="1480" w:type="dxa"/>
            <w:vAlign w:val="bottom"/>
          </w:tcPr>
          <w:p>
            <w:pPr>
              <w:ind w:left="20"/>
              <w:spacing w:after="0"/>
              <w:rPr>
                <w:sz w:val="20"/>
                <w:szCs w:val="20"/>
                <w:color w:val="auto"/>
              </w:rPr>
            </w:pPr>
            <w:r>
              <w:rPr>
                <w:rFonts w:ascii="Arial" w:cs="Arial" w:eastAsia="Arial" w:hAnsi="Arial"/>
                <w:sz w:val="15"/>
                <w:szCs w:val="15"/>
                <w:color w:val="2573BA"/>
              </w:rPr>
              <w:t>6,602,503</w:t>
            </w:r>
          </w:p>
        </w:tc>
        <w:tc>
          <w:tcPr>
            <w:tcW w:w="120" w:type="dxa"/>
            <w:vAlign w:val="bottom"/>
          </w:tcPr>
          <w:p>
            <w:pPr>
              <w:spacing w:after="0"/>
              <w:rPr>
                <w:sz w:val="17"/>
                <w:szCs w:val="17"/>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573BA"/>
              </w:rPr>
              <w:t>Humanized recombinant antibodies; nucleic acids and host cells;</w:t>
            </w:r>
          </w:p>
        </w:tc>
        <w:tc>
          <w:tcPr>
            <w:tcW w:w="1460" w:type="dxa"/>
            <w:vAlign w:val="bottom"/>
          </w:tcPr>
          <w:p>
            <w:pPr>
              <w:jc w:val="center"/>
              <w:spacing w:after="0"/>
              <w:rPr>
                <w:sz w:val="20"/>
                <w:szCs w:val="20"/>
                <w:color w:val="auto"/>
              </w:rPr>
            </w:pPr>
            <w:r>
              <w:rPr>
                <w:rFonts w:ascii="Arial" w:cs="Arial" w:eastAsia="Arial" w:hAnsi="Arial"/>
                <w:sz w:val="15"/>
                <w:szCs w:val="15"/>
                <w:color w:val="2573BA"/>
              </w:rPr>
              <w:t>2020</w:t>
            </w:r>
          </w:p>
        </w:tc>
      </w:tr>
      <w:tr>
        <w:trPr>
          <w:trHeight w:val="185"/>
        </w:trPr>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573BA"/>
              </w:rPr>
              <w:t>processes for production; therapeutic compositions; methods of use</w:t>
            </w:r>
          </w:p>
        </w:tc>
        <w:tc>
          <w:tcPr>
            <w:tcW w:w="1460" w:type="dxa"/>
            <w:vAlign w:val="bottom"/>
          </w:tcPr>
          <w:p>
            <w:pPr>
              <w:spacing w:after="0"/>
              <w:rPr>
                <w:sz w:val="16"/>
                <w:szCs w:val="16"/>
                <w:color w:val="auto"/>
              </w:rPr>
            </w:pPr>
          </w:p>
        </w:tc>
      </w:tr>
      <w:tr>
        <w:trPr>
          <w:trHeight w:val="231"/>
        </w:trPr>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U.S.</w:t>
            </w:r>
          </w:p>
        </w:tc>
        <w:tc>
          <w:tcPr>
            <w:tcW w:w="1480" w:type="dxa"/>
            <w:vAlign w:val="bottom"/>
          </w:tcPr>
          <w:p>
            <w:pPr>
              <w:ind w:left="20"/>
              <w:spacing w:after="0"/>
              <w:rPr>
                <w:sz w:val="20"/>
                <w:szCs w:val="20"/>
                <w:color w:val="auto"/>
              </w:rPr>
            </w:pPr>
            <w:r>
              <w:rPr>
                <w:rFonts w:ascii="Arial" w:cs="Arial" w:eastAsia="Arial" w:hAnsi="Arial"/>
                <w:sz w:val="15"/>
                <w:szCs w:val="15"/>
                <w:color w:val="2573BA"/>
              </w:rPr>
              <w:t>7,807,167</w:t>
            </w:r>
          </w:p>
        </w:tc>
        <w:tc>
          <w:tcPr>
            <w:tcW w:w="120" w:type="dxa"/>
            <w:vAlign w:val="bottom"/>
          </w:tcPr>
          <w:p>
            <w:pPr>
              <w:spacing w:after="0"/>
              <w:rPr>
                <w:sz w:val="20"/>
                <w:szCs w:val="20"/>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573BA"/>
              </w:rPr>
              <w:t>Methods of treatment</w:t>
            </w:r>
          </w:p>
        </w:tc>
        <w:tc>
          <w:tcPr>
            <w:tcW w:w="1460" w:type="dxa"/>
            <w:vAlign w:val="bottom"/>
          </w:tcPr>
          <w:p>
            <w:pPr>
              <w:jc w:val="center"/>
              <w:spacing w:after="0"/>
              <w:rPr>
                <w:sz w:val="20"/>
                <w:szCs w:val="20"/>
                <w:color w:val="auto"/>
              </w:rPr>
            </w:pPr>
            <w:r>
              <w:rPr>
                <w:rFonts w:ascii="Arial" w:cs="Arial" w:eastAsia="Arial" w:hAnsi="Arial"/>
                <w:sz w:val="15"/>
                <w:szCs w:val="15"/>
                <w:color w:val="2573BA"/>
              </w:rPr>
              <w:t>2023</w:t>
            </w:r>
          </w:p>
        </w:tc>
      </w:tr>
      <w:tr>
        <w:trPr>
          <w:trHeight w:val="256"/>
        </w:trPr>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U.S.</w:t>
            </w:r>
          </w:p>
        </w:tc>
        <w:tc>
          <w:tcPr>
            <w:tcW w:w="1480" w:type="dxa"/>
            <w:vAlign w:val="bottom"/>
          </w:tcPr>
          <w:p>
            <w:pPr>
              <w:ind w:left="20"/>
              <w:spacing w:after="0"/>
              <w:rPr>
                <w:sz w:val="20"/>
                <w:szCs w:val="20"/>
                <w:color w:val="auto"/>
              </w:rPr>
            </w:pPr>
            <w:r>
              <w:rPr>
                <w:rFonts w:ascii="Arial" w:cs="Arial" w:eastAsia="Arial" w:hAnsi="Arial"/>
                <w:sz w:val="15"/>
                <w:szCs w:val="15"/>
                <w:color w:val="2573BA"/>
              </w:rPr>
              <w:t>9,493,567</w:t>
            </w:r>
          </w:p>
        </w:tc>
        <w:tc>
          <w:tcPr>
            <w:tcW w:w="120" w:type="dxa"/>
            <w:vAlign w:val="bottom"/>
          </w:tcPr>
          <w:p>
            <w:pPr>
              <w:spacing w:after="0"/>
              <w:rPr>
                <w:sz w:val="22"/>
                <w:szCs w:val="22"/>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573BA"/>
              </w:rPr>
              <w:t>Methods of treatment</w:t>
            </w:r>
          </w:p>
        </w:tc>
        <w:tc>
          <w:tcPr>
            <w:tcW w:w="1460" w:type="dxa"/>
            <w:vAlign w:val="bottom"/>
          </w:tcPr>
          <w:p>
            <w:pPr>
              <w:jc w:val="center"/>
              <w:spacing w:after="0"/>
              <w:rPr>
                <w:sz w:val="20"/>
                <w:szCs w:val="20"/>
                <w:color w:val="auto"/>
              </w:rPr>
            </w:pPr>
            <w:r>
              <w:rPr>
                <w:rFonts w:ascii="Arial" w:cs="Arial" w:eastAsia="Arial" w:hAnsi="Arial"/>
                <w:sz w:val="15"/>
                <w:szCs w:val="15"/>
                <w:color w:val="2573BA"/>
              </w:rPr>
              <w:t>2027</w:t>
            </w:r>
          </w:p>
        </w:tc>
      </w:tr>
      <w:tr>
        <w:trPr>
          <w:trHeight w:val="250"/>
        </w:trPr>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Europe</w:t>
            </w:r>
          </w:p>
        </w:tc>
        <w:tc>
          <w:tcPr>
            <w:tcW w:w="1480" w:type="dxa"/>
            <w:vAlign w:val="bottom"/>
          </w:tcPr>
          <w:p>
            <w:pPr>
              <w:ind w:left="20"/>
              <w:spacing w:after="0"/>
              <w:rPr>
                <w:sz w:val="20"/>
                <w:szCs w:val="20"/>
                <w:color w:val="auto"/>
              </w:rPr>
            </w:pPr>
            <w:r>
              <w:rPr>
                <w:rFonts w:ascii="Arial" w:cs="Arial" w:eastAsia="Arial" w:hAnsi="Arial"/>
                <w:sz w:val="15"/>
                <w:szCs w:val="15"/>
                <w:color w:val="2573BA"/>
              </w:rPr>
              <w:t>0804237</w:t>
            </w:r>
          </w:p>
        </w:tc>
        <w:tc>
          <w:tcPr>
            <w:tcW w:w="120" w:type="dxa"/>
            <w:vAlign w:val="bottom"/>
          </w:tcPr>
          <w:p>
            <w:pPr>
              <w:spacing w:after="0"/>
              <w:rPr>
                <w:sz w:val="21"/>
                <w:szCs w:val="21"/>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573BA"/>
              </w:rPr>
              <w:t>Humanized immunoglobulins; nucleic acids; pharmaceutical</w:t>
            </w:r>
          </w:p>
        </w:tc>
        <w:tc>
          <w:tcPr>
            <w:tcW w:w="1460" w:type="dxa"/>
            <w:vAlign w:val="bottom"/>
          </w:tcPr>
          <w:p>
            <w:pPr>
              <w:jc w:val="center"/>
              <w:spacing w:after="0" w:line="250" w:lineRule="exact"/>
              <w:rPr>
                <w:sz w:val="20"/>
                <w:szCs w:val="20"/>
                <w:color w:val="auto"/>
              </w:rPr>
            </w:pPr>
            <w:r>
              <w:rPr>
                <w:rFonts w:ascii="Arial" w:cs="Arial" w:eastAsia="Arial" w:hAnsi="Arial"/>
                <w:sz w:val="15"/>
                <w:szCs w:val="15"/>
                <w:color w:val="2573BA"/>
                <w:w w:val="92"/>
              </w:rPr>
              <w:t>2020</w:t>
            </w:r>
            <w:r>
              <w:rPr>
                <w:rFonts w:ascii="Arial" w:cs="Arial" w:eastAsia="Arial" w:hAnsi="Arial"/>
                <w:sz w:val="25"/>
                <w:szCs w:val="25"/>
                <w:color w:val="2573BA"/>
                <w:w w:val="92"/>
                <w:vertAlign w:val="superscript"/>
              </w:rPr>
              <w:t>(5)</w:t>
            </w:r>
          </w:p>
        </w:tc>
      </w:tr>
      <w:tr>
        <w:trPr>
          <w:trHeight w:val="185"/>
        </w:trPr>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573BA"/>
              </w:rPr>
              <w:t>compositions; medical uses</w:t>
            </w:r>
          </w:p>
        </w:tc>
        <w:tc>
          <w:tcPr>
            <w:tcW w:w="1460" w:type="dxa"/>
            <w:vAlign w:val="bottom"/>
          </w:tcPr>
          <w:p>
            <w:pPr>
              <w:spacing w:after="0"/>
              <w:rPr>
                <w:sz w:val="16"/>
                <w:szCs w:val="16"/>
                <w:color w:val="auto"/>
              </w:rPr>
            </w:pPr>
          </w:p>
        </w:tc>
      </w:tr>
      <w:tr>
        <w:trPr>
          <w:trHeight w:val="231"/>
        </w:trPr>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Europe</w:t>
            </w:r>
          </w:p>
        </w:tc>
        <w:tc>
          <w:tcPr>
            <w:tcW w:w="1480" w:type="dxa"/>
            <w:vAlign w:val="bottom"/>
          </w:tcPr>
          <w:p>
            <w:pPr>
              <w:ind w:left="20"/>
              <w:spacing w:after="0"/>
              <w:rPr>
                <w:sz w:val="20"/>
                <w:szCs w:val="20"/>
                <w:color w:val="auto"/>
              </w:rPr>
            </w:pPr>
            <w:r>
              <w:rPr>
                <w:rFonts w:ascii="Arial" w:cs="Arial" w:eastAsia="Arial" w:hAnsi="Arial"/>
                <w:sz w:val="15"/>
                <w:szCs w:val="15"/>
                <w:color w:val="2573BA"/>
              </w:rPr>
              <w:t>1485127</w:t>
            </w:r>
          </w:p>
        </w:tc>
        <w:tc>
          <w:tcPr>
            <w:tcW w:w="120" w:type="dxa"/>
            <w:vAlign w:val="bottom"/>
          </w:tcPr>
          <w:p>
            <w:pPr>
              <w:spacing w:after="0"/>
              <w:rPr>
                <w:sz w:val="20"/>
                <w:szCs w:val="20"/>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573BA"/>
              </w:rPr>
              <w:t>Methods of use</w:t>
            </w:r>
          </w:p>
        </w:tc>
        <w:tc>
          <w:tcPr>
            <w:tcW w:w="1460" w:type="dxa"/>
            <w:vAlign w:val="bottom"/>
          </w:tcPr>
          <w:p>
            <w:pPr>
              <w:jc w:val="center"/>
              <w:spacing w:after="0"/>
              <w:rPr>
                <w:sz w:val="20"/>
                <w:szCs w:val="20"/>
                <w:color w:val="auto"/>
              </w:rPr>
            </w:pPr>
            <w:r>
              <w:rPr>
                <w:rFonts w:ascii="Arial" w:cs="Arial" w:eastAsia="Arial" w:hAnsi="Arial"/>
                <w:sz w:val="15"/>
                <w:szCs w:val="15"/>
                <w:color w:val="2573BA"/>
              </w:rPr>
              <w:t>2023</w:t>
            </w:r>
          </w:p>
        </w:tc>
      </w:tr>
      <w:tr>
        <w:trPr>
          <w:trHeight w:val="44"/>
        </w:trPr>
        <w:tc>
          <w:tcPr>
            <w:tcW w:w="10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199"/>
        </w:trPr>
        <w:tc>
          <w:tcPr>
            <w:tcW w:w="1600" w:type="dxa"/>
            <w:vAlign w:val="bottom"/>
            <w:gridSpan w:val="3"/>
          </w:tcPr>
          <w:p>
            <w:pPr>
              <w:ind w:left="20"/>
              <w:spacing w:after="0"/>
              <w:rPr>
                <w:sz w:val="20"/>
                <w:szCs w:val="20"/>
                <w:color w:val="auto"/>
              </w:rPr>
            </w:pPr>
            <w:r>
              <w:rPr>
                <w:rFonts w:ascii="Arial" w:cs="Arial" w:eastAsia="Arial" w:hAnsi="Arial"/>
                <w:sz w:val="15"/>
                <w:szCs w:val="15"/>
                <w:color w:val="2573BA"/>
              </w:rPr>
              <w:t>FAMPYRA</w:t>
            </w: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Europe</w:t>
            </w:r>
          </w:p>
        </w:tc>
        <w:tc>
          <w:tcPr>
            <w:tcW w:w="1480" w:type="dxa"/>
            <w:vAlign w:val="bottom"/>
          </w:tcPr>
          <w:p>
            <w:pPr>
              <w:ind w:left="20"/>
              <w:spacing w:after="0"/>
              <w:rPr>
                <w:sz w:val="20"/>
                <w:szCs w:val="20"/>
                <w:color w:val="auto"/>
              </w:rPr>
            </w:pPr>
            <w:r>
              <w:rPr>
                <w:rFonts w:ascii="Arial" w:cs="Arial" w:eastAsia="Arial" w:hAnsi="Arial"/>
                <w:sz w:val="15"/>
                <w:szCs w:val="15"/>
                <w:color w:val="2573BA"/>
              </w:rPr>
              <w:t>1732548</w:t>
            </w:r>
          </w:p>
        </w:tc>
        <w:tc>
          <w:tcPr>
            <w:tcW w:w="120" w:type="dxa"/>
            <w:vAlign w:val="bottom"/>
          </w:tcPr>
          <w:p>
            <w:pPr>
              <w:spacing w:after="0"/>
              <w:rPr>
                <w:sz w:val="17"/>
                <w:szCs w:val="17"/>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573BA"/>
              </w:rPr>
              <w:t>Sustained-release aminopyridine compositions for increasing walking</w:t>
            </w:r>
          </w:p>
        </w:tc>
        <w:tc>
          <w:tcPr>
            <w:tcW w:w="1460" w:type="dxa"/>
            <w:vAlign w:val="bottom"/>
          </w:tcPr>
          <w:p>
            <w:pPr>
              <w:jc w:val="center"/>
              <w:spacing w:after="0" w:line="200" w:lineRule="exact"/>
              <w:rPr>
                <w:sz w:val="20"/>
                <w:szCs w:val="20"/>
                <w:color w:val="auto"/>
              </w:rPr>
            </w:pPr>
            <w:r>
              <w:rPr>
                <w:rFonts w:ascii="Arial" w:cs="Arial" w:eastAsia="Arial" w:hAnsi="Arial"/>
                <w:sz w:val="14"/>
                <w:szCs w:val="14"/>
                <w:color w:val="2573BA"/>
              </w:rPr>
              <w:t>2025</w:t>
            </w:r>
            <w:r>
              <w:rPr>
                <w:rFonts w:ascii="Arial" w:cs="Arial" w:eastAsia="Arial" w:hAnsi="Arial"/>
                <w:sz w:val="23"/>
                <w:szCs w:val="23"/>
                <w:color w:val="2573BA"/>
                <w:vertAlign w:val="superscript"/>
              </w:rPr>
              <w:t>(6)</w:t>
            </w:r>
          </w:p>
        </w:tc>
      </w:tr>
      <w:tr>
        <w:trPr>
          <w:trHeight w:val="185"/>
        </w:trPr>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573BA"/>
              </w:rPr>
              <w:t>speed in patients with MS</w:t>
            </w:r>
          </w:p>
        </w:tc>
        <w:tc>
          <w:tcPr>
            <w:tcW w:w="1460" w:type="dxa"/>
            <w:vAlign w:val="bottom"/>
          </w:tcPr>
          <w:p>
            <w:pPr>
              <w:spacing w:after="0"/>
              <w:rPr>
                <w:sz w:val="16"/>
                <w:szCs w:val="16"/>
                <w:color w:val="auto"/>
              </w:rPr>
            </w:pPr>
          </w:p>
        </w:tc>
      </w:tr>
      <w:tr>
        <w:trPr>
          <w:trHeight w:val="274"/>
        </w:trPr>
        <w:tc>
          <w:tcPr>
            <w:tcW w:w="106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2573BA"/>
              </w:rPr>
              <w:t>Europe</w:t>
            </w:r>
          </w:p>
        </w:tc>
        <w:tc>
          <w:tcPr>
            <w:tcW w:w="120" w:type="dxa"/>
            <w:vAlign w:val="bottom"/>
          </w:tcPr>
          <w:p>
            <w:pPr>
              <w:spacing w:after="0"/>
              <w:rPr>
                <w:sz w:val="23"/>
                <w:szCs w:val="23"/>
                <w:color w:val="auto"/>
              </w:rPr>
            </w:pPr>
          </w:p>
        </w:tc>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2573BA"/>
              </w:rPr>
              <w:t>23775536</w:t>
            </w:r>
          </w:p>
        </w:tc>
        <w:tc>
          <w:tcPr>
            <w:tcW w:w="120" w:type="dxa"/>
            <w:vAlign w:val="bottom"/>
          </w:tcPr>
          <w:p>
            <w:pPr>
              <w:spacing w:after="0"/>
              <w:rPr>
                <w:sz w:val="23"/>
                <w:szCs w:val="23"/>
                <w:color w:val="auto"/>
              </w:rPr>
            </w:pPr>
          </w:p>
        </w:tc>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2573BA"/>
              </w:rPr>
              <w:t>Sustained-release aminopyridine compositions for treating MS</w:t>
            </w:r>
          </w:p>
        </w:tc>
        <w:tc>
          <w:tcPr>
            <w:tcW w:w="120" w:type="dxa"/>
            <w:vAlign w:val="bottom"/>
          </w:tcPr>
          <w:p>
            <w:pPr>
              <w:spacing w:after="0"/>
              <w:rPr>
                <w:sz w:val="23"/>
                <w:szCs w:val="23"/>
                <w:color w:val="auto"/>
              </w:rPr>
            </w:pPr>
          </w:p>
        </w:tc>
        <w:tc>
          <w:tcPr>
            <w:tcW w:w="1460" w:type="dxa"/>
            <w:vAlign w:val="bottom"/>
            <w:tcBorders>
              <w:bottom w:val="single" w:sz="8" w:color="auto"/>
            </w:tcBorders>
          </w:tcPr>
          <w:p>
            <w:pPr>
              <w:jc w:val="center"/>
              <w:spacing w:after="0" w:line="274" w:lineRule="exact"/>
              <w:rPr>
                <w:sz w:val="20"/>
                <w:szCs w:val="20"/>
                <w:color w:val="auto"/>
              </w:rPr>
            </w:pPr>
            <w:r>
              <w:rPr>
                <w:rFonts w:ascii="Arial" w:cs="Arial" w:eastAsia="Arial" w:hAnsi="Arial"/>
                <w:sz w:val="15"/>
                <w:szCs w:val="15"/>
                <w:color w:val="2573BA"/>
                <w:w w:val="92"/>
              </w:rPr>
              <w:t>2025</w:t>
            </w:r>
            <w:r>
              <w:rPr>
                <w:rFonts w:ascii="Arial" w:cs="Arial" w:eastAsia="Arial" w:hAnsi="Arial"/>
                <w:sz w:val="25"/>
                <w:szCs w:val="25"/>
                <w:color w:val="2573BA"/>
                <w:w w:val="92"/>
                <w:vertAlign w:val="superscript"/>
              </w:rPr>
              <w:t>(7)</w:t>
            </w:r>
          </w:p>
        </w:tc>
      </w:tr>
      <w:tr>
        <w:trPr>
          <w:trHeight w:val="205"/>
        </w:trPr>
        <w:tc>
          <w:tcPr>
            <w:tcW w:w="1600" w:type="dxa"/>
            <w:vAlign w:val="bottom"/>
            <w:gridSpan w:val="3"/>
          </w:tcPr>
          <w:p>
            <w:pPr>
              <w:ind w:left="20"/>
              <w:spacing w:after="0"/>
              <w:rPr>
                <w:sz w:val="20"/>
                <w:szCs w:val="20"/>
                <w:color w:val="auto"/>
              </w:rPr>
            </w:pPr>
            <w:r>
              <w:rPr>
                <w:rFonts w:ascii="Arial" w:cs="Arial" w:eastAsia="Arial" w:hAnsi="Arial"/>
                <w:sz w:val="15"/>
                <w:szCs w:val="15"/>
                <w:color w:val="2573BA"/>
              </w:rPr>
              <w:t>ZINBRYTA</w:t>
            </w: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U.S.</w:t>
            </w:r>
          </w:p>
        </w:tc>
        <w:tc>
          <w:tcPr>
            <w:tcW w:w="1480" w:type="dxa"/>
            <w:vAlign w:val="bottom"/>
          </w:tcPr>
          <w:p>
            <w:pPr>
              <w:ind w:left="20"/>
              <w:spacing w:after="0"/>
              <w:rPr>
                <w:sz w:val="20"/>
                <w:szCs w:val="20"/>
                <w:color w:val="auto"/>
              </w:rPr>
            </w:pPr>
            <w:r>
              <w:rPr>
                <w:rFonts w:ascii="Arial" w:cs="Arial" w:eastAsia="Arial" w:hAnsi="Arial"/>
                <w:sz w:val="15"/>
                <w:szCs w:val="15"/>
                <w:color w:val="2573BA"/>
              </w:rPr>
              <w:t>8,454,965</w:t>
            </w:r>
          </w:p>
        </w:tc>
        <w:tc>
          <w:tcPr>
            <w:tcW w:w="120" w:type="dxa"/>
            <w:vAlign w:val="bottom"/>
          </w:tcPr>
          <w:p>
            <w:pPr>
              <w:spacing w:after="0"/>
              <w:rPr>
                <w:sz w:val="17"/>
                <w:szCs w:val="17"/>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573BA"/>
              </w:rPr>
              <w:t>Methods of treatment</w:t>
            </w:r>
          </w:p>
        </w:tc>
        <w:tc>
          <w:tcPr>
            <w:tcW w:w="1460" w:type="dxa"/>
            <w:vAlign w:val="bottom"/>
          </w:tcPr>
          <w:p>
            <w:pPr>
              <w:jc w:val="center"/>
              <w:spacing w:after="0"/>
              <w:rPr>
                <w:sz w:val="20"/>
                <w:szCs w:val="20"/>
                <w:color w:val="auto"/>
              </w:rPr>
            </w:pPr>
            <w:r>
              <w:rPr>
                <w:rFonts w:ascii="Arial" w:cs="Arial" w:eastAsia="Arial" w:hAnsi="Arial"/>
                <w:sz w:val="15"/>
                <w:szCs w:val="15"/>
                <w:color w:val="2573BA"/>
              </w:rPr>
              <w:t>2024</w:t>
            </w:r>
          </w:p>
        </w:tc>
      </w:tr>
      <w:tr>
        <w:trPr>
          <w:trHeight w:val="243"/>
        </w:trPr>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U.S.</w:t>
            </w:r>
          </w:p>
        </w:tc>
        <w:tc>
          <w:tcPr>
            <w:tcW w:w="1480" w:type="dxa"/>
            <w:vAlign w:val="bottom"/>
          </w:tcPr>
          <w:p>
            <w:pPr>
              <w:ind w:left="20"/>
              <w:spacing w:after="0"/>
              <w:rPr>
                <w:sz w:val="20"/>
                <w:szCs w:val="20"/>
                <w:color w:val="auto"/>
              </w:rPr>
            </w:pPr>
            <w:r>
              <w:rPr>
                <w:rFonts w:ascii="Arial" w:cs="Arial" w:eastAsia="Arial" w:hAnsi="Arial"/>
                <w:sz w:val="15"/>
                <w:szCs w:val="15"/>
                <w:color w:val="2573BA"/>
              </w:rPr>
              <w:t>7,258,859</w:t>
            </w:r>
          </w:p>
        </w:tc>
        <w:tc>
          <w:tcPr>
            <w:tcW w:w="120" w:type="dxa"/>
            <w:vAlign w:val="bottom"/>
          </w:tcPr>
          <w:p>
            <w:pPr>
              <w:spacing w:after="0"/>
              <w:rPr>
                <w:sz w:val="21"/>
                <w:szCs w:val="21"/>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573BA"/>
              </w:rPr>
              <w:t>Methods of treatment</w:t>
            </w:r>
          </w:p>
        </w:tc>
        <w:tc>
          <w:tcPr>
            <w:tcW w:w="1460" w:type="dxa"/>
            <w:vAlign w:val="bottom"/>
          </w:tcPr>
          <w:p>
            <w:pPr>
              <w:jc w:val="center"/>
              <w:spacing w:after="0"/>
              <w:rPr>
                <w:sz w:val="20"/>
                <w:szCs w:val="20"/>
                <w:color w:val="auto"/>
              </w:rPr>
            </w:pPr>
            <w:r>
              <w:rPr>
                <w:rFonts w:ascii="Arial" w:cs="Arial" w:eastAsia="Arial" w:hAnsi="Arial"/>
                <w:sz w:val="15"/>
                <w:szCs w:val="15"/>
                <w:color w:val="2573BA"/>
              </w:rPr>
              <w:t>2024</w:t>
            </w:r>
          </w:p>
        </w:tc>
      </w:tr>
      <w:tr>
        <w:trPr>
          <w:trHeight w:val="256"/>
        </w:trPr>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U.S.</w:t>
            </w:r>
          </w:p>
        </w:tc>
        <w:tc>
          <w:tcPr>
            <w:tcW w:w="1480" w:type="dxa"/>
            <w:vAlign w:val="bottom"/>
          </w:tcPr>
          <w:p>
            <w:pPr>
              <w:ind w:left="20"/>
              <w:spacing w:after="0"/>
              <w:rPr>
                <w:sz w:val="20"/>
                <w:szCs w:val="20"/>
                <w:color w:val="auto"/>
              </w:rPr>
            </w:pPr>
            <w:r>
              <w:rPr>
                <w:rFonts w:ascii="Arial" w:cs="Arial" w:eastAsia="Arial" w:hAnsi="Arial"/>
                <w:sz w:val="15"/>
                <w:szCs w:val="15"/>
                <w:color w:val="2573BA"/>
              </w:rPr>
              <w:t>9,340,619</w:t>
            </w:r>
          </w:p>
        </w:tc>
        <w:tc>
          <w:tcPr>
            <w:tcW w:w="120" w:type="dxa"/>
            <w:vAlign w:val="bottom"/>
          </w:tcPr>
          <w:p>
            <w:pPr>
              <w:spacing w:after="0"/>
              <w:rPr>
                <w:sz w:val="22"/>
                <w:szCs w:val="22"/>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573BA"/>
              </w:rPr>
              <w:t>Daclizumab HYP compositions</w:t>
            </w:r>
          </w:p>
        </w:tc>
        <w:tc>
          <w:tcPr>
            <w:tcW w:w="1460" w:type="dxa"/>
            <w:vAlign w:val="bottom"/>
          </w:tcPr>
          <w:p>
            <w:pPr>
              <w:jc w:val="center"/>
              <w:spacing w:after="0"/>
              <w:rPr>
                <w:sz w:val="20"/>
                <w:szCs w:val="20"/>
                <w:color w:val="auto"/>
              </w:rPr>
            </w:pPr>
            <w:r>
              <w:rPr>
                <w:rFonts w:ascii="Arial" w:cs="Arial" w:eastAsia="Arial" w:hAnsi="Arial"/>
                <w:sz w:val="15"/>
                <w:szCs w:val="15"/>
                <w:color w:val="2573BA"/>
              </w:rPr>
              <w:t>2032</w:t>
            </w:r>
          </w:p>
        </w:tc>
      </w:tr>
      <w:tr>
        <w:trPr>
          <w:trHeight w:val="250"/>
        </w:trPr>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Europe</w:t>
            </w:r>
          </w:p>
        </w:tc>
        <w:tc>
          <w:tcPr>
            <w:tcW w:w="1480" w:type="dxa"/>
            <w:vAlign w:val="bottom"/>
          </w:tcPr>
          <w:p>
            <w:pPr>
              <w:ind w:left="20"/>
              <w:spacing w:after="0"/>
              <w:rPr>
                <w:sz w:val="20"/>
                <w:szCs w:val="20"/>
                <w:color w:val="auto"/>
              </w:rPr>
            </w:pPr>
            <w:r>
              <w:rPr>
                <w:rFonts w:ascii="Arial" w:cs="Arial" w:eastAsia="Arial" w:hAnsi="Arial"/>
                <w:sz w:val="15"/>
                <w:szCs w:val="15"/>
                <w:color w:val="2573BA"/>
              </w:rPr>
              <w:t>1539200</w:t>
            </w:r>
          </w:p>
        </w:tc>
        <w:tc>
          <w:tcPr>
            <w:tcW w:w="120" w:type="dxa"/>
            <w:vAlign w:val="bottom"/>
          </w:tcPr>
          <w:p>
            <w:pPr>
              <w:spacing w:after="0"/>
              <w:rPr>
                <w:sz w:val="21"/>
                <w:szCs w:val="21"/>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472B9"/>
              </w:rPr>
              <w:t>Anti-IL-2-receptor antibody for use in a method of treating a subject with</w:t>
            </w:r>
          </w:p>
        </w:tc>
        <w:tc>
          <w:tcPr>
            <w:tcW w:w="1460" w:type="dxa"/>
            <w:vAlign w:val="bottom"/>
          </w:tcPr>
          <w:p>
            <w:pPr>
              <w:jc w:val="center"/>
              <w:spacing w:after="0"/>
              <w:rPr>
                <w:sz w:val="20"/>
                <w:szCs w:val="20"/>
                <w:color w:val="auto"/>
              </w:rPr>
            </w:pPr>
            <w:r>
              <w:rPr>
                <w:rFonts w:ascii="Arial" w:cs="Arial" w:eastAsia="Arial" w:hAnsi="Arial"/>
                <w:sz w:val="15"/>
                <w:szCs w:val="15"/>
                <w:color w:val="2573BA"/>
              </w:rPr>
              <w:t>2023</w:t>
            </w:r>
          </w:p>
        </w:tc>
      </w:tr>
      <w:tr>
        <w:trPr>
          <w:trHeight w:val="196"/>
        </w:trPr>
        <w:tc>
          <w:tcPr>
            <w:tcW w:w="10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2472B9"/>
              </w:rPr>
              <w:t>MS</w:t>
            </w:r>
          </w:p>
        </w:tc>
        <w:tc>
          <w:tcPr>
            <w:tcW w:w="120" w:type="dxa"/>
            <w:vAlign w:val="bottom"/>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r>
      <w:tr>
        <w:trPr>
          <w:trHeight w:val="212"/>
        </w:trPr>
        <w:tc>
          <w:tcPr>
            <w:tcW w:w="1600" w:type="dxa"/>
            <w:vAlign w:val="bottom"/>
            <w:gridSpan w:val="3"/>
          </w:tcPr>
          <w:p>
            <w:pPr>
              <w:ind w:left="20"/>
              <w:spacing w:after="0"/>
              <w:rPr>
                <w:sz w:val="20"/>
                <w:szCs w:val="20"/>
                <w:color w:val="auto"/>
              </w:rPr>
            </w:pPr>
            <w:r>
              <w:rPr>
                <w:rFonts w:ascii="Arial" w:cs="Arial" w:eastAsia="Arial" w:hAnsi="Arial"/>
                <w:sz w:val="15"/>
                <w:szCs w:val="15"/>
                <w:color w:val="2573BA"/>
              </w:rPr>
              <w:t>SPINRAZA</w:t>
            </w: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U.S.</w:t>
            </w:r>
          </w:p>
        </w:tc>
        <w:tc>
          <w:tcPr>
            <w:tcW w:w="1480" w:type="dxa"/>
            <w:vAlign w:val="bottom"/>
          </w:tcPr>
          <w:p>
            <w:pPr>
              <w:ind w:left="20"/>
              <w:spacing w:after="0"/>
              <w:rPr>
                <w:sz w:val="20"/>
                <w:szCs w:val="20"/>
                <w:color w:val="auto"/>
              </w:rPr>
            </w:pPr>
            <w:r>
              <w:rPr>
                <w:rFonts w:ascii="Arial" w:cs="Arial" w:eastAsia="Arial" w:hAnsi="Arial"/>
                <w:sz w:val="15"/>
                <w:szCs w:val="15"/>
                <w:color w:val="2573BA"/>
              </w:rPr>
              <w:t>6,166,197</w:t>
            </w:r>
          </w:p>
        </w:tc>
        <w:tc>
          <w:tcPr>
            <w:tcW w:w="120" w:type="dxa"/>
            <w:vAlign w:val="bottom"/>
          </w:tcPr>
          <w:p>
            <w:pPr>
              <w:spacing w:after="0"/>
              <w:rPr>
                <w:sz w:val="18"/>
                <w:szCs w:val="18"/>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472B9"/>
              </w:rPr>
              <w:t>Oligomeric Compounds Having Pyrimidine Nucleotide(s)</w:t>
            </w:r>
          </w:p>
        </w:tc>
        <w:tc>
          <w:tcPr>
            <w:tcW w:w="1460" w:type="dxa"/>
            <w:vAlign w:val="bottom"/>
          </w:tcPr>
          <w:p>
            <w:pPr>
              <w:jc w:val="center"/>
              <w:spacing w:after="0"/>
              <w:rPr>
                <w:sz w:val="20"/>
                <w:szCs w:val="20"/>
                <w:color w:val="auto"/>
              </w:rPr>
            </w:pPr>
            <w:r>
              <w:rPr>
                <w:rFonts w:ascii="Arial" w:cs="Arial" w:eastAsia="Arial" w:hAnsi="Arial"/>
                <w:sz w:val="15"/>
                <w:szCs w:val="15"/>
                <w:color w:val="2573BA"/>
              </w:rPr>
              <w:t>2017</w:t>
            </w:r>
          </w:p>
        </w:tc>
      </w:tr>
      <w:tr>
        <w:trPr>
          <w:trHeight w:val="238"/>
        </w:trPr>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U.S.</w:t>
            </w:r>
          </w:p>
        </w:tc>
        <w:tc>
          <w:tcPr>
            <w:tcW w:w="1480" w:type="dxa"/>
            <w:vAlign w:val="bottom"/>
          </w:tcPr>
          <w:p>
            <w:pPr>
              <w:ind w:left="20"/>
              <w:spacing w:after="0"/>
              <w:rPr>
                <w:sz w:val="20"/>
                <w:szCs w:val="20"/>
                <w:color w:val="auto"/>
              </w:rPr>
            </w:pPr>
            <w:r>
              <w:rPr>
                <w:rFonts w:ascii="Arial" w:cs="Arial" w:eastAsia="Arial" w:hAnsi="Arial"/>
                <w:sz w:val="15"/>
                <w:szCs w:val="15"/>
                <w:color w:val="2573BA"/>
              </w:rPr>
              <w:t>6,210,892</w:t>
            </w:r>
          </w:p>
        </w:tc>
        <w:tc>
          <w:tcPr>
            <w:tcW w:w="120" w:type="dxa"/>
            <w:vAlign w:val="bottom"/>
          </w:tcPr>
          <w:p>
            <w:pPr>
              <w:spacing w:after="0"/>
              <w:rPr>
                <w:sz w:val="20"/>
                <w:szCs w:val="20"/>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472B9"/>
              </w:rPr>
              <w:t>Alteration of Cellular Behavior By Antisense Modulation of MRNA</w:t>
            </w:r>
          </w:p>
        </w:tc>
        <w:tc>
          <w:tcPr>
            <w:tcW w:w="1460" w:type="dxa"/>
            <w:vAlign w:val="bottom"/>
          </w:tcPr>
          <w:p>
            <w:pPr>
              <w:jc w:val="center"/>
              <w:spacing w:after="0"/>
              <w:rPr>
                <w:sz w:val="20"/>
                <w:szCs w:val="20"/>
                <w:color w:val="auto"/>
              </w:rPr>
            </w:pPr>
            <w:r>
              <w:rPr>
                <w:rFonts w:ascii="Arial" w:cs="Arial" w:eastAsia="Arial" w:hAnsi="Arial"/>
                <w:sz w:val="15"/>
                <w:szCs w:val="15"/>
                <w:color w:val="2573BA"/>
              </w:rPr>
              <w:t>2018</w:t>
            </w:r>
          </w:p>
        </w:tc>
      </w:tr>
      <w:tr>
        <w:trPr>
          <w:trHeight w:val="185"/>
        </w:trPr>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472B9"/>
              </w:rPr>
              <w:t>Processing</w:t>
            </w:r>
          </w:p>
        </w:tc>
        <w:tc>
          <w:tcPr>
            <w:tcW w:w="1460" w:type="dxa"/>
            <w:vAlign w:val="bottom"/>
          </w:tcPr>
          <w:p>
            <w:pPr>
              <w:spacing w:after="0"/>
              <w:rPr>
                <w:sz w:val="16"/>
                <w:szCs w:val="16"/>
                <w:color w:val="auto"/>
              </w:rPr>
            </w:pPr>
          </w:p>
        </w:tc>
      </w:tr>
      <w:tr>
        <w:trPr>
          <w:trHeight w:val="231"/>
        </w:trPr>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U.S.</w:t>
            </w:r>
          </w:p>
        </w:tc>
        <w:tc>
          <w:tcPr>
            <w:tcW w:w="1480" w:type="dxa"/>
            <w:vAlign w:val="bottom"/>
          </w:tcPr>
          <w:p>
            <w:pPr>
              <w:ind w:left="20"/>
              <w:spacing w:after="0"/>
              <w:rPr>
                <w:sz w:val="20"/>
                <w:szCs w:val="20"/>
                <w:color w:val="auto"/>
              </w:rPr>
            </w:pPr>
            <w:r>
              <w:rPr>
                <w:rFonts w:ascii="Arial" w:cs="Arial" w:eastAsia="Arial" w:hAnsi="Arial"/>
                <w:sz w:val="15"/>
                <w:szCs w:val="15"/>
                <w:color w:val="2573BA"/>
              </w:rPr>
              <w:t>7,101,993</w:t>
            </w:r>
          </w:p>
        </w:tc>
        <w:tc>
          <w:tcPr>
            <w:tcW w:w="120" w:type="dxa"/>
            <w:vAlign w:val="bottom"/>
          </w:tcPr>
          <w:p>
            <w:pPr>
              <w:spacing w:after="0"/>
              <w:rPr>
                <w:sz w:val="20"/>
                <w:szCs w:val="20"/>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472B9"/>
              </w:rPr>
              <w:t>Oligonucleotides Containing 2’-O-Modified Purines</w:t>
            </w:r>
          </w:p>
        </w:tc>
        <w:tc>
          <w:tcPr>
            <w:tcW w:w="1460" w:type="dxa"/>
            <w:vAlign w:val="bottom"/>
          </w:tcPr>
          <w:p>
            <w:pPr>
              <w:jc w:val="center"/>
              <w:spacing w:after="0"/>
              <w:rPr>
                <w:sz w:val="20"/>
                <w:szCs w:val="20"/>
                <w:color w:val="auto"/>
              </w:rPr>
            </w:pPr>
            <w:r>
              <w:rPr>
                <w:rFonts w:ascii="Arial" w:cs="Arial" w:eastAsia="Arial" w:hAnsi="Arial"/>
                <w:sz w:val="15"/>
                <w:szCs w:val="15"/>
                <w:color w:val="2573BA"/>
              </w:rPr>
              <w:t>2023</w:t>
            </w:r>
          </w:p>
        </w:tc>
      </w:tr>
      <w:tr>
        <w:trPr>
          <w:trHeight w:val="256"/>
        </w:trPr>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U.S.</w:t>
            </w:r>
          </w:p>
        </w:tc>
        <w:tc>
          <w:tcPr>
            <w:tcW w:w="1480" w:type="dxa"/>
            <w:vAlign w:val="bottom"/>
          </w:tcPr>
          <w:p>
            <w:pPr>
              <w:ind w:left="20"/>
              <w:spacing w:after="0"/>
              <w:rPr>
                <w:sz w:val="20"/>
                <w:szCs w:val="20"/>
                <w:color w:val="auto"/>
              </w:rPr>
            </w:pPr>
            <w:r>
              <w:rPr>
                <w:rFonts w:ascii="Arial" w:cs="Arial" w:eastAsia="Arial" w:hAnsi="Arial"/>
                <w:sz w:val="15"/>
                <w:szCs w:val="15"/>
                <w:color w:val="2573BA"/>
              </w:rPr>
              <w:t>7,838,657</w:t>
            </w:r>
          </w:p>
        </w:tc>
        <w:tc>
          <w:tcPr>
            <w:tcW w:w="120" w:type="dxa"/>
            <w:vAlign w:val="bottom"/>
          </w:tcPr>
          <w:p>
            <w:pPr>
              <w:spacing w:after="0"/>
              <w:rPr>
                <w:sz w:val="22"/>
                <w:szCs w:val="22"/>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472B9"/>
              </w:rPr>
              <w:t>SMA Treatment Via Targeting of SMN2 Splice Site Inhibitory Sequences</w:t>
            </w:r>
          </w:p>
        </w:tc>
        <w:tc>
          <w:tcPr>
            <w:tcW w:w="1460" w:type="dxa"/>
            <w:vAlign w:val="bottom"/>
          </w:tcPr>
          <w:p>
            <w:pPr>
              <w:jc w:val="center"/>
              <w:spacing w:after="0"/>
              <w:rPr>
                <w:sz w:val="20"/>
                <w:szCs w:val="20"/>
                <w:color w:val="auto"/>
              </w:rPr>
            </w:pPr>
            <w:r>
              <w:rPr>
                <w:rFonts w:ascii="Arial" w:cs="Arial" w:eastAsia="Arial" w:hAnsi="Arial"/>
                <w:sz w:val="15"/>
                <w:szCs w:val="15"/>
                <w:color w:val="2573BA"/>
              </w:rPr>
              <w:t>2027</w:t>
            </w:r>
          </w:p>
        </w:tc>
      </w:tr>
      <w:tr>
        <w:trPr>
          <w:trHeight w:val="256"/>
        </w:trPr>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U.S.</w:t>
            </w:r>
          </w:p>
        </w:tc>
        <w:tc>
          <w:tcPr>
            <w:tcW w:w="1480" w:type="dxa"/>
            <w:vAlign w:val="bottom"/>
          </w:tcPr>
          <w:p>
            <w:pPr>
              <w:ind w:left="20"/>
              <w:spacing w:after="0"/>
              <w:rPr>
                <w:sz w:val="20"/>
                <w:szCs w:val="20"/>
                <w:color w:val="auto"/>
              </w:rPr>
            </w:pPr>
            <w:r>
              <w:rPr>
                <w:rFonts w:ascii="Arial" w:cs="Arial" w:eastAsia="Arial" w:hAnsi="Arial"/>
                <w:sz w:val="15"/>
                <w:szCs w:val="15"/>
                <w:color w:val="2573BA"/>
              </w:rPr>
              <w:t>8,110,560</w:t>
            </w:r>
          </w:p>
        </w:tc>
        <w:tc>
          <w:tcPr>
            <w:tcW w:w="120" w:type="dxa"/>
            <w:vAlign w:val="bottom"/>
          </w:tcPr>
          <w:p>
            <w:pPr>
              <w:spacing w:after="0"/>
              <w:rPr>
                <w:sz w:val="22"/>
                <w:szCs w:val="22"/>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472B9"/>
              </w:rPr>
              <w:t>SMA Treatment Via Targeting of SMN2 Splice Site Inhibitory Sequences</w:t>
            </w:r>
          </w:p>
        </w:tc>
        <w:tc>
          <w:tcPr>
            <w:tcW w:w="1460" w:type="dxa"/>
            <w:vAlign w:val="bottom"/>
          </w:tcPr>
          <w:p>
            <w:pPr>
              <w:jc w:val="center"/>
              <w:spacing w:after="0"/>
              <w:rPr>
                <w:sz w:val="20"/>
                <w:szCs w:val="20"/>
                <w:color w:val="auto"/>
              </w:rPr>
            </w:pPr>
            <w:r>
              <w:rPr>
                <w:rFonts w:ascii="Arial" w:cs="Arial" w:eastAsia="Arial" w:hAnsi="Arial"/>
                <w:sz w:val="15"/>
                <w:szCs w:val="15"/>
                <w:color w:val="2573BA"/>
              </w:rPr>
              <w:t>2025</w:t>
            </w:r>
          </w:p>
        </w:tc>
      </w:tr>
      <w:tr>
        <w:trPr>
          <w:trHeight w:val="256"/>
        </w:trPr>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U.S.</w:t>
            </w:r>
          </w:p>
        </w:tc>
        <w:tc>
          <w:tcPr>
            <w:tcW w:w="1480" w:type="dxa"/>
            <w:vAlign w:val="bottom"/>
          </w:tcPr>
          <w:p>
            <w:pPr>
              <w:ind w:left="20"/>
              <w:spacing w:after="0"/>
              <w:rPr>
                <w:sz w:val="20"/>
                <w:szCs w:val="20"/>
                <w:color w:val="auto"/>
              </w:rPr>
            </w:pPr>
            <w:r>
              <w:rPr>
                <w:rFonts w:ascii="Arial" w:cs="Arial" w:eastAsia="Arial" w:hAnsi="Arial"/>
                <w:sz w:val="15"/>
                <w:szCs w:val="15"/>
                <w:color w:val="2573BA"/>
              </w:rPr>
              <w:t>8,361,977</w:t>
            </w:r>
          </w:p>
        </w:tc>
        <w:tc>
          <w:tcPr>
            <w:tcW w:w="120" w:type="dxa"/>
            <w:vAlign w:val="bottom"/>
          </w:tcPr>
          <w:p>
            <w:pPr>
              <w:spacing w:after="0"/>
              <w:rPr>
                <w:sz w:val="22"/>
                <w:szCs w:val="22"/>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472B9"/>
              </w:rPr>
              <w:t>Compositions And Methods For Modulation of SMN2 Splicing</w:t>
            </w:r>
          </w:p>
        </w:tc>
        <w:tc>
          <w:tcPr>
            <w:tcW w:w="1460" w:type="dxa"/>
            <w:vAlign w:val="bottom"/>
          </w:tcPr>
          <w:p>
            <w:pPr>
              <w:jc w:val="center"/>
              <w:spacing w:after="0"/>
              <w:rPr>
                <w:sz w:val="20"/>
                <w:szCs w:val="20"/>
                <w:color w:val="auto"/>
              </w:rPr>
            </w:pPr>
            <w:r>
              <w:rPr>
                <w:rFonts w:ascii="Arial" w:cs="Arial" w:eastAsia="Arial" w:hAnsi="Arial"/>
                <w:sz w:val="15"/>
                <w:szCs w:val="15"/>
                <w:color w:val="2573BA"/>
              </w:rPr>
              <w:t>2030</w:t>
            </w:r>
          </w:p>
        </w:tc>
      </w:tr>
      <w:tr>
        <w:trPr>
          <w:trHeight w:val="256"/>
        </w:trPr>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U.S.</w:t>
            </w:r>
          </w:p>
        </w:tc>
        <w:tc>
          <w:tcPr>
            <w:tcW w:w="1480" w:type="dxa"/>
            <w:vAlign w:val="bottom"/>
          </w:tcPr>
          <w:p>
            <w:pPr>
              <w:ind w:left="20"/>
              <w:spacing w:after="0"/>
              <w:rPr>
                <w:sz w:val="20"/>
                <w:szCs w:val="20"/>
                <w:color w:val="auto"/>
              </w:rPr>
            </w:pPr>
            <w:r>
              <w:rPr>
                <w:rFonts w:ascii="Arial" w:cs="Arial" w:eastAsia="Arial" w:hAnsi="Arial"/>
                <w:sz w:val="15"/>
                <w:szCs w:val="15"/>
                <w:color w:val="2573BA"/>
              </w:rPr>
              <w:t>8,980,853</w:t>
            </w:r>
          </w:p>
        </w:tc>
        <w:tc>
          <w:tcPr>
            <w:tcW w:w="120" w:type="dxa"/>
            <w:vAlign w:val="bottom"/>
          </w:tcPr>
          <w:p>
            <w:pPr>
              <w:spacing w:after="0"/>
              <w:rPr>
                <w:sz w:val="22"/>
                <w:szCs w:val="22"/>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472B9"/>
              </w:rPr>
              <w:t>Compositions And Methods For Modulation of SMN2 Splicing</w:t>
            </w:r>
          </w:p>
        </w:tc>
        <w:tc>
          <w:tcPr>
            <w:tcW w:w="1460" w:type="dxa"/>
            <w:vAlign w:val="bottom"/>
          </w:tcPr>
          <w:p>
            <w:pPr>
              <w:jc w:val="center"/>
              <w:spacing w:after="0"/>
              <w:rPr>
                <w:sz w:val="20"/>
                <w:szCs w:val="20"/>
                <w:color w:val="auto"/>
              </w:rPr>
            </w:pPr>
            <w:r>
              <w:rPr>
                <w:rFonts w:ascii="Arial" w:cs="Arial" w:eastAsia="Arial" w:hAnsi="Arial"/>
                <w:sz w:val="15"/>
                <w:szCs w:val="15"/>
                <w:color w:val="2573BA"/>
              </w:rPr>
              <w:t>2030</w:t>
            </w:r>
          </w:p>
        </w:tc>
      </w:tr>
      <w:tr>
        <w:trPr>
          <w:trHeight w:val="256"/>
        </w:trPr>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U.S.</w:t>
            </w:r>
          </w:p>
        </w:tc>
        <w:tc>
          <w:tcPr>
            <w:tcW w:w="1480" w:type="dxa"/>
            <w:vAlign w:val="bottom"/>
          </w:tcPr>
          <w:p>
            <w:pPr>
              <w:ind w:left="20"/>
              <w:spacing w:after="0"/>
              <w:rPr>
                <w:sz w:val="20"/>
                <w:szCs w:val="20"/>
                <w:color w:val="auto"/>
              </w:rPr>
            </w:pPr>
            <w:r>
              <w:rPr>
                <w:rFonts w:ascii="Arial" w:cs="Arial" w:eastAsia="Arial" w:hAnsi="Arial"/>
                <w:sz w:val="15"/>
                <w:szCs w:val="15"/>
                <w:color w:val="2573BA"/>
              </w:rPr>
              <w:t>9,717,750</w:t>
            </w:r>
          </w:p>
        </w:tc>
        <w:tc>
          <w:tcPr>
            <w:tcW w:w="120" w:type="dxa"/>
            <w:vAlign w:val="bottom"/>
          </w:tcPr>
          <w:p>
            <w:pPr>
              <w:spacing w:after="0"/>
              <w:rPr>
                <w:sz w:val="22"/>
                <w:szCs w:val="22"/>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472B9"/>
              </w:rPr>
              <w:t>Compositions and Methods For Modulation of SMN2 Splicing</w:t>
            </w:r>
          </w:p>
        </w:tc>
        <w:tc>
          <w:tcPr>
            <w:tcW w:w="1460" w:type="dxa"/>
            <w:vAlign w:val="bottom"/>
          </w:tcPr>
          <w:p>
            <w:pPr>
              <w:jc w:val="center"/>
              <w:spacing w:after="0"/>
              <w:rPr>
                <w:sz w:val="20"/>
                <w:szCs w:val="20"/>
                <w:color w:val="auto"/>
              </w:rPr>
            </w:pPr>
            <w:r>
              <w:rPr>
                <w:rFonts w:ascii="Arial" w:cs="Arial" w:eastAsia="Arial" w:hAnsi="Arial"/>
                <w:sz w:val="15"/>
                <w:szCs w:val="15"/>
                <w:color w:val="2573BA"/>
              </w:rPr>
              <w:t>2030</w:t>
            </w:r>
          </w:p>
        </w:tc>
      </w:tr>
      <w:tr>
        <w:trPr>
          <w:trHeight w:val="256"/>
        </w:trPr>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Europe</w:t>
            </w:r>
          </w:p>
        </w:tc>
        <w:tc>
          <w:tcPr>
            <w:tcW w:w="1480" w:type="dxa"/>
            <w:vAlign w:val="bottom"/>
          </w:tcPr>
          <w:p>
            <w:pPr>
              <w:ind w:left="20"/>
              <w:spacing w:after="0"/>
              <w:rPr>
                <w:sz w:val="20"/>
                <w:szCs w:val="20"/>
                <w:color w:val="auto"/>
              </w:rPr>
            </w:pPr>
            <w:r>
              <w:rPr>
                <w:rFonts w:ascii="Arial" w:cs="Arial" w:eastAsia="Arial" w:hAnsi="Arial"/>
                <w:sz w:val="15"/>
                <w:szCs w:val="15"/>
                <w:color w:val="2573BA"/>
              </w:rPr>
              <w:t>1910395</w:t>
            </w:r>
          </w:p>
        </w:tc>
        <w:tc>
          <w:tcPr>
            <w:tcW w:w="120" w:type="dxa"/>
            <w:vAlign w:val="bottom"/>
          </w:tcPr>
          <w:p>
            <w:pPr>
              <w:spacing w:after="0"/>
              <w:rPr>
                <w:sz w:val="22"/>
                <w:szCs w:val="22"/>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472B9"/>
              </w:rPr>
              <w:t>Compositions And Methods For Modulation of SMN2 Splicing</w:t>
            </w:r>
          </w:p>
        </w:tc>
        <w:tc>
          <w:tcPr>
            <w:tcW w:w="1460" w:type="dxa"/>
            <w:vAlign w:val="bottom"/>
          </w:tcPr>
          <w:p>
            <w:pPr>
              <w:jc w:val="center"/>
              <w:spacing w:after="0"/>
              <w:rPr>
                <w:sz w:val="20"/>
                <w:szCs w:val="20"/>
                <w:color w:val="auto"/>
              </w:rPr>
            </w:pPr>
            <w:r>
              <w:rPr>
                <w:rFonts w:ascii="Arial" w:cs="Arial" w:eastAsia="Arial" w:hAnsi="Arial"/>
                <w:sz w:val="15"/>
                <w:szCs w:val="15"/>
                <w:color w:val="2573BA"/>
              </w:rPr>
              <w:t>2026</w:t>
            </w:r>
          </w:p>
        </w:tc>
      </w:tr>
      <w:tr>
        <w:trPr>
          <w:trHeight w:val="256"/>
        </w:trPr>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Europe</w:t>
            </w:r>
          </w:p>
        </w:tc>
        <w:tc>
          <w:tcPr>
            <w:tcW w:w="1480" w:type="dxa"/>
            <w:vAlign w:val="bottom"/>
          </w:tcPr>
          <w:p>
            <w:pPr>
              <w:ind w:left="20"/>
              <w:spacing w:after="0"/>
              <w:rPr>
                <w:sz w:val="20"/>
                <w:szCs w:val="20"/>
                <w:color w:val="auto"/>
              </w:rPr>
            </w:pPr>
            <w:r>
              <w:rPr>
                <w:rFonts w:ascii="Arial" w:cs="Arial" w:eastAsia="Arial" w:hAnsi="Arial"/>
                <w:sz w:val="15"/>
                <w:szCs w:val="15"/>
                <w:color w:val="2573BA"/>
              </w:rPr>
              <w:t>2548560</w:t>
            </w:r>
          </w:p>
        </w:tc>
        <w:tc>
          <w:tcPr>
            <w:tcW w:w="120" w:type="dxa"/>
            <w:vAlign w:val="bottom"/>
          </w:tcPr>
          <w:p>
            <w:pPr>
              <w:spacing w:after="0"/>
              <w:rPr>
                <w:sz w:val="22"/>
                <w:szCs w:val="22"/>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472B9"/>
              </w:rPr>
              <w:t>Compositions And Methods For Modulation of SMN2 Splicing</w:t>
            </w:r>
          </w:p>
        </w:tc>
        <w:tc>
          <w:tcPr>
            <w:tcW w:w="1460" w:type="dxa"/>
            <w:vAlign w:val="bottom"/>
          </w:tcPr>
          <w:p>
            <w:pPr>
              <w:jc w:val="center"/>
              <w:spacing w:after="0"/>
              <w:rPr>
                <w:sz w:val="20"/>
                <w:szCs w:val="20"/>
                <w:color w:val="auto"/>
              </w:rPr>
            </w:pPr>
            <w:r>
              <w:rPr>
                <w:rFonts w:ascii="Arial" w:cs="Arial" w:eastAsia="Arial" w:hAnsi="Arial"/>
                <w:sz w:val="15"/>
                <w:szCs w:val="15"/>
                <w:color w:val="2573BA"/>
              </w:rPr>
              <w:t>2026</w:t>
            </w:r>
          </w:p>
        </w:tc>
      </w:tr>
      <w:tr>
        <w:trPr>
          <w:trHeight w:val="44"/>
        </w:trPr>
        <w:tc>
          <w:tcPr>
            <w:tcW w:w="10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180"/>
        </w:trPr>
        <w:tc>
          <w:tcPr>
            <w:tcW w:w="3200" w:type="dxa"/>
            <w:vAlign w:val="bottom"/>
            <w:gridSpan w:val="5"/>
          </w:tcPr>
          <w:p>
            <w:pPr>
              <w:spacing w:after="0"/>
              <w:rPr>
                <w:sz w:val="20"/>
                <w:szCs w:val="20"/>
                <w:color w:val="auto"/>
              </w:rPr>
            </w:pPr>
            <w:r>
              <w:rPr>
                <w:rFonts w:ascii="Arial" w:cs="Arial" w:eastAsia="Arial" w:hAnsi="Arial"/>
                <w:sz w:val="15"/>
                <w:szCs w:val="15"/>
                <w:color w:val="auto"/>
              </w:rPr>
              <w:t>Footnotes follow on next page.</w:t>
            </w: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119"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400" w:lineRule="exact"/>
        <w:rPr>
          <w:sz w:val="20"/>
          <w:szCs w:val="20"/>
          <w:color w:val="auto"/>
        </w:rPr>
      </w:pPr>
    </w:p>
    <w:p>
      <w:pPr>
        <w:ind w:left="300"/>
        <w:spacing w:after="0"/>
        <w:rPr>
          <w:sz w:val="20"/>
          <w:szCs w:val="20"/>
          <w:color w:val="auto"/>
        </w:rPr>
      </w:pPr>
      <w:r>
        <w:rPr>
          <w:rFonts w:ascii="Arial" w:cs="Arial" w:eastAsia="Arial" w:hAnsi="Arial"/>
          <w:sz w:val="15"/>
          <w:szCs w:val="15"/>
          <w:color w:val="auto"/>
        </w:rPr>
        <w:t>(1)  In addition to patent protection, certain of our products are entitled to regulatory exclusivity in the U.S. and the E.U. expected until the dates set forth below: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w:t>
            </w:r>
          </w:p>
        </w:tc>
        <w:tc>
          <w:tcPr>
            <w:tcW w:w="220" w:type="dxa"/>
            <w:vAlign w:val="bottom"/>
          </w:tcPr>
          <w:p>
            <w:pPr>
              <w:spacing w:after="0"/>
              <w:rPr>
                <w:sz w:val="16"/>
                <w:szCs w:val="16"/>
                <w:color w:val="auto"/>
              </w:rPr>
            </w:pPr>
          </w:p>
        </w:tc>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Territory</w:t>
            </w:r>
          </w:p>
        </w:tc>
        <w:tc>
          <w:tcPr>
            <w:tcW w:w="220" w:type="dxa"/>
            <w:vAlign w:val="bottom"/>
          </w:tcPr>
          <w:p>
            <w:pPr>
              <w:spacing w:after="0"/>
              <w:rPr>
                <w:sz w:val="16"/>
                <w:szCs w:val="16"/>
                <w:color w:val="auto"/>
              </w:rPr>
            </w:pPr>
          </w:p>
        </w:tc>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Expected Expiration</w:t>
            </w:r>
          </w:p>
        </w:tc>
      </w:tr>
      <w:tr>
        <w:trPr>
          <w:trHeight w:val="211"/>
        </w:trPr>
        <w:tc>
          <w:tcPr>
            <w:tcW w:w="2520" w:type="dxa"/>
            <w:vAlign w:val="bottom"/>
            <w:gridSpan w:val="2"/>
          </w:tcPr>
          <w:p>
            <w:pPr>
              <w:ind w:left="20"/>
              <w:spacing w:after="0"/>
              <w:rPr>
                <w:sz w:val="20"/>
                <w:szCs w:val="20"/>
                <w:color w:val="auto"/>
              </w:rPr>
            </w:pPr>
            <w:r>
              <w:rPr>
                <w:rFonts w:ascii="Arial" w:cs="Arial" w:eastAsia="Arial" w:hAnsi="Arial"/>
                <w:sz w:val="15"/>
                <w:szCs w:val="15"/>
                <w:color w:val="2573BA"/>
              </w:rPr>
              <w:t>TECFIDERA</w:t>
            </w:r>
          </w:p>
        </w:tc>
        <w:tc>
          <w:tcPr>
            <w:tcW w:w="2640" w:type="dxa"/>
            <w:vAlign w:val="bottom"/>
            <w:gridSpan w:val="2"/>
          </w:tcPr>
          <w:p>
            <w:pPr>
              <w:ind w:left="40"/>
              <w:spacing w:after="0"/>
              <w:rPr>
                <w:sz w:val="20"/>
                <w:szCs w:val="20"/>
                <w:color w:val="auto"/>
              </w:rPr>
            </w:pPr>
            <w:r>
              <w:rPr>
                <w:rFonts w:ascii="Arial" w:cs="Arial" w:eastAsia="Arial" w:hAnsi="Arial"/>
                <w:sz w:val="15"/>
                <w:szCs w:val="15"/>
                <w:color w:val="2573BA"/>
              </w:rPr>
              <w:t>U.S.</w:t>
            </w:r>
          </w:p>
        </w:tc>
        <w:tc>
          <w:tcPr>
            <w:tcW w:w="6260" w:type="dxa"/>
            <w:vAlign w:val="bottom"/>
          </w:tcPr>
          <w:p>
            <w:pPr>
              <w:ind w:left="20"/>
              <w:spacing w:after="0"/>
              <w:rPr>
                <w:sz w:val="20"/>
                <w:szCs w:val="20"/>
                <w:color w:val="auto"/>
              </w:rPr>
            </w:pPr>
            <w:r>
              <w:rPr>
                <w:rFonts w:ascii="Arial" w:cs="Arial" w:eastAsia="Arial" w:hAnsi="Arial"/>
                <w:sz w:val="15"/>
                <w:szCs w:val="15"/>
                <w:color w:val="2573BA"/>
              </w:rPr>
              <w:t>2018</w:t>
            </w:r>
          </w:p>
        </w:tc>
      </w:tr>
      <w:tr>
        <w:trPr>
          <w:trHeight w:val="243"/>
        </w:trPr>
        <w:tc>
          <w:tcPr>
            <w:tcW w:w="2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40" w:type="dxa"/>
            <w:vAlign w:val="bottom"/>
            <w:gridSpan w:val="2"/>
          </w:tcPr>
          <w:p>
            <w:pPr>
              <w:ind w:left="40"/>
              <w:spacing w:after="0"/>
              <w:rPr>
                <w:sz w:val="20"/>
                <w:szCs w:val="20"/>
                <w:color w:val="auto"/>
              </w:rPr>
            </w:pPr>
            <w:r>
              <w:rPr>
                <w:rFonts w:ascii="Arial" w:cs="Arial" w:eastAsia="Arial" w:hAnsi="Arial"/>
                <w:sz w:val="15"/>
                <w:szCs w:val="15"/>
                <w:color w:val="2573BA"/>
              </w:rPr>
              <w:t>E.U.</w:t>
            </w:r>
          </w:p>
        </w:tc>
        <w:tc>
          <w:tcPr>
            <w:tcW w:w="6260" w:type="dxa"/>
            <w:vAlign w:val="bottom"/>
          </w:tcPr>
          <w:p>
            <w:pPr>
              <w:ind w:left="20"/>
              <w:spacing w:after="0"/>
              <w:rPr>
                <w:sz w:val="20"/>
                <w:szCs w:val="20"/>
                <w:color w:val="auto"/>
              </w:rPr>
            </w:pPr>
            <w:r>
              <w:rPr>
                <w:rFonts w:ascii="Arial" w:cs="Arial" w:eastAsia="Arial" w:hAnsi="Arial"/>
                <w:sz w:val="15"/>
                <w:szCs w:val="15"/>
                <w:color w:val="2573BA"/>
              </w:rPr>
              <w:t>2024</w:t>
            </w:r>
          </w:p>
        </w:tc>
      </w:tr>
      <w:tr>
        <w:trPr>
          <w:trHeight w:val="44"/>
        </w:trPr>
        <w:tc>
          <w:tcPr>
            <w:tcW w:w="23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6260" w:type="dxa"/>
            <w:vAlign w:val="bottom"/>
            <w:tcBorders>
              <w:bottom w:val="single" w:sz="8" w:color="auto"/>
            </w:tcBorders>
          </w:tcPr>
          <w:p>
            <w:pPr>
              <w:spacing w:after="0"/>
              <w:rPr>
                <w:sz w:val="3"/>
                <w:szCs w:val="3"/>
                <w:color w:val="auto"/>
              </w:rPr>
            </w:pPr>
          </w:p>
        </w:tc>
      </w:tr>
      <w:tr>
        <w:trPr>
          <w:trHeight w:val="205"/>
        </w:trPr>
        <w:tc>
          <w:tcPr>
            <w:tcW w:w="2520" w:type="dxa"/>
            <w:vAlign w:val="bottom"/>
            <w:gridSpan w:val="2"/>
          </w:tcPr>
          <w:p>
            <w:pPr>
              <w:ind w:left="20"/>
              <w:spacing w:after="0"/>
              <w:rPr>
                <w:sz w:val="20"/>
                <w:szCs w:val="20"/>
                <w:color w:val="auto"/>
              </w:rPr>
            </w:pPr>
            <w:r>
              <w:rPr>
                <w:rFonts w:ascii="Arial" w:cs="Arial" w:eastAsia="Arial" w:hAnsi="Arial"/>
                <w:sz w:val="15"/>
                <w:szCs w:val="15"/>
                <w:color w:val="2573BA"/>
              </w:rPr>
              <w:t>PLEGRIDY</w:t>
            </w:r>
          </w:p>
        </w:tc>
        <w:tc>
          <w:tcPr>
            <w:tcW w:w="2640" w:type="dxa"/>
            <w:vAlign w:val="bottom"/>
            <w:gridSpan w:val="2"/>
          </w:tcPr>
          <w:p>
            <w:pPr>
              <w:ind w:left="40"/>
              <w:spacing w:after="0"/>
              <w:rPr>
                <w:sz w:val="20"/>
                <w:szCs w:val="20"/>
                <w:color w:val="auto"/>
              </w:rPr>
            </w:pPr>
            <w:r>
              <w:rPr>
                <w:rFonts w:ascii="Arial" w:cs="Arial" w:eastAsia="Arial" w:hAnsi="Arial"/>
                <w:sz w:val="15"/>
                <w:szCs w:val="15"/>
                <w:color w:val="2573BA"/>
              </w:rPr>
              <w:t>U.S.</w:t>
            </w:r>
          </w:p>
        </w:tc>
        <w:tc>
          <w:tcPr>
            <w:tcW w:w="6260" w:type="dxa"/>
            <w:vAlign w:val="bottom"/>
          </w:tcPr>
          <w:p>
            <w:pPr>
              <w:ind w:left="20"/>
              <w:spacing w:after="0"/>
              <w:rPr>
                <w:sz w:val="20"/>
                <w:szCs w:val="20"/>
                <w:color w:val="auto"/>
              </w:rPr>
            </w:pPr>
            <w:r>
              <w:rPr>
                <w:rFonts w:ascii="Arial" w:cs="Arial" w:eastAsia="Arial" w:hAnsi="Arial"/>
                <w:sz w:val="15"/>
                <w:szCs w:val="15"/>
                <w:color w:val="2573BA"/>
              </w:rPr>
              <w:t>2026</w:t>
            </w:r>
          </w:p>
        </w:tc>
      </w:tr>
      <w:tr>
        <w:trPr>
          <w:trHeight w:val="243"/>
        </w:trPr>
        <w:tc>
          <w:tcPr>
            <w:tcW w:w="2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40" w:type="dxa"/>
            <w:vAlign w:val="bottom"/>
            <w:gridSpan w:val="2"/>
          </w:tcPr>
          <w:p>
            <w:pPr>
              <w:ind w:left="40"/>
              <w:spacing w:after="0"/>
              <w:rPr>
                <w:sz w:val="20"/>
                <w:szCs w:val="20"/>
                <w:color w:val="auto"/>
              </w:rPr>
            </w:pPr>
            <w:r>
              <w:rPr>
                <w:rFonts w:ascii="Arial" w:cs="Arial" w:eastAsia="Arial" w:hAnsi="Arial"/>
                <w:sz w:val="15"/>
                <w:szCs w:val="15"/>
                <w:color w:val="2573BA"/>
              </w:rPr>
              <w:t>E.U.</w:t>
            </w:r>
          </w:p>
        </w:tc>
        <w:tc>
          <w:tcPr>
            <w:tcW w:w="6260" w:type="dxa"/>
            <w:vAlign w:val="bottom"/>
          </w:tcPr>
          <w:p>
            <w:pPr>
              <w:ind w:left="20"/>
              <w:spacing w:after="0"/>
              <w:rPr>
                <w:sz w:val="20"/>
                <w:szCs w:val="20"/>
                <w:color w:val="auto"/>
              </w:rPr>
            </w:pPr>
            <w:r>
              <w:rPr>
                <w:rFonts w:ascii="Arial" w:cs="Arial" w:eastAsia="Arial" w:hAnsi="Arial"/>
                <w:sz w:val="15"/>
                <w:szCs w:val="15"/>
                <w:color w:val="2573BA"/>
              </w:rPr>
              <w:t>2024</w:t>
            </w:r>
          </w:p>
        </w:tc>
      </w:tr>
      <w:tr>
        <w:trPr>
          <w:trHeight w:val="44"/>
        </w:trPr>
        <w:tc>
          <w:tcPr>
            <w:tcW w:w="23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6260" w:type="dxa"/>
            <w:vAlign w:val="bottom"/>
            <w:tcBorders>
              <w:bottom w:val="single" w:sz="8" w:color="auto"/>
            </w:tcBorders>
          </w:tcPr>
          <w:p>
            <w:pPr>
              <w:spacing w:after="0"/>
              <w:rPr>
                <w:sz w:val="3"/>
                <w:szCs w:val="3"/>
                <w:color w:val="auto"/>
              </w:rPr>
            </w:pPr>
          </w:p>
        </w:tc>
      </w:tr>
      <w:tr>
        <w:trPr>
          <w:trHeight w:val="205"/>
        </w:trPr>
        <w:tc>
          <w:tcPr>
            <w:tcW w:w="2520" w:type="dxa"/>
            <w:vAlign w:val="bottom"/>
            <w:gridSpan w:val="2"/>
          </w:tcPr>
          <w:p>
            <w:pPr>
              <w:ind w:left="20"/>
              <w:spacing w:after="0"/>
              <w:rPr>
                <w:sz w:val="20"/>
                <w:szCs w:val="20"/>
                <w:color w:val="auto"/>
              </w:rPr>
            </w:pPr>
            <w:r>
              <w:rPr>
                <w:rFonts w:ascii="Arial" w:cs="Arial" w:eastAsia="Arial" w:hAnsi="Arial"/>
                <w:sz w:val="15"/>
                <w:szCs w:val="15"/>
                <w:color w:val="2573BA"/>
              </w:rPr>
              <w:t>FAMPYRA</w:t>
            </w:r>
          </w:p>
        </w:tc>
        <w:tc>
          <w:tcPr>
            <w:tcW w:w="2640" w:type="dxa"/>
            <w:vAlign w:val="bottom"/>
            <w:gridSpan w:val="2"/>
          </w:tcPr>
          <w:p>
            <w:pPr>
              <w:ind w:left="40"/>
              <w:spacing w:after="0"/>
              <w:rPr>
                <w:sz w:val="20"/>
                <w:szCs w:val="20"/>
                <w:color w:val="auto"/>
              </w:rPr>
            </w:pPr>
            <w:r>
              <w:rPr>
                <w:rFonts w:ascii="Arial" w:cs="Arial" w:eastAsia="Arial" w:hAnsi="Arial"/>
                <w:sz w:val="15"/>
                <w:szCs w:val="15"/>
                <w:color w:val="2573BA"/>
              </w:rPr>
              <w:t>E.U.</w:t>
            </w:r>
          </w:p>
        </w:tc>
        <w:tc>
          <w:tcPr>
            <w:tcW w:w="6260" w:type="dxa"/>
            <w:vAlign w:val="bottom"/>
          </w:tcPr>
          <w:p>
            <w:pPr>
              <w:ind w:left="20"/>
              <w:spacing w:after="0"/>
              <w:rPr>
                <w:sz w:val="20"/>
                <w:szCs w:val="20"/>
                <w:color w:val="auto"/>
              </w:rPr>
            </w:pPr>
            <w:r>
              <w:rPr>
                <w:rFonts w:ascii="Arial" w:cs="Arial" w:eastAsia="Arial" w:hAnsi="Arial"/>
                <w:sz w:val="15"/>
                <w:szCs w:val="15"/>
                <w:color w:val="2573BA"/>
              </w:rPr>
              <w:t>2021</w:t>
            </w:r>
          </w:p>
        </w:tc>
      </w:tr>
      <w:tr>
        <w:trPr>
          <w:trHeight w:val="31"/>
        </w:trPr>
        <w:tc>
          <w:tcPr>
            <w:tcW w:w="2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260" w:type="dxa"/>
            <w:vAlign w:val="bottom"/>
            <w:tcBorders>
              <w:bottom w:val="single" w:sz="8" w:color="auto"/>
            </w:tcBorders>
          </w:tcPr>
          <w:p>
            <w:pPr>
              <w:spacing w:after="0"/>
              <w:rPr>
                <w:sz w:val="2"/>
                <w:szCs w:val="2"/>
                <w:color w:val="auto"/>
              </w:rPr>
            </w:pPr>
          </w:p>
        </w:tc>
      </w:tr>
      <w:tr>
        <w:trPr>
          <w:trHeight w:val="205"/>
        </w:trPr>
        <w:tc>
          <w:tcPr>
            <w:tcW w:w="2520" w:type="dxa"/>
            <w:vAlign w:val="bottom"/>
            <w:gridSpan w:val="2"/>
          </w:tcPr>
          <w:p>
            <w:pPr>
              <w:ind w:left="20"/>
              <w:spacing w:after="0"/>
              <w:rPr>
                <w:sz w:val="20"/>
                <w:szCs w:val="20"/>
                <w:color w:val="auto"/>
              </w:rPr>
            </w:pPr>
            <w:r>
              <w:rPr>
                <w:rFonts w:ascii="Arial" w:cs="Arial" w:eastAsia="Arial" w:hAnsi="Arial"/>
                <w:sz w:val="15"/>
                <w:szCs w:val="15"/>
                <w:color w:val="2573BA"/>
              </w:rPr>
              <w:t>ZINBRYTA</w:t>
            </w:r>
          </w:p>
        </w:tc>
        <w:tc>
          <w:tcPr>
            <w:tcW w:w="2640" w:type="dxa"/>
            <w:vAlign w:val="bottom"/>
            <w:gridSpan w:val="2"/>
          </w:tcPr>
          <w:p>
            <w:pPr>
              <w:ind w:left="40"/>
              <w:spacing w:after="0"/>
              <w:rPr>
                <w:sz w:val="20"/>
                <w:szCs w:val="20"/>
                <w:color w:val="auto"/>
              </w:rPr>
            </w:pPr>
            <w:r>
              <w:rPr>
                <w:rFonts w:ascii="Arial" w:cs="Arial" w:eastAsia="Arial" w:hAnsi="Arial"/>
                <w:sz w:val="15"/>
                <w:szCs w:val="15"/>
                <w:color w:val="2573BA"/>
              </w:rPr>
              <w:t>U.S.</w:t>
            </w:r>
          </w:p>
        </w:tc>
        <w:tc>
          <w:tcPr>
            <w:tcW w:w="6260" w:type="dxa"/>
            <w:vAlign w:val="bottom"/>
          </w:tcPr>
          <w:p>
            <w:pPr>
              <w:ind w:left="20"/>
              <w:spacing w:after="0"/>
              <w:rPr>
                <w:sz w:val="20"/>
                <w:szCs w:val="20"/>
                <w:color w:val="auto"/>
              </w:rPr>
            </w:pPr>
            <w:r>
              <w:rPr>
                <w:rFonts w:ascii="Arial" w:cs="Arial" w:eastAsia="Arial" w:hAnsi="Arial"/>
                <w:sz w:val="15"/>
                <w:szCs w:val="15"/>
                <w:color w:val="2573BA"/>
              </w:rPr>
              <w:t>2028</w:t>
            </w:r>
          </w:p>
        </w:tc>
      </w:tr>
      <w:tr>
        <w:trPr>
          <w:trHeight w:val="243"/>
        </w:trPr>
        <w:tc>
          <w:tcPr>
            <w:tcW w:w="2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40" w:type="dxa"/>
            <w:vAlign w:val="bottom"/>
            <w:gridSpan w:val="2"/>
          </w:tcPr>
          <w:p>
            <w:pPr>
              <w:ind w:left="40"/>
              <w:spacing w:after="0"/>
              <w:rPr>
                <w:sz w:val="20"/>
                <w:szCs w:val="20"/>
                <w:color w:val="auto"/>
              </w:rPr>
            </w:pPr>
            <w:r>
              <w:rPr>
                <w:rFonts w:ascii="Arial" w:cs="Arial" w:eastAsia="Arial" w:hAnsi="Arial"/>
                <w:sz w:val="15"/>
                <w:szCs w:val="15"/>
                <w:color w:val="2573BA"/>
              </w:rPr>
              <w:t>E.U.</w:t>
            </w:r>
          </w:p>
        </w:tc>
        <w:tc>
          <w:tcPr>
            <w:tcW w:w="6260" w:type="dxa"/>
            <w:vAlign w:val="bottom"/>
          </w:tcPr>
          <w:p>
            <w:pPr>
              <w:ind w:left="20"/>
              <w:spacing w:after="0"/>
              <w:rPr>
                <w:sz w:val="20"/>
                <w:szCs w:val="20"/>
                <w:color w:val="auto"/>
              </w:rPr>
            </w:pPr>
            <w:r>
              <w:rPr>
                <w:rFonts w:ascii="Arial" w:cs="Arial" w:eastAsia="Arial" w:hAnsi="Arial"/>
                <w:sz w:val="15"/>
                <w:szCs w:val="15"/>
                <w:color w:val="2573BA"/>
              </w:rPr>
              <w:t>*</w:t>
            </w:r>
          </w:p>
        </w:tc>
      </w:tr>
      <w:tr>
        <w:trPr>
          <w:trHeight w:val="44"/>
        </w:trPr>
        <w:tc>
          <w:tcPr>
            <w:tcW w:w="23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260" w:type="dxa"/>
            <w:vAlign w:val="bottom"/>
            <w:tcBorders>
              <w:bottom w:val="single" w:sz="8" w:color="auto"/>
            </w:tcBorders>
          </w:tcPr>
          <w:p>
            <w:pPr>
              <w:spacing w:after="0"/>
              <w:rPr>
                <w:sz w:val="3"/>
                <w:szCs w:val="3"/>
                <w:color w:val="auto"/>
              </w:rPr>
            </w:pPr>
          </w:p>
        </w:tc>
      </w:tr>
      <w:tr>
        <w:trPr>
          <w:trHeight w:val="205"/>
        </w:trPr>
        <w:tc>
          <w:tcPr>
            <w:tcW w:w="2520" w:type="dxa"/>
            <w:vAlign w:val="bottom"/>
            <w:gridSpan w:val="2"/>
          </w:tcPr>
          <w:p>
            <w:pPr>
              <w:ind w:left="20"/>
              <w:spacing w:after="0"/>
              <w:rPr>
                <w:sz w:val="20"/>
                <w:szCs w:val="20"/>
                <w:color w:val="auto"/>
              </w:rPr>
            </w:pPr>
            <w:r>
              <w:rPr>
                <w:rFonts w:ascii="Arial" w:cs="Arial" w:eastAsia="Arial" w:hAnsi="Arial"/>
                <w:sz w:val="15"/>
                <w:szCs w:val="15"/>
                <w:color w:val="2573BA"/>
              </w:rPr>
              <w:t>SPINRAZA</w:t>
            </w:r>
          </w:p>
        </w:tc>
        <w:tc>
          <w:tcPr>
            <w:tcW w:w="2640" w:type="dxa"/>
            <w:vAlign w:val="bottom"/>
            <w:gridSpan w:val="2"/>
          </w:tcPr>
          <w:p>
            <w:pPr>
              <w:ind w:left="40"/>
              <w:spacing w:after="0"/>
              <w:rPr>
                <w:sz w:val="20"/>
                <w:szCs w:val="20"/>
                <w:color w:val="auto"/>
              </w:rPr>
            </w:pPr>
            <w:r>
              <w:rPr>
                <w:rFonts w:ascii="Arial" w:cs="Arial" w:eastAsia="Arial" w:hAnsi="Arial"/>
                <w:sz w:val="15"/>
                <w:szCs w:val="15"/>
                <w:color w:val="2573BA"/>
              </w:rPr>
              <w:t>U.S.</w:t>
            </w:r>
          </w:p>
        </w:tc>
        <w:tc>
          <w:tcPr>
            <w:tcW w:w="6260" w:type="dxa"/>
            <w:vAlign w:val="bottom"/>
          </w:tcPr>
          <w:p>
            <w:pPr>
              <w:ind w:left="20"/>
              <w:spacing w:after="0"/>
              <w:rPr>
                <w:sz w:val="20"/>
                <w:szCs w:val="20"/>
                <w:color w:val="auto"/>
              </w:rPr>
            </w:pPr>
            <w:r>
              <w:rPr>
                <w:rFonts w:ascii="Arial" w:cs="Arial" w:eastAsia="Arial" w:hAnsi="Arial"/>
                <w:sz w:val="15"/>
                <w:szCs w:val="15"/>
                <w:color w:val="2573BA"/>
              </w:rPr>
              <w:t>2023</w:t>
            </w:r>
          </w:p>
        </w:tc>
      </w:tr>
      <w:tr>
        <w:trPr>
          <w:trHeight w:val="256"/>
        </w:trPr>
        <w:tc>
          <w:tcPr>
            <w:tcW w:w="2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40" w:type="dxa"/>
            <w:vAlign w:val="bottom"/>
            <w:gridSpan w:val="2"/>
          </w:tcPr>
          <w:p>
            <w:pPr>
              <w:ind w:left="40"/>
              <w:spacing w:after="0"/>
              <w:rPr>
                <w:sz w:val="20"/>
                <w:szCs w:val="20"/>
                <w:color w:val="auto"/>
              </w:rPr>
            </w:pPr>
            <w:r>
              <w:rPr>
                <w:rFonts w:ascii="Arial" w:cs="Arial" w:eastAsia="Arial" w:hAnsi="Arial"/>
                <w:sz w:val="15"/>
                <w:szCs w:val="15"/>
                <w:color w:val="2573BA"/>
              </w:rPr>
              <w:t>E.U.</w:t>
            </w:r>
          </w:p>
        </w:tc>
        <w:tc>
          <w:tcPr>
            <w:tcW w:w="6260" w:type="dxa"/>
            <w:vAlign w:val="bottom"/>
          </w:tcPr>
          <w:p>
            <w:pPr>
              <w:ind w:left="20"/>
              <w:spacing w:after="0"/>
              <w:rPr>
                <w:sz w:val="20"/>
                <w:szCs w:val="20"/>
                <w:color w:val="auto"/>
              </w:rPr>
            </w:pPr>
            <w:r>
              <w:rPr>
                <w:rFonts w:ascii="Arial" w:cs="Arial" w:eastAsia="Arial" w:hAnsi="Arial"/>
                <w:sz w:val="15"/>
                <w:szCs w:val="15"/>
                <w:color w:val="2573BA"/>
              </w:rPr>
              <w:t>2027**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2536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41" w:lineRule="exact"/>
        <w:rPr>
          <w:sz w:val="20"/>
          <w:szCs w:val="20"/>
          <w:color w:val="auto"/>
        </w:rPr>
      </w:pPr>
    </w:p>
    <w:p>
      <w:pPr>
        <w:ind w:left="380" w:right="380" w:hanging="76"/>
        <w:spacing w:after="0" w:line="229" w:lineRule="auto"/>
        <w:rPr>
          <w:sz w:val="20"/>
          <w:szCs w:val="20"/>
          <w:color w:val="auto"/>
        </w:rPr>
      </w:pPr>
      <w:r>
        <w:rPr>
          <w:rFonts w:ascii="Arial" w:cs="Arial" w:eastAsia="Arial" w:hAnsi="Arial"/>
          <w:sz w:val="14"/>
          <w:szCs w:val="14"/>
          <w:color w:val="auto"/>
        </w:rPr>
        <w:t>*ZINBRYTA was not designated a new active substance at the time of its approval in the E.U. and is not automatically entitled to regulatory exclusivity. Regulatory exclusivity may, however, be available for independent development of known active substances. We intend to assert the protection of its data on this basis.</w:t>
      </w:r>
    </w:p>
    <w:p>
      <w:pPr>
        <w:ind w:left="300"/>
        <w:spacing w:after="0"/>
        <w:rPr>
          <w:sz w:val="20"/>
          <w:szCs w:val="20"/>
          <w:color w:val="auto"/>
        </w:rPr>
      </w:pPr>
      <w:r>
        <w:rPr>
          <w:rFonts w:ascii="Arial" w:cs="Arial" w:eastAsia="Arial" w:hAnsi="Arial"/>
          <w:sz w:val="14"/>
          <w:szCs w:val="14"/>
          <w:color w:val="auto"/>
        </w:rPr>
        <w:t>**SPINRAZA may be eligible for an additional two years exclusivity in Europe based on the orphan pediatric indication.</w:t>
      </w:r>
    </w:p>
    <w:p>
      <w:pPr>
        <w:spacing w:after="0" w:line="144" w:lineRule="exact"/>
        <w:rPr>
          <w:sz w:val="20"/>
          <w:szCs w:val="20"/>
          <w:color w:val="auto"/>
        </w:rPr>
      </w:pPr>
    </w:p>
    <w:p>
      <w:pPr>
        <w:ind w:left="620" w:hanging="310"/>
        <w:spacing w:after="0"/>
        <w:tabs>
          <w:tab w:leader="none" w:pos="6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This patent is subject to granted SPCs in certain European countries, which extended the patent term in those countries to 2024.</w:t>
      </w:r>
    </w:p>
    <w:p>
      <w:pPr>
        <w:spacing w:after="0" w:line="160" w:lineRule="exact"/>
        <w:rPr>
          <w:rFonts w:ascii="Arial" w:cs="Arial" w:eastAsia="Arial" w:hAnsi="Arial"/>
          <w:sz w:val="15"/>
          <w:szCs w:val="15"/>
          <w:color w:val="auto"/>
        </w:rPr>
      </w:pPr>
    </w:p>
    <w:p>
      <w:pPr>
        <w:ind w:left="620" w:right="400" w:hanging="310"/>
        <w:spacing w:after="0" w:line="266" w:lineRule="auto"/>
        <w:tabs>
          <w:tab w:leader="none" w:pos="6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This patent was revoked in a European opposition. This decision is being appealed. The patent is subject to granted SPCs in certain European countries, which extended the patent term in those countries to 2029.</w:t>
      </w:r>
    </w:p>
    <w:p>
      <w:pPr>
        <w:spacing w:after="0" w:line="129" w:lineRule="exact"/>
        <w:rPr>
          <w:rFonts w:ascii="Arial" w:cs="Arial" w:eastAsia="Arial" w:hAnsi="Arial"/>
          <w:sz w:val="15"/>
          <w:szCs w:val="15"/>
          <w:color w:val="auto"/>
        </w:rPr>
      </w:pPr>
    </w:p>
    <w:p>
      <w:pPr>
        <w:ind w:left="620" w:hanging="310"/>
        <w:spacing w:after="0"/>
        <w:tabs>
          <w:tab w:leader="none" w:pos="6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This patent is subject to granted SPCs in certain European countries, which extended the patent term in those countries to 2028.</w:t>
      </w:r>
    </w:p>
    <w:p>
      <w:pPr>
        <w:spacing w:after="0" w:line="160" w:lineRule="exact"/>
        <w:rPr>
          <w:rFonts w:ascii="Arial" w:cs="Arial" w:eastAsia="Arial" w:hAnsi="Arial"/>
          <w:sz w:val="15"/>
          <w:szCs w:val="15"/>
          <w:color w:val="auto"/>
        </w:rPr>
      </w:pPr>
    </w:p>
    <w:p>
      <w:pPr>
        <w:ind w:left="620" w:hanging="310"/>
        <w:spacing w:after="0"/>
        <w:tabs>
          <w:tab w:leader="none" w:pos="6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Reflects SPCs granted in most European countries and pediatric extension in some countries.</w:t>
      </w:r>
    </w:p>
    <w:p>
      <w:pPr>
        <w:spacing w:after="0" w:line="160" w:lineRule="exact"/>
        <w:rPr>
          <w:rFonts w:ascii="Arial" w:cs="Arial" w:eastAsia="Arial" w:hAnsi="Arial"/>
          <w:sz w:val="15"/>
          <w:szCs w:val="15"/>
          <w:color w:val="auto"/>
        </w:rPr>
      </w:pPr>
    </w:p>
    <w:p>
      <w:pPr>
        <w:ind w:left="620" w:hanging="310"/>
        <w:spacing w:after="0"/>
        <w:tabs>
          <w:tab w:leader="none" w:pos="6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This patent is subject to granted SPCs in certain European countries, which extended the patent term in those countries to 2026.</w:t>
      </w:r>
    </w:p>
    <w:p>
      <w:pPr>
        <w:spacing w:after="0" w:line="160" w:lineRule="exact"/>
        <w:rPr>
          <w:rFonts w:ascii="Arial" w:cs="Arial" w:eastAsia="Arial" w:hAnsi="Arial"/>
          <w:sz w:val="15"/>
          <w:szCs w:val="15"/>
          <w:color w:val="auto"/>
        </w:rPr>
      </w:pPr>
    </w:p>
    <w:p>
      <w:pPr>
        <w:ind w:left="620" w:hanging="310"/>
        <w:spacing w:after="0"/>
        <w:tabs>
          <w:tab w:leader="none" w:pos="6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This patent is subject to granted SPCs in certain European countries, which extended the patent term in those countries to 2026.</w:t>
      </w:r>
    </w:p>
    <w:p>
      <w:pPr>
        <w:spacing w:after="0" w:line="158" w:lineRule="exact"/>
        <w:rPr>
          <w:sz w:val="20"/>
          <w:szCs w:val="20"/>
          <w:color w:val="auto"/>
        </w:rPr>
      </w:pPr>
    </w:p>
    <w:p>
      <w:pPr>
        <w:ind w:right="40" w:firstLine="384"/>
        <w:spacing w:after="0" w:line="252" w:lineRule="auto"/>
        <w:rPr>
          <w:sz w:val="20"/>
          <w:szCs w:val="20"/>
          <w:color w:val="auto"/>
        </w:rPr>
      </w:pPr>
      <w:r>
        <w:rPr>
          <w:rFonts w:ascii="Arial" w:cs="Arial" w:eastAsia="Arial" w:hAnsi="Arial"/>
          <w:sz w:val="17"/>
          <w:szCs w:val="17"/>
          <w:color w:val="auto"/>
        </w:rPr>
        <w:t xml:space="preserve">The existence of patents does not guarantee our right to practice the patented technology or commercialize the patented product. Patents relating to pharmaceutical, biopharmaceutical and biotechnology products, compounds and processes, such as those that cover our existing compounds, products and processes and those that we will likely file in the future, do not always provide complete or adequate protection. Litigation, interferences, oppositions,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reviews or other proceedings are, have been and may in the future be necessary in some instances to determine the validity and scope of certain of our patents, regulatory exclusivities or other proprietary rights, and in other instances to determine the validity, scope or non-infringement of certain patent rights claimed by third parties to be pertinent to the manufacture, use or sale of our products. We may also face challenges to our patents, regulatory exclusivities and other proprietary rights covering our products by manufacturers of generics and biosimilars. A discussion of certain risks and uncertainties that may affect our patent position, regulatory exclusivities and other proprietary rights is set forth in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included in this report, and a discussion of legal proceedings related to certain patents described above is set forth in Note 21, </w:t>
      </w:r>
      <w:r>
        <w:rPr>
          <w:rFonts w:ascii="Arial" w:cs="Arial" w:eastAsia="Arial" w:hAnsi="Arial"/>
          <w:sz w:val="17"/>
          <w:szCs w:val="17"/>
          <w:i w:val="1"/>
          <w:iCs w:val="1"/>
          <w:color w:val="auto"/>
        </w:rPr>
        <w:t xml:space="preserve">Litigation, </w:t>
      </w:r>
      <w:r>
        <w:rPr>
          <w:rFonts w:ascii="Arial" w:cs="Arial" w:eastAsia="Arial" w:hAnsi="Arial"/>
          <w:sz w:val="17"/>
          <w:szCs w:val="17"/>
          <w:color w:val="auto"/>
        </w:rPr>
        <w:t>to our consolidated financial statements included in this report.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144" w:right="239" w:bottom="1440" w:gutter="0" w:footer="0" w:header="0"/>
        </w:sectPr>
      </w:pPr>
    </w:p>
    <w:bookmarkStart w:id="20" w:name="page21"/>
    <w:bookmarkEnd w:id="2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360"/>
          </w:cols>
          <w:pgMar w:left="240" w:top="144" w:right="2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Competition</w:t>
      </w:r>
    </w:p>
    <w:p>
      <w:pPr>
        <w:spacing w:after="0" w:line="109" w:lineRule="exact"/>
        <w:rPr>
          <w:sz w:val="20"/>
          <w:szCs w:val="20"/>
          <w:color w:val="auto"/>
        </w:rPr>
      </w:pPr>
    </w:p>
    <w:p>
      <w:pPr>
        <w:ind w:firstLine="384"/>
        <w:spacing w:after="0" w:line="254" w:lineRule="auto"/>
        <w:rPr>
          <w:sz w:val="20"/>
          <w:szCs w:val="20"/>
          <w:color w:val="auto"/>
        </w:rPr>
      </w:pPr>
      <w:r>
        <w:rPr>
          <w:rFonts w:ascii="Arial" w:cs="Arial" w:eastAsia="Arial" w:hAnsi="Arial"/>
          <w:sz w:val="17"/>
          <w:szCs w:val="17"/>
          <w:color w:val="auto"/>
        </w:rPr>
        <w:t>Competition in the biopharmaceutical industry is intense and comes from many sources, including specialized biotechnology firms and large pharmaceutical companies. Many of our competitors are working to develop or have commercialized products similar to those we market or are developing and have considerable experience in</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right="320" w:firstLine="384"/>
        <w:spacing w:after="0" w:line="262" w:lineRule="auto"/>
        <w:rPr>
          <w:sz w:val="20"/>
          <w:szCs w:val="20"/>
          <w:color w:val="auto"/>
        </w:rPr>
      </w:pPr>
      <w:r>
        <w:rPr>
          <w:rFonts w:ascii="Arial" w:cs="Arial" w:eastAsia="Arial" w:hAnsi="Arial"/>
          <w:sz w:val="17"/>
          <w:szCs w:val="17"/>
          <w:color w:val="auto"/>
        </w:rPr>
        <w:t>Additional information about the competition that our marketed products face is set forth below.</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Multiple Sclerosis</w:t>
      </w:r>
    </w:p>
    <w:p>
      <w:pPr>
        <w:spacing w:after="0" w:line="106" w:lineRule="exact"/>
        <w:rPr>
          <w:sz w:val="20"/>
          <w:szCs w:val="20"/>
          <w:color w:val="auto"/>
        </w:rPr>
      </w:pPr>
    </w:p>
    <w:p>
      <w:pPr>
        <w:ind w:right="300" w:firstLine="384"/>
        <w:spacing w:after="0" w:line="294" w:lineRule="auto"/>
        <w:rPr>
          <w:sz w:val="20"/>
          <w:szCs w:val="20"/>
          <w:color w:val="auto"/>
        </w:rPr>
      </w:pPr>
      <w:r>
        <w:rPr>
          <w:rFonts w:ascii="Arial" w:cs="Arial" w:eastAsia="Arial" w:hAnsi="Arial"/>
          <w:sz w:val="16"/>
          <w:szCs w:val="16"/>
          <w:color w:val="auto"/>
        </w:rPr>
        <w:t>TECFIDERA, AVONEX, PLEGRIDY, TYSABRI and ZINBRYTA each compete with one or more of the following products:</w:t>
      </w:r>
    </w:p>
    <w:p>
      <w:pPr>
        <w:spacing w:after="0" w:line="153" w:lineRule="exact"/>
        <w:rPr>
          <w:sz w:val="20"/>
          <w:szCs w:val="20"/>
          <w:color w:val="auto"/>
        </w:rPr>
      </w:pPr>
    </w:p>
    <w:p>
      <w:pPr>
        <w:sectPr>
          <w:pgSz w:w="11900" w:h="16838" w:orient="portrait"/>
          <w:cols w:equalWidth="0" w:num="2">
            <w:col w:w="5440" w:space="500"/>
            <w:col w:w="5420"/>
          </w:cols>
          <w:pgMar w:left="240" w:top="144" w:right="299" w:bottom="1440" w:gutter="0" w:footer="0" w:header="0"/>
          <w:type w:val="continuous"/>
        </w:sectPr>
      </w:pPr>
    </w:p>
    <w:p>
      <w:pPr>
        <w:spacing w:after="0" w:line="16"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undertaking clinical trials and in obtaining regulatory approval to market pharmaceutical products. Certain of these companies have substantially greater financial, marketing and research and development resources than we do.</w:t>
      </w:r>
    </w:p>
    <w:p>
      <w:pPr>
        <w:spacing w:after="0" w:line="154" w:lineRule="exact"/>
        <w:rPr>
          <w:sz w:val="20"/>
          <w:szCs w:val="20"/>
          <w:color w:val="auto"/>
        </w:rPr>
      </w:pPr>
    </w:p>
    <w:p>
      <w:pPr>
        <w:ind w:firstLine="384"/>
        <w:spacing w:after="0" w:line="252" w:lineRule="auto"/>
        <w:rPr>
          <w:sz w:val="20"/>
          <w:szCs w:val="20"/>
          <w:color w:val="auto"/>
        </w:rPr>
      </w:pPr>
      <w:r>
        <w:rPr>
          <w:rFonts w:ascii="Arial" w:cs="Arial" w:eastAsia="Arial" w:hAnsi="Arial"/>
          <w:sz w:val="17"/>
          <w:szCs w:val="17"/>
          <w:color w:val="auto"/>
        </w:rPr>
        <w:t>We believe that competition and leadership in the industry is based on managerial and technological excellence and innovation as well as establishing patent and other proprietary positions through research and development. The achievement of a leadership position also depends largely upon our ability to maximize the approval, acceptance and use of products resulting from research and the availability of adequate financial resources to fund facilities, equipment, personnel, clinical testing, manufacturing and marketing. Another key aspect of remaining competitive within the industry is recruiting and retaining leading scientists and technicians. We believe that we have been successful in attracting and retaining skilled and experienced scientific personnel.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Competing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19050</wp:posOffset>
            </wp:positionV>
            <wp:extent cx="16751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75130" cy="825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2573BA"/>
        </w:rPr>
        <w:t>AUBAGIO (teriflunomide)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16751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75130" cy="8255"/>
                    </a:xfrm>
                    <a:prstGeom prst="rect">
                      <a:avLst/>
                    </a:prstGeom>
                    <a:noFill/>
                  </pic:spPr>
                </pic:pic>
              </a:graphicData>
            </a:graphic>
          </wp:anchor>
        </w:drawing>
      </w:r>
    </w:p>
    <w:p>
      <w:pPr>
        <w:spacing w:after="0" w:line="41" w:lineRule="exact"/>
        <w:rPr>
          <w:sz w:val="20"/>
          <w:szCs w:val="20"/>
          <w:color w:val="auto"/>
        </w:rPr>
      </w:pPr>
    </w:p>
    <w:p>
      <w:pPr>
        <w:ind w:right="200"/>
        <w:spacing w:after="0" w:line="277" w:lineRule="auto"/>
        <w:rPr>
          <w:sz w:val="20"/>
          <w:szCs w:val="20"/>
          <w:color w:val="auto"/>
        </w:rPr>
      </w:pPr>
      <w:r>
        <w:rPr>
          <w:rFonts w:ascii="Arial" w:cs="Arial" w:eastAsia="Arial" w:hAnsi="Arial"/>
          <w:sz w:val="16"/>
          <w:szCs w:val="16"/>
          <w:color w:val="2573BA"/>
        </w:rPr>
        <w:t>BETASERON/BETAFERON (interferon-beta-1b)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wp:posOffset>
            </wp:positionV>
            <wp:extent cx="16751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7513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2573BA"/>
        </w:rPr>
        <w:t>COPAXONE</w:t>
      </w:r>
    </w:p>
    <w:p>
      <w:pPr>
        <w:spacing w:after="0"/>
        <w:rPr>
          <w:sz w:val="20"/>
          <w:szCs w:val="20"/>
          <w:color w:val="auto"/>
        </w:rPr>
      </w:pPr>
      <w:r>
        <w:rPr>
          <w:rFonts w:ascii="Arial" w:cs="Arial" w:eastAsia="Arial" w:hAnsi="Arial"/>
          <w:sz w:val="17"/>
          <w:szCs w:val="17"/>
          <w:color w:val="2573BA"/>
        </w:rPr>
        <w:t>(glatiramer acetate)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16751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75130" cy="8255"/>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2573BA"/>
        </w:rPr>
        <w:t>EXTAVIA</w:t>
      </w:r>
    </w:p>
    <w:p>
      <w:pPr>
        <w:spacing w:after="0"/>
        <w:rPr>
          <w:sz w:val="20"/>
          <w:szCs w:val="20"/>
          <w:color w:val="auto"/>
        </w:rPr>
      </w:pPr>
      <w:r>
        <w:rPr>
          <w:rFonts w:ascii="Arial" w:cs="Arial" w:eastAsia="Arial" w:hAnsi="Arial"/>
          <w:sz w:val="17"/>
          <w:szCs w:val="17"/>
          <w:color w:val="2573BA"/>
        </w:rPr>
        <w:t>(interferon-beta-1b)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16751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75130" cy="8255"/>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2573BA"/>
        </w:rPr>
        <w:t>GILENYA (fingolimod)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16751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75130" cy="8255"/>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2573BA"/>
        </w:rPr>
        <w:t>GLATOPA (glatiramer acetate)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wp:posOffset>
            </wp:positionV>
            <wp:extent cx="16751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75130" cy="825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2573BA"/>
        </w:rPr>
        <w:t>LEMTRADA (alemtuzumab)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16751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75130" cy="8255"/>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2573BA"/>
        </w:rPr>
        <w:t>OCREVUS (ocrelizumab)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16751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75130" cy="8255"/>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2573BA"/>
        </w:rPr>
        <w:t>REBIF</w:t>
      </w:r>
    </w:p>
    <w:p>
      <w:pPr>
        <w:spacing w:after="0"/>
        <w:rPr>
          <w:sz w:val="20"/>
          <w:szCs w:val="20"/>
          <w:color w:val="auto"/>
        </w:rPr>
      </w:pPr>
      <w:r>
        <w:rPr>
          <w:rFonts w:ascii="Arial" w:cs="Arial" w:eastAsia="Arial" w:hAnsi="Arial"/>
          <w:sz w:val="17"/>
          <w:szCs w:val="17"/>
          <w:color w:val="2573BA"/>
        </w:rPr>
        <w:t>(interferon-beta-1)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16751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751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Competitor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19050</wp:posOffset>
            </wp:positionV>
            <wp:extent cx="17405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40535" cy="825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2573BA"/>
        </w:rPr>
        <w:t>Sanofi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17405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40535" cy="8255"/>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2573BA"/>
        </w:rPr>
        <w:t>Bayer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136525</wp:posOffset>
            </wp:positionV>
            <wp:extent cx="17405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40535" cy="8255"/>
                    </a:xfrm>
                    <a:prstGeom prst="rect">
                      <a:avLst/>
                    </a:prstGeom>
                    <a:noFill/>
                  </pic:spPr>
                </pic:pic>
              </a:graphicData>
            </a:graphic>
          </wp:anchor>
        </w:drawing>
      </w:r>
    </w:p>
    <w:p>
      <w:pPr>
        <w:spacing w:after="0" w:line="233" w:lineRule="exact"/>
        <w:rPr>
          <w:sz w:val="20"/>
          <w:szCs w:val="20"/>
          <w:color w:val="auto"/>
        </w:rPr>
      </w:pPr>
    </w:p>
    <w:p>
      <w:pPr>
        <w:ind w:right="200"/>
        <w:spacing w:after="0" w:line="246" w:lineRule="auto"/>
        <w:rPr>
          <w:sz w:val="20"/>
          <w:szCs w:val="20"/>
          <w:color w:val="auto"/>
        </w:rPr>
      </w:pPr>
      <w:r>
        <w:rPr>
          <w:rFonts w:ascii="Arial" w:cs="Arial" w:eastAsia="Arial" w:hAnsi="Arial"/>
          <w:sz w:val="17"/>
          <w:szCs w:val="17"/>
          <w:color w:val="2573BA"/>
        </w:rPr>
        <w:t>Teva Pharmaceuticals Industries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wp:posOffset>
            </wp:positionV>
            <wp:extent cx="17405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40535" cy="825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2573BA"/>
        </w:rPr>
        <w:t>Novartis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136525</wp:posOffset>
            </wp:positionV>
            <wp:extent cx="17405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40535" cy="8255"/>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2573BA"/>
        </w:rPr>
        <w:t>Novartis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17405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40535" cy="8255"/>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2573BA"/>
        </w:rPr>
        <w:t>Sandoz, a division of Novartis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17405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40535" cy="8255"/>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2573BA"/>
        </w:rPr>
        <w:t>Sanofi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17405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40535" cy="8255"/>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2573BA"/>
        </w:rPr>
        <w:t>Genentech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17405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40535" cy="8255"/>
                    </a:xfrm>
                    <a:prstGeom prst="rect">
                      <a:avLst/>
                    </a:prstGeom>
                    <a:noFill/>
                  </pic:spPr>
                </pic:pic>
              </a:graphicData>
            </a:graphic>
          </wp:anchor>
        </w:drawing>
      </w:r>
    </w:p>
    <w:p>
      <w:pPr>
        <w:spacing w:after="0" w:line="41" w:lineRule="exact"/>
        <w:rPr>
          <w:sz w:val="20"/>
          <w:szCs w:val="20"/>
          <w:color w:val="auto"/>
        </w:rPr>
      </w:pPr>
    </w:p>
    <w:p>
      <w:pPr>
        <w:ind w:right="280"/>
        <w:spacing w:after="0" w:line="246" w:lineRule="auto"/>
        <w:rPr>
          <w:sz w:val="20"/>
          <w:szCs w:val="20"/>
          <w:color w:val="auto"/>
        </w:rPr>
      </w:pPr>
      <w:r>
        <w:rPr>
          <w:rFonts w:ascii="Arial" w:cs="Arial" w:eastAsia="Arial" w:hAnsi="Arial"/>
          <w:sz w:val="17"/>
          <w:szCs w:val="17"/>
          <w:color w:val="2573BA"/>
        </w:rPr>
        <w:t>Merck KGaA (and co-promoted with Pfizer Inc.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wp:posOffset>
            </wp:positionV>
            <wp:extent cx="17405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40535" cy="8255"/>
                    </a:xfrm>
                    <a:prstGeom prst="rect">
                      <a:avLst/>
                    </a:prstGeom>
                    <a:noFill/>
                  </pic:spPr>
                </pic:pic>
              </a:graphicData>
            </a:graphic>
          </wp:anchor>
        </w:drawing>
      </w:r>
    </w:p>
    <w:p>
      <w:pPr>
        <w:spacing w:after="0" w:line="99" w:lineRule="exact"/>
        <w:rPr>
          <w:sz w:val="20"/>
          <w:szCs w:val="20"/>
          <w:color w:val="auto"/>
        </w:rPr>
      </w:pPr>
    </w:p>
    <w:p>
      <w:pPr>
        <w:sectPr>
          <w:pgSz w:w="11900" w:h="16838" w:orient="portrait"/>
          <w:cols w:equalWidth="0" w:num="3">
            <w:col w:w="5460" w:space="500"/>
            <w:col w:w="2320" w:space="420"/>
            <w:col w:w="2660"/>
          </w:cols>
          <w:pgMar w:left="240" w:top="144" w:right="299" w:bottom="1440" w:gutter="0" w:footer="0" w:header="0"/>
          <w:type w:val="continuous"/>
        </w:sectPr>
      </w:pPr>
    </w:p>
    <w:p>
      <w:pPr>
        <w:ind w:firstLine="384"/>
        <w:spacing w:after="0" w:line="252" w:lineRule="auto"/>
        <w:rPr>
          <w:sz w:val="20"/>
          <w:szCs w:val="20"/>
          <w:color w:val="auto"/>
        </w:rPr>
      </w:pPr>
      <w:r>
        <w:rPr>
          <w:rFonts w:ascii="Arial" w:cs="Arial" w:eastAsia="Arial" w:hAnsi="Arial"/>
          <w:sz w:val="17"/>
          <w:szCs w:val="17"/>
          <w:color w:val="auto"/>
        </w:rPr>
        <w:t>Competition among products approved for sale may be based, among other things, on patent position, product efficacy, safety, convenience/delivery devices, reliability, availability and price. In addition, early entry of a new pharmaceutical product into the market may have important advantages in gaining product acceptance and market share. Accordingly, the relative speed with which we can develop products, complete the testing and approval process and supply commercial quantities of products will have a significant impact on our competitive position.</w:t>
      </w:r>
    </w:p>
    <w:p>
      <w:pPr>
        <w:spacing w:after="0" w:line="151" w:lineRule="exact"/>
        <w:rPr>
          <w:sz w:val="20"/>
          <w:szCs w:val="20"/>
          <w:color w:val="auto"/>
        </w:rPr>
      </w:pPr>
    </w:p>
    <w:p>
      <w:pPr>
        <w:ind w:right="120" w:firstLine="384"/>
        <w:spacing w:after="0" w:line="252" w:lineRule="auto"/>
        <w:rPr>
          <w:sz w:val="20"/>
          <w:szCs w:val="20"/>
          <w:color w:val="auto"/>
        </w:rPr>
      </w:pPr>
      <w:r>
        <w:rPr>
          <w:rFonts w:ascii="Arial" w:cs="Arial" w:eastAsia="Arial" w:hAnsi="Arial"/>
          <w:sz w:val="17"/>
          <w:szCs w:val="17"/>
          <w:color w:val="auto"/>
        </w:rPr>
        <w:t>The introduction of new products or technologies, including the development of new processes or technologies by competitors or new information about existing products or technologies, may result in increased competition for our marketed products or pricing pressure on our marketed products. It is also possible that the development of new or improved treatment options or standards of care or cures for the diseases our products treat could reduce or eliminate the use of our products or may limit the utility and application of ongoing clinical trials for our product candidates. We may also face increased competitive pressures as a result of generics and the emergence of biosimilars in the U.S. and E.U. If a generic or biosimilar version of one of our products were approved, it could reduce our sales of that product.</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320" w:right="100" w:firstLine="410"/>
        <w:spacing w:after="0" w:line="254" w:lineRule="auto"/>
        <w:rPr>
          <w:sz w:val="20"/>
          <w:szCs w:val="20"/>
          <w:color w:val="auto"/>
        </w:rPr>
      </w:pPr>
      <w:r>
        <w:rPr>
          <w:rFonts w:ascii="Arial" w:cs="Arial" w:eastAsia="Arial" w:hAnsi="Arial"/>
          <w:sz w:val="17"/>
          <w:szCs w:val="17"/>
          <w:color w:val="auto"/>
        </w:rPr>
        <w:t>FAMPYRA is indicated as a treatment to improve walking in adult patients with MS who have walking disability and is the first treatment that addresses this unmet medical need with demonstrated efficacy in people with all types of MS. FAMPYRA is currently the only therapy approved to improve walking in patients with MS.</w:t>
      </w:r>
    </w:p>
    <w:p>
      <w:pPr>
        <w:spacing w:after="0" w:line="144" w:lineRule="exact"/>
        <w:rPr>
          <w:sz w:val="20"/>
          <w:szCs w:val="20"/>
          <w:color w:val="auto"/>
        </w:rPr>
      </w:pPr>
    </w:p>
    <w:p>
      <w:pPr>
        <w:ind w:left="320" w:firstLine="410"/>
        <w:spacing w:after="0" w:line="252" w:lineRule="auto"/>
        <w:rPr>
          <w:sz w:val="20"/>
          <w:szCs w:val="20"/>
          <w:color w:val="auto"/>
        </w:rPr>
      </w:pPr>
      <w:r>
        <w:rPr>
          <w:rFonts w:ascii="Arial" w:cs="Arial" w:eastAsia="Arial" w:hAnsi="Arial"/>
          <w:sz w:val="17"/>
          <w:szCs w:val="17"/>
          <w:color w:val="auto"/>
        </w:rPr>
        <w:t>Competition in the MS market is intense. Along with us, a number of companies are working to develop additional treatments for MS that may in the future compete with our MS products. One such product that was approved in the U.S. in 2017 and in the E.U. in 2018 is OCREVUS, a treatment for RMS and PPMS that was developed by Genentech. While we have a financial interest in OCREVUS, future sales of our MS products may be adversely affected if OCREVUS continues to gain market share, or if other MS products that we or our competitors are developing are commercialized</w:t>
      </w:r>
      <w:r>
        <w:rPr>
          <w:rFonts w:ascii="Arial" w:cs="Arial" w:eastAsia="Arial" w:hAnsi="Arial"/>
          <w:sz w:val="17"/>
          <w:szCs w:val="17"/>
          <w:b w:val="1"/>
          <w:bCs w:val="1"/>
          <w:color w:val="auto"/>
        </w:rPr>
        <w:t>.</w:t>
      </w:r>
      <w:r>
        <w:rPr>
          <w:rFonts w:ascii="Arial" w:cs="Arial" w:eastAsia="Arial" w:hAnsi="Arial"/>
          <w:sz w:val="17"/>
          <w:szCs w:val="17"/>
          <w:color w:val="auto"/>
        </w:rPr>
        <w:t xml:space="preserve"> Future sales may also be negatively impacted by the introduction of generics, prodrugs of existing therapeutics or biosimilars of existing products and other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color w:val="auto"/>
        </w:rPr>
        <w:t>17</w:t>
      </w:r>
    </w:p>
    <w:p>
      <w:pPr>
        <w:sectPr>
          <w:pgSz w:w="11900" w:h="16838" w:orient="portrait"/>
          <w:cols w:equalWidth="0" w:num="2">
            <w:col w:w="5480" w:space="140"/>
            <w:col w:w="5740"/>
          </w:cols>
          <w:pgMar w:left="240" w:top="144" w:right="29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Spinal Muscular Atrophy</w:t>
      </w:r>
    </w:p>
    <w:p>
      <w:pPr>
        <w:spacing w:after="0" w:line="106" w:lineRule="exact"/>
        <w:rPr>
          <w:sz w:val="20"/>
          <w:szCs w:val="20"/>
          <w:color w:val="auto"/>
        </w:rPr>
      </w:pPr>
    </w:p>
    <w:p>
      <w:pPr>
        <w:ind w:right="20" w:firstLine="410"/>
        <w:spacing w:after="0" w:line="257" w:lineRule="auto"/>
        <w:rPr>
          <w:sz w:val="20"/>
          <w:szCs w:val="20"/>
          <w:color w:val="auto"/>
        </w:rPr>
      </w:pPr>
      <w:r>
        <w:rPr>
          <w:rFonts w:ascii="Arial" w:cs="Arial" w:eastAsia="Arial" w:hAnsi="Arial"/>
          <w:sz w:val="17"/>
          <w:szCs w:val="17"/>
          <w:color w:val="auto"/>
        </w:rPr>
        <w:t>SPINRAZA is the only approved treatment for SMA. We are aware of other products in development that, if successfully developed and approved, may compete with SPINRAZA in the SMA market.</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Psoriasis</w:t>
      </w:r>
    </w:p>
    <w:p>
      <w:pPr>
        <w:spacing w:after="0" w:line="106" w:lineRule="exact"/>
        <w:rPr>
          <w:sz w:val="20"/>
          <w:szCs w:val="20"/>
          <w:color w:val="auto"/>
        </w:rPr>
      </w:pPr>
    </w:p>
    <w:p>
      <w:pPr>
        <w:jc w:val="both"/>
        <w:ind w:right="60" w:firstLine="410"/>
        <w:spacing w:after="0" w:line="257" w:lineRule="auto"/>
        <w:rPr>
          <w:sz w:val="20"/>
          <w:szCs w:val="20"/>
          <w:color w:val="auto"/>
        </w:rPr>
      </w:pPr>
      <w:r>
        <w:rPr>
          <w:rFonts w:ascii="Arial" w:cs="Arial" w:eastAsia="Arial" w:hAnsi="Arial"/>
          <w:sz w:val="17"/>
          <w:szCs w:val="17"/>
          <w:color w:val="auto"/>
        </w:rPr>
        <w:t>FUMADERM competes with several different types of therapies in the psoriasis market within Germany, including oral systemics such as methotrexate and cyclosporine.</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Biosimilars</w:t>
      </w:r>
    </w:p>
    <w:p>
      <w:pPr>
        <w:spacing w:after="0" w:line="106" w:lineRule="exact"/>
        <w:rPr>
          <w:sz w:val="20"/>
          <w:szCs w:val="20"/>
          <w:color w:val="auto"/>
        </w:rPr>
      </w:pPr>
    </w:p>
    <w:p>
      <w:pPr>
        <w:ind w:firstLine="410"/>
        <w:spacing w:after="0" w:line="254" w:lineRule="auto"/>
        <w:rPr>
          <w:sz w:val="20"/>
          <w:szCs w:val="20"/>
          <w:color w:val="auto"/>
        </w:rPr>
      </w:pPr>
      <w:r>
        <w:rPr>
          <w:rFonts w:ascii="Arial" w:cs="Arial" w:eastAsia="Arial" w:hAnsi="Arial"/>
          <w:sz w:val="17"/>
          <w:szCs w:val="17"/>
          <w:color w:val="auto"/>
        </w:rPr>
        <w:t>BENEPALI and FLIXABI, the two biosimilars we currently manufacture and commercialize in the E.U. for Samsung Bioepis, compete with their applicable reference products, ENBREL and REMICADE, respectively, as well as other biosimilars of those reference products.</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Genentech Relationships in Other Indications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RITUXAN and GAZYVA in Oncology</w:t>
      </w:r>
    </w:p>
    <w:p>
      <w:pPr>
        <w:spacing w:after="0" w:line="104" w:lineRule="exact"/>
        <w:rPr>
          <w:sz w:val="20"/>
          <w:szCs w:val="20"/>
          <w:color w:val="auto"/>
        </w:rPr>
      </w:pPr>
    </w:p>
    <w:p>
      <w:pPr>
        <w:jc w:val="both"/>
        <w:ind w:firstLine="410"/>
        <w:spacing w:after="0" w:line="257" w:lineRule="auto"/>
        <w:rPr>
          <w:sz w:val="20"/>
          <w:szCs w:val="20"/>
          <w:color w:val="auto"/>
        </w:rPr>
      </w:pPr>
      <w:r>
        <w:rPr>
          <w:rFonts w:ascii="Arial" w:cs="Arial" w:eastAsia="Arial" w:hAnsi="Arial"/>
          <w:sz w:val="17"/>
          <w:szCs w:val="17"/>
          <w:color w:val="auto"/>
        </w:rPr>
        <w:t>RITUXAN and GAZYVA compete with a number of therapies in the oncology market, including TREANDA (bendamustine HCL), ARZERRA (ofatumumab), IMBRUVICA (ibrutinib) and ZYDELIG (idelalisib).</w:t>
      </w:r>
    </w:p>
    <w:p>
      <w:pPr>
        <w:spacing w:after="0" w:line="140" w:lineRule="exact"/>
        <w:rPr>
          <w:sz w:val="20"/>
          <w:szCs w:val="20"/>
          <w:color w:val="auto"/>
        </w:rPr>
      </w:pPr>
    </w:p>
    <w:p>
      <w:pPr>
        <w:ind w:firstLine="410"/>
        <w:spacing w:after="0" w:line="254" w:lineRule="auto"/>
        <w:rPr>
          <w:sz w:val="20"/>
          <w:szCs w:val="20"/>
          <w:color w:val="auto"/>
        </w:rPr>
      </w:pPr>
      <w:r>
        <w:rPr>
          <w:rFonts w:ascii="Arial" w:cs="Arial" w:eastAsia="Arial" w:hAnsi="Arial"/>
          <w:sz w:val="17"/>
          <w:szCs w:val="17"/>
          <w:color w:val="auto"/>
        </w:rPr>
        <w:t>We also expect that over time GAZYVA will increasingly compete with RITUXAN in the oncology market. In addition, we are aware of other anti-CD20 molecules, including biosimilars, in development that, if successfully developed and approved, may compete with RITUXAN and GAZYVA in the oncology market.</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RITUXAN in Rheumatoid Arthritis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Research and Development Programs</w:t>
      </w:r>
    </w:p>
    <w:p>
      <w:pPr>
        <w:spacing w:after="0" w:line="109"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A commitment to research is fundamental to our mission. Our research efforts are focused on better understanding the underlying biology of diseases so we can discover and deliver treatments that have the potential to make a real difference in the lives of patients with high unmet medical needs. By applying our expertise in biologics and our growing capabilities in small molecule, antisense, gene therapy, gene editing and other technologies, we target specific medical needs where we believe new or better treatments are needed.</w:t>
      </w:r>
    </w:p>
    <w:p>
      <w:pPr>
        <w:spacing w:after="0" w:line="144"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We intend to continue committing significant resources to research and development opportunities. As part of our ongoing research and development efforts, we have devoted significant resources to conducting clinical studies to advance the development of new pharmaceutical products and technologies and to explore the utility of our existing products in treating disorders beyond those currently approved in their labels.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wp:posOffset>
            </wp:positionH>
            <wp:positionV relativeFrom="paragraph">
              <wp:posOffset>-3810</wp:posOffset>
            </wp:positionV>
            <wp:extent cx="2578100" cy="16103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78100" cy="1610360"/>
                    </a:xfrm>
                    <a:prstGeom prst="rect">
                      <a:avLst/>
                    </a:prstGeom>
                    <a:noFill/>
                  </pic:spPr>
                </pic:pic>
              </a:graphicData>
            </a:graphic>
          </wp:anchor>
        </w:drawing>
      </w:r>
    </w:p>
    <w:p>
      <w:pPr>
        <w:spacing w:after="0" w:line="2796" w:lineRule="exact"/>
        <w:rPr>
          <w:sz w:val="20"/>
          <w:szCs w:val="20"/>
          <w:color w:val="auto"/>
        </w:rPr>
      </w:pPr>
    </w:p>
    <w:p>
      <w:pPr>
        <w:sectPr>
          <w:pgSz w:w="11900" w:h="16838" w:orient="portrait"/>
          <w:cols w:equalWidth="0" w:num="2">
            <w:col w:w="5440" w:space="500"/>
            <w:col w:w="5440"/>
          </w:cols>
          <w:pgMar w:left="240" w:top="144" w:right="279" w:bottom="1440" w:gutter="0" w:footer="0" w:header="0"/>
        </w:sectPr>
      </w:pPr>
    </w:p>
    <w:p>
      <w:pPr>
        <w:ind w:left="420"/>
        <w:spacing w:after="0"/>
        <w:rPr>
          <w:sz w:val="20"/>
          <w:szCs w:val="20"/>
          <w:color w:val="auto"/>
        </w:rPr>
      </w:pPr>
      <w:r>
        <w:rPr>
          <w:rFonts w:ascii="Arial" w:cs="Arial" w:eastAsia="Arial" w:hAnsi="Arial"/>
          <w:sz w:val="17"/>
          <w:szCs w:val="17"/>
          <w:color w:val="auto"/>
        </w:rPr>
        <w:t>RITUXAN competes with several different types of therapies in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rheumatoid arthritis market, including, among others, traditional disease-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modifying anti-rheumatic drugs such as steroids, methotrexate and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cyclosporine, TNF inhibitors, ORENCIA (abatacept), ACTEMRA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(tocilizumab) and XELJANZ (tofacitinib).</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are also aware of other products, including biosimilars, in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development that, if successfully developed and approved, may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compete with RITUXAN in the rheumatoid arthritis market.</w:t>
      </w: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380"/>
          </w:cols>
          <w:pgMar w:left="240" w:top="144" w:right="27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8" w:lineRule="exact"/>
        <w:rPr>
          <w:sz w:val="20"/>
          <w:szCs w:val="20"/>
          <w:color w:val="auto"/>
        </w:rPr>
      </w:pPr>
    </w:p>
    <w:p>
      <w:pPr>
        <w:ind w:right="20" w:firstLine="410"/>
        <w:spacing w:after="0" w:line="257" w:lineRule="auto"/>
        <w:rPr>
          <w:sz w:val="20"/>
          <w:szCs w:val="20"/>
          <w:color w:val="auto"/>
        </w:rPr>
      </w:pPr>
      <w:r>
        <w:rPr>
          <w:rFonts w:ascii="Arial" w:cs="Arial" w:eastAsia="Arial" w:hAnsi="Arial"/>
          <w:sz w:val="17"/>
          <w:szCs w:val="17"/>
          <w:color w:val="auto"/>
        </w:rPr>
        <w:t xml:space="preserve">The table below highlights our current research and development programs that are in clinical trials and the current phase of such programs. Drug development involves a high degree of risk and investment, and the status, timing and scope of our development programs are subject to change. Important factors that could adversely affect our drug development efforts are discussed in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included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586740</wp:posOffset>
            </wp:positionH>
            <wp:positionV relativeFrom="paragraph">
              <wp:posOffset>170815</wp:posOffset>
            </wp:positionV>
            <wp:extent cx="2472055" cy="25209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72055" cy="252095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60"/>
        <w:spacing w:after="0"/>
        <w:rPr>
          <w:sz w:val="20"/>
          <w:szCs w:val="20"/>
          <w:color w:val="auto"/>
        </w:rPr>
      </w:pPr>
      <w:r>
        <w:rPr>
          <w:rFonts w:ascii="Arial" w:cs="Arial" w:eastAsia="Arial" w:hAnsi="Arial"/>
          <w:sz w:val="13"/>
          <w:szCs w:val="13"/>
          <w:b w:val="1"/>
          <w:bCs w:val="1"/>
          <w:color w:val="2573BA"/>
        </w:rPr>
        <w:t>Core Growth</w:t>
      </w:r>
    </w:p>
    <w:p>
      <w:pPr>
        <w:spacing w:after="0" w:line="20"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2573BA"/>
        </w:rPr>
        <w:t>Areas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jc w:val="center"/>
        <w:ind w:right="280"/>
        <w:spacing w:after="0"/>
        <w:rPr>
          <w:sz w:val="20"/>
          <w:szCs w:val="20"/>
          <w:color w:val="auto"/>
        </w:rPr>
      </w:pPr>
      <w:r>
        <w:rPr>
          <w:rFonts w:ascii="Arial" w:cs="Arial" w:eastAsia="Arial" w:hAnsi="Arial"/>
          <w:sz w:val="14"/>
          <w:szCs w:val="14"/>
          <w:color w:val="2573BA"/>
        </w:rPr>
        <w:t>MS and Neuroimmunology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80"/>
        <w:spacing w:after="0"/>
        <w:rPr>
          <w:sz w:val="20"/>
          <w:szCs w:val="20"/>
          <w:color w:val="auto"/>
        </w:rPr>
      </w:pPr>
      <w:r>
        <w:rPr>
          <w:rFonts w:ascii="Arial" w:cs="Arial" w:eastAsia="Arial" w:hAnsi="Arial"/>
          <w:sz w:val="13"/>
          <w:szCs w:val="13"/>
          <w:color w:val="2573BA"/>
        </w:rPr>
        <w:t>Alzheimer's Disease and Dementia</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3880" w:type="dxa"/>
            <w:vAlign w:val="bottom"/>
            <w:shd w:val="clear" w:color="auto" w:fill="B1CBEB"/>
          </w:tcPr>
          <w:p>
            <w:pPr>
              <w:ind w:left="20"/>
              <w:spacing w:after="0"/>
              <w:rPr>
                <w:sz w:val="20"/>
                <w:szCs w:val="20"/>
                <w:color w:val="auto"/>
              </w:rPr>
            </w:pPr>
            <w:r>
              <w:rPr>
                <w:rFonts w:ascii="Arial" w:cs="Arial" w:eastAsia="Arial" w:hAnsi="Arial"/>
                <w:sz w:val="14"/>
                <w:szCs w:val="14"/>
                <w:color w:val="2573BA"/>
              </w:rPr>
              <w:t>BIIB098 (monomethly fumarate prodrug)* - MS</w:t>
            </w:r>
          </w:p>
        </w:tc>
        <w:tc>
          <w:tcPr>
            <w:tcW w:w="120" w:type="dxa"/>
            <w:vAlign w:val="bottom"/>
          </w:tcPr>
          <w:p>
            <w:pPr>
              <w:spacing w:after="0"/>
              <w:rPr>
                <w:sz w:val="22"/>
                <w:szCs w:val="22"/>
                <w:color w:val="auto"/>
              </w:rPr>
            </w:pPr>
          </w:p>
        </w:tc>
        <w:tc>
          <w:tcPr>
            <w:tcW w:w="800" w:type="dxa"/>
            <w:vAlign w:val="bottom"/>
            <w:shd w:val="clear" w:color="auto" w:fill="1C5A7D"/>
          </w:tcPr>
          <w:p>
            <w:pPr>
              <w:spacing w:after="0"/>
              <w:rPr>
                <w:sz w:val="22"/>
                <w:szCs w:val="22"/>
                <w:color w:val="auto"/>
              </w:rPr>
            </w:pPr>
          </w:p>
        </w:tc>
        <w:tc>
          <w:tcPr>
            <w:tcW w:w="1680" w:type="dxa"/>
            <w:vAlign w:val="bottom"/>
            <w:gridSpan w:val="2"/>
            <w:shd w:val="clear" w:color="auto" w:fill="1C5A7D"/>
          </w:tcPr>
          <w:p>
            <w:pPr>
              <w:ind w:left="200"/>
              <w:spacing w:after="0"/>
              <w:rPr>
                <w:sz w:val="20"/>
                <w:szCs w:val="20"/>
                <w:color w:val="auto"/>
              </w:rPr>
            </w:pPr>
            <w:r>
              <w:rPr>
                <w:rFonts w:ascii="Arial" w:cs="Arial" w:eastAsia="Arial" w:hAnsi="Arial"/>
                <w:sz w:val="14"/>
                <w:szCs w:val="14"/>
                <w:color w:val="FFFFFF"/>
              </w:rPr>
              <w:t>Phase 3</w:t>
            </w:r>
          </w:p>
        </w:tc>
      </w:tr>
      <w:tr>
        <w:trPr>
          <w:trHeight w:val="115"/>
        </w:trPr>
        <w:tc>
          <w:tcPr>
            <w:tcW w:w="3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256"/>
        </w:trPr>
        <w:tc>
          <w:tcPr>
            <w:tcW w:w="3880" w:type="dxa"/>
            <w:vAlign w:val="bottom"/>
            <w:shd w:val="clear" w:color="auto" w:fill="B1CBEB"/>
          </w:tcPr>
          <w:p>
            <w:pPr>
              <w:ind w:left="20"/>
              <w:spacing w:after="0"/>
              <w:rPr>
                <w:sz w:val="20"/>
                <w:szCs w:val="20"/>
                <w:color w:val="auto"/>
              </w:rPr>
            </w:pPr>
            <w:r>
              <w:rPr>
                <w:rFonts w:ascii="Arial" w:cs="Arial" w:eastAsia="Arial" w:hAnsi="Arial"/>
                <w:sz w:val="14"/>
                <w:szCs w:val="14"/>
                <w:color w:val="2573BA"/>
              </w:rPr>
              <w:t>Opicinumab (anti-LINGO-1) - MS</w:t>
            </w:r>
          </w:p>
        </w:tc>
        <w:tc>
          <w:tcPr>
            <w:tcW w:w="120" w:type="dxa"/>
            <w:vAlign w:val="bottom"/>
          </w:tcPr>
          <w:p>
            <w:pPr>
              <w:spacing w:after="0"/>
              <w:rPr>
                <w:sz w:val="22"/>
                <w:szCs w:val="22"/>
                <w:color w:val="auto"/>
              </w:rPr>
            </w:pPr>
          </w:p>
        </w:tc>
        <w:tc>
          <w:tcPr>
            <w:tcW w:w="1800" w:type="dxa"/>
            <w:vAlign w:val="bottom"/>
            <w:gridSpan w:val="2"/>
            <w:shd w:val="clear" w:color="auto" w:fill="2573BA"/>
          </w:tcPr>
          <w:p>
            <w:pPr>
              <w:ind w:left="660"/>
              <w:spacing w:after="0"/>
              <w:rPr>
                <w:sz w:val="20"/>
                <w:szCs w:val="20"/>
                <w:color w:val="auto"/>
              </w:rPr>
            </w:pPr>
            <w:r>
              <w:rPr>
                <w:rFonts w:ascii="Arial" w:cs="Arial" w:eastAsia="Arial" w:hAnsi="Arial"/>
                <w:sz w:val="14"/>
                <w:szCs w:val="14"/>
                <w:color w:val="FFFFFF"/>
              </w:rPr>
              <w:t>Phase 2</w:t>
            </w:r>
          </w:p>
        </w:tc>
        <w:tc>
          <w:tcPr>
            <w:tcW w:w="680" w:type="dxa"/>
            <w:vAlign w:val="bottom"/>
          </w:tcPr>
          <w:p>
            <w:pPr>
              <w:spacing w:after="0"/>
              <w:rPr>
                <w:sz w:val="22"/>
                <w:szCs w:val="22"/>
                <w:color w:val="auto"/>
              </w:rPr>
            </w:pPr>
          </w:p>
        </w:tc>
      </w:tr>
      <w:tr>
        <w:trPr>
          <w:trHeight w:val="115"/>
        </w:trPr>
        <w:tc>
          <w:tcPr>
            <w:tcW w:w="3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80" w:type="dxa"/>
            <w:vAlign w:val="bottom"/>
            <w:gridSpan w:val="2"/>
          </w:tcPr>
          <w:p>
            <w:pPr>
              <w:spacing w:after="0"/>
              <w:rPr>
                <w:sz w:val="10"/>
                <w:szCs w:val="10"/>
                <w:color w:val="auto"/>
              </w:rPr>
            </w:pPr>
          </w:p>
        </w:tc>
      </w:tr>
      <w:tr>
        <w:trPr>
          <w:trHeight w:val="256"/>
        </w:trPr>
        <w:tc>
          <w:tcPr>
            <w:tcW w:w="3880" w:type="dxa"/>
            <w:vAlign w:val="bottom"/>
            <w:shd w:val="clear" w:color="auto" w:fill="77AFE4"/>
          </w:tcPr>
          <w:p>
            <w:pPr>
              <w:ind w:left="20"/>
              <w:spacing w:after="0"/>
              <w:rPr>
                <w:sz w:val="20"/>
                <w:szCs w:val="20"/>
                <w:color w:val="auto"/>
              </w:rPr>
            </w:pPr>
            <w:r>
              <w:rPr>
                <w:rFonts w:ascii="Arial" w:cs="Arial" w:eastAsia="Arial" w:hAnsi="Arial"/>
                <w:sz w:val="14"/>
                <w:szCs w:val="14"/>
                <w:color w:val="2573BA"/>
              </w:rPr>
              <w:t>Aducanumab (Aβ mAb)* - Alzheimer's</w:t>
            </w:r>
          </w:p>
        </w:tc>
        <w:tc>
          <w:tcPr>
            <w:tcW w:w="120" w:type="dxa"/>
            <w:vAlign w:val="bottom"/>
          </w:tcPr>
          <w:p>
            <w:pPr>
              <w:spacing w:after="0"/>
              <w:rPr>
                <w:sz w:val="22"/>
                <w:szCs w:val="22"/>
                <w:color w:val="auto"/>
              </w:rPr>
            </w:pPr>
          </w:p>
        </w:tc>
        <w:tc>
          <w:tcPr>
            <w:tcW w:w="800" w:type="dxa"/>
            <w:vAlign w:val="bottom"/>
            <w:shd w:val="clear" w:color="auto" w:fill="1C5A7D"/>
          </w:tcPr>
          <w:p>
            <w:pPr>
              <w:spacing w:after="0"/>
              <w:rPr>
                <w:sz w:val="22"/>
                <w:szCs w:val="22"/>
                <w:color w:val="auto"/>
              </w:rPr>
            </w:pPr>
          </w:p>
        </w:tc>
        <w:tc>
          <w:tcPr>
            <w:tcW w:w="1680" w:type="dxa"/>
            <w:vAlign w:val="bottom"/>
            <w:gridSpan w:val="2"/>
            <w:shd w:val="clear" w:color="auto" w:fill="1C5A7D"/>
          </w:tcPr>
          <w:p>
            <w:pPr>
              <w:ind w:left="200"/>
              <w:spacing w:after="0"/>
              <w:rPr>
                <w:sz w:val="20"/>
                <w:szCs w:val="20"/>
                <w:color w:val="auto"/>
              </w:rPr>
            </w:pPr>
            <w:r>
              <w:rPr>
                <w:rFonts w:ascii="Arial" w:cs="Arial" w:eastAsia="Arial" w:hAnsi="Arial"/>
                <w:sz w:val="14"/>
                <w:szCs w:val="14"/>
                <w:color w:val="FFFFFF"/>
              </w:rPr>
              <w:t>Phase 3</w:t>
            </w:r>
          </w:p>
        </w:tc>
      </w:tr>
      <w:tr>
        <w:trPr>
          <w:trHeight w:val="115"/>
        </w:trPr>
        <w:tc>
          <w:tcPr>
            <w:tcW w:w="3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80" w:type="dxa"/>
            <w:vAlign w:val="bottom"/>
            <w:gridSpan w:val="2"/>
          </w:tcPr>
          <w:p>
            <w:pPr>
              <w:spacing w:after="0"/>
              <w:rPr>
                <w:sz w:val="10"/>
                <w:szCs w:val="10"/>
                <w:color w:val="auto"/>
              </w:rPr>
            </w:pPr>
          </w:p>
        </w:tc>
      </w:tr>
      <w:tr>
        <w:trPr>
          <w:trHeight w:val="256"/>
        </w:trPr>
        <w:tc>
          <w:tcPr>
            <w:tcW w:w="3880" w:type="dxa"/>
            <w:vAlign w:val="bottom"/>
            <w:shd w:val="clear" w:color="auto" w:fill="77AFE4"/>
          </w:tcPr>
          <w:p>
            <w:pPr>
              <w:ind w:left="20"/>
              <w:spacing w:after="0"/>
              <w:rPr>
                <w:sz w:val="20"/>
                <w:szCs w:val="20"/>
                <w:color w:val="auto"/>
              </w:rPr>
            </w:pPr>
            <w:r>
              <w:rPr>
                <w:rFonts w:ascii="Arial" w:cs="Arial" w:eastAsia="Arial" w:hAnsi="Arial"/>
                <w:sz w:val="14"/>
                <w:szCs w:val="14"/>
                <w:color w:val="2573BA"/>
              </w:rPr>
              <w:t>Elenbecestat (E2609)* - Alzheimer's</w:t>
            </w:r>
          </w:p>
        </w:tc>
        <w:tc>
          <w:tcPr>
            <w:tcW w:w="120" w:type="dxa"/>
            <w:vAlign w:val="bottom"/>
          </w:tcPr>
          <w:p>
            <w:pPr>
              <w:spacing w:after="0"/>
              <w:rPr>
                <w:sz w:val="22"/>
                <w:szCs w:val="22"/>
                <w:color w:val="auto"/>
              </w:rPr>
            </w:pPr>
          </w:p>
        </w:tc>
        <w:tc>
          <w:tcPr>
            <w:tcW w:w="800" w:type="dxa"/>
            <w:vAlign w:val="bottom"/>
            <w:shd w:val="clear" w:color="auto" w:fill="1C5A7D"/>
          </w:tcPr>
          <w:p>
            <w:pPr>
              <w:spacing w:after="0"/>
              <w:rPr>
                <w:sz w:val="22"/>
                <w:szCs w:val="22"/>
                <w:color w:val="auto"/>
              </w:rPr>
            </w:pPr>
          </w:p>
        </w:tc>
        <w:tc>
          <w:tcPr>
            <w:tcW w:w="1680" w:type="dxa"/>
            <w:vAlign w:val="bottom"/>
            <w:gridSpan w:val="2"/>
            <w:shd w:val="clear" w:color="auto" w:fill="1C5A7D"/>
          </w:tcPr>
          <w:p>
            <w:pPr>
              <w:ind w:left="200"/>
              <w:spacing w:after="0"/>
              <w:rPr>
                <w:sz w:val="20"/>
                <w:szCs w:val="20"/>
                <w:color w:val="auto"/>
              </w:rPr>
            </w:pPr>
            <w:r>
              <w:rPr>
                <w:rFonts w:ascii="Arial" w:cs="Arial" w:eastAsia="Arial" w:hAnsi="Arial"/>
                <w:sz w:val="14"/>
                <w:szCs w:val="14"/>
                <w:color w:val="FFFFFF"/>
              </w:rPr>
              <w:t>Phase 3</w:t>
            </w:r>
          </w:p>
        </w:tc>
      </w:tr>
      <w:tr>
        <w:trPr>
          <w:trHeight w:val="115"/>
        </w:trPr>
        <w:tc>
          <w:tcPr>
            <w:tcW w:w="3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80" w:type="dxa"/>
            <w:vAlign w:val="bottom"/>
            <w:gridSpan w:val="2"/>
          </w:tcPr>
          <w:p>
            <w:pPr>
              <w:spacing w:after="0"/>
              <w:rPr>
                <w:sz w:val="10"/>
                <w:szCs w:val="10"/>
                <w:color w:val="auto"/>
              </w:rPr>
            </w:pPr>
          </w:p>
        </w:tc>
      </w:tr>
      <w:tr>
        <w:trPr>
          <w:trHeight w:val="256"/>
        </w:trPr>
        <w:tc>
          <w:tcPr>
            <w:tcW w:w="3880" w:type="dxa"/>
            <w:vAlign w:val="bottom"/>
            <w:shd w:val="clear" w:color="auto" w:fill="77AFE4"/>
          </w:tcPr>
          <w:p>
            <w:pPr>
              <w:ind w:left="20"/>
              <w:spacing w:after="0"/>
              <w:rPr>
                <w:sz w:val="20"/>
                <w:szCs w:val="20"/>
                <w:color w:val="auto"/>
              </w:rPr>
            </w:pPr>
            <w:r>
              <w:rPr>
                <w:rFonts w:ascii="Arial" w:cs="Arial" w:eastAsia="Arial" w:hAnsi="Arial"/>
                <w:sz w:val="14"/>
                <w:szCs w:val="14"/>
                <w:color w:val="2573BA"/>
              </w:rPr>
              <w:t>BAN2401 (Aβ mAb)* - Alzheimer's</w:t>
            </w:r>
          </w:p>
        </w:tc>
        <w:tc>
          <w:tcPr>
            <w:tcW w:w="120" w:type="dxa"/>
            <w:vAlign w:val="bottom"/>
          </w:tcPr>
          <w:p>
            <w:pPr>
              <w:spacing w:after="0"/>
              <w:rPr>
                <w:sz w:val="22"/>
                <w:szCs w:val="22"/>
                <w:color w:val="auto"/>
              </w:rPr>
            </w:pPr>
          </w:p>
        </w:tc>
        <w:tc>
          <w:tcPr>
            <w:tcW w:w="1800" w:type="dxa"/>
            <w:vAlign w:val="bottom"/>
            <w:gridSpan w:val="2"/>
            <w:shd w:val="clear" w:color="auto" w:fill="2573BA"/>
          </w:tcPr>
          <w:p>
            <w:pPr>
              <w:ind w:left="660"/>
              <w:spacing w:after="0"/>
              <w:rPr>
                <w:sz w:val="20"/>
                <w:szCs w:val="20"/>
                <w:color w:val="auto"/>
              </w:rPr>
            </w:pPr>
            <w:r>
              <w:rPr>
                <w:rFonts w:ascii="Arial" w:cs="Arial" w:eastAsia="Arial" w:hAnsi="Arial"/>
                <w:sz w:val="14"/>
                <w:szCs w:val="14"/>
                <w:color w:val="FFFFFF"/>
              </w:rPr>
              <w:t>Phase 2</w:t>
            </w:r>
          </w:p>
        </w:tc>
        <w:tc>
          <w:tcPr>
            <w:tcW w:w="680" w:type="dxa"/>
            <w:vAlign w:val="bottom"/>
          </w:tcPr>
          <w:p>
            <w:pPr>
              <w:spacing w:after="0"/>
              <w:rPr>
                <w:sz w:val="22"/>
                <w:szCs w:val="22"/>
                <w:color w:val="auto"/>
              </w:rPr>
            </w:pPr>
          </w:p>
        </w:tc>
      </w:tr>
      <w:tr>
        <w:trPr>
          <w:trHeight w:val="115"/>
        </w:trPr>
        <w:tc>
          <w:tcPr>
            <w:tcW w:w="3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80" w:type="dxa"/>
            <w:vAlign w:val="bottom"/>
            <w:gridSpan w:val="2"/>
          </w:tcPr>
          <w:p>
            <w:pPr>
              <w:spacing w:after="0"/>
              <w:rPr>
                <w:sz w:val="10"/>
                <w:szCs w:val="10"/>
                <w:color w:val="auto"/>
              </w:rPr>
            </w:pPr>
          </w:p>
        </w:tc>
      </w:tr>
      <w:tr>
        <w:trPr>
          <w:trHeight w:val="256"/>
        </w:trPr>
        <w:tc>
          <w:tcPr>
            <w:tcW w:w="3880" w:type="dxa"/>
            <w:vAlign w:val="bottom"/>
            <w:shd w:val="clear" w:color="auto" w:fill="77AFE4"/>
          </w:tcPr>
          <w:p>
            <w:pPr>
              <w:ind w:left="20"/>
              <w:spacing w:after="0"/>
              <w:rPr>
                <w:sz w:val="20"/>
                <w:szCs w:val="20"/>
                <w:color w:val="auto"/>
              </w:rPr>
            </w:pPr>
            <w:r>
              <w:rPr>
                <w:rFonts w:ascii="Arial" w:cs="Arial" w:eastAsia="Arial" w:hAnsi="Arial"/>
                <w:sz w:val="14"/>
                <w:szCs w:val="14"/>
                <w:color w:val="2573BA"/>
              </w:rPr>
              <w:t>BIIB092 (anti-tau mAb) - Alzheimer's</w:t>
            </w:r>
          </w:p>
        </w:tc>
        <w:tc>
          <w:tcPr>
            <w:tcW w:w="120" w:type="dxa"/>
            <w:vAlign w:val="bottom"/>
          </w:tcPr>
          <w:p>
            <w:pPr>
              <w:spacing w:after="0"/>
              <w:rPr>
                <w:sz w:val="22"/>
                <w:szCs w:val="22"/>
                <w:color w:val="auto"/>
              </w:rPr>
            </w:pPr>
          </w:p>
        </w:tc>
        <w:tc>
          <w:tcPr>
            <w:tcW w:w="800" w:type="dxa"/>
            <w:vAlign w:val="bottom"/>
            <w:shd w:val="clear" w:color="auto" w:fill="77AFE4"/>
          </w:tcPr>
          <w:p>
            <w:pPr>
              <w:ind w:left="140"/>
              <w:spacing w:after="0"/>
              <w:rPr>
                <w:sz w:val="20"/>
                <w:szCs w:val="20"/>
                <w:color w:val="auto"/>
              </w:rPr>
            </w:pPr>
            <w:r>
              <w:rPr>
                <w:rFonts w:ascii="Arial" w:cs="Arial" w:eastAsia="Arial" w:hAnsi="Arial"/>
                <w:sz w:val="14"/>
                <w:szCs w:val="14"/>
                <w:color w:val="FFFFFF"/>
              </w:rPr>
              <w:t>Phase 1</w:t>
            </w:r>
          </w:p>
        </w:tc>
        <w:tc>
          <w:tcPr>
            <w:tcW w:w="1680" w:type="dxa"/>
            <w:vAlign w:val="bottom"/>
            <w:gridSpan w:val="2"/>
          </w:tcPr>
          <w:p>
            <w:pPr>
              <w:spacing w:after="0"/>
              <w:rPr>
                <w:sz w:val="22"/>
                <w:szCs w:val="22"/>
                <w:color w:val="auto"/>
              </w:rPr>
            </w:pPr>
          </w:p>
        </w:tc>
      </w:tr>
      <w:tr>
        <w:trPr>
          <w:trHeight w:val="115"/>
        </w:trPr>
        <w:tc>
          <w:tcPr>
            <w:tcW w:w="3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80" w:type="dxa"/>
            <w:vAlign w:val="bottom"/>
            <w:gridSpan w:val="3"/>
          </w:tcPr>
          <w:p>
            <w:pPr>
              <w:spacing w:after="0"/>
              <w:rPr>
                <w:sz w:val="10"/>
                <w:szCs w:val="10"/>
                <w:color w:val="auto"/>
              </w:rPr>
            </w:pPr>
          </w:p>
        </w:tc>
      </w:tr>
      <w:tr>
        <w:trPr>
          <w:trHeight w:val="256"/>
        </w:trPr>
        <w:tc>
          <w:tcPr>
            <w:tcW w:w="3880" w:type="dxa"/>
            <w:vAlign w:val="bottom"/>
            <w:shd w:val="clear" w:color="auto" w:fill="77AFE4"/>
          </w:tcPr>
          <w:p>
            <w:pPr>
              <w:ind w:left="20"/>
              <w:spacing w:after="0"/>
              <w:rPr>
                <w:sz w:val="20"/>
                <w:szCs w:val="20"/>
                <w:color w:val="auto"/>
              </w:rPr>
            </w:pPr>
            <w:r>
              <w:rPr>
                <w:rFonts w:ascii="Arial" w:cs="Arial" w:eastAsia="Arial" w:hAnsi="Arial"/>
                <w:sz w:val="14"/>
                <w:szCs w:val="14"/>
                <w:color w:val="2573BA"/>
              </w:rPr>
              <w:t>BIIB076 (anti-tau mAb)* - Alzheimer's</w:t>
            </w:r>
          </w:p>
        </w:tc>
        <w:tc>
          <w:tcPr>
            <w:tcW w:w="120" w:type="dxa"/>
            <w:vAlign w:val="bottom"/>
          </w:tcPr>
          <w:p>
            <w:pPr>
              <w:spacing w:after="0"/>
              <w:rPr>
                <w:sz w:val="22"/>
                <w:szCs w:val="22"/>
                <w:color w:val="auto"/>
              </w:rPr>
            </w:pPr>
          </w:p>
        </w:tc>
        <w:tc>
          <w:tcPr>
            <w:tcW w:w="800" w:type="dxa"/>
            <w:vAlign w:val="bottom"/>
            <w:shd w:val="clear" w:color="auto" w:fill="77AFE4"/>
          </w:tcPr>
          <w:p>
            <w:pPr>
              <w:ind w:left="140"/>
              <w:spacing w:after="0"/>
              <w:rPr>
                <w:sz w:val="20"/>
                <w:szCs w:val="20"/>
                <w:color w:val="auto"/>
              </w:rPr>
            </w:pPr>
            <w:r>
              <w:rPr>
                <w:rFonts w:ascii="Arial" w:cs="Arial" w:eastAsia="Arial" w:hAnsi="Arial"/>
                <w:sz w:val="14"/>
                <w:szCs w:val="14"/>
                <w:color w:val="FFFFFF"/>
              </w:rPr>
              <w:t>Phase 1</w:t>
            </w:r>
          </w:p>
        </w:tc>
        <w:tc>
          <w:tcPr>
            <w:tcW w:w="1680" w:type="dxa"/>
            <w:vAlign w:val="bottom"/>
            <w:gridSpan w:val="2"/>
          </w:tcPr>
          <w:p>
            <w:pPr>
              <w:spacing w:after="0"/>
              <w:rPr>
                <w:sz w:val="22"/>
                <w:szCs w:val="22"/>
                <w:color w:val="auto"/>
              </w:rPr>
            </w:pPr>
          </w:p>
        </w:tc>
      </w:tr>
      <w:tr>
        <w:trPr>
          <w:trHeight w:val="115"/>
        </w:trPr>
        <w:tc>
          <w:tcPr>
            <w:tcW w:w="3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80" w:type="dxa"/>
            <w:vAlign w:val="bottom"/>
            <w:gridSpan w:val="3"/>
          </w:tcPr>
          <w:p>
            <w:pPr>
              <w:spacing w:after="0"/>
              <w:rPr>
                <w:sz w:val="10"/>
                <w:szCs w:val="10"/>
                <w:color w:val="auto"/>
              </w:rPr>
            </w:pPr>
          </w:p>
        </w:tc>
      </w:tr>
      <w:tr>
        <w:trPr>
          <w:trHeight w:val="256"/>
        </w:trPr>
        <w:tc>
          <w:tcPr>
            <w:tcW w:w="3880" w:type="dxa"/>
            <w:vAlign w:val="bottom"/>
            <w:shd w:val="clear" w:color="auto" w:fill="77AFE4"/>
          </w:tcPr>
          <w:p>
            <w:pPr>
              <w:ind w:left="20"/>
              <w:spacing w:after="0"/>
              <w:rPr>
                <w:sz w:val="20"/>
                <w:szCs w:val="20"/>
                <w:color w:val="auto"/>
              </w:rPr>
            </w:pPr>
            <w:r>
              <w:rPr>
                <w:rFonts w:ascii="Arial" w:cs="Arial" w:eastAsia="Arial" w:hAnsi="Arial"/>
                <w:sz w:val="14"/>
                <w:szCs w:val="14"/>
                <w:color w:val="2573BA"/>
              </w:rPr>
              <w:t>BIIB080 (IONIS-MAPT</w:t>
            </w:r>
            <w:r>
              <w:rPr>
                <w:rFonts w:ascii="Arial" w:cs="Arial" w:eastAsia="Arial" w:hAnsi="Arial"/>
                <w:sz w:val="11"/>
                <w:szCs w:val="11"/>
                <w:color w:val="2573BA"/>
              </w:rPr>
              <w:t>Rx</w:t>
            </w:r>
            <w:r>
              <w:rPr>
                <w:rFonts w:ascii="Arial" w:cs="Arial" w:eastAsia="Arial" w:hAnsi="Arial"/>
                <w:sz w:val="14"/>
                <w:szCs w:val="14"/>
                <w:color w:val="2573BA"/>
              </w:rPr>
              <w:t>)* - Alzheimer's</w:t>
            </w:r>
          </w:p>
        </w:tc>
        <w:tc>
          <w:tcPr>
            <w:tcW w:w="120" w:type="dxa"/>
            <w:vAlign w:val="bottom"/>
          </w:tcPr>
          <w:p>
            <w:pPr>
              <w:spacing w:after="0"/>
              <w:rPr>
                <w:sz w:val="22"/>
                <w:szCs w:val="22"/>
                <w:color w:val="auto"/>
              </w:rPr>
            </w:pPr>
          </w:p>
        </w:tc>
        <w:tc>
          <w:tcPr>
            <w:tcW w:w="800" w:type="dxa"/>
            <w:vAlign w:val="bottom"/>
            <w:shd w:val="clear" w:color="auto" w:fill="77AFE4"/>
          </w:tcPr>
          <w:p>
            <w:pPr>
              <w:ind w:left="140"/>
              <w:spacing w:after="0"/>
              <w:rPr>
                <w:sz w:val="20"/>
                <w:szCs w:val="20"/>
                <w:color w:val="auto"/>
              </w:rPr>
            </w:pPr>
            <w:r>
              <w:rPr>
                <w:rFonts w:ascii="Arial" w:cs="Arial" w:eastAsia="Arial" w:hAnsi="Arial"/>
                <w:sz w:val="14"/>
                <w:szCs w:val="14"/>
                <w:color w:val="FFFFFF"/>
              </w:rPr>
              <w:t>Phase 1</w:t>
            </w:r>
          </w:p>
        </w:tc>
        <w:tc>
          <w:tcPr>
            <w:tcW w:w="1680" w:type="dxa"/>
            <w:vAlign w:val="bottom"/>
            <w:gridSpan w:val="2"/>
          </w:tcPr>
          <w:p>
            <w:pPr>
              <w:spacing w:after="0"/>
              <w:rPr>
                <w:sz w:val="22"/>
                <w:szCs w:val="22"/>
                <w:color w:val="auto"/>
              </w:rPr>
            </w:pPr>
          </w:p>
        </w:tc>
      </w:tr>
      <w:tr>
        <w:trPr>
          <w:trHeight w:val="350"/>
        </w:trPr>
        <w:tc>
          <w:tcPr>
            <w:tcW w:w="3880" w:type="dxa"/>
            <w:vAlign w:val="bottom"/>
          </w:tcPr>
          <w:p>
            <w:pPr>
              <w:ind w:left="20"/>
              <w:spacing w:after="0"/>
              <w:rPr>
                <w:sz w:val="20"/>
                <w:szCs w:val="20"/>
                <w:color w:val="auto"/>
              </w:rPr>
            </w:pPr>
            <w:r>
              <w:rPr>
                <w:rFonts w:ascii="Arial" w:cs="Arial" w:eastAsia="Arial" w:hAnsi="Arial"/>
                <w:sz w:val="14"/>
                <w:szCs w:val="14"/>
                <w:color w:val="2573BA"/>
              </w:rPr>
              <w:t>BIIB092 (anti-tau mAb) - PSP</w:t>
            </w:r>
          </w:p>
        </w:tc>
        <w:tc>
          <w:tcPr>
            <w:tcW w:w="120" w:type="dxa"/>
            <w:vAlign w:val="bottom"/>
          </w:tcPr>
          <w:p>
            <w:pPr>
              <w:spacing w:after="0"/>
              <w:rPr>
                <w:sz w:val="24"/>
                <w:szCs w:val="24"/>
                <w:color w:val="auto"/>
              </w:rPr>
            </w:pPr>
          </w:p>
        </w:tc>
        <w:tc>
          <w:tcPr>
            <w:tcW w:w="2480" w:type="dxa"/>
            <w:vAlign w:val="bottom"/>
            <w:gridSpan w:val="3"/>
          </w:tcPr>
          <w:p>
            <w:pPr>
              <w:ind w:left="660"/>
              <w:spacing w:after="0"/>
              <w:rPr>
                <w:sz w:val="20"/>
                <w:szCs w:val="20"/>
                <w:color w:val="auto"/>
              </w:rPr>
            </w:pPr>
            <w:r>
              <w:rPr>
                <w:rFonts w:ascii="Arial" w:cs="Arial" w:eastAsia="Arial" w:hAnsi="Arial"/>
                <w:sz w:val="14"/>
                <w:szCs w:val="14"/>
                <w:color w:val="FFFFFF"/>
              </w:rPr>
              <w:t>Phase 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-148590</wp:posOffset>
            </wp:positionV>
            <wp:extent cx="3691890" cy="1625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91890" cy="1625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3">
            <w:col w:w="1100" w:space="720"/>
            <w:col w:w="2400" w:space="720"/>
            <w:col w:w="6480"/>
          </w:cols>
          <w:pgMar w:left="240" w:top="144" w:right="239" w:bottom="1440" w:gutter="0" w:footer="0" w:header="0"/>
          <w:type w:val="continuous"/>
        </w:sectPr>
      </w:pPr>
    </w:p>
    <w:tbl>
      <w:tblPr>
        <w:tblLayout w:type="fixed"/>
        <w:tblInd w:w="140" w:type="dxa"/>
        <w:tblCellMar>
          <w:top w:w="0" w:type="dxa"/>
          <w:left w:w="0" w:type="dxa"/>
          <w:bottom w:w="0" w:type="dxa"/>
          <w:right w:w="0" w:type="dxa"/>
        </w:tblCellMar>
      </w:tblPr>
      <w:tr>
        <w:trPr>
          <w:trHeight w:val="164"/>
        </w:trPr>
        <w:tc>
          <w:tcPr>
            <w:tcW w:w="800" w:type="dxa"/>
            <w:vAlign w:val="bottom"/>
          </w:tcPr>
          <w:p>
            <w:pPr>
              <w:spacing w:after="0"/>
              <w:rPr>
                <w:sz w:val="14"/>
                <w:szCs w:val="14"/>
                <w:color w:val="auto"/>
              </w:rPr>
            </w:pPr>
          </w:p>
        </w:tc>
        <w:tc>
          <w:tcPr>
            <w:tcW w:w="3880" w:type="dxa"/>
            <w:vAlign w:val="bottom"/>
          </w:tcPr>
          <w:p>
            <w:pPr>
              <w:jc w:val="center"/>
              <w:spacing w:after="0"/>
              <w:rPr>
                <w:sz w:val="20"/>
                <w:szCs w:val="20"/>
                <w:color w:val="auto"/>
              </w:rPr>
            </w:pPr>
            <w:r>
              <w:rPr>
                <w:rFonts w:ascii="Arial" w:cs="Arial" w:eastAsia="Arial" w:hAnsi="Arial"/>
                <w:sz w:val="14"/>
                <w:szCs w:val="14"/>
                <w:color w:val="2573BA"/>
                <w:w w:val="97"/>
              </w:rPr>
              <w:t>Parkinson's Disease and Movement Disorders</w:t>
            </w:r>
          </w:p>
        </w:tc>
      </w:tr>
      <w:tr>
        <w:trPr>
          <w:trHeight w:val="344"/>
        </w:trPr>
        <w:tc>
          <w:tcPr>
            <w:tcW w:w="8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56"/>
        </w:trPr>
        <w:tc>
          <w:tcPr>
            <w:tcW w:w="800" w:type="dxa"/>
            <w:vAlign w:val="bottom"/>
            <w:tcBorders>
              <w:right w:val="single" w:sz="8" w:color="77AFE4"/>
            </w:tcBorders>
          </w:tcPr>
          <w:p>
            <w:pPr>
              <w:spacing w:after="0"/>
              <w:rPr>
                <w:sz w:val="22"/>
                <w:szCs w:val="22"/>
                <w:color w:val="auto"/>
              </w:rPr>
            </w:pPr>
          </w:p>
        </w:tc>
        <w:tc>
          <w:tcPr>
            <w:tcW w:w="3880" w:type="dxa"/>
            <w:vAlign w:val="bottom"/>
            <w:shd w:val="clear" w:color="auto" w:fill="77AFE4"/>
          </w:tcPr>
          <w:p>
            <w:pPr>
              <w:jc w:val="center"/>
              <w:spacing w:after="0"/>
              <w:rPr>
                <w:sz w:val="20"/>
                <w:szCs w:val="20"/>
                <w:color w:val="auto"/>
              </w:rPr>
            </w:pPr>
            <w:r>
              <w:rPr>
                <w:rFonts w:ascii="Arial" w:cs="Arial" w:eastAsia="Arial" w:hAnsi="Arial"/>
                <w:sz w:val="14"/>
                <w:szCs w:val="14"/>
                <w:color w:val="2573BA"/>
                <w:w w:val="97"/>
              </w:rPr>
              <w:t>Neuromuscular Disease Including SMA and ALS</w:t>
            </w:r>
          </w:p>
        </w:tc>
      </w:tr>
      <w:tr>
        <w:trPr>
          <w:trHeight w:val="115"/>
        </w:trPr>
        <w:tc>
          <w:tcPr>
            <w:tcW w:w="800" w:type="dxa"/>
            <w:vAlign w:val="bottom"/>
          </w:tcPr>
          <w:p>
            <w:pPr>
              <w:spacing w:after="0"/>
              <w:rPr>
                <w:sz w:val="10"/>
                <w:szCs w:val="10"/>
                <w:color w:val="auto"/>
              </w:rPr>
            </w:pPr>
          </w:p>
        </w:tc>
        <w:tc>
          <w:tcPr>
            <w:tcW w:w="3880" w:type="dxa"/>
            <w:vAlign w:val="bottom"/>
          </w:tcPr>
          <w:p>
            <w:pPr>
              <w:spacing w:after="0"/>
              <w:rPr>
                <w:sz w:val="10"/>
                <w:szCs w:val="10"/>
                <w:color w:val="auto"/>
              </w:rPr>
            </w:pPr>
          </w:p>
        </w:tc>
      </w:tr>
      <w:tr>
        <w:trPr>
          <w:trHeight w:val="399"/>
        </w:trPr>
        <w:tc>
          <w:tcPr>
            <w:tcW w:w="800" w:type="dxa"/>
            <w:vAlign w:val="bottom"/>
            <w:tcBorders>
              <w:right w:val="single" w:sz="8" w:color="auto"/>
            </w:tcBorders>
          </w:tcPr>
          <w:p>
            <w:pPr>
              <w:spacing w:after="0"/>
              <w:rPr>
                <w:sz w:val="24"/>
                <w:szCs w:val="24"/>
                <w:color w:val="auto"/>
              </w:rPr>
            </w:pPr>
          </w:p>
        </w:tc>
        <w:tc>
          <w:tcPr>
            <w:tcW w:w="3880" w:type="dxa"/>
            <w:vAlign w:val="bottom"/>
            <w:shd w:val="clear" w:color="auto" w:fill="BBDC7F"/>
          </w:tcPr>
          <w:p>
            <w:pPr>
              <w:jc w:val="center"/>
              <w:spacing w:after="0"/>
              <w:rPr>
                <w:sz w:val="20"/>
                <w:szCs w:val="20"/>
                <w:color w:val="auto"/>
              </w:rPr>
            </w:pPr>
            <w:r>
              <w:rPr>
                <w:rFonts w:ascii="Arial" w:cs="Arial" w:eastAsia="Arial" w:hAnsi="Arial"/>
                <w:sz w:val="14"/>
                <w:szCs w:val="14"/>
                <w:color w:val="2573BA"/>
                <w:w w:val="99"/>
              </w:rPr>
              <w:t>Pain</w:t>
            </w:r>
          </w:p>
        </w:tc>
      </w:tr>
      <w:tr>
        <w:trPr>
          <w:trHeight w:val="229"/>
        </w:trPr>
        <w:tc>
          <w:tcPr>
            <w:tcW w:w="800" w:type="dxa"/>
            <w:vAlign w:val="bottom"/>
            <w:tcBorders>
              <w:right w:val="single" w:sz="8" w:color="auto"/>
            </w:tcBorders>
          </w:tcPr>
          <w:p>
            <w:pPr>
              <w:spacing w:after="0"/>
              <w:rPr>
                <w:sz w:val="19"/>
                <w:szCs w:val="19"/>
                <w:color w:val="auto"/>
              </w:rPr>
            </w:pPr>
          </w:p>
        </w:tc>
        <w:tc>
          <w:tcPr>
            <w:tcW w:w="3880" w:type="dxa"/>
            <w:vAlign w:val="bottom"/>
            <w:shd w:val="clear" w:color="auto" w:fill="BBDC7F"/>
          </w:tcPr>
          <w:p>
            <w:pPr>
              <w:spacing w:after="0"/>
              <w:rPr>
                <w:sz w:val="19"/>
                <w:szCs w:val="19"/>
                <w:color w:val="auto"/>
              </w:rPr>
            </w:pPr>
          </w:p>
        </w:tc>
      </w:tr>
      <w:tr>
        <w:trPr>
          <w:trHeight w:val="115"/>
        </w:trPr>
        <w:tc>
          <w:tcPr>
            <w:tcW w:w="800" w:type="dxa"/>
            <w:vAlign w:val="bottom"/>
            <w:tcBorders>
              <w:right w:val="single" w:sz="8" w:color="auto"/>
            </w:tcBorders>
          </w:tcPr>
          <w:p>
            <w:pPr>
              <w:spacing w:after="0"/>
              <w:rPr>
                <w:sz w:val="10"/>
                <w:szCs w:val="10"/>
                <w:color w:val="auto"/>
              </w:rPr>
            </w:pPr>
          </w:p>
        </w:tc>
        <w:tc>
          <w:tcPr>
            <w:tcW w:w="3880" w:type="dxa"/>
            <w:vAlign w:val="bottom"/>
          </w:tcPr>
          <w:p>
            <w:pPr>
              <w:spacing w:after="0"/>
              <w:rPr>
                <w:sz w:val="10"/>
                <w:szCs w:val="10"/>
                <w:color w:val="auto"/>
              </w:rPr>
            </w:pPr>
          </w:p>
        </w:tc>
      </w:tr>
      <w:tr>
        <w:trPr>
          <w:trHeight w:val="236"/>
        </w:trPr>
        <w:tc>
          <w:tcPr>
            <w:tcW w:w="800" w:type="dxa"/>
            <w:vAlign w:val="bottom"/>
            <w:tcBorders>
              <w:right w:val="single" w:sz="8" w:color="auto"/>
            </w:tcBorders>
          </w:tcPr>
          <w:p>
            <w:pPr>
              <w:jc w:val="center"/>
              <w:ind w:right="94"/>
              <w:spacing w:after="0"/>
              <w:rPr>
                <w:sz w:val="20"/>
                <w:szCs w:val="20"/>
                <w:color w:val="auto"/>
              </w:rPr>
            </w:pPr>
            <w:r>
              <w:rPr>
                <w:rFonts w:ascii="Arial" w:cs="Arial" w:eastAsia="Arial" w:hAnsi="Arial"/>
                <w:sz w:val="14"/>
                <w:szCs w:val="14"/>
                <w:b w:val="1"/>
                <w:bCs w:val="1"/>
                <w:color w:val="2573BA"/>
                <w:w w:val="99"/>
              </w:rPr>
              <w:t>Emerging</w:t>
            </w:r>
          </w:p>
        </w:tc>
        <w:tc>
          <w:tcPr>
            <w:tcW w:w="3880" w:type="dxa"/>
            <w:vAlign w:val="bottom"/>
            <w:tcBorders>
              <w:bottom w:val="single" w:sz="8" w:color="8FC46E"/>
            </w:tcBorders>
            <w:shd w:val="clear" w:color="auto" w:fill="8FC46E"/>
          </w:tcPr>
          <w:p>
            <w:pPr>
              <w:jc w:val="center"/>
              <w:spacing w:after="0"/>
              <w:rPr>
                <w:sz w:val="20"/>
                <w:szCs w:val="20"/>
                <w:color w:val="auto"/>
              </w:rPr>
            </w:pPr>
            <w:r>
              <w:rPr>
                <w:rFonts w:ascii="Arial" w:cs="Arial" w:eastAsia="Arial" w:hAnsi="Arial"/>
                <w:sz w:val="14"/>
                <w:szCs w:val="14"/>
                <w:color w:val="2573BA"/>
                <w:w w:val="97"/>
              </w:rPr>
              <w:t>Ophthalmology</w:t>
            </w:r>
          </w:p>
        </w:tc>
      </w:tr>
      <w:tr>
        <w:trPr>
          <w:trHeight w:val="115"/>
        </w:trPr>
        <w:tc>
          <w:tcPr>
            <w:tcW w:w="800" w:type="dxa"/>
            <w:vAlign w:val="bottom"/>
            <w:tcBorders>
              <w:right w:val="single" w:sz="8" w:color="auto"/>
            </w:tcBorders>
          </w:tcPr>
          <w:p>
            <w:pPr>
              <w:jc w:val="center"/>
              <w:ind w:right="94"/>
              <w:spacing w:after="0" w:line="116" w:lineRule="exact"/>
              <w:rPr>
                <w:sz w:val="20"/>
                <w:szCs w:val="20"/>
                <w:color w:val="auto"/>
              </w:rPr>
            </w:pPr>
            <w:r>
              <w:rPr>
                <w:rFonts w:ascii="Arial" w:cs="Arial" w:eastAsia="Arial" w:hAnsi="Arial"/>
                <w:sz w:val="13"/>
                <w:szCs w:val="13"/>
                <w:b w:val="1"/>
                <w:bCs w:val="1"/>
                <w:color w:val="2573BA"/>
              </w:rPr>
              <w:t>Growth</w:t>
            </w:r>
          </w:p>
        </w:tc>
        <w:tc>
          <w:tcPr>
            <w:tcW w:w="3880" w:type="dxa"/>
            <w:vAlign w:val="bottom"/>
          </w:tcPr>
          <w:p>
            <w:pPr>
              <w:spacing w:after="0"/>
              <w:rPr>
                <w:sz w:val="10"/>
                <w:szCs w:val="10"/>
                <w:color w:val="auto"/>
              </w:rPr>
            </w:pPr>
          </w:p>
        </w:tc>
      </w:tr>
      <w:tr>
        <w:trPr>
          <w:trHeight w:val="181"/>
        </w:trPr>
        <w:tc>
          <w:tcPr>
            <w:tcW w:w="800" w:type="dxa"/>
            <w:vAlign w:val="bottom"/>
            <w:tcBorders>
              <w:right w:val="single" w:sz="8" w:color="auto"/>
            </w:tcBorders>
          </w:tcPr>
          <w:p>
            <w:pPr>
              <w:jc w:val="center"/>
              <w:ind w:right="74"/>
              <w:spacing w:after="0"/>
              <w:rPr>
                <w:sz w:val="20"/>
                <w:szCs w:val="20"/>
                <w:color w:val="auto"/>
              </w:rPr>
            </w:pPr>
            <w:r>
              <w:rPr>
                <w:rFonts w:ascii="Arial" w:cs="Arial" w:eastAsia="Arial" w:hAnsi="Arial"/>
                <w:sz w:val="14"/>
                <w:szCs w:val="14"/>
                <w:b w:val="1"/>
                <w:bCs w:val="1"/>
                <w:color w:val="2573BA"/>
                <w:w w:val="97"/>
              </w:rPr>
              <w:t>Areas</w:t>
            </w:r>
          </w:p>
        </w:tc>
        <w:tc>
          <w:tcPr>
            <w:tcW w:w="3880" w:type="dxa"/>
            <w:vAlign w:val="bottom"/>
            <w:shd w:val="clear" w:color="auto" w:fill="BBDC7F"/>
          </w:tcPr>
          <w:p>
            <w:pPr>
              <w:spacing w:after="0"/>
              <w:rPr>
                <w:sz w:val="15"/>
                <w:szCs w:val="15"/>
                <w:color w:val="auto"/>
              </w:rPr>
            </w:pPr>
          </w:p>
        </w:tc>
      </w:tr>
      <w:tr>
        <w:trPr>
          <w:trHeight w:val="410"/>
        </w:trPr>
        <w:tc>
          <w:tcPr>
            <w:tcW w:w="800" w:type="dxa"/>
            <w:vAlign w:val="bottom"/>
            <w:tcBorders>
              <w:right w:val="single" w:sz="8" w:color="auto"/>
            </w:tcBorders>
          </w:tcPr>
          <w:p>
            <w:pPr>
              <w:spacing w:after="0"/>
              <w:rPr>
                <w:sz w:val="24"/>
                <w:szCs w:val="24"/>
                <w:color w:val="auto"/>
              </w:rPr>
            </w:pPr>
          </w:p>
        </w:tc>
        <w:tc>
          <w:tcPr>
            <w:tcW w:w="3880" w:type="dxa"/>
            <w:vAlign w:val="bottom"/>
            <w:shd w:val="clear" w:color="auto" w:fill="BBDC7F"/>
          </w:tcPr>
          <w:p>
            <w:pPr>
              <w:jc w:val="center"/>
              <w:spacing w:after="0"/>
              <w:rPr>
                <w:sz w:val="20"/>
                <w:szCs w:val="20"/>
                <w:color w:val="auto"/>
              </w:rPr>
            </w:pPr>
            <w:r>
              <w:rPr>
                <w:rFonts w:ascii="Arial" w:cs="Arial" w:eastAsia="Arial" w:hAnsi="Arial"/>
                <w:sz w:val="14"/>
                <w:szCs w:val="14"/>
                <w:color w:val="2573BA"/>
                <w:w w:val="96"/>
              </w:rPr>
              <w:t>Acute Neurology</w:t>
            </w:r>
          </w:p>
        </w:tc>
      </w:tr>
      <w:tr>
        <w:trPr>
          <w:trHeight w:val="408"/>
        </w:trPr>
        <w:tc>
          <w:tcPr>
            <w:tcW w:w="800" w:type="dxa"/>
            <w:vAlign w:val="bottom"/>
            <w:tcBorders>
              <w:right w:val="single" w:sz="8" w:color="auto"/>
            </w:tcBorders>
          </w:tcPr>
          <w:p>
            <w:pPr>
              <w:spacing w:after="0"/>
              <w:rPr>
                <w:sz w:val="24"/>
                <w:szCs w:val="24"/>
                <w:color w:val="auto"/>
              </w:rPr>
            </w:pPr>
          </w:p>
        </w:tc>
        <w:tc>
          <w:tcPr>
            <w:tcW w:w="3880" w:type="dxa"/>
            <w:vAlign w:val="bottom"/>
            <w:shd w:val="clear" w:color="auto" w:fill="BBDC7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586740</wp:posOffset>
            </wp:positionH>
            <wp:positionV relativeFrom="paragraph">
              <wp:posOffset>73025</wp:posOffset>
            </wp:positionV>
            <wp:extent cx="2472055" cy="6343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72055" cy="63436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2700"/>
        <w:spacing w:after="0"/>
        <w:rPr>
          <w:sz w:val="20"/>
          <w:szCs w:val="20"/>
          <w:color w:val="auto"/>
        </w:rPr>
      </w:pPr>
      <w:r>
        <w:rPr>
          <w:rFonts w:ascii="Arial" w:cs="Arial" w:eastAsia="Arial" w:hAnsi="Arial"/>
          <w:sz w:val="14"/>
          <w:szCs w:val="14"/>
          <w:color w:val="2573BA"/>
        </w:rPr>
        <w:t>Other</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 Collaboration programs</w:t>
      </w:r>
    </w:p>
    <w:p>
      <w:pPr>
        <w:ind w:right="2080" w:firstLine="2"/>
        <w:spacing w:after="0" w:line="229" w:lineRule="auto"/>
        <w:tabs>
          <w:tab w:leader="none" w:pos="114" w:val="left"/>
        </w:tabs>
        <w:numPr>
          <w:ilvl w:val="0"/>
          <w:numId w:val="31"/>
        </w:numPr>
        <w:rPr>
          <w:rFonts w:ascii="Arial" w:cs="Arial" w:eastAsia="Arial" w:hAnsi="Arial"/>
          <w:sz w:val="14"/>
          <w:szCs w:val="14"/>
          <w:color w:val="auto"/>
        </w:rPr>
      </w:pPr>
      <w:r>
        <w:rPr>
          <w:rFonts w:ascii="Arial" w:cs="Arial" w:eastAsia="Arial" w:hAnsi="Arial"/>
          <w:sz w:val="14"/>
          <w:szCs w:val="14"/>
          <w:color w:val="auto"/>
        </w:rPr>
        <w:t>Painful Lumbosacral Radiculophath (PLSR) ^ X-linked Retinoschisis (XLRS)</w:t>
      </w:r>
    </w:p>
    <w:p>
      <w:pPr>
        <w:spacing w:after="0"/>
        <w:rPr>
          <w:rFonts w:ascii="Arial" w:cs="Arial" w:eastAsia="Arial" w:hAnsi="Arial"/>
          <w:sz w:val="14"/>
          <w:szCs w:val="14"/>
          <w:color w:val="auto"/>
        </w:rPr>
      </w:pPr>
      <w:r>
        <w:rPr>
          <w:rFonts w:ascii="Arial" w:cs="Arial" w:eastAsia="Arial" w:hAnsi="Arial"/>
          <w:sz w:val="14"/>
          <w:szCs w:val="14"/>
          <w:color w:val="auto"/>
        </w:rPr>
        <w:t>@ Systemic Lupus Erythematosus (SLE)</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3880" w:type="dxa"/>
            <w:vAlign w:val="bottom"/>
            <w:shd w:val="clear" w:color="auto" w:fill="B1CBEB"/>
          </w:tcPr>
          <w:p>
            <w:pPr>
              <w:ind w:left="20"/>
              <w:spacing w:after="0"/>
              <w:rPr>
                <w:sz w:val="20"/>
                <w:szCs w:val="20"/>
                <w:color w:val="auto"/>
              </w:rPr>
            </w:pPr>
            <w:r>
              <w:rPr>
                <w:rFonts w:ascii="Arial" w:cs="Arial" w:eastAsia="Arial" w:hAnsi="Arial"/>
                <w:sz w:val="14"/>
                <w:szCs w:val="14"/>
                <w:color w:val="2573BA"/>
              </w:rPr>
              <w:t>BIIB054 (anti-alpha-synuclein mAb) - Parkinson's</w:t>
            </w:r>
          </w:p>
        </w:tc>
        <w:tc>
          <w:tcPr>
            <w:tcW w:w="120" w:type="dxa"/>
            <w:vAlign w:val="bottom"/>
          </w:tcPr>
          <w:p>
            <w:pPr>
              <w:spacing w:after="0"/>
              <w:rPr>
                <w:sz w:val="22"/>
                <w:szCs w:val="22"/>
                <w:color w:val="auto"/>
              </w:rPr>
            </w:pPr>
          </w:p>
        </w:tc>
        <w:tc>
          <w:tcPr>
            <w:tcW w:w="1800" w:type="dxa"/>
            <w:vAlign w:val="bottom"/>
            <w:gridSpan w:val="3"/>
            <w:shd w:val="clear" w:color="auto" w:fill="2573BA"/>
          </w:tcPr>
          <w:p>
            <w:pPr>
              <w:ind w:left="660"/>
              <w:spacing w:after="0"/>
              <w:rPr>
                <w:sz w:val="20"/>
                <w:szCs w:val="20"/>
                <w:color w:val="auto"/>
              </w:rPr>
            </w:pPr>
            <w:r>
              <w:rPr>
                <w:rFonts w:ascii="Arial" w:cs="Arial" w:eastAsia="Arial" w:hAnsi="Arial"/>
                <w:sz w:val="14"/>
                <w:szCs w:val="14"/>
                <w:color w:val="FFFFFF"/>
              </w:rPr>
              <w:t>Phase 2</w:t>
            </w:r>
          </w:p>
        </w:tc>
      </w:tr>
      <w:tr>
        <w:trPr>
          <w:trHeight w:val="115"/>
        </w:trPr>
        <w:tc>
          <w:tcPr>
            <w:tcW w:w="3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256"/>
        </w:trPr>
        <w:tc>
          <w:tcPr>
            <w:tcW w:w="3880" w:type="dxa"/>
            <w:vAlign w:val="bottom"/>
            <w:shd w:val="clear" w:color="auto" w:fill="77AFE4"/>
          </w:tcPr>
          <w:p>
            <w:pPr>
              <w:ind w:left="20"/>
              <w:spacing w:after="0"/>
              <w:rPr>
                <w:sz w:val="20"/>
                <w:szCs w:val="20"/>
                <w:color w:val="auto"/>
              </w:rPr>
            </w:pPr>
            <w:r>
              <w:rPr>
                <w:rFonts w:ascii="Arial" w:cs="Arial" w:eastAsia="Arial" w:hAnsi="Arial"/>
                <w:sz w:val="14"/>
                <w:szCs w:val="14"/>
                <w:color w:val="2573BA"/>
              </w:rPr>
              <w:t>BIIB067 (IONIS-SOD1</w:t>
            </w:r>
            <w:r>
              <w:rPr>
                <w:rFonts w:ascii="Arial" w:cs="Arial" w:eastAsia="Arial" w:hAnsi="Arial"/>
                <w:sz w:val="11"/>
                <w:szCs w:val="11"/>
                <w:color w:val="2573BA"/>
              </w:rPr>
              <w:t>Rx</w:t>
            </w:r>
            <w:r>
              <w:rPr>
                <w:rFonts w:ascii="Arial" w:cs="Arial" w:eastAsia="Arial" w:hAnsi="Arial"/>
                <w:sz w:val="14"/>
                <w:szCs w:val="14"/>
                <w:color w:val="2573BA"/>
              </w:rPr>
              <w:t>)* - ALS</w:t>
            </w:r>
          </w:p>
        </w:tc>
        <w:tc>
          <w:tcPr>
            <w:tcW w:w="120" w:type="dxa"/>
            <w:vAlign w:val="bottom"/>
          </w:tcPr>
          <w:p>
            <w:pPr>
              <w:spacing w:after="0"/>
              <w:rPr>
                <w:sz w:val="22"/>
                <w:szCs w:val="22"/>
                <w:color w:val="auto"/>
              </w:rPr>
            </w:pPr>
          </w:p>
        </w:tc>
        <w:tc>
          <w:tcPr>
            <w:tcW w:w="800" w:type="dxa"/>
            <w:vAlign w:val="bottom"/>
            <w:shd w:val="clear" w:color="auto" w:fill="77AFE4"/>
          </w:tcPr>
          <w:p>
            <w:pPr>
              <w:ind w:left="140"/>
              <w:spacing w:after="0"/>
              <w:rPr>
                <w:sz w:val="20"/>
                <w:szCs w:val="20"/>
                <w:color w:val="auto"/>
              </w:rPr>
            </w:pPr>
            <w:r>
              <w:rPr>
                <w:rFonts w:ascii="Arial" w:cs="Arial" w:eastAsia="Arial" w:hAnsi="Arial"/>
                <w:sz w:val="14"/>
                <w:szCs w:val="14"/>
                <w:color w:val="FFFFFF"/>
              </w:rPr>
              <w:t>Phase 1</w:t>
            </w: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115"/>
        </w:trPr>
        <w:tc>
          <w:tcPr>
            <w:tcW w:w="3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spacing w:after="0"/>
              <w:rPr>
                <w:sz w:val="10"/>
                <w:szCs w:val="10"/>
                <w:color w:val="auto"/>
              </w:rPr>
            </w:pPr>
          </w:p>
        </w:tc>
        <w:tc>
          <w:tcPr>
            <w:tcW w:w="680" w:type="dxa"/>
            <w:vAlign w:val="bottom"/>
          </w:tcPr>
          <w:p>
            <w:pPr>
              <w:spacing w:after="0"/>
              <w:rPr>
                <w:sz w:val="10"/>
                <w:szCs w:val="10"/>
                <w:color w:val="auto"/>
              </w:rPr>
            </w:pPr>
          </w:p>
        </w:tc>
      </w:tr>
      <w:tr>
        <w:trPr>
          <w:trHeight w:val="256"/>
        </w:trPr>
        <w:tc>
          <w:tcPr>
            <w:tcW w:w="3880" w:type="dxa"/>
            <w:vAlign w:val="bottom"/>
            <w:shd w:val="clear" w:color="auto" w:fill="BBDC7F"/>
          </w:tcPr>
          <w:p>
            <w:pPr>
              <w:ind w:left="20"/>
              <w:spacing w:after="0"/>
              <w:rPr>
                <w:sz w:val="20"/>
                <w:szCs w:val="20"/>
                <w:color w:val="auto"/>
              </w:rPr>
            </w:pPr>
            <w:r>
              <w:rPr>
                <w:rFonts w:ascii="Arial" w:cs="Arial" w:eastAsia="Arial" w:hAnsi="Arial"/>
                <w:sz w:val="14"/>
                <w:szCs w:val="14"/>
                <w:color w:val="2573BA"/>
              </w:rPr>
              <w:t>BIIB074 (Vixotrigine) - Trigeminal Neuralgia</w:t>
            </w:r>
          </w:p>
        </w:tc>
        <w:tc>
          <w:tcPr>
            <w:tcW w:w="120" w:type="dxa"/>
            <w:vAlign w:val="bottom"/>
          </w:tcPr>
          <w:p>
            <w:pPr>
              <w:spacing w:after="0"/>
              <w:rPr>
                <w:sz w:val="22"/>
                <w:szCs w:val="22"/>
                <w:color w:val="auto"/>
              </w:rPr>
            </w:pPr>
          </w:p>
        </w:tc>
        <w:tc>
          <w:tcPr>
            <w:tcW w:w="1800" w:type="dxa"/>
            <w:vAlign w:val="bottom"/>
            <w:gridSpan w:val="3"/>
            <w:shd w:val="clear" w:color="auto" w:fill="2573BA"/>
          </w:tcPr>
          <w:p>
            <w:pPr>
              <w:ind w:left="660"/>
              <w:spacing w:after="0"/>
              <w:rPr>
                <w:sz w:val="20"/>
                <w:szCs w:val="20"/>
                <w:color w:val="auto"/>
              </w:rPr>
            </w:pPr>
            <w:r>
              <w:rPr>
                <w:rFonts w:ascii="Arial" w:cs="Arial" w:eastAsia="Arial" w:hAnsi="Arial"/>
                <w:sz w:val="14"/>
                <w:szCs w:val="14"/>
                <w:color w:val="FFFFFF"/>
              </w:rPr>
              <w:t>Phase 2</w:t>
            </w:r>
          </w:p>
        </w:tc>
      </w:tr>
      <w:tr>
        <w:trPr>
          <w:trHeight w:val="115"/>
        </w:trPr>
        <w:tc>
          <w:tcPr>
            <w:tcW w:w="3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spacing w:after="0"/>
              <w:rPr>
                <w:sz w:val="10"/>
                <w:szCs w:val="10"/>
                <w:color w:val="auto"/>
              </w:rPr>
            </w:pPr>
          </w:p>
        </w:tc>
        <w:tc>
          <w:tcPr>
            <w:tcW w:w="680" w:type="dxa"/>
            <w:vAlign w:val="bottom"/>
          </w:tcPr>
          <w:p>
            <w:pPr>
              <w:spacing w:after="0"/>
              <w:rPr>
                <w:sz w:val="10"/>
                <w:szCs w:val="10"/>
                <w:color w:val="auto"/>
              </w:rPr>
            </w:pPr>
          </w:p>
        </w:tc>
      </w:tr>
      <w:tr>
        <w:trPr>
          <w:trHeight w:val="256"/>
        </w:trPr>
        <w:tc>
          <w:tcPr>
            <w:tcW w:w="3880" w:type="dxa"/>
            <w:vAlign w:val="bottom"/>
            <w:shd w:val="clear" w:color="auto" w:fill="BBDC7F"/>
          </w:tcPr>
          <w:p>
            <w:pPr>
              <w:ind w:left="20"/>
              <w:spacing w:after="0"/>
              <w:rPr>
                <w:sz w:val="20"/>
                <w:szCs w:val="20"/>
                <w:color w:val="auto"/>
              </w:rPr>
            </w:pPr>
            <w:r>
              <w:rPr>
                <w:rFonts w:ascii="Arial" w:cs="Arial" w:eastAsia="Arial" w:hAnsi="Arial"/>
                <w:sz w:val="14"/>
                <w:szCs w:val="14"/>
                <w:color w:val="2573BA"/>
              </w:rPr>
              <w:t>BIIB074 (Nav1.7) - PLSR</w:t>
            </w:r>
            <w:r>
              <w:rPr>
                <w:rFonts w:ascii="Arial" w:cs="Arial" w:eastAsia="Arial" w:hAnsi="Arial"/>
                <w:sz w:val="22"/>
                <w:szCs w:val="22"/>
                <w:color w:val="2573BA"/>
                <w:vertAlign w:val="superscript"/>
              </w:rPr>
              <w:t>#</w:t>
            </w:r>
          </w:p>
        </w:tc>
        <w:tc>
          <w:tcPr>
            <w:tcW w:w="120" w:type="dxa"/>
            <w:vAlign w:val="bottom"/>
          </w:tcPr>
          <w:p>
            <w:pPr>
              <w:spacing w:after="0"/>
              <w:rPr>
                <w:sz w:val="22"/>
                <w:szCs w:val="22"/>
                <w:color w:val="auto"/>
              </w:rPr>
            </w:pPr>
          </w:p>
        </w:tc>
        <w:tc>
          <w:tcPr>
            <w:tcW w:w="1800" w:type="dxa"/>
            <w:vAlign w:val="bottom"/>
            <w:gridSpan w:val="3"/>
            <w:shd w:val="clear" w:color="auto" w:fill="2573BA"/>
          </w:tcPr>
          <w:p>
            <w:pPr>
              <w:ind w:left="660"/>
              <w:spacing w:after="0"/>
              <w:rPr>
                <w:sz w:val="20"/>
                <w:szCs w:val="20"/>
                <w:color w:val="auto"/>
              </w:rPr>
            </w:pPr>
            <w:r>
              <w:rPr>
                <w:rFonts w:ascii="Arial" w:cs="Arial" w:eastAsia="Arial" w:hAnsi="Arial"/>
                <w:sz w:val="14"/>
                <w:szCs w:val="14"/>
                <w:color w:val="FFFFFF"/>
              </w:rPr>
              <w:t>Phase 2</w:t>
            </w:r>
          </w:p>
        </w:tc>
      </w:tr>
      <w:tr>
        <w:trPr>
          <w:trHeight w:val="115"/>
        </w:trPr>
        <w:tc>
          <w:tcPr>
            <w:tcW w:w="3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spacing w:after="0"/>
              <w:rPr>
                <w:sz w:val="10"/>
                <w:szCs w:val="10"/>
                <w:color w:val="auto"/>
              </w:rPr>
            </w:pPr>
          </w:p>
        </w:tc>
        <w:tc>
          <w:tcPr>
            <w:tcW w:w="680" w:type="dxa"/>
            <w:vAlign w:val="bottom"/>
          </w:tcPr>
          <w:p>
            <w:pPr>
              <w:spacing w:after="0"/>
              <w:rPr>
                <w:sz w:val="10"/>
                <w:szCs w:val="10"/>
                <w:color w:val="auto"/>
              </w:rPr>
            </w:pPr>
          </w:p>
        </w:tc>
      </w:tr>
      <w:tr>
        <w:trPr>
          <w:trHeight w:val="256"/>
        </w:trPr>
        <w:tc>
          <w:tcPr>
            <w:tcW w:w="3880" w:type="dxa"/>
            <w:vAlign w:val="bottom"/>
            <w:shd w:val="clear" w:color="auto" w:fill="8FC46E"/>
          </w:tcPr>
          <w:p>
            <w:pPr>
              <w:ind w:left="20"/>
              <w:spacing w:after="0"/>
              <w:rPr>
                <w:sz w:val="20"/>
                <w:szCs w:val="20"/>
                <w:color w:val="auto"/>
              </w:rPr>
            </w:pPr>
            <w:r>
              <w:rPr>
                <w:rFonts w:ascii="Arial" w:cs="Arial" w:eastAsia="Arial" w:hAnsi="Arial"/>
                <w:sz w:val="14"/>
                <w:szCs w:val="14"/>
                <w:color w:val="2573BA"/>
              </w:rPr>
              <w:t>BIIB087 (gene therapy)* - XLRS^</w:t>
            </w:r>
          </w:p>
        </w:tc>
        <w:tc>
          <w:tcPr>
            <w:tcW w:w="120" w:type="dxa"/>
            <w:vAlign w:val="bottom"/>
          </w:tcPr>
          <w:p>
            <w:pPr>
              <w:spacing w:after="0"/>
              <w:rPr>
                <w:sz w:val="22"/>
                <w:szCs w:val="22"/>
                <w:color w:val="auto"/>
              </w:rPr>
            </w:pPr>
          </w:p>
        </w:tc>
        <w:tc>
          <w:tcPr>
            <w:tcW w:w="1120" w:type="dxa"/>
            <w:vAlign w:val="bottom"/>
            <w:gridSpan w:val="2"/>
            <w:shd w:val="clear" w:color="auto" w:fill="0094FF"/>
          </w:tcPr>
          <w:p>
            <w:pPr>
              <w:ind w:left="260"/>
              <w:spacing w:after="0"/>
              <w:rPr>
                <w:sz w:val="20"/>
                <w:szCs w:val="20"/>
                <w:color w:val="auto"/>
              </w:rPr>
            </w:pPr>
            <w:r>
              <w:rPr>
                <w:rFonts w:ascii="Arial" w:cs="Arial" w:eastAsia="Arial" w:hAnsi="Arial"/>
                <w:sz w:val="14"/>
                <w:szCs w:val="14"/>
                <w:color w:val="FFFFFF"/>
              </w:rPr>
              <w:t>Phase 1/2</w:t>
            </w:r>
          </w:p>
        </w:tc>
        <w:tc>
          <w:tcPr>
            <w:tcW w:w="680" w:type="dxa"/>
            <w:vAlign w:val="bottom"/>
          </w:tcPr>
          <w:p>
            <w:pPr>
              <w:spacing w:after="0"/>
              <w:rPr>
                <w:sz w:val="22"/>
                <w:szCs w:val="22"/>
                <w:color w:val="auto"/>
              </w:rPr>
            </w:pPr>
          </w:p>
        </w:tc>
      </w:tr>
      <w:tr>
        <w:trPr>
          <w:trHeight w:val="115"/>
        </w:trPr>
        <w:tc>
          <w:tcPr>
            <w:tcW w:w="3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0" w:type="dxa"/>
            <w:vAlign w:val="bottom"/>
            <w:gridSpan w:val="3"/>
          </w:tcPr>
          <w:p>
            <w:pPr>
              <w:spacing w:after="0"/>
              <w:rPr>
                <w:sz w:val="10"/>
                <w:szCs w:val="10"/>
                <w:color w:val="auto"/>
              </w:rPr>
            </w:pPr>
          </w:p>
        </w:tc>
      </w:tr>
      <w:tr>
        <w:trPr>
          <w:trHeight w:val="256"/>
        </w:trPr>
        <w:tc>
          <w:tcPr>
            <w:tcW w:w="3880" w:type="dxa"/>
            <w:vAlign w:val="bottom"/>
            <w:shd w:val="clear" w:color="auto" w:fill="BBDC7F"/>
          </w:tcPr>
          <w:p>
            <w:pPr>
              <w:ind w:left="20"/>
              <w:spacing w:after="0"/>
              <w:rPr>
                <w:sz w:val="20"/>
                <w:szCs w:val="20"/>
                <w:color w:val="auto"/>
              </w:rPr>
            </w:pPr>
            <w:r>
              <w:rPr>
                <w:rFonts w:ascii="Arial" w:cs="Arial" w:eastAsia="Arial" w:hAnsi="Arial"/>
                <w:sz w:val="14"/>
                <w:szCs w:val="14"/>
                <w:color w:val="2573BA"/>
              </w:rPr>
              <w:t>BIIB093 (glibenclamide IV) - LHI Stroke</w:t>
            </w:r>
          </w:p>
        </w:tc>
        <w:tc>
          <w:tcPr>
            <w:tcW w:w="120" w:type="dxa"/>
            <w:vAlign w:val="bottom"/>
          </w:tcPr>
          <w:p>
            <w:pPr>
              <w:spacing w:after="0"/>
              <w:rPr>
                <w:sz w:val="22"/>
                <w:szCs w:val="22"/>
                <w:color w:val="auto"/>
              </w:rPr>
            </w:pPr>
          </w:p>
        </w:tc>
        <w:tc>
          <w:tcPr>
            <w:tcW w:w="1800" w:type="dxa"/>
            <w:vAlign w:val="bottom"/>
            <w:gridSpan w:val="3"/>
            <w:shd w:val="clear" w:color="auto" w:fill="2573BA"/>
          </w:tcPr>
          <w:p>
            <w:pPr>
              <w:ind w:left="660"/>
              <w:spacing w:after="0"/>
              <w:rPr>
                <w:sz w:val="20"/>
                <w:szCs w:val="20"/>
                <w:color w:val="auto"/>
              </w:rPr>
            </w:pPr>
            <w:r>
              <w:rPr>
                <w:rFonts w:ascii="Arial" w:cs="Arial" w:eastAsia="Arial" w:hAnsi="Arial"/>
                <w:sz w:val="14"/>
                <w:szCs w:val="14"/>
                <w:color w:val="FFFFFF"/>
              </w:rPr>
              <w:t>Phase 2</w:t>
            </w:r>
          </w:p>
        </w:tc>
      </w:tr>
      <w:tr>
        <w:trPr>
          <w:trHeight w:val="115"/>
        </w:trPr>
        <w:tc>
          <w:tcPr>
            <w:tcW w:w="3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0" w:type="dxa"/>
            <w:vAlign w:val="bottom"/>
            <w:gridSpan w:val="3"/>
          </w:tcPr>
          <w:p>
            <w:pPr>
              <w:spacing w:after="0"/>
              <w:rPr>
                <w:sz w:val="10"/>
                <w:szCs w:val="10"/>
                <w:color w:val="auto"/>
              </w:rPr>
            </w:pPr>
          </w:p>
        </w:tc>
      </w:tr>
      <w:tr>
        <w:trPr>
          <w:trHeight w:val="256"/>
        </w:trPr>
        <w:tc>
          <w:tcPr>
            <w:tcW w:w="3880" w:type="dxa"/>
            <w:vAlign w:val="bottom"/>
            <w:shd w:val="clear" w:color="auto" w:fill="BBDC7F"/>
          </w:tcPr>
          <w:p>
            <w:pPr>
              <w:ind w:left="20"/>
              <w:spacing w:after="0"/>
              <w:rPr>
                <w:sz w:val="20"/>
                <w:szCs w:val="20"/>
                <w:color w:val="auto"/>
              </w:rPr>
            </w:pPr>
            <w:r>
              <w:rPr>
                <w:rFonts w:ascii="Arial" w:cs="Arial" w:eastAsia="Arial" w:hAnsi="Arial"/>
                <w:sz w:val="14"/>
                <w:szCs w:val="14"/>
                <w:color w:val="2573BA"/>
              </w:rPr>
              <w:t>Natalizumab - AI Stroke</w:t>
            </w:r>
          </w:p>
        </w:tc>
        <w:tc>
          <w:tcPr>
            <w:tcW w:w="120" w:type="dxa"/>
            <w:vAlign w:val="bottom"/>
          </w:tcPr>
          <w:p>
            <w:pPr>
              <w:spacing w:after="0"/>
              <w:rPr>
                <w:sz w:val="22"/>
                <w:szCs w:val="22"/>
                <w:color w:val="auto"/>
              </w:rPr>
            </w:pPr>
          </w:p>
        </w:tc>
        <w:tc>
          <w:tcPr>
            <w:tcW w:w="1800" w:type="dxa"/>
            <w:vAlign w:val="bottom"/>
            <w:gridSpan w:val="3"/>
            <w:shd w:val="clear" w:color="auto" w:fill="2573BA"/>
          </w:tcPr>
          <w:p>
            <w:pPr>
              <w:ind w:left="660"/>
              <w:spacing w:after="0"/>
              <w:rPr>
                <w:sz w:val="20"/>
                <w:szCs w:val="20"/>
                <w:color w:val="auto"/>
              </w:rPr>
            </w:pPr>
            <w:r>
              <w:rPr>
                <w:rFonts w:ascii="Arial" w:cs="Arial" w:eastAsia="Arial" w:hAnsi="Arial"/>
                <w:sz w:val="14"/>
                <w:szCs w:val="14"/>
                <w:color w:val="FFFFFF"/>
              </w:rPr>
              <w:t>Phase 2</w:t>
            </w:r>
          </w:p>
        </w:tc>
      </w:tr>
      <w:tr>
        <w:trPr>
          <w:trHeight w:val="115"/>
        </w:trPr>
        <w:tc>
          <w:tcPr>
            <w:tcW w:w="3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0" w:type="dxa"/>
            <w:vAlign w:val="bottom"/>
            <w:gridSpan w:val="3"/>
          </w:tcPr>
          <w:p>
            <w:pPr>
              <w:spacing w:after="0"/>
              <w:rPr>
                <w:sz w:val="10"/>
                <w:szCs w:val="10"/>
                <w:color w:val="auto"/>
              </w:rPr>
            </w:pPr>
          </w:p>
        </w:tc>
      </w:tr>
      <w:tr>
        <w:trPr>
          <w:trHeight w:val="256"/>
        </w:trPr>
        <w:tc>
          <w:tcPr>
            <w:tcW w:w="3880" w:type="dxa"/>
            <w:vAlign w:val="bottom"/>
            <w:shd w:val="clear" w:color="auto" w:fill="BBDC7F"/>
          </w:tcPr>
          <w:p>
            <w:pPr>
              <w:ind w:left="20"/>
              <w:spacing w:after="0"/>
              <w:rPr>
                <w:sz w:val="20"/>
                <w:szCs w:val="20"/>
                <w:color w:val="auto"/>
              </w:rPr>
            </w:pPr>
            <w:r>
              <w:rPr>
                <w:rFonts w:ascii="Arial" w:cs="Arial" w:eastAsia="Arial" w:hAnsi="Arial"/>
                <w:sz w:val="14"/>
                <w:szCs w:val="14"/>
                <w:color w:val="2573BA"/>
              </w:rPr>
              <w:t>Natalizumab - Epilepsy</w:t>
            </w:r>
          </w:p>
        </w:tc>
        <w:tc>
          <w:tcPr>
            <w:tcW w:w="120" w:type="dxa"/>
            <w:vAlign w:val="bottom"/>
          </w:tcPr>
          <w:p>
            <w:pPr>
              <w:spacing w:after="0"/>
              <w:rPr>
                <w:sz w:val="22"/>
                <w:szCs w:val="22"/>
                <w:color w:val="auto"/>
              </w:rPr>
            </w:pPr>
          </w:p>
        </w:tc>
        <w:tc>
          <w:tcPr>
            <w:tcW w:w="1800" w:type="dxa"/>
            <w:vAlign w:val="bottom"/>
            <w:gridSpan w:val="3"/>
            <w:shd w:val="clear" w:color="auto" w:fill="2573BA"/>
          </w:tcPr>
          <w:p>
            <w:pPr>
              <w:ind w:left="660"/>
              <w:spacing w:after="0"/>
              <w:rPr>
                <w:sz w:val="20"/>
                <w:szCs w:val="20"/>
                <w:color w:val="auto"/>
              </w:rPr>
            </w:pPr>
            <w:r>
              <w:rPr>
                <w:rFonts w:ascii="Arial" w:cs="Arial" w:eastAsia="Arial" w:hAnsi="Arial"/>
                <w:sz w:val="14"/>
                <w:szCs w:val="14"/>
                <w:color w:val="FFFFFF"/>
              </w:rPr>
              <w:t>Phase 2</w:t>
            </w:r>
          </w:p>
        </w:tc>
      </w:tr>
      <w:tr>
        <w:trPr>
          <w:trHeight w:val="115"/>
        </w:trPr>
        <w:tc>
          <w:tcPr>
            <w:tcW w:w="3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0" w:type="dxa"/>
            <w:vAlign w:val="bottom"/>
            <w:gridSpan w:val="3"/>
          </w:tcPr>
          <w:p>
            <w:pPr>
              <w:spacing w:after="0"/>
              <w:rPr>
                <w:sz w:val="10"/>
                <w:szCs w:val="10"/>
                <w:color w:val="auto"/>
              </w:rPr>
            </w:pPr>
          </w:p>
        </w:tc>
      </w:tr>
      <w:tr>
        <w:trPr>
          <w:trHeight w:val="256"/>
        </w:trPr>
        <w:tc>
          <w:tcPr>
            <w:tcW w:w="3880" w:type="dxa"/>
            <w:vAlign w:val="bottom"/>
            <w:shd w:val="clear" w:color="auto" w:fill="CECECE"/>
          </w:tcPr>
          <w:p>
            <w:pPr>
              <w:ind w:left="20"/>
              <w:spacing w:after="0"/>
              <w:rPr>
                <w:sz w:val="20"/>
                <w:szCs w:val="20"/>
                <w:color w:val="auto"/>
              </w:rPr>
            </w:pPr>
            <w:r>
              <w:rPr>
                <w:rFonts w:ascii="Arial" w:cs="Arial" w:eastAsia="Arial" w:hAnsi="Arial"/>
                <w:sz w:val="14"/>
                <w:szCs w:val="14"/>
                <w:color w:val="2573BA"/>
              </w:rPr>
              <w:t>Dapirolzumab pegol (anti-CD40L)* - SLE</w:t>
            </w:r>
            <w:r>
              <w:rPr>
                <w:rFonts w:ascii="Arial" w:cs="Arial" w:eastAsia="Arial" w:hAnsi="Arial"/>
                <w:sz w:val="22"/>
                <w:szCs w:val="22"/>
                <w:color w:val="2573BA"/>
                <w:vertAlign w:val="superscript"/>
              </w:rPr>
              <w:t>@</w:t>
            </w:r>
          </w:p>
        </w:tc>
        <w:tc>
          <w:tcPr>
            <w:tcW w:w="120" w:type="dxa"/>
            <w:vAlign w:val="bottom"/>
          </w:tcPr>
          <w:p>
            <w:pPr>
              <w:spacing w:after="0"/>
              <w:rPr>
                <w:sz w:val="22"/>
                <w:szCs w:val="22"/>
                <w:color w:val="auto"/>
              </w:rPr>
            </w:pPr>
          </w:p>
        </w:tc>
        <w:tc>
          <w:tcPr>
            <w:tcW w:w="1800" w:type="dxa"/>
            <w:vAlign w:val="bottom"/>
            <w:gridSpan w:val="3"/>
            <w:shd w:val="clear" w:color="auto" w:fill="2573BA"/>
          </w:tcPr>
          <w:p>
            <w:pPr>
              <w:ind w:left="660"/>
              <w:spacing w:after="0"/>
              <w:rPr>
                <w:sz w:val="20"/>
                <w:szCs w:val="20"/>
                <w:color w:val="auto"/>
              </w:rPr>
            </w:pPr>
            <w:r>
              <w:rPr>
                <w:rFonts w:ascii="Arial" w:cs="Arial" w:eastAsia="Arial" w:hAnsi="Arial"/>
                <w:sz w:val="14"/>
                <w:szCs w:val="14"/>
                <w:color w:val="FFFFFF"/>
              </w:rPr>
              <w:t>Phase 2</w:t>
            </w:r>
          </w:p>
        </w:tc>
      </w:tr>
      <w:tr>
        <w:trPr>
          <w:trHeight w:val="115"/>
        </w:trPr>
        <w:tc>
          <w:tcPr>
            <w:tcW w:w="3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0" w:type="dxa"/>
            <w:vAlign w:val="bottom"/>
            <w:gridSpan w:val="3"/>
          </w:tcPr>
          <w:p>
            <w:pPr>
              <w:spacing w:after="0"/>
              <w:rPr>
                <w:sz w:val="10"/>
                <w:szCs w:val="10"/>
                <w:color w:val="auto"/>
              </w:rPr>
            </w:pPr>
          </w:p>
        </w:tc>
      </w:tr>
      <w:tr>
        <w:trPr>
          <w:trHeight w:val="256"/>
        </w:trPr>
        <w:tc>
          <w:tcPr>
            <w:tcW w:w="3880" w:type="dxa"/>
            <w:vAlign w:val="bottom"/>
            <w:shd w:val="clear" w:color="auto" w:fill="CECECE"/>
          </w:tcPr>
          <w:p>
            <w:pPr>
              <w:ind w:left="20"/>
              <w:spacing w:after="0"/>
              <w:rPr>
                <w:sz w:val="20"/>
                <w:szCs w:val="20"/>
                <w:color w:val="auto"/>
              </w:rPr>
            </w:pPr>
            <w:r>
              <w:rPr>
                <w:rFonts w:ascii="Arial" w:cs="Arial" w:eastAsia="Arial" w:hAnsi="Arial"/>
                <w:sz w:val="14"/>
                <w:szCs w:val="14"/>
                <w:color w:val="2573BA"/>
              </w:rPr>
              <w:t>BG00011 (STX-100) - IPF</w:t>
            </w:r>
          </w:p>
        </w:tc>
        <w:tc>
          <w:tcPr>
            <w:tcW w:w="120" w:type="dxa"/>
            <w:vAlign w:val="bottom"/>
          </w:tcPr>
          <w:p>
            <w:pPr>
              <w:spacing w:after="0"/>
              <w:rPr>
                <w:sz w:val="22"/>
                <w:szCs w:val="22"/>
                <w:color w:val="auto"/>
              </w:rPr>
            </w:pPr>
          </w:p>
        </w:tc>
        <w:tc>
          <w:tcPr>
            <w:tcW w:w="1800" w:type="dxa"/>
            <w:vAlign w:val="bottom"/>
            <w:gridSpan w:val="3"/>
            <w:shd w:val="clear" w:color="auto" w:fill="2573BA"/>
          </w:tcPr>
          <w:p>
            <w:pPr>
              <w:ind w:left="660"/>
              <w:spacing w:after="0"/>
              <w:rPr>
                <w:sz w:val="20"/>
                <w:szCs w:val="20"/>
                <w:color w:val="auto"/>
              </w:rPr>
            </w:pPr>
            <w:r>
              <w:rPr>
                <w:rFonts w:ascii="Arial" w:cs="Arial" w:eastAsia="Arial" w:hAnsi="Arial"/>
                <w:sz w:val="14"/>
                <w:szCs w:val="14"/>
                <w:color w:val="FFFFFF"/>
              </w:rPr>
              <w:t>Phase 2</w:t>
            </w:r>
          </w:p>
        </w:tc>
      </w:tr>
      <w:tr>
        <w:trPr>
          <w:trHeight w:val="115"/>
        </w:trPr>
        <w:tc>
          <w:tcPr>
            <w:tcW w:w="3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0" w:type="dxa"/>
            <w:vAlign w:val="bottom"/>
            <w:gridSpan w:val="3"/>
          </w:tcPr>
          <w:p>
            <w:pPr>
              <w:spacing w:after="0"/>
              <w:rPr>
                <w:sz w:val="10"/>
                <w:szCs w:val="10"/>
                <w:color w:val="auto"/>
              </w:rPr>
            </w:pPr>
          </w:p>
        </w:tc>
      </w:tr>
      <w:tr>
        <w:trPr>
          <w:trHeight w:val="256"/>
        </w:trPr>
        <w:tc>
          <w:tcPr>
            <w:tcW w:w="3880" w:type="dxa"/>
            <w:vAlign w:val="bottom"/>
            <w:shd w:val="clear" w:color="auto" w:fill="CECECE"/>
          </w:tcPr>
          <w:p>
            <w:pPr>
              <w:ind w:left="20"/>
              <w:spacing w:after="0"/>
              <w:rPr>
                <w:sz w:val="20"/>
                <w:szCs w:val="20"/>
                <w:color w:val="auto"/>
              </w:rPr>
            </w:pPr>
            <w:r>
              <w:rPr>
                <w:rFonts w:ascii="Arial" w:cs="Arial" w:eastAsia="Arial" w:hAnsi="Arial"/>
                <w:sz w:val="14"/>
                <w:szCs w:val="14"/>
                <w:color w:val="2573BA"/>
              </w:rPr>
              <w:t>BIIB059 (anti-BDCA2) - SLE</w:t>
            </w:r>
            <w:r>
              <w:rPr>
                <w:rFonts w:ascii="Arial" w:cs="Arial" w:eastAsia="Arial" w:hAnsi="Arial"/>
                <w:sz w:val="22"/>
                <w:szCs w:val="22"/>
                <w:color w:val="2573BA"/>
                <w:vertAlign w:val="superscript"/>
              </w:rPr>
              <w:t>@</w:t>
            </w:r>
          </w:p>
        </w:tc>
        <w:tc>
          <w:tcPr>
            <w:tcW w:w="120" w:type="dxa"/>
            <w:vAlign w:val="bottom"/>
          </w:tcPr>
          <w:p>
            <w:pPr>
              <w:spacing w:after="0"/>
              <w:rPr>
                <w:sz w:val="22"/>
                <w:szCs w:val="22"/>
                <w:color w:val="auto"/>
              </w:rPr>
            </w:pPr>
          </w:p>
        </w:tc>
        <w:tc>
          <w:tcPr>
            <w:tcW w:w="1800" w:type="dxa"/>
            <w:vAlign w:val="bottom"/>
            <w:gridSpan w:val="3"/>
            <w:shd w:val="clear" w:color="auto" w:fill="2573BA"/>
          </w:tcPr>
          <w:p>
            <w:pPr>
              <w:ind w:left="660"/>
              <w:spacing w:after="0"/>
              <w:rPr>
                <w:sz w:val="20"/>
                <w:szCs w:val="20"/>
                <w:color w:val="auto"/>
              </w:rPr>
            </w:pPr>
            <w:r>
              <w:rPr>
                <w:rFonts w:ascii="Arial" w:cs="Arial" w:eastAsia="Arial" w:hAnsi="Arial"/>
                <w:sz w:val="14"/>
                <w:szCs w:val="14"/>
                <w:color w:val="FFFFFF"/>
              </w:rPr>
              <w:t>Phase 2</w:t>
            </w:r>
          </w:p>
        </w:tc>
      </w:tr>
    </w:tbl>
    <w:p>
      <w:pPr>
        <w:spacing w:after="0" w:line="749" w:lineRule="exact"/>
        <w:rPr>
          <w:sz w:val="20"/>
          <w:szCs w:val="20"/>
          <w:color w:val="auto"/>
        </w:rPr>
      </w:pPr>
    </w:p>
    <w:p>
      <w:pPr>
        <w:sectPr>
          <w:pgSz w:w="11900" w:h="16838" w:orient="portrait"/>
          <w:cols w:equalWidth="0" w:num="2">
            <w:col w:w="4820" w:space="120"/>
            <w:col w:w="6480"/>
          </w:cols>
          <w:pgMar w:left="240" w:top="144" w:right="239" w:bottom="1440" w:gutter="0" w:footer="0" w:header="0"/>
          <w:type w:val="continuous"/>
        </w:sectPr>
      </w:pPr>
    </w:p>
    <w:p>
      <w:pPr>
        <w:ind w:right="780" w:firstLine="410"/>
        <w:spacing w:after="0" w:line="284" w:lineRule="auto"/>
        <w:rPr>
          <w:sz w:val="20"/>
          <w:szCs w:val="20"/>
          <w:color w:val="auto"/>
        </w:rPr>
      </w:pPr>
      <w:r>
        <w:rPr>
          <w:rFonts w:ascii="Arial" w:cs="Arial" w:eastAsia="Arial" w:hAnsi="Arial"/>
          <w:sz w:val="17"/>
          <w:szCs w:val="17"/>
          <w:color w:val="auto"/>
        </w:rPr>
        <w:t xml:space="preserve">For information about certain of our agreements with collaborators and other third parties, please read the subsection entitled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Relationships” </w:t>
      </w:r>
      <w:r>
        <w:rPr>
          <w:rFonts w:ascii="Arial" w:cs="Arial" w:eastAsia="Arial" w:hAnsi="Arial"/>
          <w:sz w:val="17"/>
          <w:szCs w:val="17"/>
          <w:color w:val="auto"/>
        </w:rPr>
        <w:t>below and Note 20,</w:t>
      </w:r>
      <w:r>
        <w:rPr>
          <w:rFonts w:ascii="Arial" w:cs="Arial" w:eastAsia="Arial" w:hAnsi="Arial"/>
          <w:sz w:val="17"/>
          <w:szCs w:val="17"/>
          <w:i w:val="1"/>
          <w:iCs w:val="1"/>
          <w:color w:val="auto"/>
        </w:rPr>
        <w:t xml:space="preserve"> Collaborative and Other Relationships, </w:t>
      </w:r>
      <w:r>
        <w:rPr>
          <w:rFonts w:ascii="Arial" w:cs="Arial" w:eastAsia="Arial" w:hAnsi="Arial"/>
          <w:sz w:val="17"/>
          <w:szCs w:val="17"/>
          <w:color w:val="auto"/>
        </w:rPr>
        <w:t>to our consolidated financial statements included in this report.</w:t>
      </w:r>
    </w:p>
    <w:p>
      <w:pPr>
        <w:sectPr>
          <w:pgSz w:w="11900" w:h="16838" w:orient="portrait"/>
          <w:cols w:equalWidth="0" w:num="1">
            <w:col w:w="11420"/>
          </w:cols>
          <w:pgMar w:left="240" w:top="144" w:right="239" w:bottom="1440" w:gutter="0" w:footer="0" w:header="0"/>
          <w:type w:val="continuous"/>
        </w:sectPr>
      </w:pPr>
    </w:p>
    <w:p>
      <w:pPr>
        <w:spacing w:after="0" w:line="382"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Business Relationships</w:t>
      </w:r>
    </w:p>
    <w:p>
      <w:pPr>
        <w:spacing w:after="0" w:line="109" w:lineRule="exact"/>
        <w:rPr>
          <w:sz w:val="20"/>
          <w:szCs w:val="20"/>
          <w:color w:val="auto"/>
        </w:rPr>
      </w:pPr>
    </w:p>
    <w:p>
      <w:pPr>
        <w:ind w:firstLine="371"/>
        <w:spacing w:after="0" w:line="252" w:lineRule="auto"/>
        <w:rPr>
          <w:sz w:val="20"/>
          <w:szCs w:val="20"/>
          <w:color w:val="auto"/>
        </w:rPr>
      </w:pPr>
      <w:r>
        <w:rPr>
          <w:rFonts w:ascii="Arial" w:cs="Arial" w:eastAsia="Arial" w:hAnsi="Arial"/>
          <w:sz w:val="17"/>
          <w:szCs w:val="17"/>
          <w:color w:val="auto"/>
        </w:rPr>
        <w:t>As part of our business strategy, we establish business relationships, including joint ventures and collaborative arrangements with other companies, universities and medical research institutions, to assist in the clinical development and/or commercialization of certain of our products and product candidates and to provide support for our research programs. We also evaluate opportunities for acquiring products or rights to products and technologies that are complementary to our business from other companies, universities and medical research institutions.</w:t>
      </w:r>
    </w:p>
    <w:p>
      <w:pPr>
        <w:spacing w:after="0" w:line="151" w:lineRule="exact"/>
        <w:rPr>
          <w:sz w:val="20"/>
          <w:szCs w:val="20"/>
          <w:color w:val="auto"/>
        </w:rPr>
      </w:pPr>
    </w:p>
    <w:p>
      <w:pPr>
        <w:ind w:right="260" w:firstLine="371"/>
        <w:spacing w:after="0" w:line="262" w:lineRule="auto"/>
        <w:rPr>
          <w:sz w:val="20"/>
          <w:szCs w:val="20"/>
          <w:color w:val="auto"/>
        </w:rPr>
      </w:pPr>
      <w:r>
        <w:rPr>
          <w:rFonts w:ascii="Arial" w:cs="Arial" w:eastAsia="Arial" w:hAnsi="Arial"/>
          <w:sz w:val="17"/>
          <w:szCs w:val="17"/>
          <w:color w:val="auto"/>
        </w:rPr>
        <w:t>Below is a brief description of certain business relationships and collaborations that expand our</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 xml:space="preserve">pipeline and provide us with certain rights to existing and potential new products and technologies. For additional information on certain of these relationships, including their ongoing financial and accounting impact on our business, please read Note 19, </w:t>
      </w:r>
      <w:r>
        <w:rPr>
          <w:rFonts w:ascii="Arial" w:cs="Arial" w:eastAsia="Arial" w:hAnsi="Arial"/>
          <w:sz w:val="17"/>
          <w:szCs w:val="17"/>
          <w:i w:val="1"/>
          <w:iCs w:val="1"/>
          <w:color w:val="auto"/>
        </w:rPr>
        <w:t>Investments in Variable Interest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Entities, </w:t>
      </w:r>
      <w:r>
        <w:rPr>
          <w:rFonts w:ascii="Arial" w:cs="Arial" w:eastAsia="Arial" w:hAnsi="Arial"/>
          <w:sz w:val="17"/>
          <w:szCs w:val="17"/>
          <w:color w:val="auto"/>
        </w:rPr>
        <w:t>and Note 20,</w:t>
      </w:r>
      <w:r>
        <w:rPr>
          <w:rFonts w:ascii="Arial" w:cs="Arial" w:eastAsia="Arial" w:hAnsi="Arial"/>
          <w:sz w:val="17"/>
          <w:szCs w:val="17"/>
          <w:i w:val="1"/>
          <w:iCs w:val="1"/>
          <w:color w:val="auto"/>
        </w:rPr>
        <w:t xml:space="preserve"> Collaborative and Other Relationships, </w:t>
      </w:r>
      <w:r>
        <w:rPr>
          <w:rFonts w:ascii="Arial" w:cs="Arial" w:eastAsia="Arial" w:hAnsi="Arial"/>
          <w:sz w:val="17"/>
          <w:szCs w:val="17"/>
          <w:color w:val="auto"/>
        </w:rPr>
        <w:t>to our</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financial statements included in this report.</w:t>
      </w:r>
    </w:p>
    <w:p>
      <w:pPr>
        <w:spacing w:after="0" w:line="1785" w:lineRule="exact"/>
        <w:rPr>
          <w:sz w:val="20"/>
          <w:szCs w:val="20"/>
          <w:color w:val="auto"/>
        </w:rPr>
      </w:pPr>
    </w:p>
    <w:p>
      <w:pPr>
        <w:sectPr>
          <w:pgSz w:w="11900" w:h="16838" w:orient="portrait"/>
          <w:cols w:equalWidth="0" w:num="2">
            <w:col w:w="5480" w:space="460"/>
            <w:col w:w="5480"/>
          </w:cols>
          <w:pgMar w:left="240" w:top="144" w:right="239" w:bottom="1440" w:gutter="0" w:footer="0" w:header="0"/>
          <w:type w:val="continuous"/>
        </w:sectPr>
      </w:pP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44" w:right="239" w:bottom="1440" w:gutter="0" w:footer="0" w:header="0"/>
          <w:type w:val="continuous"/>
        </w:sectPr>
      </w:pPr>
    </w:p>
    <w:bookmarkStart w:id="23" w:name="page24"/>
    <w:bookmarkEnd w:id="2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36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AbbVie, Inc.</w:t>
      </w:r>
    </w:p>
    <w:p>
      <w:pPr>
        <w:spacing w:after="0" w:line="106" w:lineRule="exact"/>
        <w:rPr>
          <w:sz w:val="20"/>
          <w:szCs w:val="20"/>
          <w:color w:val="auto"/>
        </w:rPr>
      </w:pPr>
    </w:p>
    <w:p>
      <w:pPr>
        <w:ind w:right="20" w:firstLine="371"/>
        <w:spacing w:after="0" w:line="254" w:lineRule="auto"/>
        <w:rPr>
          <w:sz w:val="20"/>
          <w:szCs w:val="20"/>
          <w:color w:val="auto"/>
        </w:rPr>
      </w:pPr>
      <w:r>
        <w:rPr>
          <w:rFonts w:ascii="Arial" w:cs="Arial" w:eastAsia="Arial" w:hAnsi="Arial"/>
          <w:sz w:val="17"/>
          <w:szCs w:val="17"/>
          <w:color w:val="auto"/>
        </w:rPr>
        <w:t>We have a collaboration agreement with AbbVie for the development and commercialization of ZINBRYTA in MS. Under this agreement, we and AbbVie conduct ZINBRYTA co-promotion activities in the U.S., E.U. and Canadian territories, and we are responsible for all manufacturing and research and development activities.</w:t>
      </w:r>
    </w:p>
    <w:p>
      <w:pPr>
        <w:spacing w:after="0" w:line="144" w:lineRule="exact"/>
        <w:rPr>
          <w:sz w:val="20"/>
          <w:szCs w:val="20"/>
          <w:color w:val="auto"/>
        </w:rPr>
      </w:pPr>
    </w:p>
    <w:p>
      <w:pPr>
        <w:ind w:right="40" w:firstLine="371"/>
        <w:spacing w:after="0" w:line="255" w:lineRule="auto"/>
        <w:rPr>
          <w:sz w:val="20"/>
          <w:szCs w:val="20"/>
          <w:color w:val="auto"/>
        </w:rPr>
      </w:pPr>
      <w:r>
        <w:rPr>
          <w:rFonts w:ascii="Arial" w:cs="Arial" w:eastAsia="Arial" w:hAnsi="Arial"/>
          <w:sz w:val="17"/>
          <w:szCs w:val="17"/>
          <w:color w:val="auto"/>
        </w:rPr>
        <w:t xml:space="preserve">For information on the Article 20 Procedure of ZINBRYTA and resulting impairment of ZINBRYTA related assets, please read Note 20, </w:t>
      </w:r>
      <w:r>
        <w:rPr>
          <w:rFonts w:ascii="Arial" w:cs="Arial" w:eastAsia="Arial" w:hAnsi="Arial"/>
          <w:sz w:val="17"/>
          <w:szCs w:val="17"/>
          <w:i w:val="1"/>
          <w:iCs w:val="1"/>
          <w:color w:val="auto"/>
        </w:rPr>
        <w:t xml:space="preserve">Collaborative and Other Relationships, </w:t>
      </w:r>
      <w:r>
        <w:rPr>
          <w:rFonts w:ascii="Arial" w:cs="Arial" w:eastAsia="Arial" w:hAnsi="Arial"/>
          <w:sz w:val="17"/>
          <w:szCs w:val="17"/>
          <w:color w:val="auto"/>
        </w:rPr>
        <w:t>to our consolidated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 included in this report.</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Acorda Therapeutics, Inc.</w:t>
      </w:r>
    </w:p>
    <w:p>
      <w:pPr>
        <w:spacing w:after="0" w:line="106" w:lineRule="exact"/>
        <w:rPr>
          <w:sz w:val="20"/>
          <w:szCs w:val="20"/>
          <w:color w:val="auto"/>
        </w:rPr>
      </w:pPr>
    </w:p>
    <w:p>
      <w:pPr>
        <w:ind w:right="320" w:firstLine="371"/>
        <w:spacing w:after="0" w:line="254" w:lineRule="auto"/>
        <w:rPr>
          <w:sz w:val="20"/>
          <w:szCs w:val="20"/>
          <w:color w:val="auto"/>
        </w:rPr>
      </w:pPr>
      <w:r>
        <w:rPr>
          <w:rFonts w:ascii="Arial" w:cs="Arial" w:eastAsia="Arial" w:hAnsi="Arial"/>
          <w:sz w:val="17"/>
          <w:szCs w:val="17"/>
          <w:color w:val="auto"/>
        </w:rPr>
        <w:t>We have a collaboration and license agreement with Acorda to develop and commercialize products containing fampridine, such as FAMPYRA, in markets outside the U.S. We are responsible for all regulatory activities and the future clinical development of related products in those markets.</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Alkermes</w:t>
      </w:r>
    </w:p>
    <w:p>
      <w:pPr>
        <w:spacing w:after="0" w:line="106" w:lineRule="exact"/>
        <w:rPr>
          <w:sz w:val="20"/>
          <w:szCs w:val="20"/>
          <w:color w:val="auto"/>
        </w:rPr>
      </w:pPr>
    </w:p>
    <w:p>
      <w:pPr>
        <w:ind w:right="80" w:firstLine="371"/>
        <w:spacing w:after="0" w:line="257" w:lineRule="auto"/>
        <w:rPr>
          <w:sz w:val="20"/>
          <w:szCs w:val="20"/>
          <w:color w:val="auto"/>
        </w:rPr>
      </w:pPr>
      <w:r>
        <w:rPr>
          <w:rFonts w:ascii="Arial" w:cs="Arial" w:eastAsia="Arial" w:hAnsi="Arial"/>
          <w:sz w:val="17"/>
          <w:szCs w:val="17"/>
          <w:color w:val="auto"/>
        </w:rPr>
        <w:t>We have an exclusive license and collaboration agreement with Alkermes to develop and commercialize BIIB098, an oral MMF prodrug in Phase 3 development for the treatment of relapsing forms of MS.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Applied Genetic Technologies Corporation</w:t>
      </w:r>
    </w:p>
    <w:p>
      <w:pPr>
        <w:spacing w:after="0" w:line="106" w:lineRule="exact"/>
        <w:rPr>
          <w:sz w:val="20"/>
          <w:szCs w:val="20"/>
          <w:color w:val="auto"/>
        </w:rPr>
      </w:pPr>
    </w:p>
    <w:p>
      <w:pPr>
        <w:ind w:firstLine="371"/>
        <w:spacing w:after="0" w:line="252" w:lineRule="auto"/>
        <w:rPr>
          <w:sz w:val="20"/>
          <w:szCs w:val="20"/>
          <w:color w:val="auto"/>
        </w:rPr>
      </w:pPr>
      <w:r>
        <w:rPr>
          <w:rFonts w:ascii="Arial" w:cs="Arial" w:eastAsia="Arial" w:hAnsi="Arial"/>
          <w:sz w:val="17"/>
          <w:szCs w:val="17"/>
          <w:color w:val="auto"/>
        </w:rPr>
        <w:t>We have a collaboration agreement with Applied Genetic Technologies Corporation (AGTC) to develop gene-based therapies for multiple ophthalmic diseases. This collaboration is focused on the development of a clinical-stage candidate for X-linked Retinoschisis (XLRS) and a preclinical candidate for the treatment of X-linked Retinitis Pigmentosa (XLRP), for which we were granted worldwide commercialization rights. This agreement also provides us with options to early stage discovery programs in two ophthalmic diseases and one non-ophthalmic condition.</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Bristol-Myers Squibb Company</w:t>
      </w:r>
    </w:p>
    <w:p>
      <w:pPr>
        <w:spacing w:after="0" w:line="106" w:lineRule="exact"/>
        <w:rPr>
          <w:sz w:val="20"/>
          <w:szCs w:val="20"/>
          <w:color w:val="auto"/>
        </w:rPr>
      </w:pPr>
    </w:p>
    <w:p>
      <w:pPr>
        <w:ind w:right="60" w:firstLine="371"/>
        <w:spacing w:after="0" w:line="255" w:lineRule="auto"/>
        <w:rPr>
          <w:sz w:val="20"/>
          <w:szCs w:val="20"/>
          <w:color w:val="auto"/>
        </w:rPr>
      </w:pPr>
      <w:r>
        <w:rPr>
          <w:rFonts w:ascii="Arial" w:cs="Arial" w:eastAsia="Arial" w:hAnsi="Arial"/>
          <w:sz w:val="17"/>
          <w:szCs w:val="17"/>
          <w:color w:val="auto"/>
        </w:rPr>
        <w:t>We have an exclusive license agreement with BMS for the development and commercialization of BIIB092. Under this agreement, we received worldwide rights to BIIB092 and are responsible for the full development and global commercialization of BIIB092 in AD and PSP.</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2573BA"/>
        </w:rPr>
        <w:t>Eisai Co., Ltd.</w:t>
      </w:r>
    </w:p>
    <w:p>
      <w:pPr>
        <w:spacing w:after="0" w:line="183" w:lineRule="exact"/>
        <w:rPr>
          <w:sz w:val="20"/>
          <w:szCs w:val="20"/>
          <w:color w:val="auto"/>
        </w:rPr>
      </w:pPr>
    </w:p>
    <w:p>
      <w:pPr>
        <w:ind w:left="320" w:firstLine="371"/>
        <w:spacing w:after="0" w:line="253" w:lineRule="auto"/>
        <w:rPr>
          <w:sz w:val="20"/>
          <w:szCs w:val="20"/>
          <w:color w:val="auto"/>
        </w:rPr>
      </w:pPr>
      <w:r>
        <w:rPr>
          <w:rFonts w:ascii="Arial" w:cs="Arial" w:eastAsia="Arial" w:hAnsi="Arial"/>
          <w:sz w:val="17"/>
          <w:szCs w:val="17"/>
          <w:color w:val="auto"/>
        </w:rPr>
        <w:t>We have a collaboration agreement with Eisai to jointly develop and commercialize E2609 and BAN2401, two Eisai product candidates for the treatment of AD. Eisai serves as the global operational and regulatory lead for both E2609 and BAN2401 and all costs, including research, development, sales and marketing expenses, are shared equally between us and Eisai. Following marketing approval in major markets, we will co-promote E2609 and BAN2401 with Eisai and share profits equally.</w:t>
      </w:r>
    </w:p>
    <w:p>
      <w:pPr>
        <w:spacing w:after="0" w:line="144" w:lineRule="exact"/>
        <w:rPr>
          <w:sz w:val="20"/>
          <w:szCs w:val="20"/>
          <w:color w:val="auto"/>
        </w:rPr>
      </w:pPr>
    </w:p>
    <w:p>
      <w:pPr>
        <w:ind w:left="320" w:right="40" w:firstLine="371"/>
        <w:spacing w:after="0" w:line="254" w:lineRule="auto"/>
        <w:rPr>
          <w:sz w:val="20"/>
          <w:szCs w:val="20"/>
          <w:color w:val="auto"/>
        </w:rPr>
      </w:pPr>
      <w:r>
        <w:rPr>
          <w:rFonts w:ascii="Arial" w:cs="Arial" w:eastAsia="Arial" w:hAnsi="Arial"/>
          <w:sz w:val="17"/>
          <w:szCs w:val="17"/>
          <w:color w:val="auto"/>
        </w:rPr>
        <w:t>We also have the Aducanumab Collaboration Agreement with Eisai for the joint development and commercialization of aducanumab. Under the Aducanumab Collaboration Agreement, the two companies will co-promote aducanumab with a region-based profit split and we will continue to lead the ongoing Phase 3 development of aducanumab.</w:t>
      </w:r>
    </w:p>
    <w:p>
      <w:pPr>
        <w:spacing w:after="0" w:line="144" w:lineRule="exact"/>
        <w:rPr>
          <w:sz w:val="20"/>
          <w:szCs w:val="20"/>
          <w:color w:val="auto"/>
        </w:rPr>
      </w:pPr>
    </w:p>
    <w:p>
      <w:pPr>
        <w:ind w:left="320" w:right="280" w:firstLine="371"/>
        <w:spacing w:after="0" w:line="255" w:lineRule="auto"/>
        <w:rPr>
          <w:sz w:val="20"/>
          <w:szCs w:val="20"/>
          <w:color w:val="auto"/>
        </w:rPr>
      </w:pPr>
      <w:r>
        <w:rPr>
          <w:rFonts w:ascii="Arial" w:cs="Arial" w:eastAsia="Arial" w:hAnsi="Arial"/>
          <w:sz w:val="17"/>
          <w:szCs w:val="17"/>
          <w:color w:val="auto"/>
        </w:rPr>
        <w:t>We and Eisai will co-promote AVONEX, TYSABRI and TECFIDERA in Japan in certain settings and Eisai will distribute AVONEX, TYSABRI, TECFIDERA and PLEGRIDY in India and other Asia-Pacific markets, excluding China.</w:t>
      </w:r>
    </w:p>
    <w:p>
      <w:pPr>
        <w:spacing w:after="0" w:line="123"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2573BA"/>
        </w:rPr>
        <w:t>Genentech (Roche Group)</w:t>
      </w:r>
    </w:p>
    <w:p>
      <w:pPr>
        <w:spacing w:after="0" w:line="106" w:lineRule="exact"/>
        <w:rPr>
          <w:sz w:val="20"/>
          <w:szCs w:val="20"/>
          <w:color w:val="auto"/>
        </w:rPr>
      </w:pPr>
    </w:p>
    <w:p>
      <w:pPr>
        <w:ind w:left="320" w:right="100" w:firstLine="371"/>
        <w:spacing w:after="0" w:line="257" w:lineRule="auto"/>
        <w:rPr>
          <w:sz w:val="20"/>
          <w:szCs w:val="20"/>
          <w:color w:val="auto"/>
        </w:rPr>
      </w:pPr>
      <w:r>
        <w:rPr>
          <w:rFonts w:ascii="Arial" w:cs="Arial" w:eastAsia="Arial" w:hAnsi="Arial"/>
          <w:sz w:val="17"/>
          <w:szCs w:val="17"/>
          <w:color w:val="auto"/>
        </w:rPr>
        <w:t>We have a collaboration agreement with Genentech which entitles us to certain financial and other rights with respect to RITUXAN, GAZYVA, OCREVUS and other anti-CD20 product candidates.</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2573BA"/>
        </w:rPr>
        <w:t>Ionis Pharmaceuticals, Inc.</w:t>
      </w:r>
    </w:p>
    <w:p>
      <w:pPr>
        <w:spacing w:after="0" w:line="106" w:lineRule="exact"/>
        <w:rPr>
          <w:sz w:val="20"/>
          <w:szCs w:val="20"/>
          <w:color w:val="auto"/>
        </w:rPr>
      </w:pPr>
    </w:p>
    <w:p>
      <w:pPr>
        <w:ind w:left="320" w:right="60" w:firstLine="371"/>
        <w:spacing w:after="0" w:line="253" w:lineRule="auto"/>
        <w:rPr>
          <w:sz w:val="20"/>
          <w:szCs w:val="20"/>
          <w:color w:val="auto"/>
        </w:rPr>
      </w:pPr>
      <w:r>
        <w:rPr>
          <w:rFonts w:ascii="Arial" w:cs="Arial" w:eastAsia="Arial" w:hAnsi="Arial"/>
          <w:sz w:val="17"/>
          <w:szCs w:val="17"/>
          <w:color w:val="auto"/>
        </w:rPr>
        <w:t>We have an exclusive, worldwide option and collaboration agreement with Ionis relating to the development and commercialization of up to three gene targets, and an exclusive, worldwide option and collaboration agreement with Ionis under which both companies are responsible for the development and commercialization of SPINRAZA for the treatment of SMA.</w:t>
      </w:r>
    </w:p>
    <w:p>
      <w:pPr>
        <w:spacing w:after="0" w:line="147" w:lineRule="exact"/>
        <w:rPr>
          <w:sz w:val="20"/>
          <w:szCs w:val="20"/>
          <w:color w:val="auto"/>
        </w:rPr>
      </w:pPr>
    </w:p>
    <w:p>
      <w:pPr>
        <w:ind w:left="320" w:right="20" w:firstLine="371"/>
        <w:spacing w:after="0" w:line="254" w:lineRule="auto"/>
        <w:rPr>
          <w:sz w:val="20"/>
          <w:szCs w:val="20"/>
          <w:color w:val="auto"/>
        </w:rPr>
      </w:pPr>
      <w:r>
        <w:rPr>
          <w:rFonts w:ascii="Arial" w:cs="Arial" w:eastAsia="Arial" w:hAnsi="Arial"/>
          <w:sz w:val="17"/>
          <w:szCs w:val="17"/>
          <w:color w:val="auto"/>
        </w:rPr>
        <w:t>We also have research collaboration agreements with Ionis, under which both companies perform discovery level research and will develop and commercialize new ASO drug candidates for the treatment of SMA and additional antisense and other therapeutics for the treatment of neurological disorders.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2573BA"/>
        </w:rPr>
        <w:t>Neurimmune</w:t>
      </w:r>
    </w:p>
    <w:p>
      <w:pPr>
        <w:spacing w:after="0" w:line="106" w:lineRule="exact"/>
        <w:rPr>
          <w:sz w:val="20"/>
          <w:szCs w:val="20"/>
          <w:color w:val="auto"/>
        </w:rPr>
      </w:pPr>
    </w:p>
    <w:p>
      <w:pPr>
        <w:ind w:left="320" w:right="120" w:firstLine="371"/>
        <w:spacing w:after="0" w:line="254" w:lineRule="auto"/>
        <w:rPr>
          <w:sz w:val="20"/>
          <w:szCs w:val="20"/>
          <w:color w:val="auto"/>
        </w:rPr>
      </w:pPr>
      <w:r>
        <w:rPr>
          <w:rFonts w:ascii="Arial" w:cs="Arial" w:eastAsia="Arial" w:hAnsi="Arial"/>
          <w:sz w:val="17"/>
          <w:szCs w:val="17"/>
          <w:color w:val="auto"/>
        </w:rPr>
        <w:t>We have a collaboration and license agreement with Neurimmune for the development and commercialization of antibodies for the treatment of AD, including aducanumab. Under this agreement, we are responsible for the development, manufacturing and commercialization of all licensed products.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20</w:t>
      </w:r>
    </w:p>
    <w:p>
      <w:pPr>
        <w:sectPr>
          <w:pgSz w:w="11900" w:h="16838" w:orient="portrait"/>
          <w:cols w:equalWidth="0" w:num="2">
            <w:col w:w="5440" w:space="180"/>
            <w:col w:w="5800"/>
          </w:cols>
          <w:pgMar w:left="240" w:top="144" w:right="239" w:bottom="1440" w:gutter="0" w:footer="0" w:header="0"/>
          <w:type w:val="continuous"/>
        </w:sectPr>
      </w:pPr>
    </w:p>
    <w:bookmarkStart w:id="24" w:name="page25"/>
    <w:bookmarkEnd w:id="2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36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Samsung Bioepis</w:t>
      </w:r>
    </w:p>
    <w:p>
      <w:pPr>
        <w:spacing w:after="0" w:line="106" w:lineRule="exact"/>
        <w:rPr>
          <w:sz w:val="20"/>
          <w:szCs w:val="20"/>
          <w:color w:val="auto"/>
        </w:rPr>
      </w:pPr>
    </w:p>
    <w:p>
      <w:pPr>
        <w:ind w:firstLine="371"/>
        <w:spacing w:after="0" w:line="253" w:lineRule="auto"/>
        <w:rPr>
          <w:sz w:val="20"/>
          <w:szCs w:val="20"/>
          <w:color w:val="auto"/>
        </w:rPr>
      </w:pPr>
      <w:r>
        <w:rPr>
          <w:rFonts w:ascii="Arial" w:cs="Arial" w:eastAsia="Arial" w:hAnsi="Arial"/>
          <w:sz w:val="17"/>
          <w:szCs w:val="17"/>
          <w:color w:val="auto"/>
        </w:rPr>
        <w:t>We and Samsung Biologics established a joint venture, Samsung Bioepis, to develop, manufacture and market biosimilar pharmaceuticals. We also have an agreement with Samsung Bioepis to commercialize, over a 10-year term, three anti-TNF biosimilar product candidates in specified E.U. countries and, in the case of BENEPALI, Japan. Under this agreement, we are manufacturing and commercializing BENEPALI, an etanercept biosimilar referencing ENBREL, and FLIXABI, an infliximab biosimilar referencing REMICADE.</w:t>
      </w:r>
    </w:p>
    <w:p>
      <w:pPr>
        <w:spacing w:after="0" w:line="144" w:lineRule="exact"/>
        <w:rPr>
          <w:sz w:val="20"/>
          <w:szCs w:val="20"/>
          <w:color w:val="auto"/>
        </w:rPr>
      </w:pPr>
    </w:p>
    <w:p>
      <w:pPr>
        <w:ind w:right="60" w:firstLine="371"/>
        <w:spacing w:after="0" w:line="253" w:lineRule="auto"/>
        <w:rPr>
          <w:sz w:val="20"/>
          <w:szCs w:val="20"/>
          <w:color w:val="auto"/>
        </w:rPr>
      </w:pPr>
      <w:r>
        <w:rPr>
          <w:rFonts w:ascii="Arial" w:cs="Arial" w:eastAsia="Arial" w:hAnsi="Arial"/>
          <w:sz w:val="17"/>
          <w:szCs w:val="17"/>
          <w:color w:val="auto"/>
        </w:rPr>
        <w:t>In addition to our joint venture and commercialization agreement with Samsung Bioepis, we license certain of our proprietary technology to Samsung Bioepis in connection with Samsung Bioepis' development, manufacture and commercialization of its biosimilar products. We also provide technical development and technology transfer services to Samsung Bioepis, and manufacture clinical and commercial quantities of bulk drug substance of Samsung Bioepis' biosimilar products.</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University of Pennsylvania</w:t>
      </w:r>
    </w:p>
    <w:p>
      <w:pPr>
        <w:spacing w:after="0" w:line="106" w:lineRule="exact"/>
        <w:rPr>
          <w:sz w:val="20"/>
          <w:szCs w:val="20"/>
          <w:color w:val="auto"/>
        </w:rPr>
      </w:pPr>
    </w:p>
    <w:p>
      <w:pPr>
        <w:ind w:right="20" w:firstLine="371"/>
        <w:spacing w:after="0" w:line="253" w:lineRule="auto"/>
        <w:rPr>
          <w:sz w:val="20"/>
          <w:szCs w:val="20"/>
          <w:color w:val="auto"/>
        </w:rPr>
      </w:pPr>
      <w:r>
        <w:rPr>
          <w:rFonts w:ascii="Arial" w:cs="Arial" w:eastAsia="Arial" w:hAnsi="Arial"/>
          <w:sz w:val="17"/>
          <w:szCs w:val="17"/>
          <w:color w:val="auto"/>
        </w:rPr>
        <w:t>We have a collaboration and alliance with the University of Pennsylvania (UPenn) to advance gene therapy and gene editing technologies. The collaboration is primarily focused on the development of therapeutic approaches that target the eye, skeletal muscle and the central nervous system. The alliance is also focused on the research and validation of next-generation gene transfer technology using adeno-associated virus gene delivery vectors and exploring the expanded use of genome editing technology as a potential therapeutic platform.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578196"/>
        </w:rPr>
        <w:t>Regulatory</w:t>
      </w:r>
    </w:p>
    <w:p>
      <w:pPr>
        <w:spacing w:after="0" w:line="109" w:lineRule="exact"/>
        <w:rPr>
          <w:sz w:val="20"/>
          <w:szCs w:val="20"/>
          <w:color w:val="auto"/>
        </w:rPr>
      </w:pPr>
    </w:p>
    <w:p>
      <w:pPr>
        <w:ind w:left="320" w:right="180" w:firstLine="371"/>
        <w:spacing w:after="0" w:line="257" w:lineRule="auto"/>
        <w:rPr>
          <w:sz w:val="20"/>
          <w:szCs w:val="20"/>
          <w:color w:val="auto"/>
        </w:rPr>
      </w:pPr>
      <w:r>
        <w:rPr>
          <w:rFonts w:ascii="Arial" w:cs="Arial" w:eastAsia="Arial" w:hAnsi="Arial"/>
          <w:sz w:val="17"/>
          <w:szCs w:val="17"/>
          <w:color w:val="auto"/>
        </w:rPr>
        <w:t>Our current and contemplated activities and the products, technologies and processes that result from such activities are subject to substantial government regulation.</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2573BA"/>
        </w:rPr>
        <w:t>Regulation of Pharmaceuticals</w:t>
      </w:r>
    </w:p>
    <w:p>
      <w:pPr>
        <w:spacing w:after="0" w:line="165" w:lineRule="exact"/>
        <w:rPr>
          <w:sz w:val="20"/>
          <w:szCs w:val="20"/>
          <w:color w:val="auto"/>
        </w:rPr>
      </w:pPr>
    </w:p>
    <w:p>
      <w:pPr>
        <w:jc w:val="center"/>
        <w:ind w:right="220"/>
        <w:spacing w:after="0"/>
        <w:rPr>
          <w:sz w:val="20"/>
          <w:szCs w:val="20"/>
          <w:color w:val="auto"/>
        </w:rPr>
      </w:pPr>
      <w:r>
        <w:rPr>
          <w:rFonts w:ascii="Arial" w:cs="Arial" w:eastAsia="Arial" w:hAnsi="Arial"/>
          <w:sz w:val="17"/>
          <w:szCs w:val="17"/>
          <w:i w:val="1"/>
          <w:iCs w:val="1"/>
          <w:color w:val="538235"/>
        </w:rPr>
        <w:t>Product Approval and Post-Approval Regulation in the U.S.</w:t>
      </w:r>
    </w:p>
    <w:p>
      <w:pPr>
        <w:spacing w:after="0" w:line="163" w:lineRule="exact"/>
        <w:rPr>
          <w:sz w:val="20"/>
          <w:szCs w:val="20"/>
          <w:color w:val="auto"/>
        </w:rPr>
      </w:pPr>
    </w:p>
    <w:p>
      <w:pPr>
        <w:ind w:left="2280"/>
        <w:spacing w:after="0"/>
        <w:rPr>
          <w:sz w:val="20"/>
          <w:szCs w:val="20"/>
          <w:color w:val="auto"/>
        </w:rPr>
      </w:pPr>
      <w:r>
        <w:rPr>
          <w:rFonts w:ascii="Arial" w:cs="Arial" w:eastAsia="Arial" w:hAnsi="Arial"/>
          <w:sz w:val="17"/>
          <w:szCs w:val="17"/>
          <w:i w:val="1"/>
          <w:iCs w:val="1"/>
          <w:color w:val="auto"/>
        </w:rPr>
        <w:t>APPROVAL PROCESS</w:t>
      </w:r>
    </w:p>
    <w:p>
      <w:pPr>
        <w:spacing w:after="0" w:line="104" w:lineRule="exact"/>
        <w:rPr>
          <w:sz w:val="20"/>
          <w:szCs w:val="20"/>
          <w:color w:val="auto"/>
        </w:rPr>
      </w:pPr>
    </w:p>
    <w:p>
      <w:pPr>
        <w:ind w:left="320" w:right="40" w:firstLine="384"/>
        <w:spacing w:after="0" w:line="252" w:lineRule="auto"/>
        <w:rPr>
          <w:sz w:val="20"/>
          <w:szCs w:val="20"/>
          <w:color w:val="auto"/>
        </w:rPr>
      </w:pPr>
      <w:r>
        <w:rPr>
          <w:rFonts w:ascii="Arial" w:cs="Arial" w:eastAsia="Arial" w:hAnsi="Arial"/>
          <w:sz w:val="17"/>
          <w:szCs w:val="17"/>
          <w:color w:val="auto"/>
        </w:rPr>
        <w:t>Before new pharmaceutical products may be sold in the U.S., preclinical studies and clinical trials of the products must be conducted and the results submitted to the FDA for approval. With limited exceptions, the FDA requires companies to register both pre-approval and post-approval clinical trials and disclose clinical trial results in public databases. Failure to register a trial or disclose study results within the required time periods could result in penalties, including civil monetary penalties. Clinical trial programs must establish efficacy, determine an appropriate dose and dosing regimen, and define the conditions for safe use. This is a high-risk process that requires stepwise clinical studies in which the candidate product must successfully meet predetermined endpoints. The results of the preclinical and clinical testing of a product are then submitted to the FDA in the form of a Biologics License Application (BLA) or a New Drug Application (NDA). In response to a BLA or NDA, the FDA may grant marketing approval, request additional information or deny the application if it determines the application does not provide an adequate basis for approval.</w:t>
      </w:r>
    </w:p>
    <w:p>
      <w:pPr>
        <w:spacing w:after="0" w:line="148" w:lineRule="exact"/>
        <w:rPr>
          <w:sz w:val="20"/>
          <w:szCs w:val="20"/>
          <w:color w:val="auto"/>
        </w:rPr>
      </w:pPr>
    </w:p>
    <w:p>
      <w:pPr>
        <w:ind w:left="320" w:firstLine="384"/>
        <w:spacing w:after="0" w:line="252" w:lineRule="auto"/>
        <w:rPr>
          <w:sz w:val="20"/>
          <w:szCs w:val="20"/>
          <w:color w:val="auto"/>
        </w:rPr>
      </w:pPr>
      <w:r>
        <w:rPr>
          <w:rFonts w:ascii="Arial" w:cs="Arial" w:eastAsia="Arial" w:hAnsi="Arial"/>
          <w:sz w:val="17"/>
          <w:szCs w:val="17"/>
          <w:color w:val="auto"/>
        </w:rPr>
        <w:t>Product development and receipt of regulatory approval takes a number of years, involves the expenditure of substantial resources and depends on a number of factors, including the severity of the disease in question, the availability of alternative treatments, potential safety signals observed in preclinical or clinical tests and the risks and benefits of the product as demonstrated in clinical trials. The FDA has substantial discretion in the product approval process, and it is impossible to predict with any certainty whether and when the FDA will grant marketing approval. The agency may require the sponsor of a BLA or NDA to conduct additional clinical studies or to provide other scientific or technical information about the product, and these additional requirements may lead to unanticipated delay or expense. Furthermore, even if a product is approved, the approval may be subject to limitations based on the FDA's interpretation of the existing pre-clinical or clinical data.</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21</w:t>
      </w:r>
    </w:p>
    <w:p>
      <w:pPr>
        <w:sectPr>
          <w:pgSz w:w="11900" w:h="16838" w:orient="portrait"/>
          <w:cols w:equalWidth="0" w:num="2">
            <w:col w:w="5460" w:space="160"/>
            <w:col w:w="5800"/>
          </w:cols>
          <w:pgMar w:left="240" w:top="144" w:right="239" w:bottom="1440" w:gutter="0" w:footer="0" w:header="0"/>
          <w:type w:val="continuous"/>
        </w:sectPr>
      </w:pPr>
    </w:p>
    <w:bookmarkStart w:id="25" w:name="page26"/>
    <w:bookmarkEnd w:id="2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383" w:lineRule="exact"/>
        <w:rPr>
          <w:sz w:val="20"/>
          <w:szCs w:val="20"/>
          <w:color w:val="auto"/>
        </w:rPr>
      </w:pPr>
    </w:p>
    <w:p>
      <w:pPr>
        <w:ind w:right="20" w:firstLine="384"/>
        <w:spacing w:after="0" w:line="254" w:lineRule="auto"/>
        <w:rPr>
          <w:sz w:val="20"/>
          <w:szCs w:val="20"/>
          <w:color w:val="auto"/>
        </w:rPr>
      </w:pPr>
      <w:r>
        <w:rPr>
          <w:rFonts w:ascii="Arial" w:cs="Arial" w:eastAsia="Arial" w:hAnsi="Arial"/>
          <w:sz w:val="17"/>
          <w:szCs w:val="17"/>
          <w:color w:val="auto"/>
        </w:rPr>
        <w:t>The FDA has developed four distinct approaches intended to make therapeutically important drugs available as rapidly as possible, especially when the drugs are the first available treatment or have advantages over existing treatments: accelerated approval, fast track, breakthrough therapy and priority review.</w:t>
      </w:r>
    </w:p>
    <w:p>
      <w:pPr>
        <w:spacing w:after="0" w:line="126" w:lineRule="exact"/>
        <w:rPr>
          <w:sz w:val="20"/>
          <w:szCs w:val="20"/>
          <w:color w:val="auto"/>
        </w:rPr>
      </w:pPr>
    </w:p>
    <w:p>
      <w:pPr>
        <w:ind w:left="380" w:hanging="301"/>
        <w:spacing w:after="0" w:line="253" w:lineRule="auto"/>
        <w:tabs>
          <w:tab w:leader="none" w:pos="380" w:val="left"/>
        </w:tabs>
        <w:numPr>
          <w:ilvl w:val="0"/>
          <w:numId w:val="32"/>
        </w:numPr>
        <w:rPr>
          <w:rFonts w:ascii="Arial" w:cs="Arial" w:eastAsia="Arial" w:hAnsi="Arial"/>
          <w:sz w:val="17"/>
          <w:szCs w:val="17"/>
          <w:i w:val="1"/>
          <w:iCs w:val="1"/>
          <w:color w:val="auto"/>
        </w:rPr>
      </w:pPr>
      <w:r>
        <w:rPr>
          <w:rFonts w:ascii="Arial" w:cs="Arial" w:eastAsia="Arial" w:hAnsi="Arial"/>
          <w:sz w:val="17"/>
          <w:szCs w:val="17"/>
          <w:i w:val="1"/>
          <w:iCs w:val="1"/>
          <w:color w:val="auto"/>
        </w:rPr>
        <w:t>Accelerated Approval</w:t>
      </w:r>
      <w:r>
        <w:rPr>
          <w:rFonts w:ascii="Arial" w:cs="Arial" w:eastAsia="Arial" w:hAnsi="Arial"/>
          <w:sz w:val="17"/>
          <w:szCs w:val="17"/>
          <w:color w:val="auto"/>
        </w:rPr>
        <w:t>: The FDA may grant “accelerated approval”</w:t>
      </w:r>
      <w:r>
        <w:rPr>
          <w:rFonts w:ascii="Arial" w:cs="Arial" w:eastAsia="Arial" w:hAnsi="Arial"/>
          <w:sz w:val="17"/>
          <w:szCs w:val="17"/>
          <w:i w:val="1"/>
          <w:iCs w:val="1"/>
          <w:color w:val="auto"/>
        </w:rPr>
        <w:t xml:space="preserve"> </w:t>
      </w:r>
      <w:r>
        <w:rPr>
          <w:rFonts w:ascii="Arial" w:cs="Arial" w:eastAsia="Arial" w:hAnsi="Arial"/>
          <w:sz w:val="17"/>
          <w:szCs w:val="17"/>
          <w:color w:val="auto"/>
        </w:rPr>
        <w:t>status to products that treat serious or life-threatening illnesses and that provide meaningful therapeutic benefits to patients over existing treatments. Under this pathway, the FDA may approve a product based on surrogate endpoints, or clinical endpoints other than survival or irreversible morbidity. When approval is based on surrogate endpoints or clinical endpoints other than survival or morbidity, the sponsor will be required to conduct additional post-approval clinical studies to verify and describe clinical benefit. Under the FDA's accelerated approval regulations, if the FDA concludes that a drug that has been shown to be effective can be safely used only if distribution or use is restricted, it may require certain post-marketing restrictions as necessary to assure safe use. In addition, for products approved under accelerated approval, sponsors may be required to submit all copies of their promotional materials, including advertisements, to the FDA at least 30 days prior to initial dissemination. The FDA may withdraw approval under accelerated approval after a hearing if, for instance, post-marketing studies fail to verify any clinical benefit, it becomes clear that restrictions on the distribution of the product are inadequate to ensure its safe use, or if a sponsor fails to comply with the conditions of the accelerated approval.</w:t>
      </w:r>
    </w:p>
    <w:p>
      <w:pPr>
        <w:spacing w:after="0" w:line="128" w:lineRule="exact"/>
        <w:rPr>
          <w:rFonts w:ascii="Arial" w:cs="Arial" w:eastAsia="Arial" w:hAnsi="Arial"/>
          <w:sz w:val="17"/>
          <w:szCs w:val="17"/>
          <w:i w:val="1"/>
          <w:iCs w:val="1"/>
          <w:color w:val="auto"/>
        </w:rPr>
      </w:pPr>
    </w:p>
    <w:p>
      <w:pPr>
        <w:ind w:left="380" w:hanging="301"/>
        <w:spacing w:after="0" w:line="259" w:lineRule="auto"/>
        <w:tabs>
          <w:tab w:leader="none" w:pos="38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Fast Track Status</w:t>
      </w:r>
      <w:r>
        <w:rPr>
          <w:rFonts w:ascii="Arial" w:cs="Arial" w:eastAsia="Arial" w:hAnsi="Arial"/>
          <w:sz w:val="17"/>
          <w:szCs w:val="17"/>
          <w:color w:val="auto"/>
        </w:rPr>
        <w:t>: The FDA may grant "fast track" status to</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that treat a serious condition and have data demonstrating the potential to address an unmet medical need or a drug that has been designated as a qualified infectious disease product.</w:t>
      </w:r>
    </w:p>
    <w:p>
      <w:pPr>
        <w:spacing w:after="0" w:line="123" w:lineRule="exact"/>
        <w:rPr>
          <w:rFonts w:ascii="Arial" w:cs="Arial" w:eastAsia="Arial" w:hAnsi="Arial"/>
          <w:sz w:val="17"/>
          <w:szCs w:val="17"/>
          <w:color w:val="auto"/>
        </w:rPr>
      </w:pPr>
    </w:p>
    <w:p>
      <w:pPr>
        <w:ind w:left="380" w:hanging="301"/>
        <w:spacing w:after="0" w:line="255" w:lineRule="auto"/>
        <w:tabs>
          <w:tab w:leader="none" w:pos="380" w:val="left"/>
        </w:tabs>
        <w:numPr>
          <w:ilvl w:val="0"/>
          <w:numId w:val="32"/>
        </w:numPr>
        <w:rPr>
          <w:rFonts w:ascii="Arial" w:cs="Arial" w:eastAsia="Arial" w:hAnsi="Arial"/>
          <w:sz w:val="17"/>
          <w:szCs w:val="17"/>
          <w:i w:val="1"/>
          <w:iCs w:val="1"/>
          <w:color w:val="auto"/>
        </w:rPr>
      </w:pPr>
      <w:r>
        <w:rPr>
          <w:rFonts w:ascii="Arial" w:cs="Arial" w:eastAsia="Arial" w:hAnsi="Arial"/>
          <w:sz w:val="17"/>
          <w:szCs w:val="17"/>
          <w:i w:val="1"/>
          <w:iCs w:val="1"/>
          <w:color w:val="auto"/>
        </w:rPr>
        <w:t>Breakthrough Therapy</w:t>
      </w:r>
      <w:r>
        <w:rPr>
          <w:rFonts w:ascii="Arial" w:cs="Arial" w:eastAsia="Arial" w:hAnsi="Arial"/>
          <w:sz w:val="17"/>
          <w:szCs w:val="17"/>
          <w:color w:val="auto"/>
        </w:rPr>
        <w:t>: The FDA may grant “breakthrough therapy”</w:t>
      </w:r>
      <w:r>
        <w:rPr>
          <w:rFonts w:ascii="Arial" w:cs="Arial" w:eastAsia="Arial" w:hAnsi="Arial"/>
          <w:sz w:val="17"/>
          <w:szCs w:val="17"/>
          <w:i w:val="1"/>
          <w:iCs w:val="1"/>
          <w:color w:val="auto"/>
        </w:rPr>
        <w:t xml:space="preserve"> </w:t>
      </w:r>
      <w:r>
        <w:rPr>
          <w:rFonts w:ascii="Arial" w:cs="Arial" w:eastAsia="Arial" w:hAnsi="Arial"/>
          <w:sz w:val="17"/>
          <w:szCs w:val="17"/>
          <w:color w:val="auto"/>
        </w:rPr>
        <w:t>status to drugs designed to treat, alone or in combination with another drug or drugs, a serious or life-threatening disease or condition and for which preliminary clinical evidence suggests a substantial improvement over existing therapies. Such drugs need not address an unmet need, but are nevertheless eligible for expedited review if they offer the potential for an improvement. Breakthrough therapy status entitles the sponsor to earlier and more frequent meetings with the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jc w:val="both"/>
        <w:ind w:left="700" w:right="40"/>
        <w:spacing w:after="0" w:line="298" w:lineRule="auto"/>
        <w:rPr>
          <w:sz w:val="20"/>
          <w:szCs w:val="20"/>
          <w:color w:val="auto"/>
        </w:rPr>
      </w:pPr>
      <w:r>
        <w:rPr>
          <w:rFonts w:ascii="Arial" w:cs="Arial" w:eastAsia="Arial" w:hAnsi="Arial"/>
          <w:sz w:val="17"/>
          <w:szCs w:val="17"/>
          <w:color w:val="auto"/>
        </w:rPr>
        <w:t>FDA regarding the development of nonclinical and clinical data and permits the FDA to offer product development or regulatory advice for the purpose of shortening the time to product approval.</w:t>
      </w:r>
    </w:p>
    <w:p>
      <w:pPr>
        <w:spacing w:after="0" w:line="2" w:lineRule="exact"/>
        <w:rPr>
          <w:sz w:val="20"/>
          <w:szCs w:val="20"/>
          <w:color w:val="auto"/>
        </w:rPr>
      </w:pPr>
    </w:p>
    <w:p>
      <w:pPr>
        <w:jc w:val="both"/>
        <w:ind w:left="700" w:right="60"/>
        <w:spacing w:after="0" w:line="304" w:lineRule="auto"/>
        <w:rPr>
          <w:sz w:val="20"/>
          <w:szCs w:val="20"/>
          <w:color w:val="auto"/>
        </w:rPr>
      </w:pPr>
      <w:r>
        <w:rPr>
          <w:rFonts w:ascii="Arial" w:cs="Arial" w:eastAsia="Arial" w:hAnsi="Arial"/>
          <w:sz w:val="17"/>
          <w:szCs w:val="17"/>
          <w:color w:val="auto"/>
        </w:rPr>
        <w:t>Breakthrough therapy status does not guarantee that a product will be developed or reviewed more quickly and does not ensure FDA approval.</w:t>
      </w:r>
    </w:p>
    <w:p>
      <w:pPr>
        <w:spacing w:after="0" w:line="97" w:lineRule="exact"/>
        <w:rPr>
          <w:sz w:val="20"/>
          <w:szCs w:val="20"/>
          <w:color w:val="auto"/>
        </w:rPr>
      </w:pPr>
    </w:p>
    <w:p>
      <w:pPr>
        <w:ind w:left="700" w:hanging="301"/>
        <w:spacing w:after="0" w:line="254" w:lineRule="auto"/>
        <w:tabs>
          <w:tab w:leader="none" w:pos="700" w:val="left"/>
        </w:tabs>
        <w:numPr>
          <w:ilvl w:val="0"/>
          <w:numId w:val="33"/>
        </w:numPr>
        <w:rPr>
          <w:rFonts w:ascii="Arial" w:cs="Arial" w:eastAsia="Arial" w:hAnsi="Arial"/>
          <w:sz w:val="17"/>
          <w:szCs w:val="17"/>
          <w:i w:val="1"/>
          <w:iCs w:val="1"/>
          <w:color w:val="auto"/>
        </w:rPr>
      </w:pPr>
      <w:r>
        <w:rPr>
          <w:rFonts w:ascii="Arial" w:cs="Arial" w:eastAsia="Arial" w:hAnsi="Arial"/>
          <w:sz w:val="17"/>
          <w:szCs w:val="17"/>
          <w:i w:val="1"/>
          <w:iCs w:val="1"/>
          <w:color w:val="auto"/>
        </w:rPr>
        <w:t>Priority Review</w:t>
      </w:r>
      <w:r>
        <w:rPr>
          <w:rFonts w:ascii="Arial" w:cs="Arial" w:eastAsia="Arial" w:hAnsi="Arial"/>
          <w:sz w:val="17"/>
          <w:szCs w:val="17"/>
          <w:color w:val="auto"/>
        </w:rPr>
        <w:t>: Priority Review only applies to applications</w:t>
      </w:r>
      <w:r>
        <w:rPr>
          <w:rFonts w:ascii="Arial" w:cs="Arial" w:eastAsia="Arial" w:hAnsi="Arial"/>
          <w:sz w:val="17"/>
          <w:szCs w:val="17"/>
          <w:i w:val="1"/>
          <w:iCs w:val="1"/>
          <w:color w:val="auto"/>
        </w:rPr>
        <w:t xml:space="preserve"> </w:t>
      </w:r>
      <w:r>
        <w:rPr>
          <w:rFonts w:ascii="Arial" w:cs="Arial" w:eastAsia="Arial" w:hAnsi="Arial"/>
          <w:sz w:val="17"/>
          <w:szCs w:val="17"/>
          <w:color w:val="auto"/>
        </w:rPr>
        <w:t>(original or efficacy supplement) for a drug that treats a serious condition and, if approved, would provide a significant improvement in safety or effectiveness of the treatment, diagnosis or prevention of serious conditions when compared to standard applications. Priority Review may also be granted for any supplement that proposes a labeling change due to studies completed in response to a written request from the FDA for pediatric studies, for an application for a drug that has been designated as a qualified infectious disease product, or any application or supplement for a drug submitted with a priority review voucher.</w:t>
      </w:r>
    </w:p>
    <w:p>
      <w:pPr>
        <w:spacing w:after="0" w:line="149" w:lineRule="exact"/>
        <w:rPr>
          <w:rFonts w:ascii="Arial" w:cs="Arial" w:eastAsia="Arial" w:hAnsi="Arial"/>
          <w:sz w:val="17"/>
          <w:szCs w:val="17"/>
          <w:i w:val="1"/>
          <w:iCs w:val="1"/>
          <w:color w:val="auto"/>
        </w:rPr>
      </w:pPr>
    </w:p>
    <w:p>
      <w:pPr>
        <w:ind w:left="700" w:right="380"/>
        <w:spacing w:after="0" w:line="251" w:lineRule="auto"/>
        <w:rPr>
          <w:rFonts w:ascii="Arial" w:cs="Arial" w:eastAsia="Arial" w:hAnsi="Arial"/>
          <w:sz w:val="17"/>
          <w:szCs w:val="17"/>
          <w:i w:val="1"/>
          <w:iCs w:val="1"/>
          <w:color w:val="auto"/>
        </w:rPr>
      </w:pPr>
      <w:r>
        <w:rPr>
          <w:rFonts w:ascii="Arial" w:cs="Arial" w:eastAsia="Arial" w:hAnsi="Arial"/>
          <w:sz w:val="17"/>
          <w:szCs w:val="17"/>
          <w:color w:val="auto"/>
        </w:rPr>
        <w:t>In December 2016, the FDA issued us a rare pediatric disease priority review voucher in connection with the approval of</w:t>
      </w:r>
    </w:p>
    <w:p>
      <w:pPr>
        <w:ind w:left="700"/>
        <w:spacing w:after="0"/>
        <w:rPr>
          <w:rFonts w:ascii="Arial" w:cs="Arial" w:eastAsia="Arial" w:hAnsi="Arial"/>
          <w:sz w:val="17"/>
          <w:szCs w:val="17"/>
          <w:i w:val="1"/>
          <w:iCs w:val="1"/>
          <w:color w:val="auto"/>
        </w:rPr>
      </w:pPr>
      <w:r>
        <w:rPr>
          <w:rFonts w:ascii="Arial" w:cs="Arial" w:eastAsia="Arial" w:hAnsi="Arial"/>
          <w:sz w:val="17"/>
          <w:szCs w:val="17"/>
          <w:color w:val="auto"/>
        </w:rPr>
        <w:t>SPINRAZA.</w:t>
      </w:r>
    </w:p>
    <w:p>
      <w:pPr>
        <w:spacing w:after="0" w:line="145" w:lineRule="exact"/>
        <w:rPr>
          <w:sz w:val="20"/>
          <w:szCs w:val="20"/>
          <w:color w:val="auto"/>
        </w:rPr>
      </w:pPr>
    </w:p>
    <w:p>
      <w:pPr>
        <w:ind w:left="2020"/>
        <w:spacing w:after="0"/>
        <w:rPr>
          <w:sz w:val="20"/>
          <w:szCs w:val="20"/>
          <w:color w:val="auto"/>
        </w:rPr>
      </w:pPr>
      <w:r>
        <w:rPr>
          <w:rFonts w:ascii="Arial" w:cs="Arial" w:eastAsia="Arial" w:hAnsi="Arial"/>
          <w:sz w:val="17"/>
          <w:szCs w:val="17"/>
          <w:i w:val="1"/>
          <w:iCs w:val="1"/>
          <w:color w:val="auto"/>
        </w:rPr>
        <w:t>POST-MARKETING STUDIES</w:t>
      </w:r>
    </w:p>
    <w:p>
      <w:pPr>
        <w:spacing w:after="0" w:line="104" w:lineRule="exact"/>
        <w:rPr>
          <w:sz w:val="20"/>
          <w:szCs w:val="20"/>
          <w:color w:val="auto"/>
        </w:rPr>
      </w:pPr>
    </w:p>
    <w:p>
      <w:pPr>
        <w:ind w:left="320" w:right="80" w:firstLine="384"/>
        <w:spacing w:after="0" w:line="252" w:lineRule="auto"/>
        <w:rPr>
          <w:sz w:val="20"/>
          <w:szCs w:val="20"/>
          <w:color w:val="auto"/>
        </w:rPr>
      </w:pPr>
      <w:r>
        <w:rPr>
          <w:rFonts w:ascii="Arial" w:cs="Arial" w:eastAsia="Arial" w:hAnsi="Arial"/>
          <w:sz w:val="17"/>
          <w:szCs w:val="17"/>
          <w:color w:val="auto"/>
        </w:rPr>
        <w:t>Regardless of the approval pathway employed, the FDA may require a sponsor to conduct additional post-marketing studies as a condition of approval to provide data on safety and effectiveness. If a sponsor fails to conduct the required studies, the agency may withdraw its approval. In addition, if the FDA concludes that a drug that has been shown to be effective can be safely used only if distribution or use is restricted, it can mandate post-marketing restrictions as necessary to assure safe use. In such a case, the sponsor may be required to establish rigorous systems to assure use of the product under safe conditions. These systems are usually referred to as Risk Evaluation and Mitigation Strategies (REMS). The FDA can impose financial penalties for failing to comply with certain post-marketing commitments, including REMS. In addition, any changes to an approved REMS must be reviewed and approved by the FDA prior to implementation.</w:t>
      </w:r>
    </w:p>
    <w:p>
      <w:pPr>
        <w:spacing w:after="0" w:line="131" w:lineRule="exact"/>
        <w:rPr>
          <w:sz w:val="20"/>
          <w:szCs w:val="20"/>
          <w:color w:val="auto"/>
        </w:rPr>
      </w:pPr>
    </w:p>
    <w:p>
      <w:pPr>
        <w:ind w:left="1940"/>
        <w:spacing w:after="0"/>
        <w:rPr>
          <w:sz w:val="20"/>
          <w:szCs w:val="20"/>
          <w:color w:val="auto"/>
        </w:rPr>
      </w:pPr>
      <w:r>
        <w:rPr>
          <w:rFonts w:ascii="Arial" w:cs="Arial" w:eastAsia="Arial" w:hAnsi="Arial"/>
          <w:sz w:val="17"/>
          <w:szCs w:val="17"/>
          <w:i w:val="1"/>
          <w:iCs w:val="1"/>
          <w:color w:val="auto"/>
        </w:rPr>
        <w:t>ADVERSE EVENT REPORTING</w:t>
      </w:r>
    </w:p>
    <w:p>
      <w:pPr>
        <w:spacing w:after="0" w:line="104" w:lineRule="exact"/>
        <w:rPr>
          <w:sz w:val="20"/>
          <w:szCs w:val="20"/>
          <w:color w:val="auto"/>
        </w:rPr>
      </w:pPr>
    </w:p>
    <w:p>
      <w:pPr>
        <w:ind w:left="320" w:right="120" w:firstLine="384"/>
        <w:spacing w:after="0" w:line="253" w:lineRule="auto"/>
        <w:rPr>
          <w:sz w:val="20"/>
          <w:szCs w:val="20"/>
          <w:color w:val="auto"/>
        </w:rPr>
      </w:pPr>
      <w:r>
        <w:rPr>
          <w:rFonts w:ascii="Arial" w:cs="Arial" w:eastAsia="Arial" w:hAnsi="Arial"/>
          <w:sz w:val="17"/>
          <w:szCs w:val="17"/>
          <w:color w:val="auto"/>
        </w:rPr>
        <w:t>We monitor information on side effects and adverse events reported during clinical studies and after marketing approval and report such information and events to regulatory agencies. Non-compliance with the FDA's safety reporting requirements may result in civil or criminal penalties. Side effects or adverse events that are reported during clinical trials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22</w:t>
      </w:r>
    </w:p>
    <w:p>
      <w:pPr>
        <w:sectPr>
          <w:pgSz w:w="11900" w:h="16838" w:orient="portrait"/>
          <w:cols w:equalWidth="0" w:num="2">
            <w:col w:w="5460" w:space="160"/>
            <w:col w:w="5800"/>
          </w:cols>
          <w:pgMar w:left="240" w:top="144" w:right="239" w:bottom="1440" w:gutter="0" w:footer="0" w:header="0"/>
          <w:type w:val="continuous"/>
        </w:sectPr>
      </w:pPr>
    </w:p>
    <w:bookmarkStart w:id="26" w:name="page27"/>
    <w:bookmarkEnd w:id="2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400"/>
          </w:cols>
          <w:pgMar w:left="240" w:top="144" w:right="259" w:bottom="1440" w:gutter="0" w:footer="0" w:header="0"/>
        </w:sectPr>
      </w:pPr>
    </w:p>
    <w:p>
      <w:pPr>
        <w:spacing w:after="0" w:line="306"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can delay, impede or prevent marketing approval. Based on new safety information that emerges after approval, the FDA can mandate product labeling changes, impose a new REMS or the addition of elements to an existing REMS, require new post-marketing studies (including additional clinical trials), or suspend or withdraw approval of the product. These requirements may affect our ability to maintain marketing approval of our products or require us to make significant expenditures to obtain or maintain such approvals.</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APPROVAL OF CHANGES TO AN APPROVED PRODUCT</w:t>
      </w:r>
    </w:p>
    <w:p>
      <w:pPr>
        <w:spacing w:after="0" w:line="104" w:lineRule="exact"/>
        <w:rPr>
          <w:sz w:val="20"/>
          <w:szCs w:val="20"/>
          <w:color w:val="auto"/>
        </w:rPr>
      </w:pPr>
    </w:p>
    <w:p>
      <w:pPr>
        <w:ind w:right="60" w:firstLine="384"/>
        <w:spacing w:after="0" w:line="252" w:lineRule="auto"/>
        <w:rPr>
          <w:sz w:val="20"/>
          <w:szCs w:val="20"/>
          <w:color w:val="auto"/>
        </w:rPr>
      </w:pPr>
      <w:r>
        <w:rPr>
          <w:rFonts w:ascii="Arial" w:cs="Arial" w:eastAsia="Arial" w:hAnsi="Arial"/>
          <w:sz w:val="17"/>
          <w:szCs w:val="17"/>
          <w:color w:val="auto"/>
        </w:rPr>
        <w:t>If we seek to make certain types of changes to an approved product, such as adding a new indication, making certain manufacturing changes or changing manufacturers or suppliers of certain ingredients or components, the FDA will need to review and approve such changes in advance. In the case of a new indication, we are required to demonstrate with additional clinical data that the product is safe and effective for a use other than that initially approved. FDA regulatory review may result in denial or modification of the planned changes, or requirements to conduct additional tests or evaluations that can substantially delay or increase the cost of the planned changes.</w:t>
      </w:r>
    </w:p>
    <w:p>
      <w:pPr>
        <w:spacing w:after="0" w:line="132"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REGULATION OF PRODUCT ADVERTISING AND PROMOTION</w:t>
      </w:r>
    </w:p>
    <w:p>
      <w:pPr>
        <w:spacing w:after="0" w:line="104" w:lineRule="exact"/>
        <w:rPr>
          <w:sz w:val="20"/>
          <w:szCs w:val="20"/>
          <w:color w:val="auto"/>
        </w:rPr>
      </w:pPr>
    </w:p>
    <w:p>
      <w:pPr>
        <w:ind w:right="40" w:firstLine="384"/>
        <w:spacing w:after="0" w:line="252" w:lineRule="auto"/>
        <w:rPr>
          <w:sz w:val="20"/>
          <w:szCs w:val="20"/>
          <w:color w:val="auto"/>
        </w:rPr>
      </w:pPr>
      <w:r>
        <w:rPr>
          <w:rFonts w:ascii="Arial" w:cs="Arial" w:eastAsia="Arial" w:hAnsi="Arial"/>
          <w:sz w:val="17"/>
          <w:szCs w:val="17"/>
          <w:color w:val="auto"/>
        </w:rPr>
        <w:t>The FDA regulates all advertising and promotion activities and communications for products under its jurisdiction both before and after approval. Pursuant to FDA guidance, a company can make safety and efficacy claims from data either in or consistent with the label. However, physicians may prescribe legally available drugs for uses that are not described in the drug's labeling. Such off-label uses are common across medical specialties, and often reflect a physician's belief that the off-label use is the best treatment for patients. The FDA does not regulate the behavior of physicians in their choice of treatments, but FDA regulations do impose stringent restrictions on manufacturers' communications regarding off-label uses. Failure to comply with applicable FDA requirements may subject a company to adverse publicity, enforcement action by the FDA, corrective advertising and the full range of civil and criminal penalties available to the government.</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Regulation of Combination Products</w:t>
      </w:r>
    </w:p>
    <w:p>
      <w:pPr>
        <w:spacing w:after="0" w:line="104" w:lineRule="exact"/>
        <w:rPr>
          <w:sz w:val="20"/>
          <w:szCs w:val="20"/>
          <w:color w:val="auto"/>
        </w:rPr>
      </w:pPr>
    </w:p>
    <w:p>
      <w:pPr>
        <w:ind w:right="160" w:firstLine="384"/>
        <w:spacing w:after="0" w:line="254" w:lineRule="auto"/>
        <w:rPr>
          <w:sz w:val="20"/>
          <w:szCs w:val="20"/>
          <w:color w:val="auto"/>
        </w:rPr>
      </w:pPr>
      <w:r>
        <w:rPr>
          <w:rFonts w:ascii="Arial" w:cs="Arial" w:eastAsia="Arial" w:hAnsi="Arial"/>
          <w:sz w:val="17"/>
          <w:szCs w:val="17"/>
          <w:color w:val="auto"/>
        </w:rPr>
        <w:t>Combination products are defined by the FDA to include products comprising two or more regulated components (e.g., a biologic and a device). Biologics and devices each have their own regulatory requirements, and combination products may have additional requirements. Some of our marketed</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ind w:left="320" w:right="20"/>
        <w:spacing w:after="0" w:line="255" w:lineRule="auto"/>
        <w:rPr>
          <w:sz w:val="20"/>
          <w:szCs w:val="20"/>
          <w:color w:val="auto"/>
        </w:rPr>
      </w:pPr>
      <w:r>
        <w:rPr>
          <w:rFonts w:ascii="Arial" w:cs="Arial" w:eastAsia="Arial" w:hAnsi="Arial"/>
          <w:sz w:val="17"/>
          <w:szCs w:val="17"/>
          <w:color w:val="auto"/>
        </w:rPr>
        <w:t>products meet this definition and are regulated under this framework and similar regulations outside the U.S., and we expect that some of our pipeline product candidates may be evaluated for regulatory approval under this framework as well.</w:t>
      </w:r>
    </w:p>
    <w:p>
      <w:pPr>
        <w:spacing w:after="0" w:line="125"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538235"/>
        </w:rPr>
        <w:t>Product Approval and Post-Approval Regulation Outside the U.S.</w:t>
      </w:r>
    </w:p>
    <w:p>
      <w:pPr>
        <w:spacing w:after="0" w:line="104" w:lineRule="exact"/>
        <w:rPr>
          <w:sz w:val="20"/>
          <w:szCs w:val="20"/>
          <w:color w:val="auto"/>
        </w:rPr>
      </w:pPr>
    </w:p>
    <w:p>
      <w:pPr>
        <w:ind w:left="320" w:firstLine="410"/>
        <w:spacing w:after="0" w:line="252" w:lineRule="auto"/>
        <w:rPr>
          <w:sz w:val="20"/>
          <w:szCs w:val="20"/>
          <w:color w:val="auto"/>
        </w:rPr>
      </w:pPr>
      <w:r>
        <w:rPr>
          <w:rFonts w:ascii="Arial" w:cs="Arial" w:eastAsia="Arial" w:hAnsi="Arial"/>
          <w:sz w:val="17"/>
          <w:szCs w:val="17"/>
          <w:color w:val="auto"/>
        </w:rPr>
        <w:t>We market our products in numerous jurisdictions outside the U.S. Most of these jurisdictions have product approval and post-approval regulatory processes that are similar in principle to those in the U.S. In Europe, for example, where a substantial part of our ex-U.S. efforts are focused, there are several tracks for marketing approval, depending on the type of product for which approval is sought. Under the centralized procedure, a company submits a single application to the EMA. The marketing authorization application is similar to the NDA or BLA in the U.S. and is evaluated by the CHMP, the expert scientific committee of the EMA responsible for human medicines. If the CHMP determines that the marketing authorization application fulfills the requirements for quality, safety and efficacy and that the medicine has a positive benefit risk balance, it will adopt a positive opinion recommending grant of the marketing authorization by the EC. The CHMP opinion is not binding, but is typically adopted by the EC. A marketing application approved by the EC is valid in all member states of the E.U. The centralized procedure is required for all biological products, orphan medicinal products and new treatments for neurodegenerative disorders, and it is available for certain other products, including those which constitute a significant therapeutic, scientific or technical innovation.</w:t>
      </w:r>
    </w:p>
    <w:p>
      <w:pPr>
        <w:spacing w:after="0" w:line="147" w:lineRule="exact"/>
        <w:rPr>
          <w:sz w:val="20"/>
          <w:szCs w:val="20"/>
          <w:color w:val="auto"/>
        </w:rPr>
      </w:pPr>
    </w:p>
    <w:p>
      <w:pPr>
        <w:ind w:left="740"/>
        <w:spacing w:after="0"/>
        <w:rPr>
          <w:sz w:val="20"/>
          <w:szCs w:val="20"/>
          <w:color w:val="auto"/>
        </w:rPr>
      </w:pPr>
      <w:r>
        <w:rPr>
          <w:rFonts w:ascii="Arial" w:cs="Arial" w:eastAsia="Arial" w:hAnsi="Arial"/>
          <w:sz w:val="17"/>
          <w:szCs w:val="17"/>
          <w:color w:val="auto"/>
        </w:rPr>
        <w:t>In addition to the centralized procedure, Europe also has:</w:t>
      </w:r>
    </w:p>
    <w:p>
      <w:pPr>
        <w:spacing w:after="0" w:line="163" w:lineRule="exact"/>
        <w:rPr>
          <w:sz w:val="20"/>
          <w:szCs w:val="20"/>
          <w:color w:val="auto"/>
        </w:rPr>
      </w:pPr>
    </w:p>
    <w:p>
      <w:pPr>
        <w:ind w:left="700" w:right="100" w:hanging="301"/>
        <w:spacing w:after="0" w:line="254" w:lineRule="auto"/>
        <w:tabs>
          <w:tab w:leader="none" w:pos="7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national procedure, which requires an application to the competent authority of an E.U. country (if an application is to be made in more than one E.U. country, following approval in the first country, the applicant must submit applications in the other countries using the mutual recognition procedure);</w:t>
      </w:r>
    </w:p>
    <w:p>
      <w:pPr>
        <w:spacing w:after="0" w:line="143" w:lineRule="exact"/>
        <w:rPr>
          <w:rFonts w:ascii="Arial" w:cs="Arial" w:eastAsia="Arial" w:hAnsi="Arial"/>
          <w:sz w:val="17"/>
          <w:szCs w:val="17"/>
          <w:color w:val="auto"/>
        </w:rPr>
      </w:pPr>
    </w:p>
    <w:p>
      <w:pPr>
        <w:ind w:left="700" w:right="180" w:hanging="301"/>
        <w:spacing w:after="0" w:line="255" w:lineRule="auto"/>
        <w:tabs>
          <w:tab w:leader="none" w:pos="7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decentralized procedure, whereby applicants submit identical applications to several countries and receive simultaneous approval, if the medicine has not yet been authorized in any E.U. country; and</w:t>
      </w:r>
    </w:p>
    <w:p>
      <w:pPr>
        <w:spacing w:after="0" w:line="142" w:lineRule="exact"/>
        <w:rPr>
          <w:rFonts w:ascii="Arial" w:cs="Arial" w:eastAsia="Arial" w:hAnsi="Arial"/>
          <w:sz w:val="17"/>
          <w:szCs w:val="17"/>
          <w:color w:val="auto"/>
        </w:rPr>
      </w:pPr>
    </w:p>
    <w:p>
      <w:pPr>
        <w:jc w:val="both"/>
        <w:ind w:left="700" w:right="460" w:hanging="301"/>
        <w:spacing w:after="0" w:line="257" w:lineRule="auto"/>
        <w:tabs>
          <w:tab w:leader="none" w:pos="7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mutual recognition procedure, where applicants that have a medicine authorized in one E.U. country can apply for mutual recognition of this authorization in other E.U. countries.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23</w:t>
      </w:r>
    </w:p>
    <w:p>
      <w:pPr>
        <w:sectPr>
          <w:pgSz w:w="11900" w:h="16838" w:orient="portrait"/>
          <w:cols w:equalWidth="0" w:num="2">
            <w:col w:w="5480" w:space="140"/>
            <w:col w:w="5780"/>
          </w:cols>
          <w:pgMar w:left="240" w:top="144" w:right="259" w:bottom="1440" w:gutter="0" w:footer="0" w:header="0"/>
          <w:type w:val="continuous"/>
        </w:sectPr>
      </w:pPr>
    </w:p>
    <w:bookmarkStart w:id="27" w:name="page28"/>
    <w:bookmarkEnd w:id="2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383" w:lineRule="exact"/>
        <w:rPr>
          <w:sz w:val="20"/>
          <w:szCs w:val="20"/>
          <w:color w:val="auto"/>
        </w:rPr>
      </w:pPr>
    </w:p>
    <w:p>
      <w:pPr>
        <w:ind w:right="140" w:firstLine="384"/>
        <w:spacing w:after="0" w:line="262" w:lineRule="auto"/>
        <w:rPr>
          <w:sz w:val="20"/>
          <w:szCs w:val="20"/>
          <w:color w:val="auto"/>
        </w:rPr>
      </w:pPr>
      <w:r>
        <w:rPr>
          <w:rFonts w:ascii="Arial" w:cs="Arial" w:eastAsia="Arial" w:hAnsi="Arial"/>
          <w:sz w:val="17"/>
          <w:szCs w:val="17"/>
          <w:color w:val="auto"/>
        </w:rPr>
        <w:t>In the E.U., there is detailed legislation on pharmacovigilance and extensive guidance on good pharmacovigilance practices.</w:t>
      </w:r>
    </w:p>
    <w:p>
      <w:pPr>
        <w:spacing w:after="0" w:line="137" w:lineRule="exact"/>
        <w:rPr>
          <w:sz w:val="20"/>
          <w:szCs w:val="20"/>
          <w:color w:val="auto"/>
        </w:rPr>
      </w:pPr>
    </w:p>
    <w:p>
      <w:pPr>
        <w:ind w:right="20" w:firstLine="384"/>
        <w:spacing w:after="0" w:line="253" w:lineRule="auto"/>
        <w:rPr>
          <w:sz w:val="20"/>
          <w:szCs w:val="20"/>
          <w:color w:val="auto"/>
        </w:rPr>
      </w:pPr>
      <w:r>
        <w:rPr>
          <w:rFonts w:ascii="Arial" w:cs="Arial" w:eastAsia="Arial" w:hAnsi="Arial"/>
          <w:sz w:val="17"/>
          <w:szCs w:val="17"/>
          <w:color w:val="auto"/>
        </w:rPr>
        <w:t>Regardless of the approval process employed, various parties share responsibilities for the monitoring, detection and evaluation of adverse events post-approval, including national authorities, the EMA, the EC and the marketing authorization holder. The EMA’s PRAC is responsible for assessing and monitoring the safety of human medicines and makes recommendations on product safety issues.</w:t>
      </w:r>
    </w:p>
    <w:p>
      <w:pPr>
        <w:spacing w:after="0" w:line="147" w:lineRule="exact"/>
        <w:rPr>
          <w:sz w:val="20"/>
          <w:szCs w:val="20"/>
          <w:color w:val="auto"/>
        </w:rPr>
      </w:pPr>
    </w:p>
    <w:p>
      <w:pPr>
        <w:ind w:right="20" w:firstLine="384"/>
        <w:spacing w:after="0" w:line="257" w:lineRule="auto"/>
        <w:rPr>
          <w:sz w:val="20"/>
          <w:szCs w:val="20"/>
          <w:color w:val="auto"/>
        </w:rPr>
      </w:pPr>
      <w:r>
        <w:rPr>
          <w:rFonts w:ascii="Arial" w:cs="Arial" w:eastAsia="Arial" w:hAnsi="Arial"/>
          <w:sz w:val="17"/>
          <w:szCs w:val="17"/>
          <w:color w:val="auto"/>
        </w:rPr>
        <w:t>In some regions, it is possible to receive an “accelerated” review whereby the national regulatory authority will commit to truncated review timelines for products that meet specific medical needs.</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Good Manufacturing Practices</w:t>
      </w:r>
    </w:p>
    <w:p>
      <w:pPr>
        <w:spacing w:after="0" w:line="104"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Regulatory agencies regulate and inspect equipment, facilities and processes used in the manufacturing and testing of pharmaceutical and biologic products prior to approving a product. If, after receiving approval from regulatory agencies, a company makes a material change in manufacturing equipment, location or process, additional regulatory review and approval may be required. We also must adhere to current Good Manufacturing Practices (cGMP) and product-specific regulations enforced by regulatory agencies following product approval. The FDA, the EMA and other regulatory agencies also conduct periodic visits to re-inspect equipment, facilities and processes following the initial approval of a product. If, as a result of these inspections, it is determined that our equipment, facilities or processes do not comply with applicable regulations and conditions of product approval, regulatory agencies may seek civil, criminal or administrative sanctions or remedies against us, including significant financial penalties and the suspension of our manufacturing operations.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Good Clinical Practices</w:t>
      </w:r>
    </w:p>
    <w:p>
      <w:pPr>
        <w:spacing w:after="0" w:line="181" w:lineRule="exact"/>
        <w:rPr>
          <w:sz w:val="20"/>
          <w:szCs w:val="20"/>
          <w:color w:val="auto"/>
        </w:rPr>
      </w:pPr>
    </w:p>
    <w:p>
      <w:pPr>
        <w:ind w:right="40" w:firstLine="384"/>
        <w:spacing w:after="0" w:line="252" w:lineRule="auto"/>
        <w:rPr>
          <w:sz w:val="20"/>
          <w:szCs w:val="20"/>
          <w:color w:val="auto"/>
        </w:rPr>
      </w:pPr>
      <w:r>
        <w:rPr>
          <w:rFonts w:ascii="Arial" w:cs="Arial" w:eastAsia="Arial" w:hAnsi="Arial"/>
          <w:sz w:val="17"/>
          <w:szCs w:val="17"/>
          <w:color w:val="auto"/>
        </w:rPr>
        <w:t>The FDA, the EMA and other regulatory agencies promulgate regulations and standards for designing, conducting, monitoring, auditing and reporting the results of clinical trials to ensure that the data and results are accurate and that the rights and welfare of trial participants are adequately protected (commonly referred to as current Good Clinical Practices (cGCP)). Regulatory agencies enforce cGCP through periodic inspections of trial sponsors, principal investigators and trial sites, contract research organizations (CROs) and institutional review boards. If our studies fail to comply with applicable cGCP guidelines, the clinical data generated in our clinical trials may be deemed unreliable and relevant regulatory agencies may require us to perform additional clinical trials before approving our marketing applications. Noncompliance</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320" w:right="180"/>
        <w:spacing w:after="0" w:line="255" w:lineRule="auto"/>
        <w:rPr>
          <w:sz w:val="20"/>
          <w:szCs w:val="20"/>
          <w:color w:val="auto"/>
        </w:rPr>
      </w:pPr>
      <w:r>
        <w:rPr>
          <w:rFonts w:ascii="Arial" w:cs="Arial" w:eastAsia="Arial" w:hAnsi="Arial"/>
          <w:sz w:val="17"/>
          <w:szCs w:val="17"/>
          <w:color w:val="auto"/>
        </w:rPr>
        <w:t>can also result in civil or criminal sanctions. We rely on third parties, including CROs, to carry out many of our clinical trial-related activities. Failure of such third parties to comply with cGCP can likewise result in rejection of our clinical trial data or other sanctions.</w:t>
      </w:r>
    </w:p>
    <w:p>
      <w:pPr>
        <w:spacing w:after="0" w:line="143" w:lineRule="exact"/>
        <w:rPr>
          <w:sz w:val="20"/>
          <w:szCs w:val="20"/>
          <w:color w:val="auto"/>
        </w:rPr>
      </w:pPr>
    </w:p>
    <w:p>
      <w:pPr>
        <w:ind w:left="320" w:right="120" w:firstLine="384"/>
        <w:spacing w:after="0" w:line="253" w:lineRule="auto"/>
        <w:rPr>
          <w:sz w:val="20"/>
          <w:szCs w:val="20"/>
          <w:color w:val="auto"/>
        </w:rPr>
      </w:pPr>
      <w:r>
        <w:rPr>
          <w:rFonts w:ascii="Arial" w:cs="Arial" w:eastAsia="Arial" w:hAnsi="Arial"/>
          <w:sz w:val="17"/>
          <w:szCs w:val="17"/>
          <w:color w:val="auto"/>
        </w:rPr>
        <w:t>In April 2014, the EC adopted a new Clinical Trial Regulation, which was effective in June 2014 but is not expected to apply until the second half of 2019. The regulation harmonizes the procedures for assessment and governance of clinical trials throughout the E.U. and will require that information on the authorization, conduct and results of each clinical trial conducted in the E.U. be publicly available.</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538235"/>
        </w:rPr>
        <w:t>Approval of Biosimilars</w:t>
      </w:r>
    </w:p>
    <w:p>
      <w:pPr>
        <w:spacing w:after="0" w:line="104" w:lineRule="exact"/>
        <w:rPr>
          <w:sz w:val="20"/>
          <w:szCs w:val="20"/>
          <w:color w:val="auto"/>
        </w:rPr>
      </w:pPr>
    </w:p>
    <w:p>
      <w:pPr>
        <w:ind w:left="320" w:firstLine="410"/>
        <w:spacing w:after="0" w:line="252" w:lineRule="auto"/>
        <w:rPr>
          <w:sz w:val="20"/>
          <w:szCs w:val="20"/>
          <w:color w:val="auto"/>
        </w:rPr>
      </w:pPr>
      <w:r>
        <w:rPr>
          <w:rFonts w:ascii="Arial" w:cs="Arial" w:eastAsia="Arial" w:hAnsi="Arial"/>
          <w:sz w:val="17"/>
          <w:szCs w:val="17"/>
          <w:color w:val="auto"/>
        </w:rPr>
        <w:t>The Patient Protection and Affordable Care Act (PPACA) amended the Public Health Service Act (PHSA) to authorize the FDA to approve biological products, referred to as biosimilars or follow-on biologics that are shown to be highly similar to previously approved biological products based upon potentially abbreviated data packages. The biosimilar must show it has no clinically meaningful differences in terms of safety and effectiveness from the reference product, and only minor differences in clinically inactive components are allowable in biosimilars products. The approval pathway for biosimilars does, however, grant a biologics manufacturer a 12-year period of exclusivity from the date of approval of its biological product before biosimilar competition can be introduced. There is uncertainty, however, as the approval framework for biosimilars originally was enacted as part of the PPACA. In 2017 there were, and there are likely to continue to be, federal legislative and administrative efforts to repeal, substantially modify or invalidate some or all of the provisions of the PPACA. If the PPACA is repealed, substantially modified or invalidated, it is unclear what, if any, impact such action would have on biosimilar regulation.</w:t>
      </w:r>
    </w:p>
    <w:p>
      <w:pPr>
        <w:spacing w:after="0" w:line="147" w:lineRule="exact"/>
        <w:rPr>
          <w:sz w:val="20"/>
          <w:szCs w:val="20"/>
          <w:color w:val="auto"/>
        </w:rPr>
      </w:pPr>
    </w:p>
    <w:p>
      <w:pPr>
        <w:ind w:left="320" w:right="20" w:firstLine="384"/>
        <w:spacing w:after="0" w:line="252" w:lineRule="auto"/>
        <w:rPr>
          <w:sz w:val="20"/>
          <w:szCs w:val="20"/>
          <w:color w:val="auto"/>
        </w:rPr>
      </w:pPr>
      <w:r>
        <w:rPr>
          <w:rFonts w:ascii="Arial" w:cs="Arial" w:eastAsia="Arial" w:hAnsi="Arial"/>
          <w:sz w:val="17"/>
          <w:szCs w:val="17"/>
          <w:color w:val="auto"/>
        </w:rPr>
        <w:t>A biosimilars approval pathway has been in place in the E.U. since 2003. The EMA has issued a number of scientific and product specific biosimilar guidelines, including requirements for approving biosimilars containing monoclonal antibodies. In the E.U., biosimilars are generally approved under the centralized procedure. The approval pathway allows sponsors of a biosimilar to seek and obtain regulatory approval based in part on reliance on the clinical trial data of an innovator product to which the biosimilar has been demonstrated, through comprehensive comparability studies, to be “similar”. In many cases, this allows biosimilars to be brought to market without conducting the full complement of clinical trials typically required for novel biologic drugs.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color w:val="auto"/>
        </w:rPr>
        <w:t>24</w:t>
      </w:r>
    </w:p>
    <w:p>
      <w:pPr>
        <w:sectPr>
          <w:pgSz w:w="11900" w:h="16838" w:orient="portrait"/>
          <w:cols w:equalWidth="0" w:num="2">
            <w:col w:w="5480" w:space="140"/>
            <w:col w:w="5800"/>
          </w:cols>
          <w:pgMar w:left="240" w:top="144" w:right="239" w:bottom="1440" w:gutter="0" w:footer="0" w:header="0"/>
          <w:type w:val="continuous"/>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4"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Orphan Drug Act</w:t>
      </w:r>
    </w:p>
    <w:p>
      <w:pPr>
        <w:spacing w:after="0" w:line="104" w:lineRule="exact"/>
        <w:rPr>
          <w:sz w:val="20"/>
          <w:szCs w:val="20"/>
          <w:color w:val="auto"/>
        </w:rPr>
      </w:pPr>
    </w:p>
    <w:p>
      <w:pPr>
        <w:ind w:right="380" w:firstLine="410"/>
        <w:spacing w:after="0" w:line="252" w:lineRule="auto"/>
        <w:rPr>
          <w:sz w:val="20"/>
          <w:szCs w:val="20"/>
          <w:color w:val="auto"/>
        </w:rPr>
      </w:pPr>
      <w:r>
        <w:rPr>
          <w:rFonts w:ascii="Arial" w:cs="Arial" w:eastAsia="Arial" w:hAnsi="Arial"/>
          <w:sz w:val="17"/>
          <w:szCs w:val="17"/>
          <w:color w:val="auto"/>
        </w:rPr>
        <w:t>Under the U.S. Orphan Drug Act, the FDA may grant orphan drug designation to drugs or biologics intended to treat a “rare disease or condition,” which generally is a disease or condition that affects fewer than 200,000 individuals in the U.S. If a product which has an orphan drug designation subsequently receives the first FDA approval for the indication for which it has such designation, the product is entitled to orphan exclusivity, i.e., the FDA may not approve any other applications to market the same drug for the same indication for a period of seven years following marketing approval, except in certain very limited circumstances, such as if the later product is shown to be clinically superior to the orphan product. Legislation similar to the U.S. Orphan Drug Act has been enacted in other countries to encourage the research, development and marketing of medicines to treat, prevent or diagnose rare diseases. In the E.U., medicinal products that receive an orphan designation are entitled to 10 years of market exclusivity following approval, protocol assistance and access to the centralized procedure for marketing authorization. SPINRAZA has been granted orphan drug designation in the U.S., E.U. and Japan.</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Regulation Pertaining to Pricing and Reimbursement</w:t>
      </w:r>
    </w:p>
    <w:p>
      <w:pPr>
        <w:spacing w:after="0" w:line="106" w:lineRule="exact"/>
        <w:rPr>
          <w:sz w:val="20"/>
          <w:szCs w:val="20"/>
          <w:color w:val="auto"/>
        </w:rPr>
      </w:pPr>
    </w:p>
    <w:p>
      <w:pPr>
        <w:ind w:right="320" w:firstLine="384"/>
        <w:spacing w:after="0" w:line="252" w:lineRule="auto"/>
        <w:rPr>
          <w:sz w:val="20"/>
          <w:szCs w:val="20"/>
          <w:color w:val="auto"/>
        </w:rPr>
      </w:pPr>
      <w:r>
        <w:rPr>
          <w:rFonts w:ascii="Arial" w:cs="Arial" w:eastAsia="Arial" w:hAnsi="Arial"/>
          <w:sz w:val="17"/>
          <w:szCs w:val="17"/>
          <w:color w:val="auto"/>
        </w:rPr>
        <w:t>In both domestic and foreign markets, sales of our products depend, in part, on the availability and amount of reimbursement by third-party payors, including governments, private health plans and other organizations. Substantial uncertainty exists regarding the pricing and reimbursement of our products, and drug prices continue to receive significant scrutiny. Governments may regulate coverage, reimbursement and pricing of our products to control cost or affect utilization of our products. Challenges to our pricing strategies, by either government or private stakeholders, could harm our business. The U.S. and foreign governments have enacted and regularly consider additional reform measures that affect health care coverage and costs. Private health plans may also seek to manage cost and utilization by implementing coverage and reimbursement limitations. Other payors, including managed care organizations, health insurers, pharmacy benefit managers, government health administration authorities and private health insurers, seek price discounts or rebates in connection with the placement of our products on their formularies and, in some cases, may impose restrictions on access, coverage or pricing of particular drugs based on perceived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ind w:left="161"/>
        <w:spacing w:after="0"/>
        <w:rPr>
          <w:sz w:val="20"/>
          <w:szCs w:val="20"/>
          <w:color w:val="auto"/>
        </w:rPr>
      </w:pPr>
      <w:r>
        <w:rPr>
          <w:rFonts w:ascii="Arial" w:cs="Arial" w:eastAsia="Arial" w:hAnsi="Arial"/>
          <w:sz w:val="17"/>
          <w:szCs w:val="17"/>
          <w:i w:val="1"/>
          <w:iCs w:val="1"/>
          <w:color w:val="538235"/>
        </w:rPr>
        <w:t>Within the U.S.</w:t>
      </w:r>
    </w:p>
    <w:p>
      <w:pPr>
        <w:spacing w:after="0" w:line="86" w:lineRule="exact"/>
        <w:rPr>
          <w:sz w:val="20"/>
          <w:szCs w:val="20"/>
          <w:color w:val="auto"/>
        </w:rPr>
      </w:pPr>
    </w:p>
    <w:p>
      <w:pPr>
        <w:ind w:left="301" w:hanging="301"/>
        <w:spacing w:after="0" w:line="253" w:lineRule="auto"/>
        <w:tabs>
          <w:tab w:leader="none" w:pos="301"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Medicaid</w:t>
      </w:r>
      <w:r>
        <w:rPr>
          <w:rFonts w:ascii="Arial" w:cs="Arial" w:eastAsia="Arial" w:hAnsi="Arial"/>
          <w:sz w:val="17"/>
          <w:szCs w:val="17"/>
          <w:color w:val="auto"/>
        </w:rPr>
        <w:t>: Medicaid is a joint federal and state program that is</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administered by the states for low income and disabled beneficiaries. Under the Medicaid Drug Rebate Program, we are required to pay a rebate for each unit of product reimbursed by the state Medicaid programs. The amount of the rebate is established by law and is adjusted upward if average manufacture price (AMP) increases more than inflation (measured by the Consumer Price Index - Urban). The rebate amount is calculated each quarter based on our report of current AMP and best price for each of our products to the Centers for Medicare &amp; Medicaid Services (CMS). The requirements for calculating AMP and best price are complex. We are required to report any revisions to AMP or best price previously reported within a certain period, which revisions could affect our rebate liability for prior quarters. In addition, if we fail to provide information timely or we are found to have knowingly submitted false information to the government, the statute governing the Medicaid Drug Rebate Program provides for civil monetary penalties.</w:t>
      </w:r>
    </w:p>
    <w:p>
      <w:pPr>
        <w:spacing w:after="0" w:line="132" w:lineRule="exact"/>
        <w:rPr>
          <w:rFonts w:ascii="Arial" w:cs="Arial" w:eastAsia="Arial" w:hAnsi="Arial"/>
          <w:sz w:val="17"/>
          <w:szCs w:val="17"/>
          <w:color w:val="auto"/>
        </w:rPr>
      </w:pPr>
    </w:p>
    <w:p>
      <w:pPr>
        <w:ind w:left="301" w:right="20" w:hanging="301"/>
        <w:spacing w:after="0" w:line="254" w:lineRule="auto"/>
        <w:tabs>
          <w:tab w:leader="none" w:pos="301" w:val="left"/>
        </w:tabs>
        <w:numPr>
          <w:ilvl w:val="0"/>
          <w:numId w:val="35"/>
        </w:numPr>
        <w:rPr>
          <w:rFonts w:ascii="Arial" w:cs="Arial" w:eastAsia="Arial" w:hAnsi="Arial"/>
          <w:sz w:val="17"/>
          <w:szCs w:val="17"/>
          <w:i w:val="1"/>
          <w:iCs w:val="1"/>
          <w:color w:val="auto"/>
        </w:rPr>
      </w:pPr>
      <w:r>
        <w:rPr>
          <w:rFonts w:ascii="Arial" w:cs="Arial" w:eastAsia="Arial" w:hAnsi="Arial"/>
          <w:sz w:val="17"/>
          <w:szCs w:val="17"/>
          <w:i w:val="1"/>
          <w:iCs w:val="1"/>
          <w:color w:val="auto"/>
        </w:rPr>
        <w:t>Medicare</w:t>
      </w:r>
      <w:r>
        <w:rPr>
          <w:rFonts w:ascii="Arial" w:cs="Arial" w:eastAsia="Arial" w:hAnsi="Arial"/>
          <w:sz w:val="17"/>
          <w:szCs w:val="17"/>
          <w:color w:val="auto"/>
        </w:rPr>
        <w:t>: Medicare is a federal program that is administered by</w:t>
      </w:r>
      <w:r>
        <w:rPr>
          <w:rFonts w:ascii="Arial" w:cs="Arial" w:eastAsia="Arial" w:hAnsi="Arial"/>
          <w:sz w:val="17"/>
          <w:szCs w:val="17"/>
          <w:i w:val="1"/>
          <w:iCs w:val="1"/>
          <w:color w:val="auto"/>
        </w:rPr>
        <w:t xml:space="preserve"> </w:t>
      </w:r>
      <w:r>
        <w:rPr>
          <w:rFonts w:ascii="Arial" w:cs="Arial" w:eastAsia="Arial" w:hAnsi="Arial"/>
          <w:sz w:val="17"/>
          <w:szCs w:val="17"/>
          <w:color w:val="auto"/>
        </w:rPr>
        <w:t>the federal government. The program covers individuals age 65 and over as well as those with certain disabilities. Medicare Part B generally covers drugs that must be administered by physicians or other health care practitioners; are provided in connection with certain durable medical equipment; or are certain oral anti-cancer drugs and certain oral immunosuppressive drugs. Medicare Part B pays for such drugs under a payment methodology based on the average sales price (ASP) of the drugs. Manufacturers, including us, are required to provide ASP information to the CMS on a quarterly basis. The manufacturer-submitted information is used to calculate Medicare payment rates. If a manufacturer is found to have made a misrepresentation in the reporting of ASP, the governing statute provides for civil monetary penalties.</w:t>
      </w:r>
    </w:p>
    <w:p>
      <w:pPr>
        <w:spacing w:after="0" w:line="143" w:lineRule="exact"/>
        <w:rPr>
          <w:rFonts w:ascii="Arial" w:cs="Arial" w:eastAsia="Arial" w:hAnsi="Arial"/>
          <w:sz w:val="17"/>
          <w:szCs w:val="17"/>
          <w:i w:val="1"/>
          <w:iCs w:val="1"/>
          <w:color w:val="auto"/>
        </w:rPr>
      </w:pPr>
    </w:p>
    <w:p>
      <w:pPr>
        <w:ind w:left="301" w:hanging="301"/>
        <w:spacing w:after="0" w:line="252" w:lineRule="auto"/>
        <w:tabs>
          <w:tab w:leader="none" w:pos="301" w:val="left"/>
        </w:tabs>
        <w:numPr>
          <w:ilvl w:val="0"/>
          <w:numId w:val="35"/>
        </w:numPr>
        <w:rPr>
          <w:rFonts w:ascii="Arial" w:cs="Arial" w:eastAsia="Arial" w:hAnsi="Arial"/>
          <w:sz w:val="17"/>
          <w:szCs w:val="17"/>
          <w:color w:val="auto"/>
        </w:rPr>
      </w:pPr>
      <w:r>
        <w:rPr>
          <w:rFonts w:ascii="Arial" w:cs="Arial" w:eastAsia="Arial" w:hAnsi="Arial"/>
          <w:sz w:val="17"/>
          <w:szCs w:val="17"/>
          <w:color w:val="auto"/>
        </w:rPr>
        <w:t>Medicare Part D provides coverage to enrolled Medicare patients for self-administered drugs (i.e., drugs that are not administered by a physician). Medicare Part D is administered by private prescription drug plans approved by the U.S. government. Each drug plan establishes its own Medicare Part D formulary for prescription drug coverage and pricing, which the drug plan may modify from time-to-time. The prescription drug plans negotiate pricing with manufacturers and pharmacies, and may condition formulary placement on the availability of manufacturer</w:t>
      </w:r>
    </w:p>
    <w:p>
      <w:pPr>
        <w:sectPr>
          <w:pgSz w:w="11900" w:h="16838" w:orient="portrait"/>
          <w:cols w:equalWidth="0" w:num="2">
            <w:col w:w="5800" w:space="219"/>
            <w:col w:w="5341"/>
          </w:cols>
          <w:pgMar w:left="240" w:top="144" w:right="299" w:bottom="1440" w:gutter="0" w:footer="0" w:header="0"/>
        </w:sectPr>
      </w:pPr>
    </w:p>
    <w:bookmarkStart w:id="29" w:name="page30"/>
    <w:bookmarkEnd w:id="2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380" w:right="100"/>
        <w:spacing w:after="0" w:line="302" w:lineRule="auto"/>
        <w:rPr>
          <w:sz w:val="20"/>
          <w:szCs w:val="20"/>
          <w:color w:val="auto"/>
        </w:rPr>
      </w:pPr>
      <w:r>
        <w:rPr>
          <w:rFonts w:ascii="Arial" w:cs="Arial" w:eastAsia="Arial" w:hAnsi="Arial"/>
          <w:sz w:val="17"/>
          <w:szCs w:val="17"/>
          <w:color w:val="auto"/>
        </w:rPr>
        <w:t>discounts. In addition, manufacturers, including us, are required to provide to the CMS a 50% discount on brand name prescription drugs utilized by Medicare Part D beneficiaries when those beneficiaries reach the coverage gap in their drug benefits.</w:t>
      </w:r>
    </w:p>
    <w:p>
      <w:pPr>
        <w:spacing w:after="0" w:line="99" w:lineRule="exact"/>
        <w:rPr>
          <w:sz w:val="20"/>
          <w:szCs w:val="20"/>
          <w:color w:val="auto"/>
        </w:rPr>
      </w:pPr>
    </w:p>
    <w:p>
      <w:pPr>
        <w:ind w:left="380" w:right="20" w:hanging="301"/>
        <w:spacing w:after="0" w:line="253" w:lineRule="auto"/>
        <w:tabs>
          <w:tab w:leader="none" w:pos="380" w:val="left"/>
        </w:tabs>
        <w:numPr>
          <w:ilvl w:val="0"/>
          <w:numId w:val="36"/>
        </w:numPr>
        <w:rPr>
          <w:rFonts w:ascii="Arial" w:cs="Arial" w:eastAsia="Arial" w:hAnsi="Arial"/>
          <w:sz w:val="17"/>
          <w:szCs w:val="17"/>
          <w:i w:val="1"/>
          <w:iCs w:val="1"/>
          <w:color w:val="auto"/>
        </w:rPr>
      </w:pPr>
      <w:r>
        <w:rPr>
          <w:rFonts w:ascii="Arial" w:cs="Arial" w:eastAsia="Arial" w:hAnsi="Arial"/>
          <w:sz w:val="17"/>
          <w:szCs w:val="17"/>
          <w:i w:val="1"/>
          <w:iCs w:val="1"/>
          <w:color w:val="auto"/>
        </w:rPr>
        <w:t>Federal Agency Discounted Pricing</w:t>
      </w:r>
      <w:r>
        <w:rPr>
          <w:rFonts w:ascii="Arial" w:cs="Arial" w:eastAsia="Arial" w:hAnsi="Arial"/>
          <w:sz w:val="17"/>
          <w:szCs w:val="17"/>
          <w:color w:val="auto"/>
        </w:rPr>
        <w:t>: Our products are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discounted pricing when purchased by federal agencies via the Federal Supply Schedule (FSS). FSS participation is required for our products to be covered and reimbursed by the Veterans Administration (VA), Department of Defense, Coast Guard and Public Health Service (PHS). Coverage under Medicaid, Medicare and the PHS pharmaceutical pricing program is also conditioned upon FSS participation. FSS pricing is intended not to exceed the price that we charge our most-favored non-federal customer for a product. In addition, prices for drugs purchased by the VA, Department of Defense (including drugs purchased by military personnel and dependents through the TriCare retail pharmacy program), Coast Guard and PHS are subject to a cap on pricing equal to 76% of the non-federal average manufacturer price (non-FAMP). An additional discount applies if non-FAMP increases more than inflation (measured by the Consumer Price Index - Urban). In addition, if we fail to provide information timely or we are found to have knowingly submitted false information to the government, the governing statute provides for civil monetary penalties.</w:t>
      </w:r>
    </w:p>
    <w:p>
      <w:pPr>
        <w:spacing w:after="0" w:line="131" w:lineRule="exact"/>
        <w:rPr>
          <w:rFonts w:ascii="Arial" w:cs="Arial" w:eastAsia="Arial" w:hAnsi="Arial"/>
          <w:sz w:val="17"/>
          <w:szCs w:val="17"/>
          <w:i w:val="1"/>
          <w:iCs w:val="1"/>
          <w:color w:val="auto"/>
        </w:rPr>
      </w:pPr>
    </w:p>
    <w:p>
      <w:pPr>
        <w:ind w:left="380" w:hanging="301"/>
        <w:spacing w:after="0" w:line="253" w:lineRule="auto"/>
        <w:tabs>
          <w:tab w:leader="none" w:pos="380" w:val="left"/>
        </w:tabs>
        <w:numPr>
          <w:ilvl w:val="0"/>
          <w:numId w:val="36"/>
        </w:numPr>
        <w:rPr>
          <w:rFonts w:ascii="Arial" w:cs="Arial" w:eastAsia="Arial" w:hAnsi="Arial"/>
          <w:sz w:val="17"/>
          <w:szCs w:val="17"/>
          <w:i w:val="1"/>
          <w:iCs w:val="1"/>
          <w:color w:val="auto"/>
        </w:rPr>
      </w:pPr>
      <w:r>
        <w:rPr>
          <w:rFonts w:ascii="Arial" w:cs="Arial" w:eastAsia="Arial" w:hAnsi="Arial"/>
          <w:sz w:val="17"/>
          <w:szCs w:val="17"/>
          <w:i w:val="1"/>
          <w:iCs w:val="1"/>
          <w:color w:val="auto"/>
        </w:rPr>
        <w:t>340B Discounted Pricing</w:t>
      </w:r>
      <w:r>
        <w:rPr>
          <w:rFonts w:ascii="Arial" w:cs="Arial" w:eastAsia="Arial" w:hAnsi="Arial"/>
          <w:sz w:val="17"/>
          <w:szCs w:val="17"/>
          <w:color w:val="auto"/>
        </w:rPr>
        <w:t>: To maintain coverage of our products</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Medicaid Drug Rebate Program and Medicare Part B, we are required to extend significant discounts to certain covered entities that purchase products under Section 340B of the PHS pharmaceutical pricing program. Purchasers eligible for discounts include hospitals that serve a disproportionate share of financially needy patients, community health clinics and other entities that receive certain types of grants under the PHSA. For all of our products, we must agree to charge a price that will not exceed the amount determined under statute (the “ceiling price”) when we sell outpatient drugs to these covered entities. In addition, we may, but are not required to, offer these covered entities a price lower than the 340B ceiling price. The 340B discount formula is based on AMP and is generally similar to the level of rebates calculated under the Medicaid Drug Rebate Program.</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538235"/>
        </w:rPr>
        <w:t>Outside the U.S.</w:t>
      </w:r>
    </w:p>
    <w:p>
      <w:pPr>
        <w:spacing w:after="0" w:line="104" w:lineRule="exact"/>
        <w:rPr>
          <w:sz w:val="20"/>
          <w:szCs w:val="20"/>
          <w:color w:val="auto"/>
        </w:rPr>
      </w:pPr>
    </w:p>
    <w:p>
      <w:pPr>
        <w:ind w:left="320" w:firstLine="410"/>
        <w:spacing w:after="0" w:line="252" w:lineRule="auto"/>
        <w:rPr>
          <w:sz w:val="20"/>
          <w:szCs w:val="20"/>
          <w:color w:val="auto"/>
        </w:rPr>
      </w:pPr>
      <w:r>
        <w:rPr>
          <w:rFonts w:ascii="Arial" w:cs="Arial" w:eastAsia="Arial" w:hAnsi="Arial"/>
          <w:sz w:val="17"/>
          <w:szCs w:val="17"/>
          <w:color w:val="auto"/>
        </w:rPr>
        <w:t>Outside the U.S., our products are paid for by a variety of payors, with governments being the primary source of payment. Governments may determine or influence reimbursement of products and may also set prices or otherwise regulate pricing. Negotiating prices with governmental authorities can delay commercialization of our products. Governments may use a variety of cost-containment measures to control the cost of products, including price cuts, mandatory rebates, value-based pricing and reference pricing (i.e., referencing prices in other countries and using those reference prices to set a price). Budgetary pressures in many countries are continuing to cause governments to consider or implement various cost-containment measures, such as price freezes, increased price cuts and rebates and expanded generic substitution and patient cost-sharing.</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2573BA"/>
        </w:rPr>
        <w:t>Regulation Pertaining to Sales and Marketing</w:t>
      </w:r>
    </w:p>
    <w:p>
      <w:pPr>
        <w:spacing w:after="0" w:line="106" w:lineRule="exact"/>
        <w:rPr>
          <w:sz w:val="20"/>
          <w:szCs w:val="20"/>
          <w:color w:val="auto"/>
        </w:rPr>
      </w:pPr>
    </w:p>
    <w:p>
      <w:pPr>
        <w:ind w:left="320" w:right="40" w:firstLine="410"/>
        <w:spacing w:after="0" w:line="252" w:lineRule="auto"/>
        <w:rPr>
          <w:sz w:val="20"/>
          <w:szCs w:val="20"/>
          <w:color w:val="auto"/>
        </w:rPr>
      </w:pPr>
      <w:r>
        <w:rPr>
          <w:rFonts w:ascii="Arial" w:cs="Arial" w:eastAsia="Arial" w:hAnsi="Arial"/>
          <w:sz w:val="17"/>
          <w:szCs w:val="17"/>
          <w:color w:val="auto"/>
        </w:rPr>
        <w:t>We are subject to various federal and state laws pertaining to health care “fraud and abuse,” including anti-kickback laws and false claims laws. Anti-kickback laws generally prohibit a prescription drug manufacturer from soliciting, offering, receiving or paying any remuneration to generate business, including the purchase or prescription of a particular drug. Although the specific provisions of these laws vary, their scope is generally broad and there may be no regulations, guidance or court decisions that clarify how the laws apply to particular industry practices. There is therefore a possibility that our practices might be challenged under anti-kickback or similar laws. False claims laws prohibit anyone from knowingly and willingly presenting, or causing to be presented for payment to third-party payors (including Medicare and Medicaid), claims for reimbursed drugs or services that are false or fraudulent, claims for items or services not provided as claimed, or claims for medically unnecessary items or services. Our activities relating to the sale and marketing of our products may be subject to scrutiny under these laws. Violations of fraud and abuse laws may be punishable by criminal or civil sanctions, including fines and civil monetary penalties, and exclusion from federal health care programs (including Medicare and Medicaid). In the U.S., federal and state authorities are paying increased attention to enforcement of these laws within the pharmaceutical industry and private individuals have been active in alleging violations of the laws and bringing suits on behalf of the government under the federal civil False Claims Act. If we were subject to allegations concerning, or were convicted of violating, these laws, our business could be harmed.</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26</w:t>
      </w:r>
    </w:p>
    <w:p>
      <w:pPr>
        <w:sectPr>
          <w:pgSz w:w="11900" w:h="16838" w:orient="portrait"/>
          <w:cols w:equalWidth="0" w:num="2">
            <w:col w:w="5480" w:space="140"/>
            <w:col w:w="5800"/>
          </w:cols>
          <w:pgMar w:left="240" w:top="144" w:right="239" w:bottom="1440" w:gutter="0" w:footer="0" w:header="0"/>
          <w:type w:val="continuous"/>
        </w:sectPr>
      </w:pPr>
    </w:p>
    <w:bookmarkStart w:id="30" w:name="page31"/>
    <w:bookmarkEnd w:id="3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380"/>
          </w:cols>
          <w:pgMar w:left="240" w:top="144" w:right="279" w:bottom="1440" w:gutter="0" w:footer="0" w:header="0"/>
        </w:sectPr>
      </w:pPr>
    </w:p>
    <w:p>
      <w:pPr>
        <w:spacing w:after="0" w:line="383"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Laws and regulations have been enacted by the federal government and various states to regulate the sales and marketing practices of pharmaceutical manufacturers. The laws and regulations generally limit financial interactions between manufacturers and health care providers or require disclosure to the government and public of such interactions. The laws include federal “sunshine” provisions. The sunshine provisions apply to pharmaceutical manufacturers with products reimbursed under certain government programs and require those manufacturers to disclose annually to the federal government (for re-disclosure to the public) certain payments made to physicians and certain other healthcare practitioners or to teaching hospitals. State laws may also require disclosure of pharmaceutical pricing information and marketing expenditures. Many of these laws and regulations contain ambiguous requirements. Given the lack of clarity in laws and their implementation, our reporting actions could be subject to the penalty provisions of the pertinent federal and state laws and regulations. Outside the U.S., other countries have implemented requirements for disclosure of financial interactions with healthcare providers and additional countries may consider or implement such laws.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Other Regulations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Foreign Anti-Corruption</w:t>
      </w:r>
    </w:p>
    <w:p>
      <w:pPr>
        <w:spacing w:after="0" w:line="104"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We are subject to various federal and foreign laws that govern our international business practices with respect to payments to government officials. Those laws include the U.S. Foreign Corrupt Practices Act (FCPA), which prohibits U.S. companies and their representatives from paying, offering to pay, promising to pay or authorizing the payment of anything of value to any foreign government official, government staff member, political party or political candidate for the purpose of obtaining or retaining business or to otherwise obtain favorable treatment or influence a person working in an official capacity. In many countries, the health care professionals we regularly interact with may meet the FCPA's definition of a foreign government official. The FCPA also requires public companies to make and keep books and records that accurately and fairly reflect their transactions and to devise and maintain an adequate system of internal accounting controls.</w:t>
      </w:r>
    </w:p>
    <w:p>
      <w:pPr>
        <w:spacing w:after="0" w:line="14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laws to which we are subject also include the U.K. Bribery Act</w:t>
      </w:r>
    </w:p>
    <w:p>
      <w:pPr>
        <w:spacing w:after="0" w:line="9"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2010 (Bribery Act), which proscribes giving and receiving bribes in the public and private sectors, bribing a foreign public official and failing to have adequate procedures to prevent employees and other agents from giving bribes. U.S. companies that conduct business in the U.K. generally will be subject to the Bribery Act. Penalties under the Bribery Act include significant fines for</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320" w:right="220"/>
        <w:spacing w:after="0" w:line="262" w:lineRule="auto"/>
        <w:rPr>
          <w:sz w:val="20"/>
          <w:szCs w:val="20"/>
          <w:color w:val="auto"/>
        </w:rPr>
      </w:pPr>
      <w:r>
        <w:rPr>
          <w:rFonts w:ascii="Arial" w:cs="Arial" w:eastAsia="Arial" w:hAnsi="Arial"/>
          <w:sz w:val="17"/>
          <w:szCs w:val="17"/>
          <w:color w:val="auto"/>
        </w:rPr>
        <w:t>companies and criminal sanctions for corporate officers under certain circumstances.</w:t>
      </w:r>
    </w:p>
    <w:p>
      <w:pPr>
        <w:spacing w:after="0" w:line="119"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538235"/>
        </w:rPr>
        <w:t>NIH Guidelines</w:t>
      </w:r>
    </w:p>
    <w:p>
      <w:pPr>
        <w:spacing w:after="0" w:line="104" w:lineRule="exact"/>
        <w:rPr>
          <w:sz w:val="20"/>
          <w:szCs w:val="20"/>
          <w:color w:val="auto"/>
        </w:rPr>
      </w:pPr>
    </w:p>
    <w:p>
      <w:pPr>
        <w:ind w:left="320" w:firstLine="410"/>
        <w:spacing w:after="0" w:line="253" w:lineRule="auto"/>
        <w:rPr>
          <w:sz w:val="20"/>
          <w:szCs w:val="20"/>
          <w:color w:val="auto"/>
        </w:rPr>
      </w:pPr>
      <w:r>
        <w:rPr>
          <w:rFonts w:ascii="Arial" w:cs="Arial" w:eastAsia="Arial" w:hAnsi="Arial"/>
          <w:sz w:val="17"/>
          <w:szCs w:val="17"/>
          <w:color w:val="auto"/>
        </w:rPr>
        <w:t>We seek to conduct research at our U.S. facilities in compliance with the current U.S. National Institutes of Health Guidelines for Research Involving Recombinant DNA Molecules (NIH Guidelines). By local ordinance, we are required to, among other things, comply with the NIH Guidelines in relation to our facilities in Research Triangle Park (RTP), NC and are required to operate pursuant to certain permits.</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538235"/>
        </w:rPr>
        <w:t>Other Laws</w:t>
      </w:r>
    </w:p>
    <w:p>
      <w:pPr>
        <w:spacing w:after="0" w:line="104" w:lineRule="exact"/>
        <w:rPr>
          <w:sz w:val="20"/>
          <w:szCs w:val="20"/>
          <w:color w:val="auto"/>
        </w:rPr>
      </w:pPr>
    </w:p>
    <w:p>
      <w:pPr>
        <w:ind w:left="320" w:right="20" w:firstLine="410"/>
        <w:spacing w:after="0" w:line="252" w:lineRule="auto"/>
        <w:rPr>
          <w:sz w:val="20"/>
          <w:szCs w:val="20"/>
          <w:color w:val="auto"/>
        </w:rPr>
      </w:pPr>
      <w:r>
        <w:rPr>
          <w:rFonts w:ascii="Arial" w:cs="Arial" w:eastAsia="Arial" w:hAnsi="Arial"/>
          <w:sz w:val="17"/>
          <w:szCs w:val="17"/>
          <w:color w:val="auto"/>
        </w:rPr>
        <w:t>Our present and future business has been and will continue to be subject to various other laws and regulations. Various laws, regulations and recommendations relating to data privacy and protection, safe working conditions, laboratory practices, the experimental use of animals and the purchase, storage, movement, import, export and use and disposal of hazardous or potentially hazardous substances, including radioactive compounds and infectious disease agents, used in connection with our research work are or may be applicable to our activities. Certain agreements entered into by us involving exclusive license rights may be subject to national or international antitrust regulatory control, the effect of which cannot be predicted. The extent of government regulation, which might result from future legislation or administrative action, cannot accurately be predicted.</w:t>
      </w:r>
    </w:p>
    <w:p>
      <w:pPr>
        <w:spacing w:after="0" w:line="72" w:lineRule="exact"/>
        <w:rPr>
          <w:sz w:val="20"/>
          <w:szCs w:val="20"/>
          <w:color w:val="auto"/>
        </w:rPr>
      </w:pPr>
    </w:p>
    <w:p>
      <w:pPr>
        <w:ind w:left="320" w:right="40" w:firstLine="410"/>
        <w:spacing w:after="0" w:line="252" w:lineRule="auto"/>
        <w:rPr>
          <w:sz w:val="20"/>
          <w:szCs w:val="20"/>
          <w:color w:val="auto"/>
        </w:rPr>
      </w:pPr>
      <w:r>
        <w:rPr>
          <w:rFonts w:ascii="Arial" w:cs="Arial" w:eastAsia="Arial" w:hAnsi="Arial"/>
          <w:sz w:val="17"/>
          <w:szCs w:val="17"/>
          <w:color w:val="auto"/>
        </w:rPr>
        <w:t>The European Parliament and the Council of the European Union adopted a comprehensive general data privacy regulation (GDPR) in 2016 to replace the current E.U. Data Protection Directive and related country-specific legislation. The GDPR will take effect in May 2018 and governs the collection and use of personal data in the E.U. The GDPR, which is wide-ranging in scope, will impose several requirements relating to the consent of the individuals to whom the personal data relates, the information provided to the individuals, the security and confidentiality of the personal data, data breach notification and the use of third party processors in connection with the processing of the personal data. The GDPR will also impose strict rules on the transfer of personal data out of the E.U. to the U.S., will provide an enforcement authority and will impose large penalties for noncompliance, including the potential for fines of up to €20 million or 4% of the annual global revenues of the infringer, whichever is greater.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27</w:t>
      </w:r>
    </w:p>
    <w:p>
      <w:pPr>
        <w:sectPr>
          <w:pgSz w:w="11900" w:h="16838" w:orient="portrait"/>
          <w:cols w:equalWidth="0" w:num="2">
            <w:col w:w="5460" w:space="160"/>
            <w:col w:w="5760"/>
          </w:cols>
          <w:pgMar w:left="240" w:top="144" w:right="279" w:bottom="1440" w:gutter="0" w:footer="0" w:header="0"/>
          <w:type w:val="continuous"/>
        </w:sectPr>
      </w:pPr>
    </w:p>
    <w:bookmarkStart w:id="31" w:name="page32"/>
    <w:bookmarkEnd w:id="3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Environmental Matters</w:t>
      </w:r>
    </w:p>
    <w:p>
      <w:pPr>
        <w:spacing w:after="0" w:line="109" w:lineRule="exact"/>
        <w:rPr>
          <w:sz w:val="20"/>
          <w:szCs w:val="20"/>
          <w:color w:val="auto"/>
        </w:rPr>
      </w:pPr>
    </w:p>
    <w:p>
      <w:pPr>
        <w:ind w:right="200" w:firstLine="410"/>
        <w:spacing w:after="0" w:line="253" w:lineRule="auto"/>
        <w:rPr>
          <w:sz w:val="20"/>
          <w:szCs w:val="20"/>
          <w:color w:val="auto"/>
        </w:rPr>
      </w:pPr>
      <w:r>
        <w:rPr>
          <w:rFonts w:ascii="Arial" w:cs="Arial" w:eastAsia="Arial" w:hAnsi="Arial"/>
          <w:sz w:val="17"/>
          <w:szCs w:val="17"/>
          <w:color w:val="auto"/>
        </w:rPr>
        <w:t>We strive to comply in all material respects with applicable laws and regulations concerning the environment. While it is impossible to predict accurately the future costs associated with environmental compliance and potential remediation activities, compliance with environmental laws is not expected to require significant capital expenditures and has not had, and is not expected to have, a material adverse effect on our operations or competitive position.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Manufacturing</w:t>
      </w:r>
    </w:p>
    <w:p>
      <w:pPr>
        <w:spacing w:after="0" w:line="109" w:lineRule="exact"/>
        <w:rPr>
          <w:sz w:val="20"/>
          <w:szCs w:val="20"/>
          <w:color w:val="auto"/>
        </w:rPr>
      </w:pPr>
    </w:p>
    <w:p>
      <w:pPr>
        <w:ind w:right="60" w:firstLine="384"/>
        <w:spacing w:after="0" w:line="252" w:lineRule="auto"/>
        <w:rPr>
          <w:sz w:val="20"/>
          <w:szCs w:val="20"/>
          <w:color w:val="auto"/>
        </w:rPr>
      </w:pPr>
      <w:r>
        <w:rPr>
          <w:rFonts w:ascii="Arial" w:cs="Arial" w:eastAsia="Arial" w:hAnsi="Arial"/>
          <w:sz w:val="17"/>
          <w:szCs w:val="17"/>
          <w:color w:val="auto"/>
        </w:rPr>
        <w:t>We are committed to ensuring an uninterrupted supply of medicines to patients around the world. To that end, we continually review our manufacturing capacity, capabilities, processes and facilities. We believe that our manufacturing facilities, together with the third-party contract manufacturing organizations we outsource to, currently provide sufficient capacity for our products and the contract manufacturing services we provide to Samsung Bioepis, our joint venture that develops, manufactures and markets biosimilars, and other strategic contract manufacturing partners. In light of the development of our pipeline, we are expanding our production capacity by building a large-scale biologics manufacturing facility in Solothurn, Switzerland. We expect this facility to be operational by the end of the decade.</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Manufacturing Facilities</w:t>
      </w:r>
    </w:p>
    <w:p>
      <w:pPr>
        <w:spacing w:after="0" w:line="10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drug substance manufacturing facilities include: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Facility</w:t>
            </w: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Drug Substance Manufactured</w:t>
            </w:r>
          </w:p>
        </w:tc>
      </w:tr>
      <w:tr>
        <w:trPr>
          <w:trHeight w:val="215"/>
        </w:trPr>
        <w:tc>
          <w:tcPr>
            <w:tcW w:w="2800" w:type="dxa"/>
            <w:vAlign w:val="bottom"/>
            <w:gridSpan w:val="2"/>
          </w:tcPr>
          <w:p>
            <w:pPr>
              <w:ind w:left="20"/>
              <w:spacing w:after="0"/>
              <w:rPr>
                <w:sz w:val="20"/>
                <w:szCs w:val="20"/>
                <w:color w:val="auto"/>
              </w:rPr>
            </w:pPr>
            <w:r>
              <w:rPr>
                <w:rFonts w:ascii="Arial" w:cs="Arial" w:eastAsia="Arial" w:hAnsi="Arial"/>
                <w:sz w:val="17"/>
                <w:szCs w:val="17"/>
                <w:color w:val="2573BA"/>
              </w:rPr>
              <w:t>RTP, North Carolina</w:t>
            </w:r>
          </w:p>
        </w:tc>
        <w:tc>
          <w:tcPr>
            <w:tcW w:w="2680" w:type="dxa"/>
            <w:vAlign w:val="bottom"/>
          </w:tcPr>
          <w:p>
            <w:pPr>
              <w:jc w:val="center"/>
              <w:spacing w:after="0"/>
              <w:rPr>
                <w:sz w:val="20"/>
                <w:szCs w:val="20"/>
                <w:color w:val="auto"/>
              </w:rPr>
            </w:pPr>
            <w:r>
              <w:rPr>
                <w:rFonts w:ascii="Arial" w:cs="Arial" w:eastAsia="Arial" w:hAnsi="Arial"/>
                <w:sz w:val="17"/>
                <w:szCs w:val="17"/>
                <w:color w:val="2573BA"/>
              </w:rPr>
              <w:t>ALPROLIX</w:t>
            </w:r>
          </w:p>
        </w:tc>
      </w:tr>
      <w:tr>
        <w:trPr>
          <w:trHeight w:val="192"/>
        </w:trPr>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tcPr>
          <w:p>
            <w:pPr>
              <w:jc w:val="center"/>
              <w:spacing w:after="0" w:line="192" w:lineRule="exact"/>
              <w:rPr>
                <w:sz w:val="20"/>
                <w:szCs w:val="20"/>
                <w:color w:val="auto"/>
              </w:rPr>
            </w:pPr>
            <w:r>
              <w:rPr>
                <w:rFonts w:ascii="Arial" w:cs="Arial" w:eastAsia="Arial" w:hAnsi="Arial"/>
                <w:sz w:val="17"/>
                <w:szCs w:val="17"/>
                <w:color w:val="2573BA"/>
                <w:w w:val="98"/>
              </w:rPr>
              <w:t>AVONEX</w:t>
            </w:r>
          </w:p>
        </w:tc>
      </w:tr>
      <w:tr>
        <w:trPr>
          <w:trHeight w:val="192"/>
        </w:trPr>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tcPr>
          <w:p>
            <w:pPr>
              <w:jc w:val="center"/>
              <w:spacing w:after="0" w:line="192" w:lineRule="exact"/>
              <w:rPr>
                <w:sz w:val="20"/>
                <w:szCs w:val="20"/>
                <w:color w:val="auto"/>
              </w:rPr>
            </w:pPr>
            <w:r>
              <w:rPr>
                <w:rFonts w:ascii="Arial" w:cs="Arial" w:eastAsia="Arial" w:hAnsi="Arial"/>
                <w:sz w:val="17"/>
                <w:szCs w:val="17"/>
                <w:color w:val="2573BA"/>
                <w:w w:val="98"/>
              </w:rPr>
              <w:t>ELOCTATE</w:t>
            </w:r>
          </w:p>
        </w:tc>
      </w:tr>
      <w:tr>
        <w:trPr>
          <w:trHeight w:val="192"/>
        </w:trPr>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tcPr>
          <w:p>
            <w:pPr>
              <w:jc w:val="center"/>
              <w:spacing w:after="0" w:line="192" w:lineRule="exact"/>
              <w:rPr>
                <w:sz w:val="20"/>
                <w:szCs w:val="20"/>
                <w:color w:val="auto"/>
              </w:rPr>
            </w:pPr>
            <w:r>
              <w:rPr>
                <w:rFonts w:ascii="Arial" w:cs="Arial" w:eastAsia="Arial" w:hAnsi="Arial"/>
                <w:sz w:val="17"/>
                <w:szCs w:val="17"/>
                <w:color w:val="2573BA"/>
                <w:w w:val="99"/>
              </w:rPr>
              <w:t>PLEGRIDY</w:t>
            </w:r>
          </w:p>
        </w:tc>
      </w:tr>
      <w:tr>
        <w:trPr>
          <w:trHeight w:val="192"/>
        </w:trPr>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tcPr>
          <w:p>
            <w:pPr>
              <w:jc w:val="center"/>
              <w:spacing w:after="0" w:line="192" w:lineRule="exact"/>
              <w:rPr>
                <w:sz w:val="20"/>
                <w:szCs w:val="20"/>
                <w:color w:val="auto"/>
              </w:rPr>
            </w:pPr>
            <w:r>
              <w:rPr>
                <w:rFonts w:ascii="Arial" w:cs="Arial" w:eastAsia="Arial" w:hAnsi="Arial"/>
                <w:sz w:val="17"/>
                <w:szCs w:val="17"/>
                <w:color w:val="2573BA"/>
              </w:rPr>
              <w:t>TYSABRI</w:t>
            </w:r>
          </w:p>
        </w:tc>
      </w:tr>
      <w:tr>
        <w:trPr>
          <w:trHeight w:val="192"/>
        </w:trPr>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tcPr>
          <w:p>
            <w:pPr>
              <w:jc w:val="center"/>
              <w:spacing w:after="0" w:line="192" w:lineRule="exact"/>
              <w:rPr>
                <w:sz w:val="20"/>
                <w:szCs w:val="20"/>
                <w:color w:val="auto"/>
              </w:rPr>
            </w:pPr>
            <w:r>
              <w:rPr>
                <w:rFonts w:ascii="Arial" w:cs="Arial" w:eastAsia="Arial" w:hAnsi="Arial"/>
                <w:sz w:val="17"/>
                <w:szCs w:val="17"/>
                <w:color w:val="2573BA"/>
                <w:w w:val="97"/>
              </w:rPr>
              <w:t>ZINBRYTA</w:t>
            </w:r>
          </w:p>
        </w:tc>
      </w:tr>
      <w:tr>
        <w:trPr>
          <w:trHeight w:val="212"/>
        </w:trPr>
        <w:tc>
          <w:tcPr>
            <w:tcW w:w="2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2573BA"/>
              </w:rPr>
              <w:t>Other*</w:t>
            </w:r>
          </w:p>
        </w:tc>
      </w:tr>
      <w:tr>
        <w:trPr>
          <w:trHeight w:val="332"/>
        </w:trPr>
        <w:tc>
          <w:tcPr>
            <w:tcW w:w="2800" w:type="dxa"/>
            <w:vAlign w:val="bottom"/>
            <w:gridSpan w:val="2"/>
          </w:tcPr>
          <w:p>
            <w:pPr>
              <w:ind w:left="20"/>
              <w:spacing w:after="0"/>
              <w:rPr>
                <w:sz w:val="20"/>
                <w:szCs w:val="20"/>
                <w:color w:val="auto"/>
              </w:rPr>
            </w:pPr>
            <w:r>
              <w:rPr>
                <w:rFonts w:ascii="Arial" w:cs="Arial" w:eastAsia="Arial" w:hAnsi="Arial"/>
                <w:sz w:val="17"/>
                <w:szCs w:val="17"/>
                <w:color w:val="2573BA"/>
              </w:rPr>
              <w:t>Hillerød, Denmark</w:t>
            </w:r>
          </w:p>
        </w:tc>
        <w:tc>
          <w:tcPr>
            <w:tcW w:w="2680" w:type="dxa"/>
            <w:vAlign w:val="bottom"/>
          </w:tcPr>
          <w:p>
            <w:pPr>
              <w:jc w:val="center"/>
              <w:spacing w:after="0"/>
              <w:rPr>
                <w:sz w:val="20"/>
                <w:szCs w:val="20"/>
                <w:color w:val="auto"/>
              </w:rPr>
            </w:pPr>
            <w:r>
              <w:rPr>
                <w:rFonts w:ascii="Arial" w:cs="Arial" w:eastAsia="Arial" w:hAnsi="Arial"/>
                <w:sz w:val="17"/>
                <w:szCs w:val="17"/>
                <w:color w:val="2573BA"/>
              </w:rPr>
              <w:t>TYSABRI</w:t>
            </w:r>
          </w:p>
        </w:tc>
      </w:tr>
      <w:tr>
        <w:trPr>
          <w:trHeight w:val="204"/>
        </w:trPr>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tcPr>
          <w:p>
            <w:pPr>
              <w:jc w:val="center"/>
              <w:spacing w:after="0"/>
              <w:rPr>
                <w:sz w:val="20"/>
                <w:szCs w:val="20"/>
                <w:color w:val="auto"/>
              </w:rPr>
            </w:pPr>
            <w:r>
              <w:rPr>
                <w:rFonts w:ascii="Arial" w:cs="Arial" w:eastAsia="Arial" w:hAnsi="Arial"/>
                <w:sz w:val="17"/>
                <w:szCs w:val="17"/>
                <w:color w:val="2573BA"/>
                <w:w w:val="99"/>
              </w:rPr>
              <w:t>Biosimilars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34804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1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Other includes products manufactured for contract manufacturing partners</w:t>
      </w:r>
    </w:p>
    <w:p>
      <w:pPr>
        <w:spacing w:after="0" w:line="141" w:lineRule="exact"/>
        <w:rPr>
          <w:sz w:val="20"/>
          <w:szCs w:val="20"/>
          <w:color w:val="auto"/>
        </w:rPr>
      </w:pPr>
    </w:p>
    <w:p>
      <w:pPr>
        <w:ind w:right="100" w:firstLine="384"/>
        <w:spacing w:after="0" w:line="255" w:lineRule="auto"/>
        <w:rPr>
          <w:sz w:val="20"/>
          <w:szCs w:val="20"/>
          <w:color w:val="auto"/>
        </w:rPr>
      </w:pPr>
      <w:r>
        <w:rPr>
          <w:rFonts w:ascii="Arial" w:cs="Arial" w:eastAsia="Arial" w:hAnsi="Arial"/>
          <w:sz w:val="17"/>
          <w:szCs w:val="17"/>
          <w:color w:val="auto"/>
        </w:rPr>
        <w:t>In addition to our drug substance manufacturing facilities, we have a drug product manufacturing facility and supporting infrastructure in RTP, NC including a parenteral facility and an oral solid dose products manufacturing facility.</w:t>
      </w:r>
    </w:p>
    <w:p>
      <w:pPr>
        <w:spacing w:after="0" w:line="143" w:lineRule="exact"/>
        <w:rPr>
          <w:sz w:val="20"/>
          <w:szCs w:val="20"/>
          <w:color w:val="auto"/>
        </w:rPr>
      </w:pPr>
    </w:p>
    <w:p>
      <w:pPr>
        <w:ind w:right="160" w:firstLine="384"/>
        <w:spacing w:after="0" w:line="251" w:lineRule="auto"/>
        <w:rPr>
          <w:sz w:val="20"/>
          <w:szCs w:val="20"/>
          <w:color w:val="auto"/>
        </w:rPr>
      </w:pPr>
      <w:r>
        <w:rPr>
          <w:rFonts w:ascii="Arial" w:cs="Arial" w:eastAsia="Arial" w:hAnsi="Arial"/>
          <w:sz w:val="17"/>
          <w:szCs w:val="17"/>
          <w:color w:val="auto"/>
        </w:rPr>
        <w:t>The parenteral facility adds capabilities and capacity for filling biologics into vials and is principally used for filling product candidates. The oral solid dose products facility supplements our outsourced small molecule manufacturing capabilities, including the manufacture of</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TECFIDERA.</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320" w:right="480" w:firstLine="384"/>
        <w:spacing w:after="0" w:line="255" w:lineRule="auto"/>
        <w:rPr>
          <w:sz w:val="20"/>
          <w:szCs w:val="20"/>
          <w:color w:val="auto"/>
        </w:rPr>
      </w:pPr>
      <w:r>
        <w:rPr>
          <w:rFonts w:ascii="Arial" w:cs="Arial" w:eastAsia="Arial" w:hAnsi="Arial"/>
          <w:sz w:val="17"/>
          <w:szCs w:val="17"/>
          <w:color w:val="auto"/>
        </w:rPr>
        <w:t>We also have a new oligonucleotide synthesis manufacturing (OSM) facility in RTP, NC. This facility gives us the capability to manufacture ASO drugs like SPINRAZA as well as our other ASO candidates currently in our clinical pipeline.</w:t>
      </w:r>
    </w:p>
    <w:p>
      <w:pPr>
        <w:spacing w:after="0" w:line="143" w:lineRule="exact"/>
        <w:rPr>
          <w:sz w:val="20"/>
          <w:szCs w:val="20"/>
          <w:color w:val="auto"/>
        </w:rPr>
      </w:pPr>
    </w:p>
    <w:p>
      <w:pPr>
        <w:ind w:left="320" w:right="100" w:firstLine="384"/>
        <w:spacing w:after="0" w:line="255" w:lineRule="auto"/>
        <w:rPr>
          <w:sz w:val="20"/>
          <w:szCs w:val="20"/>
          <w:color w:val="auto"/>
        </w:rPr>
      </w:pPr>
      <w:r>
        <w:rPr>
          <w:rFonts w:ascii="Arial" w:cs="Arial" w:eastAsia="Arial" w:hAnsi="Arial"/>
          <w:sz w:val="17"/>
          <w:szCs w:val="17"/>
          <w:color w:val="auto"/>
        </w:rPr>
        <w:t>During the first quarter of 2016 we purchased land in Solothurn, Switzerland and are building a large-scale biologics manufacturing facility at this site. We expect this facility to be operational by the end of the decade.</w:t>
      </w:r>
    </w:p>
    <w:p>
      <w:pPr>
        <w:spacing w:after="0" w:line="143" w:lineRule="exact"/>
        <w:rPr>
          <w:sz w:val="20"/>
          <w:szCs w:val="20"/>
          <w:color w:val="auto"/>
        </w:rPr>
      </w:pPr>
    </w:p>
    <w:p>
      <w:pPr>
        <w:ind w:left="320" w:right="60" w:firstLine="384"/>
        <w:spacing w:after="0" w:line="253" w:lineRule="auto"/>
        <w:rPr>
          <w:sz w:val="20"/>
          <w:szCs w:val="20"/>
          <w:color w:val="auto"/>
        </w:rPr>
      </w:pPr>
      <w:r>
        <w:rPr>
          <w:rFonts w:ascii="Arial" w:cs="Arial" w:eastAsia="Arial" w:hAnsi="Arial"/>
          <w:sz w:val="17"/>
          <w:szCs w:val="17"/>
          <w:color w:val="auto"/>
        </w:rPr>
        <w:t>Genentech is responsible for all worldwide manufacturing activities for bulk RITUXAN and GAZYVA and has sourced the manufacture of certain bulk RITUXAN and GAZYVA requirements to a third party. Acorda supplies FAMPYRA to us pursuant to its supply agreement with Alkermes, Inc. and Ionis supplies the active pharmaceutical ingredient (API) for SPINRAZA.</w:t>
      </w:r>
    </w:p>
    <w:p>
      <w:pPr>
        <w:spacing w:after="0" w:line="127"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2573BA"/>
        </w:rPr>
        <w:t>Third-Party Suppliers and Manufacturers</w:t>
      </w:r>
    </w:p>
    <w:p>
      <w:pPr>
        <w:spacing w:after="0" w:line="106" w:lineRule="exact"/>
        <w:rPr>
          <w:sz w:val="20"/>
          <w:szCs w:val="20"/>
          <w:color w:val="auto"/>
        </w:rPr>
      </w:pPr>
    </w:p>
    <w:p>
      <w:pPr>
        <w:ind w:left="320" w:firstLine="384"/>
        <w:spacing w:after="0" w:line="255" w:lineRule="auto"/>
        <w:rPr>
          <w:sz w:val="20"/>
          <w:szCs w:val="20"/>
          <w:color w:val="auto"/>
        </w:rPr>
      </w:pPr>
      <w:r>
        <w:rPr>
          <w:rFonts w:ascii="Arial" w:cs="Arial" w:eastAsia="Arial" w:hAnsi="Arial"/>
          <w:sz w:val="17"/>
          <w:szCs w:val="17"/>
          <w:color w:val="auto"/>
        </w:rPr>
        <w:t>We principally use third parties to manufacture the API and the final product for our small molecule products and product candidates, including TECFIDERA and FUMADERM, and the final drug product for our large molecule products and, to a lesser extent, product candidates.</w:t>
      </w:r>
    </w:p>
    <w:p>
      <w:pPr>
        <w:spacing w:after="0" w:line="143" w:lineRule="exact"/>
        <w:rPr>
          <w:sz w:val="20"/>
          <w:szCs w:val="20"/>
          <w:color w:val="auto"/>
        </w:rPr>
      </w:pPr>
    </w:p>
    <w:p>
      <w:pPr>
        <w:ind w:left="320" w:right="80" w:firstLine="384"/>
        <w:spacing w:after="0" w:line="252" w:lineRule="auto"/>
        <w:rPr>
          <w:sz w:val="20"/>
          <w:szCs w:val="20"/>
          <w:color w:val="auto"/>
        </w:rPr>
      </w:pPr>
      <w:r>
        <w:rPr>
          <w:rFonts w:ascii="Arial" w:cs="Arial" w:eastAsia="Arial" w:hAnsi="Arial"/>
          <w:sz w:val="17"/>
          <w:szCs w:val="17"/>
          <w:color w:val="auto"/>
        </w:rPr>
        <w:t>We source all of our fill-finish and the majority of final product assembly and storage operations for our products, along with a substantial part of our packaging operations, to a concentrated group of third-party contract manufacturing organizations. We have internal label and packaging capability for clinical and commercial products at our Hillerød facility. Raw materials, delivery devices, such as syringes and auto-injectors, and other supplies required for the production of our products and product candidates are procured from various third-party suppliers and manufacturers in quantities adequate to meet our needs. Continuity of supply of such raw materials, devices and supplies is assured using a strategy of dual sourcing where possible or by a risk-based inventory strategy. Our third-party service providers, suppliers and manufacturers may be subject to routine cGMP inspections by the FDA or comparable agencies in other jurisdictions and undergo assessment and certification by our quality management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28</w:t>
      </w:r>
    </w:p>
    <w:p>
      <w:pPr>
        <w:sectPr>
          <w:pgSz w:w="11900" w:h="16838" w:orient="portrait"/>
          <w:cols w:equalWidth="0" w:num="2">
            <w:col w:w="5480" w:space="140"/>
            <w:col w:w="5800"/>
          </w:cols>
          <w:pgMar w:left="240" w:top="144" w:right="239" w:bottom="1440" w:gutter="0" w:footer="0" w:header="0"/>
          <w:type w:val="continuous"/>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Our Employees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December 31, 2017, we had approximately 7,300 employees worldwide.</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Our Executive Officers (as of February 1, 2018)</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ind w:left="140"/>
              <w:spacing w:after="0"/>
              <w:rPr>
                <w:sz w:val="20"/>
                <w:szCs w:val="20"/>
                <w:color w:val="auto"/>
              </w:rPr>
            </w:pPr>
            <w:r>
              <w:rPr>
                <w:rFonts w:ascii="Arial" w:cs="Arial" w:eastAsia="Arial" w:hAnsi="Arial"/>
                <w:sz w:val="14"/>
                <w:szCs w:val="14"/>
                <w:b w:val="1"/>
                <w:bCs w:val="1"/>
                <w:color w:val="auto"/>
              </w:rPr>
              <w:t>Year</w:t>
            </w:r>
          </w:p>
        </w:tc>
      </w:tr>
      <w:tr>
        <w:trPr>
          <w:trHeight w:val="154"/>
        </w:trPr>
        <w:tc>
          <w:tcPr>
            <w:tcW w:w="32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tcPr>
          <w:p>
            <w:pPr>
              <w:ind w:left="140"/>
              <w:spacing w:after="0" w:line="154" w:lineRule="exact"/>
              <w:rPr>
                <w:sz w:val="20"/>
                <w:szCs w:val="20"/>
                <w:color w:val="auto"/>
              </w:rPr>
            </w:pPr>
            <w:r>
              <w:rPr>
                <w:rFonts w:ascii="Arial" w:cs="Arial" w:eastAsia="Arial" w:hAnsi="Arial"/>
                <w:sz w:val="14"/>
                <w:szCs w:val="14"/>
                <w:b w:val="1"/>
                <w:bCs w:val="1"/>
                <w:color w:val="auto"/>
              </w:rPr>
              <w:t>Joined</w:t>
            </w:r>
          </w:p>
        </w:tc>
      </w:tr>
      <w:tr>
        <w:trPr>
          <w:trHeight w:val="185"/>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Officer</w:t>
            </w:r>
          </w:p>
        </w:tc>
        <w:tc>
          <w:tcPr>
            <w:tcW w:w="64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Current Position</w:t>
            </w:r>
          </w:p>
        </w:tc>
        <w:tc>
          <w:tcPr>
            <w:tcW w:w="8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Age</w:t>
            </w: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Biogen</w:t>
            </w:r>
          </w:p>
        </w:tc>
      </w:tr>
      <w:tr>
        <w:trPr>
          <w:trHeight w:val="228"/>
        </w:trPr>
        <w:tc>
          <w:tcPr>
            <w:tcW w:w="3220" w:type="dxa"/>
            <w:vAlign w:val="bottom"/>
          </w:tcPr>
          <w:p>
            <w:pPr>
              <w:ind w:left="20"/>
              <w:spacing w:after="0"/>
              <w:rPr>
                <w:sz w:val="20"/>
                <w:szCs w:val="20"/>
                <w:color w:val="auto"/>
              </w:rPr>
            </w:pPr>
            <w:r>
              <w:rPr>
                <w:rFonts w:ascii="Arial" w:cs="Arial" w:eastAsia="Arial" w:hAnsi="Arial"/>
                <w:sz w:val="17"/>
                <w:szCs w:val="17"/>
                <w:b w:val="1"/>
                <w:bCs w:val="1"/>
                <w:color w:val="2573BA"/>
              </w:rPr>
              <w:t>Michel Vounatsos</w:t>
            </w:r>
          </w:p>
        </w:tc>
        <w:tc>
          <w:tcPr>
            <w:tcW w:w="6480" w:type="dxa"/>
            <w:vAlign w:val="bottom"/>
          </w:tcPr>
          <w:p>
            <w:pPr>
              <w:ind w:left="360"/>
              <w:spacing w:after="0"/>
              <w:rPr>
                <w:sz w:val="20"/>
                <w:szCs w:val="20"/>
                <w:color w:val="auto"/>
              </w:rPr>
            </w:pPr>
            <w:r>
              <w:rPr>
                <w:rFonts w:ascii="Arial" w:cs="Arial" w:eastAsia="Arial" w:hAnsi="Arial"/>
                <w:sz w:val="17"/>
                <w:szCs w:val="17"/>
                <w:color w:val="auto"/>
              </w:rPr>
              <w:t>Chief Executive Officer</w:t>
            </w:r>
          </w:p>
        </w:tc>
        <w:tc>
          <w:tcPr>
            <w:tcW w:w="820" w:type="dxa"/>
            <w:vAlign w:val="bottom"/>
          </w:tcPr>
          <w:p>
            <w:pPr>
              <w:jc w:val="right"/>
              <w:ind w:right="36"/>
              <w:spacing w:after="0"/>
              <w:rPr>
                <w:sz w:val="20"/>
                <w:szCs w:val="20"/>
                <w:color w:val="auto"/>
              </w:rPr>
            </w:pPr>
            <w:r>
              <w:rPr>
                <w:rFonts w:ascii="Arial" w:cs="Arial" w:eastAsia="Arial" w:hAnsi="Arial"/>
                <w:sz w:val="17"/>
                <w:szCs w:val="17"/>
                <w:color w:val="auto"/>
              </w:rPr>
              <w:t>56</w:t>
            </w:r>
          </w:p>
        </w:tc>
        <w:tc>
          <w:tcPr>
            <w:tcW w:w="900" w:type="dxa"/>
            <w:vAlign w:val="bottom"/>
          </w:tcPr>
          <w:p>
            <w:pPr>
              <w:jc w:val="right"/>
              <w:ind w:right="119"/>
              <w:spacing w:after="0"/>
              <w:rPr>
                <w:sz w:val="20"/>
                <w:szCs w:val="20"/>
                <w:color w:val="auto"/>
              </w:rPr>
            </w:pPr>
            <w:r>
              <w:rPr>
                <w:rFonts w:ascii="Arial" w:cs="Arial" w:eastAsia="Arial" w:hAnsi="Arial"/>
                <w:sz w:val="17"/>
                <w:szCs w:val="17"/>
                <w:color w:val="auto"/>
              </w:rPr>
              <w:t>2016</w:t>
            </w:r>
          </w:p>
        </w:tc>
      </w:tr>
      <w:tr>
        <w:trPr>
          <w:trHeight w:val="256"/>
        </w:trPr>
        <w:tc>
          <w:tcPr>
            <w:tcW w:w="3220" w:type="dxa"/>
            <w:vAlign w:val="bottom"/>
          </w:tcPr>
          <w:p>
            <w:pPr>
              <w:ind w:left="20"/>
              <w:spacing w:after="0"/>
              <w:rPr>
                <w:sz w:val="20"/>
                <w:szCs w:val="20"/>
                <w:color w:val="auto"/>
              </w:rPr>
            </w:pPr>
            <w:r>
              <w:rPr>
                <w:rFonts w:ascii="Arial" w:cs="Arial" w:eastAsia="Arial" w:hAnsi="Arial"/>
                <w:sz w:val="17"/>
                <w:szCs w:val="17"/>
                <w:b w:val="1"/>
                <w:bCs w:val="1"/>
                <w:color w:val="2573BA"/>
              </w:rPr>
              <w:t>Susan H. Alexander</w:t>
            </w:r>
          </w:p>
        </w:tc>
        <w:tc>
          <w:tcPr>
            <w:tcW w:w="6480" w:type="dxa"/>
            <w:vAlign w:val="bottom"/>
          </w:tcPr>
          <w:p>
            <w:pPr>
              <w:ind w:left="360"/>
              <w:spacing w:after="0"/>
              <w:rPr>
                <w:sz w:val="20"/>
                <w:szCs w:val="20"/>
                <w:color w:val="auto"/>
              </w:rPr>
            </w:pPr>
            <w:r>
              <w:rPr>
                <w:rFonts w:ascii="Arial" w:cs="Arial" w:eastAsia="Arial" w:hAnsi="Arial"/>
                <w:sz w:val="17"/>
                <w:szCs w:val="17"/>
                <w:color w:val="auto"/>
              </w:rPr>
              <w:t>Executive Vice President, Chief Legal, Corporate Services and Secretary</w:t>
            </w:r>
          </w:p>
        </w:tc>
        <w:tc>
          <w:tcPr>
            <w:tcW w:w="820" w:type="dxa"/>
            <w:vAlign w:val="bottom"/>
          </w:tcPr>
          <w:p>
            <w:pPr>
              <w:jc w:val="right"/>
              <w:ind w:right="36"/>
              <w:spacing w:after="0"/>
              <w:rPr>
                <w:sz w:val="20"/>
                <w:szCs w:val="20"/>
                <w:color w:val="auto"/>
              </w:rPr>
            </w:pPr>
            <w:r>
              <w:rPr>
                <w:rFonts w:ascii="Arial" w:cs="Arial" w:eastAsia="Arial" w:hAnsi="Arial"/>
                <w:sz w:val="17"/>
                <w:szCs w:val="17"/>
                <w:color w:val="auto"/>
              </w:rPr>
              <w:t>61</w:t>
            </w:r>
          </w:p>
        </w:tc>
        <w:tc>
          <w:tcPr>
            <w:tcW w:w="900" w:type="dxa"/>
            <w:vAlign w:val="bottom"/>
          </w:tcPr>
          <w:p>
            <w:pPr>
              <w:jc w:val="right"/>
              <w:ind w:right="119"/>
              <w:spacing w:after="0"/>
              <w:rPr>
                <w:sz w:val="20"/>
                <w:szCs w:val="20"/>
                <w:color w:val="auto"/>
              </w:rPr>
            </w:pPr>
            <w:r>
              <w:rPr>
                <w:rFonts w:ascii="Arial" w:cs="Arial" w:eastAsia="Arial" w:hAnsi="Arial"/>
                <w:sz w:val="17"/>
                <w:szCs w:val="17"/>
                <w:color w:val="auto"/>
              </w:rPr>
              <w:t>2006</w:t>
            </w:r>
          </w:p>
        </w:tc>
      </w:tr>
      <w:tr>
        <w:trPr>
          <w:trHeight w:val="256"/>
        </w:trPr>
        <w:tc>
          <w:tcPr>
            <w:tcW w:w="3220" w:type="dxa"/>
            <w:vAlign w:val="bottom"/>
          </w:tcPr>
          <w:p>
            <w:pPr>
              <w:ind w:left="20"/>
              <w:spacing w:after="0"/>
              <w:rPr>
                <w:sz w:val="20"/>
                <w:szCs w:val="20"/>
                <w:color w:val="auto"/>
              </w:rPr>
            </w:pPr>
            <w:r>
              <w:rPr>
                <w:rFonts w:ascii="Arial" w:cs="Arial" w:eastAsia="Arial" w:hAnsi="Arial"/>
                <w:sz w:val="17"/>
                <w:szCs w:val="17"/>
                <w:b w:val="1"/>
                <w:bCs w:val="1"/>
                <w:color w:val="2573BA"/>
              </w:rPr>
              <w:t>Jeffrey D. Capello</w:t>
            </w:r>
          </w:p>
        </w:tc>
        <w:tc>
          <w:tcPr>
            <w:tcW w:w="6480" w:type="dxa"/>
            <w:vAlign w:val="bottom"/>
          </w:tcPr>
          <w:p>
            <w:pPr>
              <w:ind w:left="360"/>
              <w:spacing w:after="0"/>
              <w:rPr>
                <w:sz w:val="20"/>
                <w:szCs w:val="20"/>
                <w:color w:val="auto"/>
              </w:rPr>
            </w:pPr>
            <w:r>
              <w:rPr>
                <w:rFonts w:ascii="Arial" w:cs="Arial" w:eastAsia="Arial" w:hAnsi="Arial"/>
                <w:sz w:val="17"/>
                <w:szCs w:val="17"/>
                <w:color w:val="auto"/>
              </w:rPr>
              <w:t>Executive Vice President and Chief Financial Officer</w:t>
            </w:r>
          </w:p>
        </w:tc>
        <w:tc>
          <w:tcPr>
            <w:tcW w:w="820" w:type="dxa"/>
            <w:vAlign w:val="bottom"/>
          </w:tcPr>
          <w:p>
            <w:pPr>
              <w:jc w:val="right"/>
              <w:ind w:right="36"/>
              <w:spacing w:after="0"/>
              <w:rPr>
                <w:sz w:val="20"/>
                <w:szCs w:val="20"/>
                <w:color w:val="auto"/>
              </w:rPr>
            </w:pPr>
            <w:r>
              <w:rPr>
                <w:rFonts w:ascii="Arial" w:cs="Arial" w:eastAsia="Arial" w:hAnsi="Arial"/>
                <w:sz w:val="17"/>
                <w:szCs w:val="17"/>
                <w:color w:val="auto"/>
              </w:rPr>
              <w:t>53</w:t>
            </w:r>
          </w:p>
        </w:tc>
        <w:tc>
          <w:tcPr>
            <w:tcW w:w="900" w:type="dxa"/>
            <w:vAlign w:val="bottom"/>
          </w:tcPr>
          <w:p>
            <w:pPr>
              <w:jc w:val="right"/>
              <w:ind w:right="119"/>
              <w:spacing w:after="0"/>
              <w:rPr>
                <w:sz w:val="20"/>
                <w:szCs w:val="20"/>
                <w:color w:val="auto"/>
              </w:rPr>
            </w:pPr>
            <w:r>
              <w:rPr>
                <w:rFonts w:ascii="Arial" w:cs="Arial" w:eastAsia="Arial" w:hAnsi="Arial"/>
                <w:sz w:val="17"/>
                <w:szCs w:val="17"/>
                <w:color w:val="auto"/>
              </w:rPr>
              <w:t>2017</w:t>
            </w:r>
          </w:p>
        </w:tc>
      </w:tr>
      <w:tr>
        <w:trPr>
          <w:trHeight w:val="256"/>
        </w:trPr>
        <w:tc>
          <w:tcPr>
            <w:tcW w:w="3220" w:type="dxa"/>
            <w:vAlign w:val="bottom"/>
          </w:tcPr>
          <w:p>
            <w:pPr>
              <w:ind w:left="20"/>
              <w:spacing w:after="0"/>
              <w:rPr>
                <w:sz w:val="20"/>
                <w:szCs w:val="20"/>
                <w:color w:val="auto"/>
              </w:rPr>
            </w:pPr>
            <w:r>
              <w:rPr>
                <w:rFonts w:ascii="Arial" w:cs="Arial" w:eastAsia="Arial" w:hAnsi="Arial"/>
                <w:sz w:val="17"/>
                <w:szCs w:val="17"/>
                <w:b w:val="1"/>
                <w:bCs w:val="1"/>
                <w:color w:val="2573BA"/>
              </w:rPr>
              <w:t>Gregory F. Covino</w:t>
            </w:r>
          </w:p>
        </w:tc>
        <w:tc>
          <w:tcPr>
            <w:tcW w:w="6480" w:type="dxa"/>
            <w:vAlign w:val="bottom"/>
          </w:tcPr>
          <w:p>
            <w:pPr>
              <w:ind w:left="360"/>
              <w:spacing w:after="0"/>
              <w:rPr>
                <w:sz w:val="20"/>
                <w:szCs w:val="20"/>
                <w:color w:val="auto"/>
              </w:rPr>
            </w:pPr>
            <w:r>
              <w:rPr>
                <w:rFonts w:ascii="Arial" w:cs="Arial" w:eastAsia="Arial" w:hAnsi="Arial"/>
                <w:sz w:val="17"/>
                <w:szCs w:val="17"/>
                <w:color w:val="auto"/>
              </w:rPr>
              <w:t>Vice President, Finance and Chief Accounting Officer</w:t>
            </w:r>
          </w:p>
        </w:tc>
        <w:tc>
          <w:tcPr>
            <w:tcW w:w="820" w:type="dxa"/>
            <w:vAlign w:val="bottom"/>
          </w:tcPr>
          <w:p>
            <w:pPr>
              <w:jc w:val="right"/>
              <w:ind w:right="36"/>
              <w:spacing w:after="0"/>
              <w:rPr>
                <w:sz w:val="20"/>
                <w:szCs w:val="20"/>
                <w:color w:val="auto"/>
              </w:rPr>
            </w:pPr>
            <w:r>
              <w:rPr>
                <w:rFonts w:ascii="Arial" w:cs="Arial" w:eastAsia="Arial" w:hAnsi="Arial"/>
                <w:sz w:val="17"/>
                <w:szCs w:val="17"/>
                <w:color w:val="auto"/>
              </w:rPr>
              <w:t>52</w:t>
            </w:r>
          </w:p>
        </w:tc>
        <w:tc>
          <w:tcPr>
            <w:tcW w:w="900" w:type="dxa"/>
            <w:vAlign w:val="bottom"/>
          </w:tcPr>
          <w:p>
            <w:pPr>
              <w:jc w:val="right"/>
              <w:ind w:right="119"/>
              <w:spacing w:after="0"/>
              <w:rPr>
                <w:sz w:val="20"/>
                <w:szCs w:val="20"/>
                <w:color w:val="auto"/>
              </w:rPr>
            </w:pPr>
            <w:r>
              <w:rPr>
                <w:rFonts w:ascii="Arial" w:cs="Arial" w:eastAsia="Arial" w:hAnsi="Arial"/>
                <w:sz w:val="17"/>
                <w:szCs w:val="17"/>
                <w:color w:val="auto"/>
              </w:rPr>
              <w:t>2012</w:t>
            </w:r>
          </w:p>
        </w:tc>
      </w:tr>
      <w:tr>
        <w:trPr>
          <w:trHeight w:val="256"/>
        </w:trPr>
        <w:tc>
          <w:tcPr>
            <w:tcW w:w="3220" w:type="dxa"/>
            <w:vAlign w:val="bottom"/>
          </w:tcPr>
          <w:p>
            <w:pPr>
              <w:ind w:left="20"/>
              <w:spacing w:after="0"/>
              <w:rPr>
                <w:sz w:val="20"/>
                <w:szCs w:val="20"/>
                <w:color w:val="auto"/>
              </w:rPr>
            </w:pPr>
            <w:r>
              <w:rPr>
                <w:rFonts w:ascii="Arial" w:cs="Arial" w:eastAsia="Arial" w:hAnsi="Arial"/>
                <w:sz w:val="17"/>
                <w:szCs w:val="17"/>
                <w:b w:val="1"/>
                <w:bCs w:val="1"/>
                <w:color w:val="2573BA"/>
              </w:rPr>
              <w:t>Michael D. Ehlers, M.D., Ph.D.</w:t>
            </w:r>
          </w:p>
        </w:tc>
        <w:tc>
          <w:tcPr>
            <w:tcW w:w="6480" w:type="dxa"/>
            <w:vAlign w:val="bottom"/>
          </w:tcPr>
          <w:p>
            <w:pPr>
              <w:ind w:left="360"/>
              <w:spacing w:after="0"/>
              <w:rPr>
                <w:sz w:val="20"/>
                <w:szCs w:val="20"/>
                <w:color w:val="auto"/>
              </w:rPr>
            </w:pPr>
            <w:r>
              <w:rPr>
                <w:rFonts w:ascii="Arial" w:cs="Arial" w:eastAsia="Arial" w:hAnsi="Arial"/>
                <w:sz w:val="17"/>
                <w:szCs w:val="17"/>
                <w:color w:val="auto"/>
              </w:rPr>
              <w:t>Executive Vice President, Research and Development</w:t>
            </w:r>
          </w:p>
        </w:tc>
        <w:tc>
          <w:tcPr>
            <w:tcW w:w="820" w:type="dxa"/>
            <w:vAlign w:val="bottom"/>
          </w:tcPr>
          <w:p>
            <w:pPr>
              <w:jc w:val="right"/>
              <w:ind w:right="36"/>
              <w:spacing w:after="0"/>
              <w:rPr>
                <w:sz w:val="20"/>
                <w:szCs w:val="20"/>
                <w:color w:val="auto"/>
              </w:rPr>
            </w:pPr>
            <w:r>
              <w:rPr>
                <w:rFonts w:ascii="Arial" w:cs="Arial" w:eastAsia="Arial" w:hAnsi="Arial"/>
                <w:sz w:val="17"/>
                <w:szCs w:val="17"/>
                <w:color w:val="auto"/>
              </w:rPr>
              <w:t>49</w:t>
            </w:r>
          </w:p>
        </w:tc>
        <w:tc>
          <w:tcPr>
            <w:tcW w:w="900" w:type="dxa"/>
            <w:vAlign w:val="bottom"/>
          </w:tcPr>
          <w:p>
            <w:pPr>
              <w:jc w:val="right"/>
              <w:ind w:right="119"/>
              <w:spacing w:after="0"/>
              <w:rPr>
                <w:sz w:val="20"/>
                <w:szCs w:val="20"/>
                <w:color w:val="auto"/>
              </w:rPr>
            </w:pPr>
            <w:r>
              <w:rPr>
                <w:rFonts w:ascii="Arial" w:cs="Arial" w:eastAsia="Arial" w:hAnsi="Arial"/>
                <w:sz w:val="17"/>
                <w:szCs w:val="17"/>
                <w:color w:val="auto"/>
              </w:rPr>
              <w:t>2016</w:t>
            </w:r>
          </w:p>
        </w:tc>
      </w:tr>
      <w:tr>
        <w:trPr>
          <w:trHeight w:val="256"/>
        </w:trPr>
        <w:tc>
          <w:tcPr>
            <w:tcW w:w="3220" w:type="dxa"/>
            <w:vAlign w:val="bottom"/>
          </w:tcPr>
          <w:p>
            <w:pPr>
              <w:ind w:left="20"/>
              <w:spacing w:after="0"/>
              <w:rPr>
                <w:sz w:val="20"/>
                <w:szCs w:val="20"/>
                <w:color w:val="auto"/>
              </w:rPr>
            </w:pPr>
            <w:r>
              <w:rPr>
                <w:rFonts w:ascii="Arial" w:cs="Arial" w:eastAsia="Arial" w:hAnsi="Arial"/>
                <w:sz w:val="17"/>
                <w:szCs w:val="17"/>
                <w:b w:val="1"/>
                <w:bCs w:val="1"/>
                <w:color w:val="2573BA"/>
              </w:rPr>
              <w:t>Ginger Gregory, Ph.D.</w:t>
            </w:r>
          </w:p>
        </w:tc>
        <w:tc>
          <w:tcPr>
            <w:tcW w:w="6480" w:type="dxa"/>
            <w:vAlign w:val="bottom"/>
          </w:tcPr>
          <w:p>
            <w:pPr>
              <w:ind w:left="360"/>
              <w:spacing w:after="0"/>
              <w:rPr>
                <w:sz w:val="20"/>
                <w:szCs w:val="20"/>
                <w:color w:val="auto"/>
              </w:rPr>
            </w:pPr>
            <w:r>
              <w:rPr>
                <w:rFonts w:ascii="Arial" w:cs="Arial" w:eastAsia="Arial" w:hAnsi="Arial"/>
                <w:sz w:val="17"/>
                <w:szCs w:val="17"/>
                <w:color w:val="auto"/>
              </w:rPr>
              <w:t>Executive Vice President and Chief Human Resources Officer</w:t>
            </w:r>
          </w:p>
        </w:tc>
        <w:tc>
          <w:tcPr>
            <w:tcW w:w="820" w:type="dxa"/>
            <w:vAlign w:val="bottom"/>
          </w:tcPr>
          <w:p>
            <w:pPr>
              <w:jc w:val="right"/>
              <w:ind w:right="36"/>
              <w:spacing w:after="0"/>
              <w:rPr>
                <w:sz w:val="20"/>
                <w:szCs w:val="20"/>
                <w:color w:val="auto"/>
              </w:rPr>
            </w:pPr>
            <w:r>
              <w:rPr>
                <w:rFonts w:ascii="Arial" w:cs="Arial" w:eastAsia="Arial" w:hAnsi="Arial"/>
                <w:sz w:val="17"/>
                <w:szCs w:val="17"/>
                <w:color w:val="auto"/>
              </w:rPr>
              <w:t>50</w:t>
            </w:r>
          </w:p>
        </w:tc>
        <w:tc>
          <w:tcPr>
            <w:tcW w:w="900" w:type="dxa"/>
            <w:vAlign w:val="bottom"/>
          </w:tcPr>
          <w:p>
            <w:pPr>
              <w:jc w:val="right"/>
              <w:ind w:right="119"/>
              <w:spacing w:after="0"/>
              <w:rPr>
                <w:sz w:val="20"/>
                <w:szCs w:val="20"/>
                <w:color w:val="auto"/>
              </w:rPr>
            </w:pPr>
            <w:r>
              <w:rPr>
                <w:rFonts w:ascii="Arial" w:cs="Arial" w:eastAsia="Arial" w:hAnsi="Arial"/>
                <w:sz w:val="17"/>
                <w:szCs w:val="17"/>
                <w:color w:val="auto"/>
              </w:rPr>
              <w:t>2017</w:t>
            </w:r>
          </w:p>
        </w:tc>
      </w:tr>
      <w:tr>
        <w:trPr>
          <w:trHeight w:val="244"/>
        </w:trPr>
        <w:tc>
          <w:tcPr>
            <w:tcW w:w="3220" w:type="dxa"/>
            <w:vAlign w:val="bottom"/>
          </w:tcPr>
          <w:p>
            <w:pPr>
              <w:ind w:left="20"/>
              <w:spacing w:after="0"/>
              <w:rPr>
                <w:sz w:val="20"/>
                <w:szCs w:val="20"/>
                <w:color w:val="auto"/>
              </w:rPr>
            </w:pPr>
            <w:r>
              <w:rPr>
                <w:rFonts w:ascii="Arial" w:cs="Arial" w:eastAsia="Arial" w:hAnsi="Arial"/>
                <w:sz w:val="17"/>
                <w:szCs w:val="17"/>
                <w:b w:val="1"/>
                <w:bCs w:val="1"/>
                <w:color w:val="2573BA"/>
              </w:rPr>
              <w:t>Chirfi Guindo</w:t>
            </w:r>
          </w:p>
        </w:tc>
        <w:tc>
          <w:tcPr>
            <w:tcW w:w="6480" w:type="dxa"/>
            <w:vAlign w:val="bottom"/>
          </w:tcPr>
          <w:p>
            <w:pPr>
              <w:ind w:left="360"/>
              <w:spacing w:after="0"/>
              <w:rPr>
                <w:sz w:val="20"/>
                <w:szCs w:val="20"/>
                <w:color w:val="auto"/>
              </w:rPr>
            </w:pPr>
            <w:r>
              <w:rPr>
                <w:rFonts w:ascii="Arial" w:cs="Arial" w:eastAsia="Arial" w:hAnsi="Arial"/>
                <w:sz w:val="17"/>
                <w:szCs w:val="17"/>
                <w:color w:val="auto"/>
              </w:rPr>
              <w:t>Executive Vice President and Head of Global Marketing, Market Access and</w:t>
            </w:r>
          </w:p>
        </w:tc>
        <w:tc>
          <w:tcPr>
            <w:tcW w:w="820" w:type="dxa"/>
            <w:vAlign w:val="bottom"/>
          </w:tcPr>
          <w:p>
            <w:pPr>
              <w:jc w:val="right"/>
              <w:ind w:right="36"/>
              <w:spacing w:after="0"/>
              <w:rPr>
                <w:sz w:val="20"/>
                <w:szCs w:val="20"/>
                <w:color w:val="auto"/>
              </w:rPr>
            </w:pPr>
            <w:r>
              <w:rPr>
                <w:rFonts w:ascii="Arial" w:cs="Arial" w:eastAsia="Arial" w:hAnsi="Arial"/>
                <w:sz w:val="17"/>
                <w:szCs w:val="17"/>
                <w:color w:val="auto"/>
              </w:rPr>
              <w:t>52</w:t>
            </w:r>
          </w:p>
        </w:tc>
        <w:tc>
          <w:tcPr>
            <w:tcW w:w="900" w:type="dxa"/>
            <w:vAlign w:val="bottom"/>
          </w:tcPr>
          <w:p>
            <w:pPr>
              <w:jc w:val="right"/>
              <w:ind w:right="119"/>
              <w:spacing w:after="0"/>
              <w:rPr>
                <w:sz w:val="20"/>
                <w:szCs w:val="20"/>
                <w:color w:val="auto"/>
              </w:rPr>
            </w:pPr>
            <w:r>
              <w:rPr>
                <w:rFonts w:ascii="Arial" w:cs="Arial" w:eastAsia="Arial" w:hAnsi="Arial"/>
                <w:sz w:val="17"/>
                <w:szCs w:val="17"/>
                <w:color w:val="auto"/>
              </w:rPr>
              <w:t>2017</w:t>
            </w:r>
          </w:p>
        </w:tc>
      </w:tr>
      <w:tr>
        <w:trPr>
          <w:trHeight w:val="204"/>
        </w:trPr>
        <w:tc>
          <w:tcPr>
            <w:tcW w:w="3220" w:type="dxa"/>
            <w:vAlign w:val="bottom"/>
          </w:tcPr>
          <w:p>
            <w:pPr>
              <w:spacing w:after="0"/>
              <w:rPr>
                <w:sz w:val="17"/>
                <w:szCs w:val="17"/>
                <w:color w:val="auto"/>
              </w:rPr>
            </w:pPr>
          </w:p>
        </w:tc>
        <w:tc>
          <w:tcPr>
            <w:tcW w:w="6480" w:type="dxa"/>
            <w:vAlign w:val="bottom"/>
          </w:tcPr>
          <w:p>
            <w:pPr>
              <w:ind w:left="360"/>
              <w:spacing w:after="0"/>
              <w:rPr>
                <w:sz w:val="20"/>
                <w:szCs w:val="20"/>
                <w:color w:val="auto"/>
              </w:rPr>
            </w:pPr>
            <w:r>
              <w:rPr>
                <w:rFonts w:ascii="Arial" w:cs="Arial" w:eastAsia="Arial" w:hAnsi="Arial"/>
                <w:sz w:val="17"/>
                <w:szCs w:val="17"/>
                <w:color w:val="auto"/>
              </w:rPr>
              <w:t>Customer Innovation</w:t>
            </w: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43"/>
        </w:trPr>
        <w:tc>
          <w:tcPr>
            <w:tcW w:w="3220" w:type="dxa"/>
            <w:vAlign w:val="bottom"/>
          </w:tcPr>
          <w:p>
            <w:pPr>
              <w:ind w:left="20"/>
              <w:spacing w:after="0"/>
              <w:rPr>
                <w:sz w:val="20"/>
                <w:szCs w:val="20"/>
                <w:color w:val="auto"/>
              </w:rPr>
            </w:pPr>
            <w:r>
              <w:rPr>
                <w:rFonts w:ascii="Arial" w:cs="Arial" w:eastAsia="Arial" w:hAnsi="Arial"/>
                <w:sz w:val="17"/>
                <w:szCs w:val="17"/>
                <w:b w:val="1"/>
                <w:bCs w:val="1"/>
                <w:color w:val="2573BA"/>
              </w:rPr>
              <w:t>Paul McKenzie, Ph.D.</w:t>
            </w:r>
          </w:p>
        </w:tc>
        <w:tc>
          <w:tcPr>
            <w:tcW w:w="6480" w:type="dxa"/>
            <w:vAlign w:val="bottom"/>
          </w:tcPr>
          <w:p>
            <w:pPr>
              <w:ind w:left="360"/>
              <w:spacing w:after="0"/>
              <w:rPr>
                <w:sz w:val="20"/>
                <w:szCs w:val="20"/>
                <w:color w:val="auto"/>
              </w:rPr>
            </w:pPr>
            <w:r>
              <w:rPr>
                <w:rFonts w:ascii="Arial" w:cs="Arial" w:eastAsia="Arial" w:hAnsi="Arial"/>
                <w:sz w:val="17"/>
                <w:szCs w:val="17"/>
                <w:color w:val="auto"/>
              </w:rPr>
              <w:t>Executive Vice President, Pharmaceutical Operations and Technology</w:t>
            </w:r>
          </w:p>
        </w:tc>
        <w:tc>
          <w:tcPr>
            <w:tcW w:w="820" w:type="dxa"/>
            <w:vAlign w:val="bottom"/>
          </w:tcPr>
          <w:p>
            <w:pPr>
              <w:jc w:val="right"/>
              <w:ind w:right="36"/>
              <w:spacing w:after="0"/>
              <w:rPr>
                <w:sz w:val="20"/>
                <w:szCs w:val="20"/>
                <w:color w:val="auto"/>
              </w:rPr>
            </w:pPr>
            <w:r>
              <w:rPr>
                <w:rFonts w:ascii="Arial" w:cs="Arial" w:eastAsia="Arial" w:hAnsi="Arial"/>
                <w:sz w:val="17"/>
                <w:szCs w:val="17"/>
                <w:color w:val="auto"/>
              </w:rPr>
              <w:t>52</w:t>
            </w:r>
          </w:p>
        </w:tc>
        <w:tc>
          <w:tcPr>
            <w:tcW w:w="900" w:type="dxa"/>
            <w:vAlign w:val="bottom"/>
          </w:tcPr>
          <w:p>
            <w:pPr>
              <w:jc w:val="right"/>
              <w:ind w:right="119"/>
              <w:spacing w:after="0"/>
              <w:rPr>
                <w:sz w:val="20"/>
                <w:szCs w:val="20"/>
                <w:color w:val="auto"/>
              </w:rPr>
            </w:pPr>
            <w:r>
              <w:rPr>
                <w:rFonts w:ascii="Arial" w:cs="Arial" w:eastAsia="Arial" w:hAnsi="Arial"/>
                <w:sz w:val="17"/>
                <w:szCs w:val="17"/>
                <w:color w:val="auto"/>
              </w:rPr>
              <w:t>2016</w:t>
            </w:r>
          </w:p>
        </w:tc>
      </w:tr>
      <w:tr>
        <w:trPr>
          <w:trHeight w:val="256"/>
        </w:trPr>
        <w:tc>
          <w:tcPr>
            <w:tcW w:w="3220" w:type="dxa"/>
            <w:vAlign w:val="bottom"/>
          </w:tcPr>
          <w:p>
            <w:pPr>
              <w:ind w:left="20"/>
              <w:spacing w:after="0"/>
              <w:rPr>
                <w:sz w:val="20"/>
                <w:szCs w:val="20"/>
                <w:color w:val="auto"/>
              </w:rPr>
            </w:pPr>
            <w:r>
              <w:rPr>
                <w:rFonts w:ascii="Arial" w:cs="Arial" w:eastAsia="Arial" w:hAnsi="Arial"/>
                <w:sz w:val="17"/>
                <w:szCs w:val="17"/>
                <w:b w:val="1"/>
                <w:bCs w:val="1"/>
                <w:color w:val="2573BA"/>
              </w:rPr>
              <w:t>Alfred W. Sandrock, Jr., M.D., Ph.D.</w:t>
            </w:r>
          </w:p>
        </w:tc>
        <w:tc>
          <w:tcPr>
            <w:tcW w:w="6480" w:type="dxa"/>
            <w:vAlign w:val="bottom"/>
          </w:tcPr>
          <w:p>
            <w:pPr>
              <w:ind w:left="360"/>
              <w:spacing w:after="0"/>
              <w:rPr>
                <w:sz w:val="20"/>
                <w:szCs w:val="20"/>
                <w:color w:val="auto"/>
              </w:rPr>
            </w:pPr>
            <w:r>
              <w:rPr>
                <w:rFonts w:ascii="Arial" w:cs="Arial" w:eastAsia="Arial" w:hAnsi="Arial"/>
                <w:sz w:val="17"/>
                <w:szCs w:val="17"/>
                <w:color w:val="auto"/>
              </w:rPr>
              <w:t>Executive Vice President and Chief Medical Officer</w:t>
            </w:r>
          </w:p>
        </w:tc>
        <w:tc>
          <w:tcPr>
            <w:tcW w:w="820" w:type="dxa"/>
            <w:vAlign w:val="bottom"/>
          </w:tcPr>
          <w:p>
            <w:pPr>
              <w:jc w:val="right"/>
              <w:ind w:right="36"/>
              <w:spacing w:after="0"/>
              <w:rPr>
                <w:sz w:val="20"/>
                <w:szCs w:val="20"/>
                <w:color w:val="auto"/>
              </w:rPr>
            </w:pPr>
            <w:r>
              <w:rPr>
                <w:rFonts w:ascii="Arial" w:cs="Arial" w:eastAsia="Arial" w:hAnsi="Arial"/>
                <w:sz w:val="17"/>
                <w:szCs w:val="17"/>
                <w:color w:val="auto"/>
              </w:rPr>
              <w:t>60</w:t>
            </w:r>
          </w:p>
        </w:tc>
        <w:tc>
          <w:tcPr>
            <w:tcW w:w="900" w:type="dxa"/>
            <w:vAlign w:val="bottom"/>
          </w:tcPr>
          <w:p>
            <w:pPr>
              <w:jc w:val="right"/>
              <w:ind w:right="119"/>
              <w:spacing w:after="0"/>
              <w:rPr>
                <w:sz w:val="20"/>
                <w:szCs w:val="20"/>
                <w:color w:val="auto"/>
              </w:rPr>
            </w:pPr>
            <w:r>
              <w:rPr>
                <w:rFonts w:ascii="Arial" w:cs="Arial" w:eastAsia="Arial" w:hAnsi="Arial"/>
                <w:sz w:val="17"/>
                <w:szCs w:val="17"/>
                <w:color w:val="auto"/>
              </w:rPr>
              <w:t>1998</w:t>
            </w:r>
          </w:p>
        </w:tc>
      </w:tr>
    </w:tbl>
    <w:p>
      <w:pPr>
        <w:spacing w:after="0" w:line="16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2573BA"/>
        </w:rPr>
        <w:t>Michel Vounatsos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27305</wp:posOffset>
            </wp:positionV>
            <wp:extent cx="7253605"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72536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59" w:lineRule="exact"/>
        <w:rPr>
          <w:sz w:val="20"/>
          <w:szCs w:val="20"/>
          <w:color w:val="auto"/>
        </w:rPr>
      </w:pPr>
    </w:p>
    <w:p>
      <w:pPr>
        <w:ind w:left="20" w:right="80"/>
        <w:spacing w:after="0" w:line="238" w:lineRule="auto"/>
        <w:rPr>
          <w:sz w:val="20"/>
          <w:szCs w:val="20"/>
          <w:color w:val="auto"/>
        </w:rPr>
      </w:pPr>
      <w:r>
        <w:rPr>
          <w:rFonts w:ascii="Arial" w:cs="Arial" w:eastAsia="Arial" w:hAnsi="Arial"/>
          <w:sz w:val="17"/>
          <w:szCs w:val="17"/>
          <w:color w:val="auto"/>
        </w:rPr>
        <w:t>Mr. Vounatsos has served as our Chief Executive Officer since January 2017. Prior to that, from April 2016 to December 2016, Mr. Vounatsos served as our Executive Vice President and Chief Commercial Officer. Prior to joining Biogen, Mr. Vounatsos spent 20 years at Merck where he most recently served as President, Primary Care, Customer Business Line. In this role, he led Merck’s global primary care business unit, a role which encompassed Merck’s cardiology-metabolic, general medicine, women’s health and biosimilars groups and developed and instituted a strategic framework for enhancing the company’s relationships with key constituents, including the most significant providers, payors and retailers and the world’s largest governments. Mr. Vounatsos previously held leadership positions across Europe and in China for Merck. Prior to that, Mr. Vounatsos held management positions at Ciba-Geigy.</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538235"/>
        </w:rPr>
        <w:t>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72536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33" w:lineRule="exact"/>
        <w:rPr>
          <w:sz w:val="20"/>
          <w:szCs w:val="20"/>
          <w:color w:val="auto"/>
        </w:rPr>
      </w:pPr>
    </w:p>
    <w:p>
      <w:pPr>
        <w:ind w:left="600" w:hanging="75"/>
        <w:spacing w:after="0"/>
        <w:tabs>
          <w:tab w:leader="none" w:pos="600" w:val="left"/>
        </w:tabs>
        <w:numPr>
          <w:ilvl w:val="0"/>
          <w:numId w:val="37"/>
        </w:numPr>
        <w:rPr>
          <w:rFonts w:ascii="Arial" w:cs="Arial" w:eastAsia="Arial" w:hAnsi="Arial"/>
          <w:sz w:val="20"/>
          <w:szCs w:val="20"/>
          <w:color w:val="auto"/>
          <w:vertAlign w:val="superscript"/>
        </w:rPr>
      </w:pPr>
      <w:r>
        <w:rPr>
          <w:rFonts w:ascii="Arial" w:cs="Arial" w:eastAsia="Arial" w:hAnsi="Arial"/>
          <w:sz w:val="17"/>
          <w:szCs w:val="17"/>
          <w:color w:val="auto"/>
        </w:rPr>
        <w:t>Universite Victor Segalen, Bordeaux II, France, C.S.C.T. Certificate in Medicine</w:t>
      </w:r>
    </w:p>
    <w:p>
      <w:pPr>
        <w:spacing w:after="0" w:line="38" w:lineRule="exact"/>
        <w:rPr>
          <w:rFonts w:ascii="Arial" w:cs="Arial" w:eastAsia="Arial" w:hAnsi="Arial"/>
          <w:sz w:val="20"/>
          <w:szCs w:val="20"/>
          <w:color w:val="auto"/>
          <w:vertAlign w:val="superscript"/>
        </w:rPr>
      </w:pPr>
    </w:p>
    <w:p>
      <w:pPr>
        <w:ind w:left="600" w:hanging="75"/>
        <w:spacing w:after="0" w:line="213" w:lineRule="auto"/>
        <w:tabs>
          <w:tab w:leader="none" w:pos="600" w:val="left"/>
        </w:tabs>
        <w:numPr>
          <w:ilvl w:val="0"/>
          <w:numId w:val="37"/>
        </w:numPr>
        <w:rPr>
          <w:rFonts w:ascii="Arial" w:cs="Arial" w:eastAsia="Arial" w:hAnsi="Arial"/>
          <w:sz w:val="20"/>
          <w:szCs w:val="20"/>
          <w:color w:val="auto"/>
          <w:vertAlign w:val="superscript"/>
        </w:rPr>
      </w:pPr>
      <w:r>
        <w:rPr>
          <w:rFonts w:ascii="Arial" w:cs="Arial" w:eastAsia="Arial" w:hAnsi="Arial"/>
          <w:sz w:val="17"/>
          <w:szCs w:val="17"/>
          <w:color w:val="auto"/>
        </w:rPr>
        <w:t>HEC School of Management - Paris, M.B.A.</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2573BA"/>
        </w:rPr>
        <w:t>Susan H.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27305</wp:posOffset>
            </wp:positionV>
            <wp:extent cx="7253605"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725360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59" w:lineRule="exact"/>
        <w:rPr>
          <w:sz w:val="20"/>
          <w:szCs w:val="20"/>
          <w:color w:val="auto"/>
        </w:rPr>
      </w:pPr>
    </w:p>
    <w:p>
      <w:pPr>
        <w:ind w:left="20" w:right="40"/>
        <w:spacing w:after="0" w:line="238" w:lineRule="auto"/>
        <w:rPr>
          <w:sz w:val="20"/>
          <w:szCs w:val="20"/>
          <w:color w:val="auto"/>
        </w:rPr>
      </w:pPr>
      <w:r>
        <w:rPr>
          <w:rFonts w:ascii="Arial" w:cs="Arial" w:eastAsia="Arial" w:hAnsi="Arial"/>
          <w:sz w:val="17"/>
          <w:szCs w:val="17"/>
          <w:color w:val="auto"/>
        </w:rPr>
        <w:t>Ms. Alexander has served as our Executive Vice President, Chief Legal, Corporate Services and Secretary since March 2017. Prior to that, from December 2011 to March 2017, Ms. Alexander served as our Executive Vice President, Chief Legal Officer and Secretary and from 2006 to December 2011, as our Executive Vice President, General Counsel and Corporate Secretary. From 2003 to January 2006, Ms. Alexander served as the Senior Vice President, General Counsel and Corporate Secretary of PAREXEL International Corporation, a biopharmaceutical services company. From 2001 to 2003, Ms. Alexander served as General Counsel of IONA Technologies, a software company. From 1995 to 2001, Ms. Alexander served as Counsel at Cabot Corporation, a specialty chemicals and performance materials company. Prior to that, Ms. Alexander was a partner at the law firms of Hinckley, Allen &amp; Snyder and Fine &amp; Ambrogne.</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538235"/>
        </w:rPr>
        <w:t>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725360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59" w:lineRule="exact"/>
        <w:rPr>
          <w:sz w:val="20"/>
          <w:szCs w:val="20"/>
          <w:color w:val="auto"/>
        </w:rPr>
      </w:pPr>
    </w:p>
    <w:p>
      <w:pPr>
        <w:ind w:left="20" w:right="4260" w:firstLine="505"/>
        <w:spacing w:after="0" w:line="267" w:lineRule="auto"/>
        <w:tabs>
          <w:tab w:leader="none" w:pos="596" w:val="left"/>
        </w:tabs>
        <w:numPr>
          <w:ilvl w:val="0"/>
          <w:numId w:val="38"/>
        </w:numPr>
        <w:rPr>
          <w:rFonts w:ascii="Arial" w:cs="Arial" w:eastAsia="Arial" w:hAnsi="Arial"/>
          <w:sz w:val="20"/>
          <w:szCs w:val="20"/>
          <w:color w:val="auto"/>
          <w:vertAlign w:val="superscript"/>
        </w:rPr>
      </w:pPr>
      <w:r>
        <w:rPr>
          <w:rFonts w:ascii="Arial" w:cs="Arial" w:eastAsia="Arial" w:hAnsi="Arial"/>
          <w:sz w:val="17"/>
          <w:szCs w:val="17"/>
          <w:color w:val="auto"/>
        </w:rPr>
        <w:t xml:space="preserve">Board of Directors of Invacare Corporation, a medical and healthcare product company </w:t>
      </w:r>
      <w:r>
        <w:rPr>
          <w:rFonts w:ascii="Arial" w:cs="Arial" w:eastAsia="Arial" w:hAnsi="Arial"/>
          <w:sz w:val="17"/>
          <w:szCs w:val="17"/>
          <w:i w:val="1"/>
          <w:iCs w:val="1"/>
          <w:color w:val="538235"/>
        </w:rPr>
        <w:t>Education</w:t>
      </w:r>
    </w:p>
    <w:p>
      <w:pPr>
        <w:ind w:left="600" w:hanging="75"/>
        <w:spacing w:after="0"/>
        <w:tabs>
          <w:tab w:leader="none" w:pos="600" w:val="left"/>
        </w:tabs>
        <w:numPr>
          <w:ilvl w:val="0"/>
          <w:numId w:val="38"/>
        </w:numPr>
        <w:rPr>
          <w:rFonts w:ascii="Arial" w:cs="Arial" w:eastAsia="Arial" w:hAnsi="Arial"/>
          <w:sz w:val="20"/>
          <w:szCs w:val="20"/>
          <w:color w:val="auto"/>
          <w:vertAlign w:val="superscript"/>
        </w:rPr>
      </w:pPr>
      <w:r>
        <w:rPr>
          <w:rFonts w:ascii="Arial" w:cs="Arial" w:eastAsia="Arial" w:hAnsi="Arial"/>
          <w:sz w:val="17"/>
          <w:szCs w:val="17"/>
          <w:color w:val="auto"/>
        </w:rPr>
        <w:t>Wellesley College, B.A.</w:t>
      </w:r>
    </w:p>
    <w:p>
      <w:pPr>
        <w:spacing w:after="0" w:line="38" w:lineRule="exact"/>
        <w:rPr>
          <w:rFonts w:ascii="Arial" w:cs="Arial" w:eastAsia="Arial" w:hAnsi="Arial"/>
          <w:sz w:val="20"/>
          <w:szCs w:val="20"/>
          <w:color w:val="auto"/>
          <w:vertAlign w:val="superscript"/>
        </w:rPr>
      </w:pPr>
    </w:p>
    <w:p>
      <w:pPr>
        <w:ind w:left="600" w:hanging="75"/>
        <w:spacing w:after="0" w:line="213" w:lineRule="auto"/>
        <w:tabs>
          <w:tab w:leader="none" w:pos="600" w:val="left"/>
        </w:tabs>
        <w:numPr>
          <w:ilvl w:val="0"/>
          <w:numId w:val="38"/>
        </w:numPr>
        <w:rPr>
          <w:rFonts w:ascii="Arial" w:cs="Arial" w:eastAsia="Arial" w:hAnsi="Arial"/>
          <w:sz w:val="20"/>
          <w:szCs w:val="20"/>
          <w:color w:val="auto"/>
          <w:vertAlign w:val="superscript"/>
        </w:rPr>
      </w:pPr>
      <w:r>
        <w:rPr>
          <w:rFonts w:ascii="Arial" w:cs="Arial" w:eastAsia="Arial" w:hAnsi="Arial"/>
          <w:sz w:val="17"/>
          <w:szCs w:val="17"/>
          <w:color w:val="auto"/>
        </w:rPr>
        <w:t>Boston University School of Law,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-307340</wp:posOffset>
            </wp:positionV>
            <wp:extent cx="72536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144"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2573BA"/>
        </w:rPr>
        <w:t>Jeffrey D. Capello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27305</wp:posOffset>
            </wp:positionV>
            <wp:extent cx="7253605"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72536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Arial" w:cs="Arial" w:eastAsia="Arial" w:hAnsi="Arial"/>
          <w:sz w:val="17"/>
          <w:szCs w:val="17"/>
          <w:color w:val="auto"/>
        </w:rPr>
        <w:t>Mr. Capello has served as our Executive Vice President and Chief Financial Officer since December 2017. Prior to that, Mr. Capello served as the</w:t>
      </w:r>
    </w:p>
    <w:p>
      <w:pPr>
        <w:ind w:left="20"/>
        <w:spacing w:after="0" w:line="235" w:lineRule="auto"/>
        <w:rPr>
          <w:sz w:val="20"/>
          <w:szCs w:val="20"/>
          <w:color w:val="auto"/>
        </w:rPr>
      </w:pPr>
      <w:r>
        <w:rPr>
          <w:rFonts w:ascii="Arial" w:cs="Arial" w:eastAsia="Arial" w:hAnsi="Arial"/>
          <w:sz w:val="17"/>
          <w:szCs w:val="17"/>
          <w:color w:val="auto"/>
        </w:rPr>
        <w:t>Chief Financial Officer of Beacon Health Options, Inc., a behavioral health company, with responsibility for finance, human resources, information</w:t>
      </w:r>
    </w:p>
    <w:p>
      <w:pPr>
        <w:ind w:left="20"/>
        <w:spacing w:after="0" w:line="236" w:lineRule="auto"/>
        <w:rPr>
          <w:sz w:val="20"/>
          <w:szCs w:val="20"/>
          <w:color w:val="auto"/>
        </w:rPr>
      </w:pPr>
      <w:r>
        <w:rPr>
          <w:rFonts w:ascii="Arial" w:cs="Arial" w:eastAsia="Arial" w:hAnsi="Arial"/>
          <w:sz w:val="17"/>
          <w:szCs w:val="17"/>
          <w:color w:val="auto"/>
        </w:rPr>
        <w:t>technology, real estate and procurement, from October 2016 until November 2017. From July 2015 until September 2016, Mr. Capello was the founder</w:t>
      </w:r>
    </w:p>
    <w:p>
      <w:pPr>
        <w:ind w:left="20"/>
        <w:spacing w:after="0" w:line="236" w:lineRule="auto"/>
        <w:rPr>
          <w:sz w:val="20"/>
          <w:szCs w:val="20"/>
          <w:color w:val="auto"/>
        </w:rPr>
      </w:pPr>
      <w:r>
        <w:rPr>
          <w:rFonts w:ascii="Arial" w:cs="Arial" w:eastAsia="Arial" w:hAnsi="Arial"/>
          <w:sz w:val="17"/>
          <w:szCs w:val="17"/>
          <w:color w:val="auto"/>
        </w:rPr>
        <w:t>and Chief Executive Officer of Monomoy Advisors which focuses on helping companies drive shareholder value. From July 2014 until June 2015, Mr.</w:t>
      </w:r>
    </w:p>
    <w:p>
      <w:pPr>
        <w:ind w:left="20"/>
        <w:spacing w:after="0" w:line="236" w:lineRule="auto"/>
        <w:rPr>
          <w:sz w:val="20"/>
          <w:szCs w:val="20"/>
          <w:color w:val="auto"/>
        </w:rPr>
      </w:pPr>
      <w:r>
        <w:rPr>
          <w:rFonts w:ascii="Arial" w:cs="Arial" w:eastAsia="Arial" w:hAnsi="Arial"/>
          <w:sz w:val="17"/>
          <w:szCs w:val="17"/>
          <w:color w:val="auto"/>
        </w:rPr>
        <w:t>Capello served as the Executive Vice President and Chief Financial Officer of Ortho-Clinical Diagnostics, an in vitro diagnostics company that was</w:t>
      </w:r>
    </w:p>
    <w:p>
      <w:pPr>
        <w:ind w:left="20"/>
        <w:spacing w:after="0" w:line="236" w:lineRule="auto"/>
        <w:rPr>
          <w:sz w:val="20"/>
          <w:szCs w:val="20"/>
          <w:color w:val="auto"/>
        </w:rPr>
      </w:pPr>
      <w:r>
        <w:rPr>
          <w:rFonts w:ascii="Arial" w:cs="Arial" w:eastAsia="Arial" w:hAnsi="Arial"/>
          <w:sz w:val="17"/>
          <w:szCs w:val="17"/>
          <w:color w:val="auto"/>
        </w:rPr>
        <w:t>acquired by the Carlyle Group from Johnson &amp; Johnson, with responsibility for global finance and business development. Prior to his role at Ortho-</w:t>
      </w:r>
    </w:p>
    <w:p>
      <w:pPr>
        <w:ind w:left="20"/>
        <w:spacing w:after="0" w:line="236" w:lineRule="auto"/>
        <w:rPr>
          <w:sz w:val="20"/>
          <w:szCs w:val="20"/>
          <w:color w:val="auto"/>
        </w:rPr>
      </w:pPr>
      <w:r>
        <w:rPr>
          <w:rFonts w:ascii="Arial" w:cs="Arial" w:eastAsia="Arial" w:hAnsi="Arial"/>
          <w:sz w:val="17"/>
          <w:szCs w:val="17"/>
          <w:color w:val="auto"/>
        </w:rPr>
        <w:t>Clinical Diagnostics, Mr. Capello served as Chief Financial Officer and Executive Vice President of Boston Scientific Corporation, a medical device</w:t>
      </w:r>
    </w:p>
    <w:p>
      <w:pPr>
        <w:ind w:left="20"/>
        <w:spacing w:after="0" w:line="235" w:lineRule="auto"/>
        <w:rPr>
          <w:sz w:val="20"/>
          <w:szCs w:val="20"/>
          <w:color w:val="auto"/>
        </w:rPr>
      </w:pPr>
      <w:r>
        <w:rPr>
          <w:rFonts w:ascii="Arial" w:cs="Arial" w:eastAsia="Arial" w:hAnsi="Arial"/>
          <w:sz w:val="17"/>
          <w:szCs w:val="17"/>
          <w:color w:val="auto"/>
        </w:rPr>
        <w:t>company, from March 2010 to December 2013. At Boston Scientific, Mr. Capello was responsible for the worldwide management of Boston Scientific’s</w:t>
      </w:r>
    </w:p>
    <w:p>
      <w:pPr>
        <w:ind w:left="20"/>
        <w:spacing w:after="0" w:line="236" w:lineRule="auto"/>
        <w:rPr>
          <w:sz w:val="20"/>
          <w:szCs w:val="20"/>
          <w:color w:val="auto"/>
        </w:rPr>
      </w:pPr>
      <w:r>
        <w:rPr>
          <w:rFonts w:ascii="Arial" w:cs="Arial" w:eastAsia="Arial" w:hAnsi="Arial"/>
          <w:sz w:val="17"/>
          <w:szCs w:val="17"/>
          <w:color w:val="auto"/>
        </w:rPr>
        <w:t>finance, information systems, business development and corporate strategy functions. Mr. Capello joined Boston Scientific in June 2008 and served as</w:t>
      </w:r>
    </w:p>
    <w:p>
      <w:pPr>
        <w:ind w:left="20"/>
        <w:spacing w:after="0" w:line="236" w:lineRule="auto"/>
        <w:rPr>
          <w:sz w:val="20"/>
          <w:szCs w:val="20"/>
          <w:color w:val="auto"/>
        </w:rPr>
      </w:pPr>
      <w:r>
        <w:rPr>
          <w:rFonts w:ascii="Arial" w:cs="Arial" w:eastAsia="Arial" w:hAnsi="Arial"/>
          <w:sz w:val="17"/>
          <w:szCs w:val="17"/>
          <w:color w:val="auto"/>
        </w:rPr>
        <w:t>Senior Vice President and Chief Accounting Officer until March 2010. Prior to joining Boston Scientific, he was the Senior Vice President and Chief</w:t>
      </w:r>
    </w:p>
    <w:p>
      <w:pPr>
        <w:ind w:left="20"/>
        <w:spacing w:after="0" w:line="236" w:lineRule="auto"/>
        <w:rPr>
          <w:sz w:val="20"/>
          <w:szCs w:val="20"/>
          <w:color w:val="auto"/>
        </w:rPr>
      </w:pPr>
      <w:r>
        <w:rPr>
          <w:rFonts w:ascii="Arial" w:cs="Arial" w:eastAsia="Arial" w:hAnsi="Arial"/>
          <w:sz w:val="17"/>
          <w:szCs w:val="17"/>
          <w:color w:val="auto"/>
        </w:rPr>
        <w:t>Financial Officer with responsibilities for global finance and business development at PerkinElmer, Inc., a life sciences tool company, from 2006 to</w:t>
      </w:r>
    </w:p>
    <w:p>
      <w:pPr>
        <w:ind w:left="20"/>
        <w:spacing w:after="0" w:line="236" w:lineRule="auto"/>
        <w:rPr>
          <w:sz w:val="20"/>
          <w:szCs w:val="20"/>
          <w:color w:val="auto"/>
        </w:rPr>
      </w:pPr>
      <w:r>
        <w:rPr>
          <w:rFonts w:ascii="Arial" w:cs="Arial" w:eastAsia="Arial" w:hAnsi="Arial"/>
          <w:sz w:val="17"/>
          <w:szCs w:val="17"/>
          <w:color w:val="auto"/>
        </w:rPr>
        <w:t>2008. Previously, he served as PerkinElmer’s Vice President of Finance, Corporate Controller, Treasurer and Chief Accounting Officer from 2001 to</w:t>
      </w:r>
    </w:p>
    <w:p>
      <w:pPr>
        <w:ind w:left="20"/>
        <w:spacing w:after="0"/>
        <w:rPr>
          <w:sz w:val="20"/>
          <w:szCs w:val="20"/>
          <w:color w:val="auto"/>
        </w:rPr>
      </w:pPr>
      <w:r>
        <w:rPr>
          <w:rFonts w:ascii="Arial" w:cs="Arial" w:eastAsia="Arial" w:hAnsi="Arial"/>
          <w:sz w:val="17"/>
          <w:szCs w:val="17"/>
          <w:color w:val="auto"/>
        </w:rPr>
        <w:t>2006. Prior to his tenure at PerkinElmer, Mr. Capello was a Partner at PricewaterhouseCoopers LLP, both in the United States and in the Netherlands.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538235"/>
        </w:rPr>
        <w:t>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72536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33" w:lineRule="exact"/>
        <w:rPr>
          <w:sz w:val="20"/>
          <w:szCs w:val="20"/>
          <w:color w:val="auto"/>
        </w:rPr>
      </w:pPr>
    </w:p>
    <w:p>
      <w:pPr>
        <w:ind w:left="600" w:hanging="75"/>
        <w:spacing w:after="0"/>
        <w:tabs>
          <w:tab w:leader="none" w:pos="600" w:val="left"/>
        </w:tabs>
        <w:numPr>
          <w:ilvl w:val="0"/>
          <w:numId w:val="39"/>
        </w:numPr>
        <w:rPr>
          <w:rFonts w:ascii="Arial" w:cs="Arial" w:eastAsia="Arial" w:hAnsi="Arial"/>
          <w:sz w:val="20"/>
          <w:szCs w:val="20"/>
          <w:color w:val="auto"/>
          <w:vertAlign w:val="superscript"/>
        </w:rPr>
      </w:pPr>
      <w:r>
        <w:rPr>
          <w:rFonts w:ascii="Arial" w:cs="Arial" w:eastAsia="Arial" w:hAnsi="Arial"/>
          <w:sz w:val="17"/>
          <w:szCs w:val="17"/>
          <w:color w:val="auto"/>
        </w:rPr>
        <w:t>OvaScience, Inc., a biotechnology company</w:t>
      </w:r>
    </w:p>
    <w:p>
      <w:pPr>
        <w:spacing w:after="0" w:line="38" w:lineRule="exact"/>
        <w:rPr>
          <w:rFonts w:ascii="Arial" w:cs="Arial" w:eastAsia="Arial" w:hAnsi="Arial"/>
          <w:sz w:val="20"/>
          <w:szCs w:val="20"/>
          <w:color w:val="auto"/>
          <w:vertAlign w:val="superscript"/>
        </w:rPr>
      </w:pPr>
    </w:p>
    <w:p>
      <w:pPr>
        <w:ind w:left="20" w:right="7400" w:firstLine="505"/>
        <w:spacing w:after="0" w:line="267" w:lineRule="auto"/>
        <w:tabs>
          <w:tab w:leader="none" w:pos="596" w:val="left"/>
        </w:tabs>
        <w:numPr>
          <w:ilvl w:val="0"/>
          <w:numId w:val="39"/>
        </w:numPr>
        <w:rPr>
          <w:rFonts w:ascii="Arial" w:cs="Arial" w:eastAsia="Arial" w:hAnsi="Arial"/>
          <w:sz w:val="20"/>
          <w:szCs w:val="20"/>
          <w:color w:val="auto"/>
          <w:vertAlign w:val="superscript"/>
        </w:rPr>
      </w:pPr>
      <w:r>
        <w:rPr>
          <w:rFonts w:ascii="Arial" w:cs="Arial" w:eastAsia="Arial" w:hAnsi="Arial"/>
          <w:sz w:val="17"/>
          <w:szCs w:val="17"/>
          <w:color w:val="auto"/>
        </w:rPr>
        <w:t xml:space="preserve">Flex Pharma, Inc., a biotechnology company </w:t>
      </w:r>
      <w:r>
        <w:rPr>
          <w:rFonts w:ascii="Arial" w:cs="Arial" w:eastAsia="Arial" w:hAnsi="Arial"/>
          <w:sz w:val="17"/>
          <w:szCs w:val="17"/>
          <w:i w:val="1"/>
          <w:iCs w:val="1"/>
          <w:color w:val="538235"/>
        </w:rPr>
        <w:t>Education</w:t>
      </w:r>
    </w:p>
    <w:p>
      <w:pPr>
        <w:ind w:left="600" w:hanging="75"/>
        <w:spacing w:after="0"/>
        <w:tabs>
          <w:tab w:leader="none" w:pos="600" w:val="left"/>
        </w:tabs>
        <w:numPr>
          <w:ilvl w:val="0"/>
          <w:numId w:val="39"/>
        </w:numPr>
        <w:rPr>
          <w:rFonts w:ascii="Arial" w:cs="Arial" w:eastAsia="Arial" w:hAnsi="Arial"/>
          <w:sz w:val="20"/>
          <w:szCs w:val="20"/>
          <w:color w:val="auto"/>
          <w:vertAlign w:val="superscript"/>
        </w:rPr>
      </w:pPr>
      <w:r>
        <w:rPr>
          <w:rFonts w:ascii="Arial" w:cs="Arial" w:eastAsia="Arial" w:hAnsi="Arial"/>
          <w:sz w:val="17"/>
          <w:szCs w:val="17"/>
          <w:color w:val="auto"/>
        </w:rPr>
        <w:t>University of Vermont, B.S. in Business Administration</w:t>
      </w:r>
    </w:p>
    <w:p>
      <w:pPr>
        <w:spacing w:after="0" w:line="38" w:lineRule="exact"/>
        <w:rPr>
          <w:rFonts w:ascii="Arial" w:cs="Arial" w:eastAsia="Arial" w:hAnsi="Arial"/>
          <w:sz w:val="20"/>
          <w:szCs w:val="20"/>
          <w:color w:val="auto"/>
          <w:vertAlign w:val="superscript"/>
        </w:rPr>
      </w:pPr>
    </w:p>
    <w:p>
      <w:pPr>
        <w:ind w:left="600" w:hanging="75"/>
        <w:spacing w:after="0" w:line="213" w:lineRule="auto"/>
        <w:tabs>
          <w:tab w:leader="none" w:pos="600" w:val="left"/>
        </w:tabs>
        <w:numPr>
          <w:ilvl w:val="0"/>
          <w:numId w:val="39"/>
        </w:numPr>
        <w:rPr>
          <w:rFonts w:ascii="Arial" w:cs="Arial" w:eastAsia="Arial" w:hAnsi="Arial"/>
          <w:sz w:val="20"/>
          <w:szCs w:val="20"/>
          <w:color w:val="auto"/>
          <w:vertAlign w:val="superscript"/>
        </w:rPr>
      </w:pPr>
      <w:r>
        <w:rPr>
          <w:rFonts w:ascii="Arial" w:cs="Arial" w:eastAsia="Arial" w:hAnsi="Arial"/>
          <w:sz w:val="17"/>
          <w:szCs w:val="17"/>
          <w:color w:val="auto"/>
        </w:rPr>
        <w:t>Harvard Business School,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-307340</wp:posOffset>
            </wp:positionV>
            <wp:extent cx="72536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2573BA"/>
        </w:rPr>
        <w:t>Gregory F. Covino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27305</wp:posOffset>
            </wp:positionV>
            <wp:extent cx="7253605"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72536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59" w:lineRule="exact"/>
        <w:rPr>
          <w:sz w:val="20"/>
          <w:szCs w:val="20"/>
          <w:color w:val="auto"/>
        </w:rPr>
      </w:pPr>
    </w:p>
    <w:p>
      <w:pPr>
        <w:ind w:left="20" w:right="60"/>
        <w:spacing w:after="0" w:line="238" w:lineRule="auto"/>
        <w:rPr>
          <w:sz w:val="20"/>
          <w:szCs w:val="20"/>
          <w:color w:val="auto"/>
        </w:rPr>
      </w:pPr>
      <w:r>
        <w:rPr>
          <w:rFonts w:ascii="Arial" w:cs="Arial" w:eastAsia="Arial" w:hAnsi="Arial"/>
          <w:sz w:val="17"/>
          <w:szCs w:val="17"/>
          <w:color w:val="auto"/>
        </w:rPr>
        <w:t>Mr. Covino has served as our Vice President and Chief Accounting Officer since April 2012. From June 2017 to December 2017, Mr. Covino also served as our interim Principal Financial Officer. From March 2010 to April 2012, Mr. Covino served at Boston Scientific Corporation, a medical device company, as Vice President, Corporate Analysis and Control, having responsibility for the company's internal audit function, and as Vice President, Finance, International from February 2008 to March 2010, having responsibility for the financial activities of the company's international division. Prior to that, Mr. Covino held several finance positions at Hubbell Incorporated, an electrical products company, including Vice President, Chief Accounting Officer and Controller from 2002 to January 2008, Interim Chief Financial Officer from 2004 to 2005, and Director, Corporate Accounting from 1999 to 2002.</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538235"/>
        </w:rPr>
        <w:t>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72536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33" w:lineRule="exact"/>
        <w:rPr>
          <w:sz w:val="20"/>
          <w:szCs w:val="20"/>
          <w:color w:val="auto"/>
        </w:rPr>
      </w:pPr>
    </w:p>
    <w:p>
      <w:pPr>
        <w:ind w:left="600" w:hanging="75"/>
        <w:spacing w:after="0"/>
        <w:tabs>
          <w:tab w:leader="none" w:pos="600" w:val="left"/>
        </w:tabs>
        <w:numPr>
          <w:ilvl w:val="0"/>
          <w:numId w:val="40"/>
        </w:numPr>
        <w:rPr>
          <w:rFonts w:ascii="Arial" w:cs="Arial" w:eastAsia="Arial" w:hAnsi="Arial"/>
          <w:sz w:val="20"/>
          <w:szCs w:val="20"/>
          <w:color w:val="auto"/>
          <w:vertAlign w:val="superscript"/>
        </w:rPr>
      </w:pPr>
      <w:r>
        <w:rPr>
          <w:rFonts w:ascii="Arial" w:cs="Arial" w:eastAsia="Arial" w:hAnsi="Arial"/>
          <w:sz w:val="17"/>
          <w:szCs w:val="17"/>
          <w:color w:val="auto"/>
        </w:rPr>
        <w:t>Bryant University, B.S. in Business Administration</w:t>
      </w: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380"/>
          </w:cols>
          <w:pgMar w:left="240" w:top="144" w:right="27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2573BA"/>
        </w:rPr>
        <w:t>Michael D. Ehlers,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27305</wp:posOffset>
            </wp:positionV>
            <wp:extent cx="7253605"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725360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59" w:lineRule="exact"/>
        <w:rPr>
          <w:sz w:val="20"/>
          <w:szCs w:val="20"/>
          <w:color w:val="auto"/>
        </w:rPr>
      </w:pPr>
    </w:p>
    <w:p>
      <w:pPr>
        <w:ind w:left="20"/>
        <w:spacing w:after="0" w:line="237" w:lineRule="auto"/>
        <w:rPr>
          <w:sz w:val="20"/>
          <w:szCs w:val="20"/>
          <w:color w:val="auto"/>
        </w:rPr>
      </w:pPr>
      <w:r>
        <w:rPr>
          <w:rFonts w:ascii="Arial" w:cs="Arial" w:eastAsia="Arial" w:hAnsi="Arial"/>
          <w:sz w:val="17"/>
          <w:szCs w:val="17"/>
          <w:color w:val="auto"/>
        </w:rPr>
        <w:t>Dr. Ehlers has served as our Executive Vice President, Head of Research and Development since May 2016. Prior to joining Biogen, from August 2010 to April 2016, Dr. Ehlers served in leadership positions at Pfizer, Inc., a biopharmaceutical company, including Senior Vice President &amp; Head BioTherapeutics R&amp;D and Chief Scientific Officer, Neuroscience &amp; Pain. Prior to that, Dr. Ehlers was the George Barth Geller Professor of Neurobiology and an Investigator of the Howard Hughes Medical Institute at Duke University Medical Center. He is the recipient of numerous awards including the Eppendorf &amp; Science Prize in Neurobiology, the John J. Abel Award in Pharmacology, the Society for Neuroscience Young Investigator Award, a National Institute of Mental Health MERIT Award, the National Alliance for Schizophrenia and Depression Distinguished Investigator Award and the Massachusetts Medical Society Honored Business Leader Award. In 2013, Dr. Ehlers became the 11</w:t>
      </w:r>
      <w:r>
        <w:rPr>
          <w:rFonts w:ascii="Arial" w:cs="Arial" w:eastAsia="Arial" w:hAnsi="Arial"/>
          <w:sz w:val="14"/>
          <w:szCs w:val="14"/>
          <w:color w:val="auto"/>
        </w:rPr>
        <w:t>th</w:t>
      </w:r>
      <w:r>
        <w:rPr>
          <w:rFonts w:ascii="Arial" w:cs="Arial" w:eastAsia="Arial" w:hAnsi="Arial"/>
          <w:sz w:val="17"/>
          <w:szCs w:val="17"/>
          <w:color w:val="auto"/>
        </w:rPr>
        <w:t xml:space="preserve"> recipient of the Thudichum Medal of the Biochemical Society of the United Kingdom. Past recipients include two Nobel laureates. Dr. Ehlers has authored over 100 scientific papers, has served on the Editorial Boards of Annual Reviews in Medicine, Annual Reviews in Pharmacology and Toxicology, the Journal of Neuroscience, the Journal of Biological Chemistry, the Journal of Molecular and Cellular Neuroscience and has sat on advisory committees of the National Institutes of Health.</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538235"/>
        </w:rPr>
        <w:t>Outside Affiliations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72536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33" w:lineRule="exact"/>
        <w:rPr>
          <w:sz w:val="20"/>
          <w:szCs w:val="20"/>
          <w:color w:val="auto"/>
        </w:rPr>
      </w:pPr>
    </w:p>
    <w:p>
      <w:pPr>
        <w:ind w:left="600" w:hanging="75"/>
        <w:spacing w:after="0"/>
        <w:tabs>
          <w:tab w:leader="none" w:pos="600" w:val="left"/>
        </w:tabs>
        <w:numPr>
          <w:ilvl w:val="0"/>
          <w:numId w:val="41"/>
        </w:numPr>
        <w:rPr>
          <w:rFonts w:ascii="Arial" w:cs="Arial" w:eastAsia="Arial" w:hAnsi="Arial"/>
          <w:sz w:val="20"/>
          <w:szCs w:val="20"/>
          <w:color w:val="auto"/>
          <w:vertAlign w:val="superscript"/>
        </w:rPr>
      </w:pPr>
      <w:r>
        <w:rPr>
          <w:rFonts w:ascii="Arial" w:cs="Arial" w:eastAsia="Arial" w:hAnsi="Arial"/>
          <w:sz w:val="17"/>
          <w:szCs w:val="17"/>
          <w:color w:val="auto"/>
        </w:rPr>
        <w:t>PhRMA Foundation Basic Pharmacology Advisory Committee</w:t>
      </w:r>
    </w:p>
    <w:p>
      <w:pPr>
        <w:spacing w:after="0" w:line="38" w:lineRule="exact"/>
        <w:rPr>
          <w:rFonts w:ascii="Arial" w:cs="Arial" w:eastAsia="Arial" w:hAnsi="Arial"/>
          <w:sz w:val="20"/>
          <w:szCs w:val="20"/>
          <w:color w:val="auto"/>
          <w:vertAlign w:val="superscript"/>
        </w:rPr>
      </w:pPr>
    </w:p>
    <w:p>
      <w:pPr>
        <w:ind w:left="600" w:hanging="75"/>
        <w:spacing w:after="0" w:line="213" w:lineRule="auto"/>
        <w:tabs>
          <w:tab w:leader="none" w:pos="600" w:val="left"/>
        </w:tabs>
        <w:numPr>
          <w:ilvl w:val="0"/>
          <w:numId w:val="41"/>
        </w:numPr>
        <w:rPr>
          <w:rFonts w:ascii="Arial" w:cs="Arial" w:eastAsia="Arial" w:hAnsi="Arial"/>
          <w:sz w:val="20"/>
          <w:szCs w:val="20"/>
          <w:color w:val="auto"/>
          <w:vertAlign w:val="superscript"/>
        </w:rPr>
      </w:pPr>
      <w:r>
        <w:rPr>
          <w:rFonts w:ascii="Arial" w:cs="Arial" w:eastAsia="Arial" w:hAnsi="Arial"/>
          <w:sz w:val="17"/>
          <w:szCs w:val="17"/>
          <w:color w:val="auto"/>
        </w:rPr>
        <w:t>Janelia Research Institute Advisory Committee</w:t>
      </w:r>
    </w:p>
    <w:p>
      <w:pPr>
        <w:spacing w:after="0" w:line="39" w:lineRule="exact"/>
        <w:rPr>
          <w:rFonts w:ascii="Arial" w:cs="Arial" w:eastAsia="Arial" w:hAnsi="Arial"/>
          <w:sz w:val="20"/>
          <w:szCs w:val="20"/>
          <w:color w:val="auto"/>
          <w:vertAlign w:val="superscript"/>
        </w:rPr>
      </w:pPr>
    </w:p>
    <w:p>
      <w:pPr>
        <w:ind w:left="600" w:hanging="75"/>
        <w:spacing w:after="0" w:line="213" w:lineRule="auto"/>
        <w:tabs>
          <w:tab w:leader="none" w:pos="600" w:val="left"/>
        </w:tabs>
        <w:numPr>
          <w:ilvl w:val="0"/>
          <w:numId w:val="41"/>
        </w:numPr>
        <w:rPr>
          <w:rFonts w:ascii="Arial" w:cs="Arial" w:eastAsia="Arial" w:hAnsi="Arial"/>
          <w:sz w:val="20"/>
          <w:szCs w:val="20"/>
          <w:color w:val="auto"/>
          <w:vertAlign w:val="superscript"/>
        </w:rPr>
      </w:pPr>
      <w:r>
        <w:rPr>
          <w:rFonts w:ascii="Arial" w:cs="Arial" w:eastAsia="Arial" w:hAnsi="Arial"/>
          <w:sz w:val="17"/>
          <w:szCs w:val="17"/>
          <w:color w:val="auto"/>
        </w:rPr>
        <w:t>McKnight Endowment Fund for Neuroscience Board</w:t>
      </w:r>
    </w:p>
    <w:p>
      <w:pPr>
        <w:spacing w:after="0" w:line="39" w:lineRule="exact"/>
        <w:rPr>
          <w:rFonts w:ascii="Arial" w:cs="Arial" w:eastAsia="Arial" w:hAnsi="Arial"/>
          <w:sz w:val="20"/>
          <w:szCs w:val="20"/>
          <w:color w:val="auto"/>
          <w:vertAlign w:val="superscript"/>
        </w:rPr>
      </w:pPr>
    </w:p>
    <w:p>
      <w:pPr>
        <w:ind w:left="20" w:right="5600" w:firstLine="505"/>
        <w:spacing w:after="0" w:line="267" w:lineRule="auto"/>
        <w:tabs>
          <w:tab w:leader="none" w:pos="596" w:val="left"/>
        </w:tabs>
        <w:numPr>
          <w:ilvl w:val="0"/>
          <w:numId w:val="41"/>
        </w:numPr>
        <w:rPr>
          <w:rFonts w:ascii="Arial" w:cs="Arial" w:eastAsia="Arial" w:hAnsi="Arial"/>
          <w:sz w:val="20"/>
          <w:szCs w:val="20"/>
          <w:color w:val="auto"/>
          <w:vertAlign w:val="superscript"/>
        </w:rPr>
      </w:pPr>
      <w:r>
        <w:rPr>
          <w:rFonts w:ascii="Arial" w:cs="Arial" w:eastAsia="Arial" w:hAnsi="Arial"/>
          <w:sz w:val="17"/>
          <w:szCs w:val="17"/>
          <w:color w:val="auto"/>
        </w:rPr>
        <w:t xml:space="preserve">World Economic Forum Global Agenda Council on Brain Research </w:t>
      </w:r>
      <w:r>
        <w:rPr>
          <w:rFonts w:ascii="Arial" w:cs="Arial" w:eastAsia="Arial" w:hAnsi="Arial"/>
          <w:sz w:val="17"/>
          <w:szCs w:val="17"/>
          <w:i w:val="1"/>
          <w:iCs w:val="1"/>
          <w:color w:val="538235"/>
        </w:rPr>
        <w:t>Education</w:t>
      </w:r>
    </w:p>
    <w:p>
      <w:pPr>
        <w:ind w:left="600" w:hanging="75"/>
        <w:spacing w:after="0"/>
        <w:tabs>
          <w:tab w:leader="none" w:pos="600" w:val="left"/>
        </w:tabs>
        <w:numPr>
          <w:ilvl w:val="0"/>
          <w:numId w:val="41"/>
        </w:numPr>
        <w:rPr>
          <w:rFonts w:ascii="Arial" w:cs="Arial" w:eastAsia="Arial" w:hAnsi="Arial"/>
          <w:sz w:val="20"/>
          <w:szCs w:val="20"/>
          <w:color w:val="auto"/>
          <w:vertAlign w:val="superscript"/>
        </w:rPr>
      </w:pPr>
      <w:r>
        <w:rPr>
          <w:rFonts w:ascii="Arial" w:cs="Arial" w:eastAsia="Arial" w:hAnsi="Arial"/>
          <w:sz w:val="17"/>
          <w:szCs w:val="17"/>
          <w:color w:val="auto"/>
        </w:rPr>
        <w:t>California Institute of Technology, B.S. Chemistry</w:t>
      </w:r>
    </w:p>
    <w:p>
      <w:pPr>
        <w:spacing w:after="0" w:line="38" w:lineRule="exact"/>
        <w:rPr>
          <w:rFonts w:ascii="Arial" w:cs="Arial" w:eastAsia="Arial" w:hAnsi="Arial"/>
          <w:sz w:val="20"/>
          <w:szCs w:val="20"/>
          <w:color w:val="auto"/>
          <w:vertAlign w:val="superscript"/>
        </w:rPr>
      </w:pPr>
    </w:p>
    <w:p>
      <w:pPr>
        <w:ind w:left="600" w:hanging="75"/>
        <w:spacing w:after="0" w:line="213" w:lineRule="auto"/>
        <w:tabs>
          <w:tab w:leader="none" w:pos="600" w:val="left"/>
        </w:tabs>
        <w:numPr>
          <w:ilvl w:val="0"/>
          <w:numId w:val="41"/>
        </w:numPr>
        <w:rPr>
          <w:rFonts w:ascii="Arial" w:cs="Arial" w:eastAsia="Arial" w:hAnsi="Arial"/>
          <w:sz w:val="20"/>
          <w:szCs w:val="20"/>
          <w:color w:val="auto"/>
          <w:vertAlign w:val="superscript"/>
        </w:rPr>
      </w:pPr>
      <w:r>
        <w:rPr>
          <w:rFonts w:ascii="Arial" w:cs="Arial" w:eastAsia="Arial" w:hAnsi="Arial"/>
          <w:sz w:val="17"/>
          <w:szCs w:val="17"/>
          <w:color w:val="auto"/>
        </w:rPr>
        <w:t>The Johns Hopkins University School of Medicine, M.D.</w:t>
      </w:r>
    </w:p>
    <w:p>
      <w:pPr>
        <w:spacing w:after="0" w:line="39" w:lineRule="exact"/>
        <w:rPr>
          <w:rFonts w:ascii="Arial" w:cs="Arial" w:eastAsia="Arial" w:hAnsi="Arial"/>
          <w:sz w:val="20"/>
          <w:szCs w:val="20"/>
          <w:color w:val="auto"/>
          <w:vertAlign w:val="superscript"/>
        </w:rPr>
      </w:pPr>
    </w:p>
    <w:p>
      <w:pPr>
        <w:ind w:left="600" w:hanging="75"/>
        <w:spacing w:after="0" w:line="213" w:lineRule="auto"/>
        <w:tabs>
          <w:tab w:leader="none" w:pos="600" w:val="left"/>
        </w:tabs>
        <w:numPr>
          <w:ilvl w:val="0"/>
          <w:numId w:val="41"/>
        </w:numPr>
        <w:rPr>
          <w:rFonts w:ascii="Arial" w:cs="Arial" w:eastAsia="Arial" w:hAnsi="Arial"/>
          <w:sz w:val="20"/>
          <w:szCs w:val="20"/>
          <w:color w:val="auto"/>
          <w:vertAlign w:val="superscript"/>
        </w:rPr>
      </w:pPr>
      <w:r>
        <w:rPr>
          <w:rFonts w:ascii="Arial" w:cs="Arial" w:eastAsia="Arial" w:hAnsi="Arial"/>
          <w:sz w:val="17"/>
          <w:szCs w:val="17"/>
          <w:color w:val="auto"/>
        </w:rPr>
        <w:t>The Johns Hopkins University School of Medicine, Ph.D. Neuroscience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-461645</wp:posOffset>
            </wp:positionV>
            <wp:extent cx="72536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2573BA"/>
        </w:rPr>
        <w:t>Ginger Gregory,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27305</wp:posOffset>
            </wp:positionV>
            <wp:extent cx="7253605"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725360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59" w:lineRule="exact"/>
        <w:rPr>
          <w:sz w:val="20"/>
          <w:szCs w:val="20"/>
          <w:color w:val="auto"/>
        </w:rPr>
      </w:pPr>
    </w:p>
    <w:p>
      <w:pPr>
        <w:ind w:left="20"/>
        <w:spacing w:after="0" w:line="237" w:lineRule="auto"/>
        <w:rPr>
          <w:sz w:val="20"/>
          <w:szCs w:val="20"/>
          <w:color w:val="auto"/>
        </w:rPr>
      </w:pPr>
      <w:r>
        <w:rPr>
          <w:rFonts w:ascii="Arial" w:cs="Arial" w:eastAsia="Arial" w:hAnsi="Arial"/>
          <w:sz w:val="17"/>
          <w:szCs w:val="17"/>
          <w:color w:val="auto"/>
        </w:rPr>
        <w:t>Dr. Gregory has served as our Executive Vice President and Chief Human Resources Officer since July 2017. Prior to joining Biogen, Dr. Gregory served as Executive Vice President and Chief Human Resources Officer at Shire PLC, a global specialty biopharmaceutical company, from February 2014 to April 2017. Prior to that, Dr. Gregory held executive-level human resources positions for several multinational companies across a variety of industries, including Dunkin’ Brands, where she served as Chief Human Resource Officer; Novartis, AG, where she was the division head of Human Resources for Novartis Vaccines and Diagnostics, Novartis Consumer Health and Novartis Institutes of BioMedical Research from 2005 to 2012; and Novo Nordisk, where she served as Senior Vice President, Corporate People &amp; Organization at the company’s headquarters in Copenhagen, Denmark. Earlier in her career, she held a variety of human resources generalist and specialist positions at Bristol-Myers Squibb and served as a consultant with Booz Allen &amp; Hamilton in the area of organization change and effectiveness.</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538235"/>
        </w:rPr>
        <w:t>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725360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33" w:lineRule="exact"/>
        <w:rPr>
          <w:sz w:val="20"/>
          <w:szCs w:val="20"/>
          <w:color w:val="auto"/>
        </w:rPr>
      </w:pPr>
    </w:p>
    <w:p>
      <w:pPr>
        <w:ind w:left="600" w:hanging="75"/>
        <w:spacing w:after="0"/>
        <w:tabs>
          <w:tab w:leader="none" w:pos="600" w:val="left"/>
        </w:tabs>
        <w:numPr>
          <w:ilvl w:val="0"/>
          <w:numId w:val="42"/>
        </w:numPr>
        <w:rPr>
          <w:rFonts w:ascii="Arial" w:cs="Arial" w:eastAsia="Arial" w:hAnsi="Arial"/>
          <w:sz w:val="20"/>
          <w:szCs w:val="20"/>
          <w:color w:val="auto"/>
          <w:vertAlign w:val="superscript"/>
        </w:rPr>
      </w:pPr>
      <w:r>
        <w:rPr>
          <w:rFonts w:ascii="Arial" w:cs="Arial" w:eastAsia="Arial" w:hAnsi="Arial"/>
          <w:sz w:val="17"/>
          <w:szCs w:val="17"/>
          <w:color w:val="auto"/>
        </w:rPr>
        <w:t>University of Massachusetts B.A., in Psychology</w:t>
      </w:r>
    </w:p>
    <w:p>
      <w:pPr>
        <w:spacing w:after="0" w:line="38" w:lineRule="exact"/>
        <w:rPr>
          <w:rFonts w:ascii="Arial" w:cs="Arial" w:eastAsia="Arial" w:hAnsi="Arial"/>
          <w:sz w:val="20"/>
          <w:szCs w:val="20"/>
          <w:color w:val="auto"/>
          <w:vertAlign w:val="superscript"/>
        </w:rPr>
      </w:pPr>
    </w:p>
    <w:p>
      <w:pPr>
        <w:ind w:left="600" w:hanging="75"/>
        <w:spacing w:after="0" w:line="213" w:lineRule="auto"/>
        <w:tabs>
          <w:tab w:leader="none" w:pos="600" w:val="left"/>
        </w:tabs>
        <w:numPr>
          <w:ilvl w:val="0"/>
          <w:numId w:val="42"/>
        </w:numPr>
        <w:rPr>
          <w:rFonts w:ascii="Arial" w:cs="Arial" w:eastAsia="Arial" w:hAnsi="Arial"/>
          <w:sz w:val="20"/>
          <w:szCs w:val="20"/>
          <w:color w:val="auto"/>
          <w:vertAlign w:val="superscript"/>
        </w:rPr>
      </w:pPr>
      <w:r>
        <w:rPr>
          <w:rFonts w:ascii="Arial" w:cs="Arial" w:eastAsia="Arial" w:hAnsi="Arial"/>
          <w:sz w:val="17"/>
          <w:szCs w:val="17"/>
          <w:color w:val="auto"/>
        </w:rPr>
        <w:t>The George Washington University, Ph.D. Psychology</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2573BA"/>
        </w:rPr>
        <w:t>Chirfi Guindo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27305</wp:posOffset>
            </wp:positionV>
            <wp:extent cx="7253605"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72536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59" w:lineRule="exact"/>
        <w:rPr>
          <w:sz w:val="20"/>
          <w:szCs w:val="20"/>
          <w:color w:val="auto"/>
        </w:rPr>
      </w:pPr>
    </w:p>
    <w:p>
      <w:pPr>
        <w:ind w:left="20" w:right="20"/>
        <w:spacing w:after="0" w:line="238" w:lineRule="auto"/>
        <w:rPr>
          <w:sz w:val="20"/>
          <w:szCs w:val="20"/>
          <w:color w:val="auto"/>
        </w:rPr>
      </w:pPr>
      <w:r>
        <w:rPr>
          <w:rFonts w:ascii="Arial" w:cs="Arial" w:eastAsia="Arial" w:hAnsi="Arial"/>
          <w:sz w:val="17"/>
          <w:szCs w:val="17"/>
          <w:color w:val="auto"/>
        </w:rPr>
        <w:t>Mr. Guindo has served as our Executive Vice President and Head of Global Marketing, Market Access and Customer Innovation since November 2017. Prior to joining Biogen, Mr. Guindo spent 27 years in the global pharmaceutical industry and has held several leadership positions at Merck in Canada, the U.S., France, Africa and the Netherlands. He worked in several disciplines including Finance, Sales &amp; Marketing, General Management and Global Strategy/Product Development in specialty, acute and hospital care. Most recently Mr. Guindo was Vice President and Managing Director and President and Managing Director of Merck Canada from October 2014 to November 2017. From January 2011 to October 2014, he was Vice President and General Manager, Global HIV Franchise at Merck &amp; Co.</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538235"/>
        </w:rPr>
        <w:t>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72536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33" w:lineRule="exact"/>
        <w:rPr>
          <w:sz w:val="20"/>
          <w:szCs w:val="20"/>
          <w:color w:val="auto"/>
        </w:rPr>
      </w:pPr>
    </w:p>
    <w:p>
      <w:pPr>
        <w:ind w:left="600" w:hanging="75"/>
        <w:spacing w:after="0"/>
        <w:tabs>
          <w:tab w:leader="none" w:pos="600" w:val="left"/>
        </w:tabs>
        <w:numPr>
          <w:ilvl w:val="0"/>
          <w:numId w:val="43"/>
        </w:numPr>
        <w:rPr>
          <w:rFonts w:ascii="Arial" w:cs="Arial" w:eastAsia="Arial" w:hAnsi="Arial"/>
          <w:sz w:val="20"/>
          <w:szCs w:val="20"/>
          <w:color w:val="auto"/>
          <w:vertAlign w:val="superscript"/>
        </w:rPr>
      </w:pPr>
      <w:r>
        <w:rPr>
          <w:rFonts w:ascii="Arial" w:cs="Arial" w:eastAsia="Arial" w:hAnsi="Arial"/>
          <w:sz w:val="17"/>
          <w:szCs w:val="17"/>
          <w:color w:val="auto"/>
        </w:rPr>
        <w:t>Ecole Central de Paris (France), Engineering</w:t>
      </w:r>
    </w:p>
    <w:p>
      <w:pPr>
        <w:spacing w:after="0" w:line="38" w:lineRule="exact"/>
        <w:rPr>
          <w:rFonts w:ascii="Arial" w:cs="Arial" w:eastAsia="Arial" w:hAnsi="Arial"/>
          <w:sz w:val="20"/>
          <w:szCs w:val="20"/>
          <w:color w:val="auto"/>
          <w:vertAlign w:val="superscript"/>
        </w:rPr>
      </w:pPr>
    </w:p>
    <w:p>
      <w:pPr>
        <w:ind w:left="600" w:hanging="75"/>
        <w:spacing w:after="0" w:line="213" w:lineRule="auto"/>
        <w:tabs>
          <w:tab w:leader="none" w:pos="600" w:val="left"/>
        </w:tabs>
        <w:numPr>
          <w:ilvl w:val="0"/>
          <w:numId w:val="43"/>
        </w:numPr>
        <w:rPr>
          <w:rFonts w:ascii="Arial" w:cs="Arial" w:eastAsia="Arial" w:hAnsi="Arial"/>
          <w:sz w:val="20"/>
          <w:szCs w:val="20"/>
          <w:color w:val="auto"/>
          <w:vertAlign w:val="superscript"/>
        </w:rPr>
      </w:pPr>
      <w:r>
        <w:rPr>
          <w:rFonts w:ascii="Arial" w:cs="Arial" w:eastAsia="Arial" w:hAnsi="Arial"/>
          <w:sz w:val="17"/>
          <w:szCs w:val="17"/>
          <w:color w:val="auto"/>
        </w:rPr>
        <w:t>Stern School of Business, New York University, M.B.A. in Finance/Economics</w:t>
      </w:r>
    </w:p>
    <w:p>
      <w:pPr>
        <w:spacing w:after="0" w:line="24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240"/>
          </w:cols>
          <w:pgMar w:left="240" w:top="144" w:right="41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2573BA"/>
        </w:rPr>
        <w:t>Paul McKenzie,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27305</wp:posOffset>
            </wp:positionV>
            <wp:extent cx="7253605"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725360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59" w:lineRule="exact"/>
        <w:rPr>
          <w:sz w:val="20"/>
          <w:szCs w:val="20"/>
          <w:color w:val="auto"/>
        </w:rPr>
      </w:pPr>
    </w:p>
    <w:p>
      <w:pPr>
        <w:ind w:left="20" w:right="180"/>
        <w:spacing w:after="0" w:line="238" w:lineRule="auto"/>
        <w:rPr>
          <w:sz w:val="20"/>
          <w:szCs w:val="20"/>
          <w:color w:val="auto"/>
        </w:rPr>
      </w:pPr>
      <w:r>
        <w:rPr>
          <w:rFonts w:ascii="Arial" w:cs="Arial" w:eastAsia="Arial" w:hAnsi="Arial"/>
          <w:sz w:val="17"/>
          <w:szCs w:val="17"/>
          <w:color w:val="auto"/>
        </w:rPr>
        <w:t>Dr. McKenzie has served as our Executive Vice President, Pharmaceutical Operations and Technology since July 2016. Prior to that, from February 2016 to June 2016, he served as our Senior Vice President for Global Biologics Manufacturing &amp; Technical Operations. Prior to joining Biogen, since 2008, Dr. McKenzie held a number of positions of increasing responsibility at Johnson &amp; Johnson (J&amp;J), including Vice President of R&amp;D for J&amp;J’s Ethicon business where he led the manufacturing and technical operations team responsible for internal and external manufacturing of Janssen’s pharmaceutical portfolio. He also ran global Development for Janssen R&amp;D, helping to manage pipeline activities from discovery through clinical development and commercialization. Prior to J&amp;J, Dr. McKenzie also held various R&amp;D and manufacturing positions at Bristol-Myers Squibb and Merck &amp; Co.</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538235"/>
        </w:rPr>
        <w:t>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725360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33" w:lineRule="exact"/>
        <w:rPr>
          <w:sz w:val="20"/>
          <w:szCs w:val="20"/>
          <w:color w:val="auto"/>
        </w:rPr>
      </w:pPr>
    </w:p>
    <w:p>
      <w:pPr>
        <w:ind w:left="600" w:hanging="75"/>
        <w:spacing w:after="0"/>
        <w:tabs>
          <w:tab w:leader="none" w:pos="600" w:val="left"/>
        </w:tabs>
        <w:numPr>
          <w:ilvl w:val="0"/>
          <w:numId w:val="44"/>
        </w:numPr>
        <w:rPr>
          <w:rFonts w:ascii="Arial" w:cs="Arial" w:eastAsia="Arial" w:hAnsi="Arial"/>
          <w:sz w:val="20"/>
          <w:szCs w:val="20"/>
          <w:color w:val="auto"/>
          <w:vertAlign w:val="superscript"/>
        </w:rPr>
      </w:pPr>
      <w:r>
        <w:rPr>
          <w:rFonts w:ascii="Arial" w:cs="Arial" w:eastAsia="Arial" w:hAnsi="Arial"/>
          <w:sz w:val="17"/>
          <w:szCs w:val="17"/>
          <w:color w:val="auto"/>
        </w:rPr>
        <w:t>University of Pennsylvania, B.S. Chemical Engineering</w:t>
      </w:r>
    </w:p>
    <w:p>
      <w:pPr>
        <w:spacing w:after="0" w:line="38" w:lineRule="exact"/>
        <w:rPr>
          <w:rFonts w:ascii="Arial" w:cs="Arial" w:eastAsia="Arial" w:hAnsi="Arial"/>
          <w:sz w:val="20"/>
          <w:szCs w:val="20"/>
          <w:color w:val="auto"/>
          <w:vertAlign w:val="superscript"/>
        </w:rPr>
      </w:pPr>
    </w:p>
    <w:p>
      <w:pPr>
        <w:ind w:left="600" w:hanging="75"/>
        <w:spacing w:after="0" w:line="213" w:lineRule="auto"/>
        <w:tabs>
          <w:tab w:leader="none" w:pos="600" w:val="left"/>
        </w:tabs>
        <w:numPr>
          <w:ilvl w:val="0"/>
          <w:numId w:val="44"/>
        </w:numPr>
        <w:rPr>
          <w:rFonts w:ascii="Arial" w:cs="Arial" w:eastAsia="Arial" w:hAnsi="Arial"/>
          <w:sz w:val="20"/>
          <w:szCs w:val="20"/>
          <w:color w:val="auto"/>
          <w:vertAlign w:val="superscript"/>
        </w:rPr>
      </w:pPr>
      <w:r>
        <w:rPr>
          <w:rFonts w:ascii="Arial" w:cs="Arial" w:eastAsia="Arial" w:hAnsi="Arial"/>
          <w:sz w:val="17"/>
          <w:szCs w:val="17"/>
          <w:color w:val="auto"/>
        </w:rPr>
        <w:t>Carnegie Mellon University, Ph.D. Chemical Engineering</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2573BA"/>
        </w:rPr>
        <w:t>Alfred W. Sandrock, Jr.,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27305</wp:posOffset>
            </wp:positionV>
            <wp:extent cx="7253605"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725360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59" w:lineRule="exact"/>
        <w:rPr>
          <w:sz w:val="20"/>
          <w:szCs w:val="20"/>
          <w:color w:val="auto"/>
        </w:rPr>
      </w:pPr>
    </w:p>
    <w:p>
      <w:pPr>
        <w:ind w:left="20" w:right="180"/>
        <w:spacing w:after="0" w:line="238" w:lineRule="auto"/>
        <w:rPr>
          <w:sz w:val="20"/>
          <w:szCs w:val="20"/>
          <w:color w:val="auto"/>
        </w:rPr>
      </w:pPr>
      <w:r>
        <w:rPr>
          <w:rFonts w:ascii="Arial" w:cs="Arial" w:eastAsia="Arial" w:hAnsi="Arial"/>
          <w:sz w:val="17"/>
          <w:szCs w:val="17"/>
          <w:color w:val="auto"/>
        </w:rPr>
        <w:t>Dr. Sandrock has served as our Executive Vice President and Chief Medical Officer since October 2017. Prior to that, Dr. Sandrock served as our Executive Vice President, Chief Medical Officer Neurology and Neurodegeneration from October 2015 to October 2017, as our Chief Medical Officer and Group Senior Vice President from April 2013 to October 2015 and as our Chief Medical Officer and Senior Vice President of Development Sciences from February 2012 to April 2013. Prior to that, Dr. Sandrock held several senior executive positions since joining us in 1998, including Senior Vice President of Neurology Research and Development and Vice President of Clinical Development, Neurology.</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538235"/>
        </w:rPr>
        <w:t>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72536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59" w:lineRule="exact"/>
        <w:rPr>
          <w:sz w:val="20"/>
          <w:szCs w:val="20"/>
          <w:color w:val="auto"/>
        </w:rPr>
      </w:pPr>
    </w:p>
    <w:p>
      <w:pPr>
        <w:ind w:left="20" w:right="5100" w:firstLine="505"/>
        <w:spacing w:after="0" w:line="267" w:lineRule="auto"/>
        <w:tabs>
          <w:tab w:leader="none" w:pos="596" w:val="left"/>
        </w:tabs>
        <w:numPr>
          <w:ilvl w:val="0"/>
          <w:numId w:val="45"/>
        </w:numPr>
        <w:rPr>
          <w:rFonts w:ascii="Arial" w:cs="Arial" w:eastAsia="Arial" w:hAnsi="Arial"/>
          <w:sz w:val="20"/>
          <w:szCs w:val="20"/>
          <w:color w:val="auto"/>
          <w:vertAlign w:val="superscript"/>
        </w:rPr>
      </w:pPr>
      <w:r>
        <w:rPr>
          <w:rFonts w:ascii="Arial" w:cs="Arial" w:eastAsia="Arial" w:hAnsi="Arial"/>
          <w:sz w:val="17"/>
          <w:szCs w:val="17"/>
          <w:color w:val="auto"/>
        </w:rPr>
        <w:t xml:space="preserve">Board of Directors of Neurocrine Biosciences, Inc., a life sciences company </w:t>
      </w:r>
      <w:r>
        <w:rPr>
          <w:rFonts w:ascii="Arial" w:cs="Arial" w:eastAsia="Arial" w:hAnsi="Arial"/>
          <w:sz w:val="17"/>
          <w:szCs w:val="17"/>
          <w:i w:val="1"/>
          <w:iCs w:val="1"/>
          <w:color w:val="538235"/>
        </w:rPr>
        <w:t>Education</w:t>
      </w:r>
    </w:p>
    <w:p>
      <w:pPr>
        <w:ind w:left="600" w:hanging="75"/>
        <w:spacing w:after="0"/>
        <w:tabs>
          <w:tab w:leader="none" w:pos="600" w:val="left"/>
        </w:tabs>
        <w:numPr>
          <w:ilvl w:val="0"/>
          <w:numId w:val="45"/>
        </w:numPr>
        <w:rPr>
          <w:rFonts w:ascii="Arial" w:cs="Arial" w:eastAsia="Arial" w:hAnsi="Arial"/>
          <w:sz w:val="20"/>
          <w:szCs w:val="20"/>
          <w:color w:val="auto"/>
          <w:vertAlign w:val="superscript"/>
        </w:rPr>
      </w:pPr>
      <w:r>
        <w:rPr>
          <w:rFonts w:ascii="Arial" w:cs="Arial" w:eastAsia="Arial" w:hAnsi="Arial"/>
          <w:sz w:val="17"/>
          <w:szCs w:val="17"/>
          <w:color w:val="auto"/>
        </w:rPr>
        <w:t>Stanford University, B.A. in Human Biology</w:t>
      </w:r>
    </w:p>
    <w:p>
      <w:pPr>
        <w:spacing w:after="0" w:line="38" w:lineRule="exact"/>
        <w:rPr>
          <w:rFonts w:ascii="Arial" w:cs="Arial" w:eastAsia="Arial" w:hAnsi="Arial"/>
          <w:sz w:val="20"/>
          <w:szCs w:val="20"/>
          <w:color w:val="auto"/>
          <w:vertAlign w:val="superscript"/>
        </w:rPr>
      </w:pPr>
    </w:p>
    <w:p>
      <w:pPr>
        <w:ind w:left="600" w:hanging="75"/>
        <w:spacing w:after="0" w:line="213" w:lineRule="auto"/>
        <w:tabs>
          <w:tab w:leader="none" w:pos="600" w:val="left"/>
        </w:tabs>
        <w:numPr>
          <w:ilvl w:val="0"/>
          <w:numId w:val="45"/>
        </w:numPr>
        <w:rPr>
          <w:rFonts w:ascii="Arial" w:cs="Arial" w:eastAsia="Arial" w:hAnsi="Arial"/>
          <w:sz w:val="20"/>
          <w:szCs w:val="20"/>
          <w:color w:val="auto"/>
          <w:vertAlign w:val="superscript"/>
        </w:rPr>
      </w:pPr>
      <w:r>
        <w:rPr>
          <w:rFonts w:ascii="Arial" w:cs="Arial" w:eastAsia="Arial" w:hAnsi="Arial"/>
          <w:sz w:val="17"/>
          <w:szCs w:val="17"/>
          <w:color w:val="auto"/>
        </w:rPr>
        <w:t>Harvard Medical School, M.D.</w:t>
      </w:r>
    </w:p>
    <w:p>
      <w:pPr>
        <w:spacing w:after="0" w:line="39" w:lineRule="exact"/>
        <w:rPr>
          <w:rFonts w:ascii="Arial" w:cs="Arial" w:eastAsia="Arial" w:hAnsi="Arial"/>
          <w:sz w:val="20"/>
          <w:szCs w:val="20"/>
          <w:color w:val="auto"/>
          <w:vertAlign w:val="superscript"/>
        </w:rPr>
      </w:pPr>
    </w:p>
    <w:p>
      <w:pPr>
        <w:ind w:left="600" w:hanging="75"/>
        <w:spacing w:after="0" w:line="213" w:lineRule="auto"/>
        <w:tabs>
          <w:tab w:leader="none" w:pos="600" w:val="left"/>
        </w:tabs>
        <w:numPr>
          <w:ilvl w:val="0"/>
          <w:numId w:val="45"/>
        </w:numPr>
        <w:rPr>
          <w:rFonts w:ascii="Arial" w:cs="Arial" w:eastAsia="Arial" w:hAnsi="Arial"/>
          <w:sz w:val="20"/>
          <w:szCs w:val="20"/>
          <w:color w:val="auto"/>
          <w:vertAlign w:val="superscript"/>
        </w:rPr>
      </w:pPr>
      <w:r>
        <w:rPr>
          <w:rFonts w:ascii="Arial" w:cs="Arial" w:eastAsia="Arial" w:hAnsi="Arial"/>
          <w:sz w:val="17"/>
          <w:szCs w:val="17"/>
          <w:color w:val="auto"/>
        </w:rPr>
        <w:t>Harvard University, Ph.D. in Neurobiology</w:t>
      </w:r>
    </w:p>
    <w:p>
      <w:pPr>
        <w:spacing w:after="0" w:line="39" w:lineRule="exact"/>
        <w:rPr>
          <w:rFonts w:ascii="Arial" w:cs="Arial" w:eastAsia="Arial" w:hAnsi="Arial"/>
          <w:sz w:val="20"/>
          <w:szCs w:val="20"/>
          <w:color w:val="auto"/>
          <w:vertAlign w:val="superscript"/>
        </w:rPr>
      </w:pPr>
    </w:p>
    <w:p>
      <w:pPr>
        <w:ind w:left="600" w:right="120" w:hanging="75"/>
        <w:spacing w:after="0" w:line="223" w:lineRule="auto"/>
        <w:tabs>
          <w:tab w:leader="none" w:pos="600" w:val="left"/>
        </w:tabs>
        <w:numPr>
          <w:ilvl w:val="0"/>
          <w:numId w:val="45"/>
        </w:numPr>
        <w:rPr>
          <w:rFonts w:ascii="Arial" w:cs="Arial" w:eastAsia="Arial" w:hAnsi="Arial"/>
          <w:sz w:val="20"/>
          <w:szCs w:val="20"/>
          <w:color w:val="auto"/>
          <w:vertAlign w:val="superscript"/>
        </w:rPr>
      </w:pPr>
      <w:r>
        <w:rPr>
          <w:rFonts w:ascii="Arial" w:cs="Arial" w:eastAsia="Arial" w:hAnsi="Arial"/>
          <w:sz w:val="17"/>
          <w:szCs w:val="17"/>
          <w:color w:val="auto"/>
        </w:rPr>
        <w:t>Massachusetts General Hospital, internship in Medicine, residency and chief residency in Neurology, and clinical fellowship in Neuromuscular Disease and Clinical Neurophysiology (electromyography)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-737870</wp:posOffset>
            </wp:positionV>
            <wp:extent cx="72536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Available Information</w:t>
      </w:r>
    </w:p>
    <w:p>
      <w:pPr>
        <w:spacing w:after="0" w:line="109" w:lineRule="exact"/>
        <w:rPr>
          <w:sz w:val="20"/>
          <w:szCs w:val="20"/>
          <w:color w:val="auto"/>
        </w:rPr>
      </w:pPr>
    </w:p>
    <w:p>
      <w:pPr>
        <w:ind w:firstLine="384"/>
        <w:spacing w:after="0" w:line="254" w:lineRule="auto"/>
        <w:rPr>
          <w:sz w:val="20"/>
          <w:szCs w:val="20"/>
          <w:color w:val="auto"/>
        </w:rPr>
      </w:pPr>
      <w:r>
        <w:rPr>
          <w:rFonts w:ascii="Arial" w:cs="Arial" w:eastAsia="Arial" w:hAnsi="Arial"/>
          <w:sz w:val="17"/>
          <w:szCs w:val="17"/>
          <w:color w:val="auto"/>
        </w:rPr>
        <w:t xml:space="preserve">Our principal executive offices are located at 225 Binney Street, Cambridge, MA 02142 and our telephone number is (617) 679-2000. Our website address is www.biogen.com. We make available free of charge through the </w:t>
      </w:r>
      <w:r>
        <w:rPr>
          <w:rFonts w:ascii="Arial" w:cs="Arial" w:eastAsia="Arial" w:hAnsi="Arial"/>
          <w:sz w:val="17"/>
          <w:szCs w:val="17"/>
          <w:i w:val="1"/>
          <w:iCs w:val="1"/>
          <w:color w:val="auto"/>
        </w:rPr>
        <w:t>Investors</w:t>
      </w:r>
      <w:r>
        <w:rPr>
          <w:rFonts w:ascii="Arial" w:cs="Arial" w:eastAsia="Arial" w:hAnsi="Arial"/>
          <w:sz w:val="17"/>
          <w:szCs w:val="17"/>
          <w:color w:val="auto"/>
        </w:rPr>
        <w:t xml:space="preserve"> section of our website our Annual Reports on Form 10-K, Quarterly Reports on Form 10-Q, Current Reports on Form 8-K and all amendments to those reports as soon as reasonably practicable after such material is electronically filed with or furnished to the Securities and Exchange Commission (SEC). We include our website address in this report only as an inactive textual reference and do not intend it to be an active link to our website. The contents of our website are not incorporated into this report.</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380"/>
          </w:cols>
          <w:pgMar w:left="240" w:top="144" w:right="27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b w:val="1"/>
          <w:bCs w:val="1"/>
          <w:color w:val="1C5A7D"/>
        </w:rPr>
        <w:t>Item 1A.</w:t>
        <w:tab/>
        <w:t>Risk Factors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We are substantially dependent on revenues from our principal products.</w:t>
      </w:r>
    </w:p>
    <w:p>
      <w:pPr>
        <w:spacing w:after="0" w:line="106" w:lineRule="exact"/>
        <w:rPr>
          <w:sz w:val="20"/>
          <w:szCs w:val="20"/>
          <w:color w:val="auto"/>
        </w:rPr>
      </w:pPr>
    </w:p>
    <w:p>
      <w:pPr>
        <w:ind w:right="40" w:firstLine="371"/>
        <w:spacing w:after="0" w:line="254" w:lineRule="auto"/>
        <w:rPr>
          <w:sz w:val="20"/>
          <w:szCs w:val="20"/>
          <w:color w:val="auto"/>
        </w:rPr>
      </w:pPr>
      <w:r>
        <w:rPr>
          <w:rFonts w:ascii="Arial" w:cs="Arial" w:eastAsia="Arial" w:hAnsi="Arial"/>
          <w:sz w:val="17"/>
          <w:szCs w:val="17"/>
          <w:color w:val="auto"/>
        </w:rPr>
        <w:t>Our current revenues depend upon continued sales of our principal products, and, unless we develop or acquire rights to new products and technologies, we will be substantially dependent on sales from our principal products for many years. Further, following the completion of the spin-off of our hemophilia business, our revenues are further reliant and concentrated on sales of our MS products in an increasingly competitive market, and revenues from sales of our product for SMA. Any of the following negative developments relating to any of our principal products may adversely affect our revenues and results of operations or could cause a decline in our stock price:</w:t>
      </w:r>
    </w:p>
    <w:p>
      <w:pPr>
        <w:spacing w:after="0" w:line="144" w:lineRule="exact"/>
        <w:rPr>
          <w:sz w:val="20"/>
          <w:szCs w:val="20"/>
          <w:color w:val="auto"/>
        </w:rPr>
      </w:pPr>
    </w:p>
    <w:p>
      <w:pPr>
        <w:ind w:left="380" w:hanging="301"/>
        <w:spacing w:after="0"/>
        <w:tabs>
          <w:tab w:leader="none" w:pos="3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safety or efficacy issues;</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introduction or greater acceptance of competing products, including lower-priced competing products;</w:t>
      </w:r>
    </w:p>
    <w:p>
      <w:pPr>
        <w:spacing w:after="0" w:line="163" w:lineRule="exact"/>
        <w:rPr>
          <w:rFonts w:ascii="Arial" w:cs="Arial" w:eastAsia="Arial" w:hAnsi="Arial"/>
          <w:sz w:val="17"/>
          <w:szCs w:val="17"/>
          <w:color w:val="auto"/>
        </w:rPr>
      </w:pPr>
    </w:p>
    <w:p>
      <w:pPr>
        <w:ind w:left="380" w:hanging="301"/>
        <w:spacing w:after="0" w:line="262" w:lineRule="auto"/>
        <w:tabs>
          <w:tab w:leader="none" w:pos="3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constraints and additional pressures on product pricing or price increases, including those resulting from governmental or regulatory requirements, increased competition or changes in, or implementation of, reimbursement policies and practices of payors and other third parties; or</w:t>
      </w:r>
    </w:p>
    <w:p>
      <w:pPr>
        <w:spacing w:after="0" w:line="136" w:lineRule="exact"/>
        <w:rPr>
          <w:rFonts w:ascii="Arial" w:cs="Arial" w:eastAsia="Arial" w:hAnsi="Arial"/>
          <w:sz w:val="17"/>
          <w:szCs w:val="17"/>
          <w:color w:val="auto"/>
        </w:rPr>
      </w:pPr>
    </w:p>
    <w:p>
      <w:pPr>
        <w:ind w:left="380" w:hanging="301"/>
        <w:spacing w:after="0"/>
        <w:tabs>
          <w:tab w:leader="none" w:pos="3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adverse legal, administrative, regulatory or legislative developments.</w:t>
      </w:r>
    </w:p>
    <w:p>
      <w:pPr>
        <w:spacing w:after="0" w:line="86" w:lineRule="exact"/>
        <w:rPr>
          <w:sz w:val="20"/>
          <w:szCs w:val="20"/>
          <w:color w:val="auto"/>
        </w:rPr>
      </w:pPr>
    </w:p>
    <w:p>
      <w:pPr>
        <w:jc w:val="both"/>
        <w:ind w:right="220" w:firstLine="371"/>
        <w:spacing w:after="0" w:line="257" w:lineRule="auto"/>
        <w:rPr>
          <w:sz w:val="20"/>
          <w:szCs w:val="20"/>
          <w:color w:val="auto"/>
        </w:rPr>
      </w:pPr>
      <w:r>
        <w:rPr>
          <w:rFonts w:ascii="Arial" w:cs="Arial" w:eastAsia="Arial" w:hAnsi="Arial"/>
          <w:sz w:val="17"/>
          <w:szCs w:val="17"/>
          <w:color w:val="auto"/>
        </w:rPr>
        <w:t>SPINRAZA has been approved by, among others, the FDA, the EC and the Japanese Ministry of Health, Labor and Welfare, and is in the early stages of commercial launch in these and other markets. In addition to risks associated with new product launches and the other factors described in these “Risk Factors,” our ability to successfully commercialize SPINRAZA may be adversely affected due to:</w:t>
      </w:r>
    </w:p>
    <w:p>
      <w:pPr>
        <w:spacing w:after="0" w:line="140" w:lineRule="exact"/>
        <w:rPr>
          <w:sz w:val="20"/>
          <w:szCs w:val="20"/>
          <w:color w:val="auto"/>
        </w:rPr>
      </w:pPr>
    </w:p>
    <w:p>
      <w:pPr>
        <w:ind w:left="380" w:right="280" w:hanging="301"/>
        <w:spacing w:after="0" w:line="262" w:lineRule="auto"/>
        <w:tabs>
          <w:tab w:leader="none" w:pos="3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limited marketing experience within the SMA market, which may impact our ability to develop relationships with the associated medical and scientific community;</w:t>
      </w:r>
    </w:p>
    <w:p>
      <w:pPr>
        <w:spacing w:after="0" w:line="136" w:lineRule="exact"/>
        <w:rPr>
          <w:rFonts w:ascii="Arial" w:cs="Arial" w:eastAsia="Arial" w:hAnsi="Arial"/>
          <w:sz w:val="17"/>
          <w:szCs w:val="17"/>
          <w:color w:val="auto"/>
        </w:rPr>
      </w:pPr>
    </w:p>
    <w:p>
      <w:pPr>
        <w:ind w:left="380" w:hanging="301"/>
        <w:spacing w:after="0"/>
        <w:tabs>
          <w:tab w:leader="none" w:pos="3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lack of readiness of healthcare providers to treat patients with SMA;</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effectiveness of our commercial strategy for marketing SPINRAZA; and</w:t>
      </w:r>
    </w:p>
    <w:p>
      <w:pPr>
        <w:spacing w:after="0" w:line="163" w:lineRule="exact"/>
        <w:rPr>
          <w:rFonts w:ascii="Arial" w:cs="Arial" w:eastAsia="Arial" w:hAnsi="Arial"/>
          <w:sz w:val="17"/>
          <w:szCs w:val="17"/>
          <w:color w:val="auto"/>
        </w:rPr>
      </w:pPr>
    </w:p>
    <w:p>
      <w:pPr>
        <w:ind w:left="380" w:right="280" w:hanging="301"/>
        <w:spacing w:after="0" w:line="262" w:lineRule="auto"/>
        <w:tabs>
          <w:tab w:leader="none" w:pos="3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ability to maintain a positive reputation among patients, healthcare providers and others in the SMA community, which may be impacted by pricing and reimbursement decisions relating to SPINRAZA.</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If we fail to compete effectively, our business and market position would suffer.</w:t>
      </w:r>
    </w:p>
    <w:p>
      <w:pPr>
        <w:spacing w:after="0" w:line="106" w:lineRule="exact"/>
        <w:rPr>
          <w:sz w:val="20"/>
          <w:szCs w:val="20"/>
          <w:color w:val="auto"/>
        </w:rPr>
      </w:pPr>
    </w:p>
    <w:p>
      <w:pPr>
        <w:ind w:firstLine="384"/>
        <w:spacing w:after="0" w:line="253" w:lineRule="auto"/>
        <w:rPr>
          <w:sz w:val="20"/>
          <w:szCs w:val="20"/>
          <w:color w:val="auto"/>
        </w:rPr>
      </w:pPr>
      <w:r>
        <w:rPr>
          <w:rFonts w:ascii="Arial" w:cs="Arial" w:eastAsia="Arial" w:hAnsi="Arial"/>
          <w:sz w:val="17"/>
          <w:szCs w:val="17"/>
          <w:color w:val="auto"/>
        </w:rPr>
        <w:t>The biopharmaceutical industry and the markets in which we operate are intensely competitive. We compete in the marketing and sale of our products, the development of new products and processes, the acquisition of rights to new products with commercial potential and the hiring and retention of personnel. We compete with biotechnology and pharmaceutical companies that have a greater number of products on the market and in the product pipeline, greater financial and other resources and other technological or competitive advantages. One or more of our competitors may benefit from significantly greater sales and marketing capabilities, may develop products that are accepted more widely than ours or may receive patent protection that dominates, blocks or adversely affects our product development or business.</w:t>
      </w:r>
    </w:p>
    <w:p>
      <w:pPr>
        <w:spacing w:after="0" w:line="70" w:lineRule="exact"/>
        <w:rPr>
          <w:sz w:val="20"/>
          <w:szCs w:val="20"/>
          <w:color w:val="auto"/>
        </w:rPr>
      </w:pPr>
    </w:p>
    <w:p>
      <w:pPr>
        <w:ind w:right="60" w:firstLine="384"/>
        <w:spacing w:after="0" w:line="255" w:lineRule="auto"/>
        <w:rPr>
          <w:sz w:val="20"/>
          <w:szCs w:val="20"/>
          <w:color w:val="auto"/>
        </w:rPr>
      </w:pPr>
      <w:r>
        <w:rPr>
          <w:rFonts w:ascii="Arial" w:cs="Arial" w:eastAsia="Arial" w:hAnsi="Arial"/>
          <w:sz w:val="17"/>
          <w:szCs w:val="17"/>
          <w:color w:val="auto"/>
        </w:rPr>
        <w:t>Our products are also susceptible to increasing competition from generics and biosimilars in many markets. Generic versions of drugs and biosimilars are likely to be sold at substantially lower prices than branded products. Accordingly, the introduction of generic or biosimilar versions of our marketed products, as well as lower-priced competing products, likely would significantly reduce both the price that we receive for such marketed products and the volume of products that we sell, which may have an adverse impact on our results of operations.</w:t>
      </w:r>
    </w:p>
    <w:p>
      <w:pPr>
        <w:spacing w:after="0" w:line="143" w:lineRule="exact"/>
        <w:rPr>
          <w:sz w:val="20"/>
          <w:szCs w:val="20"/>
          <w:color w:val="auto"/>
        </w:rPr>
      </w:pPr>
    </w:p>
    <w:p>
      <w:pPr>
        <w:ind w:right="80" w:firstLine="384"/>
        <w:spacing w:after="0" w:line="257" w:lineRule="auto"/>
        <w:rPr>
          <w:sz w:val="20"/>
          <w:szCs w:val="20"/>
          <w:color w:val="auto"/>
        </w:rPr>
      </w:pPr>
      <w:r>
        <w:rPr>
          <w:rFonts w:ascii="Arial" w:cs="Arial" w:eastAsia="Arial" w:hAnsi="Arial"/>
          <w:sz w:val="17"/>
          <w:szCs w:val="17"/>
          <w:color w:val="auto"/>
        </w:rPr>
        <w:t>In the MS market, we face intense competition as the number of products and competitors continues to expand. Due to our significant reliance on sales of our MS products, our business may be harmed if we are unable to successfully compete in the MS market. More specifically, our ability to compete, maintain and grow our share in the MS market may be adversely affected due to a number of factors, including:</w:t>
      </w:r>
    </w:p>
    <w:p>
      <w:pPr>
        <w:spacing w:after="0" w:line="140" w:lineRule="exact"/>
        <w:rPr>
          <w:sz w:val="20"/>
          <w:szCs w:val="20"/>
          <w:color w:val="auto"/>
        </w:rPr>
      </w:pPr>
    </w:p>
    <w:p>
      <w:pPr>
        <w:ind w:left="380" w:right="340" w:hanging="301"/>
        <w:spacing w:after="0" w:line="262" w:lineRule="auto"/>
        <w:tabs>
          <w:tab w:leader="none" w:pos="3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introduction of more efficacious, safer, less expensive or more convenient alternatives to our MS products, including our own products and products of our collaborators;</w:t>
      </w:r>
    </w:p>
    <w:p>
      <w:pPr>
        <w:spacing w:after="0" w:line="136" w:lineRule="exact"/>
        <w:rPr>
          <w:rFonts w:ascii="Arial" w:cs="Arial" w:eastAsia="Arial" w:hAnsi="Arial"/>
          <w:sz w:val="17"/>
          <w:szCs w:val="17"/>
          <w:color w:val="auto"/>
        </w:rPr>
      </w:pPr>
    </w:p>
    <w:p>
      <w:pPr>
        <w:ind w:left="380" w:hanging="301"/>
        <w:spacing w:after="0" w:line="257" w:lineRule="auto"/>
        <w:tabs>
          <w:tab w:leader="none" w:pos="3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introduction of lower-cost biosimilars, follow-on products or generic versions of branded MS products sold by our competitors, and the possibility of future competition from generic versions or prodrugs of existing therapeutics or from off-label use by physicians of therapies indicated for other conditions to treat MS patients;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144"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2" w:lineRule="exact"/>
        <w:rPr>
          <w:sz w:val="20"/>
          <w:szCs w:val="20"/>
          <w:color w:val="auto"/>
        </w:rPr>
      </w:pPr>
    </w:p>
    <w:p>
      <w:pPr>
        <w:ind w:left="380" w:hanging="301"/>
        <w:spacing w:after="0"/>
        <w:tabs>
          <w:tab w:leader="none" w:pos="3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patient dynamics, including the size of the patient population and our ability to attract new patients to our therapies;</w:t>
      </w:r>
    </w:p>
    <w:p>
      <w:pPr>
        <w:spacing w:after="0" w:line="163" w:lineRule="exact"/>
        <w:rPr>
          <w:rFonts w:ascii="Arial" w:cs="Arial" w:eastAsia="Arial" w:hAnsi="Arial"/>
          <w:sz w:val="17"/>
          <w:szCs w:val="17"/>
          <w:color w:val="auto"/>
        </w:rPr>
      </w:pPr>
    </w:p>
    <w:p>
      <w:pPr>
        <w:ind w:left="380" w:right="460" w:hanging="301"/>
        <w:spacing w:after="0" w:line="262" w:lineRule="auto"/>
        <w:tabs>
          <w:tab w:leader="none" w:pos="3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damage to physician and patient confidence in any of our MS products or to our sales and reputation as a result of label changes or adverse experiences or events that may occur with patients treated with our MS products;</w:t>
      </w:r>
    </w:p>
    <w:p>
      <w:pPr>
        <w:spacing w:after="0" w:line="136" w:lineRule="exact"/>
        <w:rPr>
          <w:rFonts w:ascii="Arial" w:cs="Arial" w:eastAsia="Arial" w:hAnsi="Arial"/>
          <w:sz w:val="17"/>
          <w:szCs w:val="17"/>
          <w:color w:val="auto"/>
        </w:rPr>
      </w:pPr>
    </w:p>
    <w:p>
      <w:pPr>
        <w:ind w:left="380" w:hanging="301"/>
        <w:spacing w:after="0"/>
        <w:tabs>
          <w:tab w:leader="none" w:pos="3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inability to obtain appropriate pricing and reimbursement for our MS products compared to our competitors in key international markets; or</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our ability to obtain and maintain patent, data or market exclusivity for our MS products.</w:t>
      </w:r>
    </w:p>
    <w:p>
      <w:pPr>
        <w:spacing w:after="0" w:line="143" w:lineRule="exact"/>
        <w:rPr>
          <w:sz w:val="20"/>
          <w:szCs w:val="20"/>
          <w:color w:val="auto"/>
        </w:rPr>
      </w:pPr>
    </w:p>
    <w:p>
      <w:pPr>
        <w:ind w:right="40" w:firstLine="231"/>
        <w:spacing w:after="0" w:line="263" w:lineRule="auto"/>
        <w:rPr>
          <w:sz w:val="20"/>
          <w:szCs w:val="20"/>
          <w:color w:val="auto"/>
        </w:rPr>
      </w:pPr>
      <w:r>
        <w:rPr>
          <w:rFonts w:ascii="Arial" w:cs="Arial" w:eastAsia="Arial" w:hAnsi="Arial"/>
          <w:sz w:val="17"/>
          <w:szCs w:val="17"/>
          <w:b w:val="1"/>
          <w:bCs w:val="1"/>
          <w:i w:val="1"/>
          <w:iCs w:val="1"/>
          <w:color w:val="2573BA"/>
        </w:rPr>
        <w:t>Sales of our products depend, to a significant extent, on adequate coverage, pricing and reimbursement from third-party payors, which are subject to increasing and intense pressure from political, social, competitive and other sources. Our inability to maintain adequate coverage, or a reduction in pricing or reimbursement, could have an adverse effect on our business, revenues and results of operations and could cause a decline in our stock price.</w:t>
      </w:r>
    </w:p>
    <w:p>
      <w:pPr>
        <w:spacing w:after="0" w:line="60" w:lineRule="exact"/>
        <w:rPr>
          <w:sz w:val="20"/>
          <w:szCs w:val="20"/>
          <w:color w:val="auto"/>
        </w:rPr>
      </w:pPr>
    </w:p>
    <w:p>
      <w:pPr>
        <w:ind w:right="120" w:firstLine="384"/>
        <w:spacing w:after="0" w:line="257" w:lineRule="auto"/>
        <w:rPr>
          <w:sz w:val="20"/>
          <w:szCs w:val="20"/>
          <w:color w:val="auto"/>
        </w:rPr>
      </w:pPr>
      <w:r>
        <w:rPr>
          <w:rFonts w:ascii="Arial" w:cs="Arial" w:eastAsia="Arial" w:hAnsi="Arial"/>
          <w:sz w:val="17"/>
          <w:szCs w:val="17"/>
          <w:color w:val="auto"/>
        </w:rPr>
        <w:t>Sales of our products are dependent, in large part, on the availability and extent of coverage, pricing and reimbursement from government health administration authorities, private health insurers and other organizations. When a new pharmaceutical product is approved, the availability of government and private reimbursement for that product may be uncertain, as is the pricing and amount for which that product will be reimbursed.</w:t>
      </w:r>
    </w:p>
    <w:p>
      <w:pPr>
        <w:spacing w:after="0" w:line="14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Pricing and reimbursement for our products may be adversely affected by a number of factors, including:</w:t>
      </w:r>
    </w:p>
    <w:p>
      <w:pPr>
        <w:spacing w:after="0" w:line="163" w:lineRule="exact"/>
        <w:rPr>
          <w:sz w:val="20"/>
          <w:szCs w:val="20"/>
          <w:color w:val="auto"/>
        </w:rPr>
      </w:pPr>
    </w:p>
    <w:p>
      <w:pPr>
        <w:ind w:left="380" w:hanging="301"/>
        <w:spacing w:after="0"/>
        <w:tabs>
          <w:tab w:leader="none" w:pos="3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changes in, and implementation of, federal, state or foreign government regulations or private third-party payors’ reimbursement policies;</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pressure by employers on private health insurance plans to reduce costs;</w:t>
      </w:r>
    </w:p>
    <w:p>
      <w:pPr>
        <w:spacing w:after="0" w:line="163" w:lineRule="exact"/>
        <w:rPr>
          <w:rFonts w:ascii="Arial" w:cs="Arial" w:eastAsia="Arial" w:hAnsi="Arial"/>
          <w:sz w:val="17"/>
          <w:szCs w:val="17"/>
          <w:color w:val="auto"/>
        </w:rPr>
      </w:pPr>
    </w:p>
    <w:p>
      <w:pPr>
        <w:ind w:left="380" w:hanging="301"/>
        <w:spacing w:after="0" w:line="255" w:lineRule="auto"/>
        <w:tabs>
          <w:tab w:leader="none" w:pos="3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consolidation and increasing assertiveness of payors, including managed care organizations, health insurers, pharmacy benefit managers, government health administration authorities, private health insurers and other organizations, seeking price discounts or rebates in connection with the placement of our products on their formularies and, in some cases, the imposition of restrictions on access or coverage of particular drugs or pricing determined based on perceived value; and</w:t>
      </w:r>
    </w:p>
    <w:p>
      <w:pPr>
        <w:spacing w:after="0" w:line="142" w:lineRule="exact"/>
        <w:rPr>
          <w:rFonts w:ascii="Arial" w:cs="Arial" w:eastAsia="Arial" w:hAnsi="Arial"/>
          <w:sz w:val="17"/>
          <w:szCs w:val="17"/>
          <w:color w:val="auto"/>
        </w:rPr>
      </w:pPr>
    </w:p>
    <w:p>
      <w:pPr>
        <w:ind w:left="380" w:right="40" w:hanging="301"/>
        <w:spacing w:after="0" w:line="262" w:lineRule="auto"/>
        <w:tabs>
          <w:tab w:leader="none" w:pos="3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our value-based contracting pilot program pursuant to which we aim to tie the pricing of our products to their clinical values by either aligning price to patient outcomes or adjusting price for patients who discontinue therapy for any reason, including efficacy or tolerability concerns.</w:t>
      </w:r>
    </w:p>
    <w:p>
      <w:pPr>
        <w:spacing w:after="0" w:line="137" w:lineRule="exact"/>
        <w:rPr>
          <w:sz w:val="20"/>
          <w:szCs w:val="20"/>
          <w:color w:val="auto"/>
        </w:rPr>
      </w:pPr>
    </w:p>
    <w:p>
      <w:pPr>
        <w:ind w:right="160" w:firstLine="384"/>
        <w:spacing w:after="0" w:line="254" w:lineRule="auto"/>
        <w:rPr>
          <w:sz w:val="20"/>
          <w:szCs w:val="20"/>
          <w:color w:val="auto"/>
        </w:rPr>
      </w:pPr>
      <w:r>
        <w:rPr>
          <w:rFonts w:ascii="Arial" w:cs="Arial" w:eastAsia="Arial" w:hAnsi="Arial"/>
          <w:sz w:val="17"/>
          <w:szCs w:val="17"/>
          <w:color w:val="auto"/>
        </w:rPr>
        <w:t>Our ability to set the price for our products varies significantly from country to country and as a result so can the price of our products. Certain countries set prices by reference to the prices in other countries where our products are marketed. Thus, our inability to secure favorable prices in a particular country may not only limit the revenues from our products within that country, but may also adversely affect our ability to obtain acceptable prices in other markets. This may create the opportunity for third-party cross-border trade or influence our decision to sell or not to sell a product, thus adversely affecting our geographic expansion plans and revenues.</w:t>
      </w:r>
    </w:p>
    <w:p>
      <w:pPr>
        <w:spacing w:after="0" w:line="144" w:lineRule="exact"/>
        <w:rPr>
          <w:sz w:val="20"/>
          <w:szCs w:val="20"/>
          <w:color w:val="auto"/>
        </w:rPr>
      </w:pPr>
    </w:p>
    <w:p>
      <w:pPr>
        <w:ind w:right="300" w:firstLine="384"/>
        <w:spacing w:after="0" w:line="257" w:lineRule="auto"/>
        <w:rPr>
          <w:sz w:val="20"/>
          <w:szCs w:val="20"/>
          <w:color w:val="auto"/>
        </w:rPr>
      </w:pPr>
      <w:r>
        <w:rPr>
          <w:rFonts w:ascii="Arial" w:cs="Arial" w:eastAsia="Arial" w:hAnsi="Arial"/>
          <w:sz w:val="17"/>
          <w:szCs w:val="17"/>
          <w:color w:val="auto"/>
        </w:rPr>
        <w:t>Our failure to maintain adequate coverage, pricing or reimbursement for our products would have an adverse effect on our business, revenues and results of operations, could curtail or eliminate our ability to adequately fund research and development programs for the discovery and commercialization of new products and could cause a decline in our stock price.</w:t>
      </w:r>
    </w:p>
    <w:p>
      <w:pPr>
        <w:spacing w:after="0" w:line="140" w:lineRule="exact"/>
        <w:rPr>
          <w:sz w:val="20"/>
          <w:szCs w:val="20"/>
          <w:color w:val="auto"/>
        </w:rPr>
      </w:pPr>
    </w:p>
    <w:p>
      <w:pPr>
        <w:ind w:right="80" w:firstLine="384"/>
        <w:spacing w:after="0" w:line="254" w:lineRule="auto"/>
        <w:rPr>
          <w:sz w:val="20"/>
          <w:szCs w:val="20"/>
          <w:color w:val="auto"/>
        </w:rPr>
      </w:pPr>
      <w:r>
        <w:rPr>
          <w:rFonts w:ascii="Arial" w:cs="Arial" w:eastAsia="Arial" w:hAnsi="Arial"/>
          <w:sz w:val="17"/>
          <w:szCs w:val="17"/>
          <w:color w:val="auto"/>
        </w:rPr>
        <w:t>Drug prices are under significant scrutiny in the markets in which our products are prescribed. We expect drug pricing and other health care costs to continue to be subject to intense political and societal pressures on a global basis. In addition, competition from current and future competitors may negatively impact our ability to maintain pricing and our market share. New products or treatments brought to market by our competitors could cause revenues for our products to decrease due to potential price reductions and lower sales volumes. As a result, our business and reputation may be harmed, our stock price may be adversely impacted and experience periods of volatility, and our results of operations may be adversely impacted.</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20"/>
          </w:cols>
          <w:pgMar w:left="240" w:top="144"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right="100" w:firstLine="231"/>
        <w:spacing w:after="0" w:line="287" w:lineRule="auto"/>
        <w:rPr>
          <w:sz w:val="20"/>
          <w:szCs w:val="20"/>
          <w:color w:val="auto"/>
        </w:rPr>
      </w:pPr>
      <w:r>
        <w:rPr>
          <w:rFonts w:ascii="Arial" w:cs="Arial" w:eastAsia="Arial" w:hAnsi="Arial"/>
          <w:sz w:val="17"/>
          <w:szCs w:val="17"/>
          <w:b w:val="1"/>
          <w:bCs w:val="1"/>
          <w:i w:val="1"/>
          <w:iCs w:val="1"/>
          <w:color w:val="2573BA"/>
        </w:rPr>
        <w:t>Adverse safety events or restrictions on use and safety warnings for our products can negatively affect our business, product sales and stock price.</w:t>
      </w:r>
    </w:p>
    <w:p>
      <w:pPr>
        <w:spacing w:after="0" w:line="39" w:lineRule="exact"/>
        <w:rPr>
          <w:sz w:val="20"/>
          <w:szCs w:val="20"/>
          <w:color w:val="auto"/>
        </w:rPr>
      </w:pPr>
    </w:p>
    <w:p>
      <w:pPr>
        <w:ind w:firstLine="384"/>
        <w:spacing w:after="0" w:line="254" w:lineRule="auto"/>
        <w:rPr>
          <w:sz w:val="20"/>
          <w:szCs w:val="20"/>
          <w:color w:val="auto"/>
        </w:rPr>
      </w:pPr>
      <w:r>
        <w:rPr>
          <w:rFonts w:ascii="Arial" w:cs="Arial" w:eastAsia="Arial" w:hAnsi="Arial"/>
          <w:sz w:val="17"/>
          <w:szCs w:val="17"/>
          <w:color w:val="auto"/>
        </w:rPr>
        <w:t>Adverse safety events involving our marketed products may have a negative impact on our business. Discovery of safety issues with our products could create product liability and could cause additional regulatory scrutiny and requirements for additional labeling or safety monitoring, withdrawal of products from the market and the imposition of fines or criminal penalties. Adverse safety events may also damage physician, patient and/or investor confidence in our products and our reputation. Any of these could result in liabilities, loss of revenues, material write-offs of inventory, material impairments of intangible assets, goodwill and fixed assets, material restructuring charges and other adverse impacts on our results of operations.</w:t>
      </w:r>
    </w:p>
    <w:p>
      <w:pPr>
        <w:spacing w:after="0" w:line="144" w:lineRule="exact"/>
        <w:rPr>
          <w:sz w:val="20"/>
          <w:szCs w:val="20"/>
          <w:color w:val="auto"/>
        </w:rPr>
      </w:pPr>
    </w:p>
    <w:p>
      <w:pPr>
        <w:ind w:firstLine="384"/>
        <w:spacing w:after="0" w:line="255" w:lineRule="auto"/>
        <w:rPr>
          <w:sz w:val="20"/>
          <w:szCs w:val="20"/>
          <w:color w:val="auto"/>
        </w:rPr>
      </w:pPr>
      <w:r>
        <w:rPr>
          <w:rFonts w:ascii="Arial" w:cs="Arial" w:eastAsia="Arial" w:hAnsi="Arial"/>
          <w:sz w:val="17"/>
          <w:szCs w:val="17"/>
          <w:color w:val="auto"/>
        </w:rPr>
        <w:t>Regulatory authorities are making greater amounts of stand-alone safety information directly available to the public through periodic safety update reports, patient registries and other reporting requirements. The reporting of adverse safety events involving our products or products similar to ours and public rumors about such events may increase claims against us and may also cause our product sales or stock price to decline or experience periods of volatility.</w:t>
      </w:r>
    </w:p>
    <w:p>
      <w:pPr>
        <w:spacing w:after="0" w:line="143" w:lineRule="exact"/>
        <w:rPr>
          <w:sz w:val="20"/>
          <w:szCs w:val="20"/>
          <w:color w:val="auto"/>
        </w:rPr>
      </w:pPr>
    </w:p>
    <w:p>
      <w:pPr>
        <w:ind w:right="180" w:firstLine="384"/>
        <w:spacing w:after="0" w:line="257" w:lineRule="auto"/>
        <w:rPr>
          <w:sz w:val="20"/>
          <w:szCs w:val="20"/>
          <w:color w:val="auto"/>
        </w:rPr>
      </w:pPr>
      <w:r>
        <w:rPr>
          <w:rFonts w:ascii="Arial" w:cs="Arial" w:eastAsia="Arial" w:hAnsi="Arial"/>
          <w:sz w:val="17"/>
          <w:szCs w:val="17"/>
          <w:color w:val="auto"/>
        </w:rPr>
        <w:t>Restrictions on use or significant safety warnings that may be required to be included in the label of our products, such as the risk of developing progressive multifocal leukoencephalopathy, a serious brain infection, or liver injury in the label for certain of our products, may significantly reduce expected revenues for those products and require significant expense and management time.</w:t>
      </w:r>
    </w:p>
    <w:p>
      <w:pPr>
        <w:spacing w:after="0" w:line="120" w:lineRule="exact"/>
        <w:rPr>
          <w:sz w:val="20"/>
          <w:szCs w:val="20"/>
          <w:color w:val="auto"/>
        </w:rPr>
      </w:pPr>
    </w:p>
    <w:p>
      <w:pPr>
        <w:ind w:right="140" w:firstLine="231"/>
        <w:spacing w:after="0" w:line="287" w:lineRule="auto"/>
        <w:rPr>
          <w:sz w:val="20"/>
          <w:szCs w:val="20"/>
          <w:color w:val="auto"/>
        </w:rPr>
      </w:pPr>
      <w:r>
        <w:rPr>
          <w:rFonts w:ascii="Arial" w:cs="Arial" w:eastAsia="Arial" w:hAnsi="Arial"/>
          <w:sz w:val="17"/>
          <w:szCs w:val="17"/>
          <w:b w:val="1"/>
          <w:bCs w:val="1"/>
          <w:i w:val="1"/>
          <w:iCs w:val="1"/>
          <w:color w:val="2573BA"/>
        </w:rPr>
        <w:t>If we are unable to obtain and maintain adequate protection for our data, intellectual property and other proprietary rights, our business may be harmed.</w:t>
      </w:r>
    </w:p>
    <w:p>
      <w:pPr>
        <w:spacing w:after="0" w:line="39" w:lineRule="exact"/>
        <w:rPr>
          <w:sz w:val="20"/>
          <w:szCs w:val="20"/>
          <w:color w:val="auto"/>
        </w:rPr>
      </w:pPr>
    </w:p>
    <w:p>
      <w:pPr>
        <w:ind w:firstLine="384"/>
        <w:spacing w:after="0" w:line="253" w:lineRule="auto"/>
        <w:rPr>
          <w:sz w:val="20"/>
          <w:szCs w:val="20"/>
          <w:color w:val="auto"/>
        </w:rPr>
      </w:pPr>
      <w:r>
        <w:rPr>
          <w:rFonts w:ascii="Arial" w:cs="Arial" w:eastAsia="Arial" w:hAnsi="Arial"/>
          <w:sz w:val="17"/>
          <w:szCs w:val="17"/>
          <w:color w:val="auto"/>
        </w:rPr>
        <w:t>Our success depends in part on our ability to obtain and defend patent and other intellectual property rights that are important to the commercialization of our products and product candidates. The degree of patent protection that will be afforded to our products and processes in the U.S. and in other important markets remains uncertain and is dependent upon the scope of protection decided upon by the patent offices, courts, administrative bodies and lawmakers in these countries. We can provide no assurance that we will successfully obtain or preserve patent protection for the technologies incorporated into our products and processes, or that the protection obtained will be of sufficient breadth and degree to protect our commercial interests in all countries where we conduct business. If we cannot prevent others from exploiting our inventions, we will not derive the benefit from them that we currently expect. Furthermore, we can provide no assurance that our products will not infringe patents or other intellectual property rights held by third parties.</w:t>
      </w:r>
    </w:p>
    <w:p>
      <w:pPr>
        <w:spacing w:after="0" w:line="144" w:lineRule="exact"/>
        <w:rPr>
          <w:sz w:val="20"/>
          <w:szCs w:val="20"/>
          <w:color w:val="auto"/>
        </w:rPr>
      </w:pPr>
    </w:p>
    <w:p>
      <w:pPr>
        <w:ind w:right="20" w:firstLine="384"/>
        <w:spacing w:after="0" w:line="254" w:lineRule="auto"/>
        <w:rPr>
          <w:sz w:val="20"/>
          <w:szCs w:val="20"/>
          <w:color w:val="auto"/>
        </w:rPr>
      </w:pPr>
      <w:r>
        <w:rPr>
          <w:rFonts w:ascii="Arial" w:cs="Arial" w:eastAsia="Arial" w:hAnsi="Arial"/>
          <w:sz w:val="17"/>
          <w:szCs w:val="17"/>
          <w:color w:val="auto"/>
        </w:rPr>
        <w:t>We also rely on regulatory exclusivity for protection of our products. Implementation and enforcement of regulatory exclusivity, which may consist of regulatory data protection and market protection, varies widely from country to country. Failure to qualify for regulatory exclusivity, or failure to obtain or maintain the extent or duration of such protections that we expect in each of the markets for our products due to challenges, changes or interpretations in the law or otherwise, could affect our revenues for our products or our decision on whether to market our products in a particular country or countries or could otherwise have an adverse impact on our results of operations.</w:t>
      </w:r>
    </w:p>
    <w:p>
      <w:pPr>
        <w:spacing w:after="0" w:line="126" w:lineRule="exact"/>
        <w:rPr>
          <w:sz w:val="20"/>
          <w:szCs w:val="20"/>
          <w:color w:val="auto"/>
        </w:rPr>
      </w:pPr>
    </w:p>
    <w:p>
      <w:pPr>
        <w:ind w:firstLine="384"/>
        <w:spacing w:after="0" w:line="255" w:lineRule="auto"/>
        <w:rPr>
          <w:sz w:val="20"/>
          <w:szCs w:val="20"/>
          <w:color w:val="auto"/>
        </w:rPr>
      </w:pPr>
      <w:r>
        <w:rPr>
          <w:rFonts w:ascii="Arial" w:cs="Arial" w:eastAsia="Arial" w:hAnsi="Arial"/>
          <w:sz w:val="17"/>
          <w:szCs w:val="17"/>
          <w:color w:val="auto"/>
        </w:rPr>
        <w:t xml:space="preserve">Litigation, interferences, oppositions,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reviews, administrative challenges or other similar types of proceedings are, have been and may in the future be necessary in some instances to determine the validity and scope of certain of our proprietary rights, and in other instances to determine the validity, scope or non-infringement of certain patent rights claimed by third parties to be pertinent to the manufacture, use or sale of our products. We may also face challenges to our patent and regulatory protections covering our products by third parties, including manufacturers of generics and biosimilars that may choose to launch or attempt to launch their products before the expiration of our patent or regulatory</w:t>
      </w:r>
    </w:p>
    <w:p>
      <w:pPr>
        <w:spacing w:after="0" w:line="4"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 xml:space="preserve">exclusivity. Litigation, interference, oppositions,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reviews, administrative challenges or other similar types of proceedings are unpredictable and may be protracted, expensive and distracting to management. The outcome of such proceedings could adversely affect the validity and scope of our patent or other proprietary rights, hinder our ability to manufacture and market our products, require us to seek a license for the infringed product or technology or result in the assessment of significant monetary damages against us that may exceed amounts, if any, accrued in our financial statements. An adverse determination in a judicial or administrative proceeding or a failure to obtain necessary licenses could prevent us from manufacturing or selling our products. Furthermore, payments under any licenses that we are able to obtain would reduce our profits derived from the covered products and services.</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380"/>
          </w:cols>
          <w:pgMar w:left="240" w:top="144" w:right="27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Our long-term success depends upon the successful development of new products and additional indications for existing products.</w:t>
      </w:r>
    </w:p>
    <w:p>
      <w:pPr>
        <w:spacing w:after="0" w:line="106" w:lineRule="exact"/>
        <w:rPr>
          <w:sz w:val="20"/>
          <w:szCs w:val="20"/>
          <w:color w:val="auto"/>
        </w:rPr>
      </w:pPr>
    </w:p>
    <w:p>
      <w:pPr>
        <w:ind w:right="260" w:firstLine="384"/>
        <w:spacing w:after="0" w:line="257" w:lineRule="auto"/>
        <w:rPr>
          <w:sz w:val="20"/>
          <w:szCs w:val="20"/>
          <w:color w:val="auto"/>
        </w:rPr>
      </w:pPr>
      <w:r>
        <w:rPr>
          <w:rFonts w:ascii="Arial" w:cs="Arial" w:eastAsia="Arial" w:hAnsi="Arial"/>
          <w:sz w:val="17"/>
          <w:szCs w:val="17"/>
          <w:color w:val="auto"/>
        </w:rPr>
        <w:t>Our long-term viability and growth will depend upon successful development of additional indications for our existing products as well as successful development of new products and technologies from our research and development activities, our biosimilars joint venture with Samsung Biologics or licenses or acquisitions from third parties.</w:t>
      </w:r>
    </w:p>
    <w:p>
      <w:pPr>
        <w:spacing w:after="0" w:line="140" w:lineRule="exact"/>
        <w:rPr>
          <w:sz w:val="20"/>
          <w:szCs w:val="20"/>
          <w:color w:val="auto"/>
        </w:rPr>
      </w:pPr>
    </w:p>
    <w:p>
      <w:pPr>
        <w:ind w:right="20" w:firstLine="384"/>
        <w:spacing w:after="0" w:line="254" w:lineRule="auto"/>
        <w:rPr>
          <w:sz w:val="20"/>
          <w:szCs w:val="20"/>
          <w:color w:val="auto"/>
        </w:rPr>
      </w:pPr>
      <w:r>
        <w:rPr>
          <w:rFonts w:ascii="Arial" w:cs="Arial" w:eastAsia="Arial" w:hAnsi="Arial"/>
          <w:sz w:val="17"/>
          <w:szCs w:val="17"/>
          <w:color w:val="auto"/>
        </w:rPr>
        <w:t>Product development is very expensive and involves a high degree of risk. Only a small number of research and development programs result in the commercialization of a product. Clinical trials may indicate that our product candidates lack efficacy, have harmful side effects, result in unexpected adverse events or raise other concerns that may significantly reduce the likelihood of regulatory approval. This may result in terminated programs, significant restrictions on use and safety warnings in an approved label, adverse placement within the treatment paradigm or significant reduction in the commercial potential of the product candidate.</w:t>
      </w:r>
    </w:p>
    <w:p>
      <w:pPr>
        <w:spacing w:after="0" w:line="124" w:lineRule="exact"/>
        <w:rPr>
          <w:sz w:val="20"/>
          <w:szCs w:val="20"/>
          <w:color w:val="auto"/>
        </w:rPr>
      </w:pPr>
    </w:p>
    <w:p>
      <w:pPr>
        <w:ind w:right="160" w:firstLine="231"/>
        <w:spacing w:after="0" w:line="287" w:lineRule="auto"/>
        <w:rPr>
          <w:sz w:val="20"/>
          <w:szCs w:val="20"/>
          <w:color w:val="auto"/>
        </w:rPr>
      </w:pPr>
      <w:r>
        <w:rPr>
          <w:rFonts w:ascii="Arial" w:cs="Arial" w:eastAsia="Arial" w:hAnsi="Arial"/>
          <w:sz w:val="17"/>
          <w:szCs w:val="17"/>
          <w:b w:val="1"/>
          <w:bCs w:val="1"/>
          <w:i w:val="1"/>
          <w:iCs w:val="1"/>
          <w:color w:val="2573BA"/>
        </w:rPr>
        <w:t>Successful preclinical work or early stage clinical trials does not ensure success in later stage trials, regulatory approval or commercial viability of a product.</w:t>
      </w:r>
    </w:p>
    <w:p>
      <w:pPr>
        <w:spacing w:after="0" w:line="39" w:lineRule="exact"/>
        <w:rPr>
          <w:sz w:val="20"/>
          <w:szCs w:val="20"/>
          <w:color w:val="auto"/>
        </w:rPr>
      </w:pPr>
    </w:p>
    <w:p>
      <w:pPr>
        <w:ind w:firstLine="384"/>
        <w:spacing w:after="0" w:line="252" w:lineRule="auto"/>
        <w:rPr>
          <w:sz w:val="20"/>
          <w:szCs w:val="20"/>
          <w:color w:val="auto"/>
        </w:rPr>
      </w:pPr>
      <w:r>
        <w:rPr>
          <w:rFonts w:ascii="Arial" w:cs="Arial" w:eastAsia="Arial" w:hAnsi="Arial"/>
          <w:sz w:val="17"/>
          <w:szCs w:val="17"/>
          <w:color w:val="auto"/>
        </w:rPr>
        <w:t>Positive results in a trial may not be replicated in subsequent or confirmatory trials. Additionally, success in preclinical work or early stage clinical trials does not ensure that later stage or larger scale clinical trials will be successful or that regulatory approval will be obtained. In addition, even if later stage clinical trials are successful, regulatory authorities may delay or decline approval of our product candidates. Regulatory authorities may disagree with our view of the data, require additional studies or disagree with our trial design or endpoints. Regulatory authorities may also fail to approve the facilities or the processes used to manufacture a product candidate, our dosing or delivery methods or companion devices. Regulatory authorities may grant marketing approval that is more restricted than anticipated. These restrictions may include limiting indications to narrow patient populations and the imposition of safety monitoring, educational requirements and risk evaluation and mitigation strategies. The occurrence of any of these events could result in significant costs and expenses, have an adverse effect on our business, financial condition and results of operations and cause our stock price to decline or experience periods of volatility.</w:t>
      </w:r>
    </w:p>
    <w:p>
      <w:pPr>
        <w:spacing w:after="0" w:line="151" w:lineRule="exact"/>
        <w:rPr>
          <w:sz w:val="20"/>
          <w:szCs w:val="20"/>
          <w:color w:val="auto"/>
        </w:rPr>
      </w:pPr>
    </w:p>
    <w:p>
      <w:pPr>
        <w:ind w:right="280" w:firstLine="384"/>
        <w:spacing w:after="0" w:line="257" w:lineRule="auto"/>
        <w:rPr>
          <w:sz w:val="20"/>
          <w:szCs w:val="20"/>
          <w:color w:val="auto"/>
        </w:rPr>
      </w:pPr>
      <w:r>
        <w:rPr>
          <w:rFonts w:ascii="Arial" w:cs="Arial" w:eastAsia="Arial" w:hAnsi="Arial"/>
          <w:sz w:val="17"/>
          <w:szCs w:val="17"/>
          <w:color w:val="auto"/>
        </w:rPr>
        <w:t>Even if we are able to successfully develop new products or indications, sales of new products or products with additional indications may not meet investor expectations. We may also make a strategic decision to discontinue development of a product or indication if, for example, we believe commercialization will be difficult relative to the standard of care or other opportunities in our pipeline.</w:t>
      </w:r>
    </w:p>
    <w:p>
      <w:pPr>
        <w:spacing w:after="0" w:line="120" w:lineRule="exact"/>
        <w:rPr>
          <w:sz w:val="20"/>
          <w:szCs w:val="20"/>
          <w:color w:val="auto"/>
        </w:rPr>
      </w:pPr>
    </w:p>
    <w:p>
      <w:pPr>
        <w:ind w:right="120" w:firstLine="231"/>
        <w:spacing w:after="0" w:line="287" w:lineRule="auto"/>
        <w:rPr>
          <w:sz w:val="20"/>
          <w:szCs w:val="20"/>
          <w:color w:val="auto"/>
        </w:rPr>
      </w:pPr>
      <w:r>
        <w:rPr>
          <w:rFonts w:ascii="Arial" w:cs="Arial" w:eastAsia="Arial" w:hAnsi="Arial"/>
          <w:sz w:val="17"/>
          <w:szCs w:val="17"/>
          <w:b w:val="1"/>
          <w:bCs w:val="1"/>
          <w:i w:val="1"/>
          <w:iCs w:val="1"/>
          <w:color w:val="2573BA"/>
        </w:rPr>
        <w:t>Clinical trials and the development of biopharmaceutical products is a lengthy and complex process. If we fail to adequately manage our clinical activities, our clinical trials or potential regulatory approvals may be delayed or denied.</w:t>
      </w:r>
    </w:p>
    <w:p>
      <w:pPr>
        <w:spacing w:after="0" w:line="39" w:lineRule="exact"/>
        <w:rPr>
          <w:sz w:val="20"/>
          <w:szCs w:val="20"/>
          <w:color w:val="auto"/>
        </w:rPr>
      </w:pPr>
    </w:p>
    <w:p>
      <w:pPr>
        <w:ind w:right="20" w:firstLine="384"/>
        <w:spacing w:after="0" w:line="255" w:lineRule="auto"/>
        <w:rPr>
          <w:sz w:val="20"/>
          <w:szCs w:val="20"/>
          <w:color w:val="auto"/>
        </w:rPr>
      </w:pPr>
      <w:r>
        <w:rPr>
          <w:rFonts w:ascii="Arial" w:cs="Arial" w:eastAsia="Arial" w:hAnsi="Arial"/>
          <w:sz w:val="17"/>
          <w:szCs w:val="17"/>
          <w:color w:val="auto"/>
        </w:rPr>
        <w:t>Conducting clinical trials is a complex, time-consuming and expensive process. Our ability to complete clinical trials in a timely fashion depends in large part on a number of key factors. These factors include protocol design, regulatory and institutional review board approval, patient enrollment rates and compliance with cGCP. If we or our third-party clinical trial providers or third-party CROs do not successfully carry out these clinical activities, our clinical trials or the potential regulatory approval of a product candidate may be delayed or be unsuccessful.</w:t>
      </w:r>
    </w:p>
    <w:p>
      <w:pPr>
        <w:spacing w:after="0" w:line="143" w:lineRule="exact"/>
        <w:rPr>
          <w:sz w:val="20"/>
          <w:szCs w:val="20"/>
          <w:color w:val="auto"/>
        </w:rPr>
      </w:pPr>
    </w:p>
    <w:p>
      <w:pPr>
        <w:ind w:right="40" w:firstLine="384"/>
        <w:spacing w:after="0" w:line="253" w:lineRule="auto"/>
        <w:rPr>
          <w:sz w:val="20"/>
          <w:szCs w:val="20"/>
          <w:color w:val="auto"/>
        </w:rPr>
      </w:pPr>
      <w:r>
        <w:rPr>
          <w:rFonts w:ascii="Arial" w:cs="Arial" w:eastAsia="Arial" w:hAnsi="Arial"/>
          <w:sz w:val="17"/>
          <w:szCs w:val="17"/>
          <w:color w:val="auto"/>
        </w:rPr>
        <w:t>We have opened clinical sites and are enrolling patients in a number of countries where our experience is limited. In most cases, we use the services of third parties to carry out our clinical trial related activities and rely on such parties to accurately report their results. Our reliance on third parties for these activities may impact our ability to control the timing, conduct, expense and quality of our clinical trials. One CRO has responsibility for a substantial portion of our clinical trial related activities and reporting. If this CRO does not adequately perform, many of our trials may be affected. We may need to replace our CROs. Although we believe there are a number of other CROs we could engage to continue these activities, the replacement of an existing CRO may result in the delay of the affected trials or otherwise adversely affect our efforts to obtain regulatory approvals and commercialize our product candidates.</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Our results of operations may be adversely affected by current and potential future healthcare reforms.</w:t>
      </w:r>
    </w:p>
    <w:p>
      <w:pPr>
        <w:spacing w:after="0" w:line="106" w:lineRule="exact"/>
        <w:rPr>
          <w:sz w:val="20"/>
          <w:szCs w:val="20"/>
          <w:color w:val="auto"/>
        </w:rPr>
      </w:pPr>
    </w:p>
    <w:p>
      <w:pPr>
        <w:ind w:right="280" w:firstLine="384"/>
        <w:spacing w:after="0" w:line="253" w:lineRule="auto"/>
        <w:rPr>
          <w:sz w:val="20"/>
          <w:szCs w:val="20"/>
          <w:color w:val="auto"/>
        </w:rPr>
      </w:pPr>
      <w:r>
        <w:rPr>
          <w:rFonts w:ascii="Arial" w:cs="Arial" w:eastAsia="Arial" w:hAnsi="Arial"/>
          <w:sz w:val="17"/>
          <w:szCs w:val="17"/>
          <w:color w:val="auto"/>
        </w:rPr>
        <w:t>In the U.S., federal and state legislatures, health agencies and third-party payors continue to focus on containing the cost of health care. Legislative and regulatory proposals, enactments to reform health care insurance programs and increasing pressure from social sources could significantly influence the manner in which our products are prescribed and purchased. For example, provisions of the PPACA have resulted in changes in the way health care is paid for by both governmental and private insurers, including increased rebates owed by manufacturers under the Medicaid Drug Rebate Program, annual fees and taxes on manufacturers of certain branded prescription drugs, the requirement that manufacturers participate in a discount program for certain outpatient drugs under Medicare Part 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144"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95" w:lineRule="exact"/>
        <w:rPr>
          <w:sz w:val="20"/>
          <w:szCs w:val="20"/>
          <w:color w:val="auto"/>
        </w:rPr>
      </w:pPr>
    </w:p>
    <w:p>
      <w:pPr>
        <w:ind w:right="300"/>
        <w:spacing w:after="0" w:line="262" w:lineRule="auto"/>
        <w:rPr>
          <w:sz w:val="20"/>
          <w:szCs w:val="20"/>
          <w:color w:val="auto"/>
        </w:rPr>
      </w:pPr>
      <w:r>
        <w:rPr>
          <w:rFonts w:ascii="Arial" w:cs="Arial" w:eastAsia="Arial" w:hAnsi="Arial"/>
          <w:sz w:val="17"/>
          <w:szCs w:val="17"/>
          <w:color w:val="auto"/>
        </w:rPr>
        <w:t>and the expansion of the number of hospitals eligible for discounts under Section 340B of the PHSA. These changes have had and are expected to continue to have a significant impact on our business.</w:t>
      </w:r>
    </w:p>
    <w:p>
      <w:pPr>
        <w:spacing w:after="0" w:line="60" w:lineRule="exact"/>
        <w:rPr>
          <w:sz w:val="20"/>
          <w:szCs w:val="20"/>
          <w:color w:val="auto"/>
        </w:rPr>
      </w:pPr>
    </w:p>
    <w:p>
      <w:pPr>
        <w:ind w:right="20" w:firstLine="384"/>
        <w:spacing w:after="0" w:line="255" w:lineRule="auto"/>
        <w:rPr>
          <w:sz w:val="20"/>
          <w:szCs w:val="20"/>
          <w:color w:val="auto"/>
        </w:rPr>
      </w:pPr>
      <w:r>
        <w:rPr>
          <w:rFonts w:ascii="Arial" w:cs="Arial" w:eastAsia="Arial" w:hAnsi="Arial"/>
          <w:sz w:val="17"/>
          <w:szCs w:val="17"/>
          <w:color w:val="auto"/>
        </w:rPr>
        <w:t>We may face uncertainties as a result of federal and administrative efforts to repeal, substantially modify or invalidate some or all of the provisions of the PPACA. There is no assurance that the PPACA, as currently enacted or as amended in the future, will not adversely affect our business and financial results, and we cannot predict how future federal or state legislative or administrative changes relating to healthcare reform will affect our business.</w:t>
      </w:r>
    </w:p>
    <w:p>
      <w:pPr>
        <w:spacing w:after="0" w:line="143" w:lineRule="exact"/>
        <w:rPr>
          <w:sz w:val="20"/>
          <w:szCs w:val="20"/>
          <w:color w:val="auto"/>
        </w:rPr>
      </w:pPr>
    </w:p>
    <w:p>
      <w:pPr>
        <w:ind w:right="260" w:firstLine="384"/>
        <w:spacing w:after="0" w:line="257" w:lineRule="auto"/>
        <w:rPr>
          <w:sz w:val="20"/>
          <w:szCs w:val="20"/>
          <w:color w:val="auto"/>
        </w:rPr>
      </w:pPr>
      <w:r>
        <w:rPr>
          <w:rFonts w:ascii="Arial" w:cs="Arial" w:eastAsia="Arial" w:hAnsi="Arial"/>
          <w:sz w:val="17"/>
          <w:szCs w:val="17"/>
          <w:color w:val="auto"/>
        </w:rPr>
        <w:t>The administration has also indicated an intent to address prescription drug pricing and recent Congressional hearings have brought increased public attention to the costs of prescription drugs. These actions and the uncertainty about the future of the PPACA and healthcare laws may put downward pressure on pharmaceutical pricing and increase our regulatory burdens and operating costs.</w:t>
      </w:r>
    </w:p>
    <w:p>
      <w:pPr>
        <w:spacing w:after="0" w:line="140" w:lineRule="exact"/>
        <w:rPr>
          <w:sz w:val="20"/>
          <w:szCs w:val="20"/>
          <w:color w:val="auto"/>
        </w:rPr>
      </w:pPr>
    </w:p>
    <w:p>
      <w:pPr>
        <w:ind w:right="220" w:firstLine="384"/>
        <w:spacing w:after="0" w:line="253" w:lineRule="auto"/>
        <w:rPr>
          <w:sz w:val="20"/>
          <w:szCs w:val="20"/>
          <w:color w:val="auto"/>
        </w:rPr>
      </w:pPr>
      <w:r>
        <w:rPr>
          <w:rFonts w:ascii="Arial" w:cs="Arial" w:eastAsia="Arial" w:hAnsi="Arial"/>
          <w:sz w:val="17"/>
          <w:szCs w:val="17"/>
          <w:color w:val="auto"/>
        </w:rPr>
        <w:t>There is also significant economic pressure on state budgets that results in states increasingly seeking to achieve budget savings through mechanisms that limit coverage or payment for our drugs. In recent years, some states have considered legislation and ballot initiatives that would control the prices of drugs, including laws to allow importation of pharmaceutical products from lower cost jurisdictions outside the U.S. and laws intended to impose price controls on state drug purchases. State Medicaid programs are increasingly requesting manufacturers to pay supplemental rebates and requiring prior authorization by the state program for use of any drug for which supplemental rebates are not being paid. Government efforts to reduce Medicaid expenses may lead to increased use of managed care organizations by Medicaid programs. This may result in managed care organizations influencing prescription decisions for a larger segment of the population and a corresponding constraint on prices and reimbursement for our products.</w:t>
      </w:r>
    </w:p>
    <w:p>
      <w:pPr>
        <w:spacing w:after="0" w:line="144" w:lineRule="exact"/>
        <w:rPr>
          <w:sz w:val="20"/>
          <w:szCs w:val="20"/>
          <w:color w:val="auto"/>
        </w:rPr>
      </w:pPr>
    </w:p>
    <w:p>
      <w:pPr>
        <w:ind w:firstLine="384"/>
        <w:spacing w:after="0" w:line="253" w:lineRule="auto"/>
        <w:rPr>
          <w:sz w:val="20"/>
          <w:szCs w:val="20"/>
          <w:color w:val="auto"/>
        </w:rPr>
      </w:pPr>
      <w:r>
        <w:rPr>
          <w:rFonts w:ascii="Arial" w:cs="Arial" w:eastAsia="Arial" w:hAnsi="Arial"/>
          <w:sz w:val="17"/>
          <w:szCs w:val="17"/>
          <w:color w:val="auto"/>
        </w:rPr>
        <w:t>In the E.U. and some other international markets, the government provides health care at low cost to consumers and regulates pharmaceutical prices, patient eligibility or reimbursement levels to control costs for the government-sponsored health care system. Many countries have announced or implemented measures to reduce health care costs to limit their overall level of government expenditures. These measures vary by country and may include, among other things, patient access restrictions, suspensions on price increases, prospective and possibly retroactive price reductions and other recoupments and increased mandatory discounts or rebates, recoveries of past price increases and greater importation of drugs from lower-cost countries. These measures have negatively impacted our revenues, and may continue to adversely affect our revenues and results of operations in the future.</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Manufacturing issues could substantially increase our costs, limit supply of our products and/or reduce our revenues.</w:t>
      </w:r>
    </w:p>
    <w:p>
      <w:pPr>
        <w:spacing w:after="0" w:line="10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process of manufacturing our products is complex, highly regulated and subject to numerous risks, including:</w:t>
      </w:r>
    </w:p>
    <w:p>
      <w:pPr>
        <w:spacing w:after="0" w:line="145" w:lineRule="exact"/>
        <w:rPr>
          <w:sz w:val="20"/>
          <w:szCs w:val="20"/>
          <w:color w:val="auto"/>
        </w:rPr>
      </w:pPr>
    </w:p>
    <w:p>
      <w:pPr>
        <w:ind w:left="380" w:right="40" w:hanging="314"/>
        <w:spacing w:after="0" w:line="259" w:lineRule="auto"/>
        <w:tabs>
          <w:tab w:leader="none" w:pos="38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 xml:space="preserve">Risk of Product Loss. </w:t>
      </w:r>
      <w:r>
        <w:rPr>
          <w:rFonts w:ascii="Arial" w:cs="Arial" w:eastAsia="Arial" w:hAnsi="Arial"/>
          <w:sz w:val="17"/>
          <w:szCs w:val="17"/>
          <w:color w:val="auto"/>
        </w:rPr>
        <w:t>The manufacturing process for our products is extremely susceptible to product loss due to contamination, oxidation,</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failure or improper installation or operation of equipment or vendor or operator error. Even minor deviations from normal manufacturing processes could result in reduced production yields, product defects and other supply disruptions. If microbial, viral or other contaminations are discovered in our products or manufacturing facilities, we may need to close our manufacturing facilities for an extended period of time to investigate and remediate the contaminant.</w:t>
      </w:r>
    </w:p>
    <w:p>
      <w:pPr>
        <w:spacing w:after="0" w:line="123" w:lineRule="exact"/>
        <w:rPr>
          <w:rFonts w:ascii="Arial" w:cs="Arial" w:eastAsia="Arial" w:hAnsi="Arial"/>
          <w:sz w:val="17"/>
          <w:szCs w:val="17"/>
          <w:color w:val="auto"/>
        </w:rPr>
      </w:pPr>
    </w:p>
    <w:p>
      <w:pPr>
        <w:ind w:left="380" w:right="20" w:hanging="314"/>
        <w:spacing w:after="0" w:line="255" w:lineRule="auto"/>
        <w:tabs>
          <w:tab w:leader="none" w:pos="38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 xml:space="preserve">Risks of Reliance on Third Parties and Single Source Providers. </w:t>
      </w:r>
      <w:r>
        <w:rPr>
          <w:rFonts w:ascii="Arial" w:cs="Arial" w:eastAsia="Arial" w:hAnsi="Arial"/>
          <w:sz w:val="17"/>
          <w:szCs w:val="17"/>
          <w:color w:val="auto"/>
        </w:rPr>
        <w:t>We rely on third-party suppliers and manufacturers for many aspects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manufacturing process for our products and product candidates. In some cases, due to the unique manner in which our products are manufactured, we rely on single source providers of raw materials and manufacturing supplies. These third parties are independent entities subject to their own unique operational and financial risks that are outside of our control. These third parties may not perform their obligations in a timely and cost-effective manner or in compliance with applicable regulations, and they may be unable or unwilling to increase production capacity commensurate with demand for our existing or future products. Finding alternative providers could take a significant amount of time and involve significant expense due to the specialized nature of the services and the need to obtain regulatory approval of any significant changes to our suppliers or manufacturing methods. We cannot be certain that we could reach agreement with alternative providers or that the FDA or other regulatory authorities would approve our use of such alternatives.</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00"/>
          </w:cols>
          <w:pgMar w:left="240" w:top="144" w:right="25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4" w:lineRule="exact"/>
        <w:rPr>
          <w:sz w:val="20"/>
          <w:szCs w:val="20"/>
          <w:color w:val="auto"/>
        </w:rPr>
      </w:pPr>
    </w:p>
    <w:p>
      <w:pPr>
        <w:ind w:left="380" w:right="100" w:hanging="314"/>
        <w:spacing w:after="0" w:line="262" w:lineRule="auto"/>
        <w:tabs>
          <w:tab w:leader="none" w:pos="38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Global Bulk Supply Risks. </w:t>
      </w:r>
      <w:r>
        <w:rPr>
          <w:rFonts w:ascii="Arial" w:cs="Arial" w:eastAsia="Arial" w:hAnsi="Arial"/>
          <w:sz w:val="17"/>
          <w:szCs w:val="17"/>
          <w:color w:val="auto"/>
        </w:rPr>
        <w:t>We rely on our principal manufacturing facilities for the production of drug substance for our large molecule products</w:t>
      </w:r>
      <w:r>
        <w:rPr>
          <w:rFonts w:ascii="Arial" w:cs="Arial" w:eastAsia="Arial" w:hAnsi="Arial"/>
          <w:sz w:val="17"/>
          <w:szCs w:val="17"/>
          <w:i w:val="1"/>
          <w:iCs w:val="1"/>
          <w:color w:val="auto"/>
        </w:rPr>
        <w:t xml:space="preserve"> </w:t>
      </w:r>
      <w:r>
        <w:rPr>
          <w:rFonts w:ascii="Arial" w:cs="Arial" w:eastAsia="Arial" w:hAnsi="Arial"/>
          <w:sz w:val="17"/>
          <w:szCs w:val="17"/>
          <w:color w:val="auto"/>
        </w:rPr>
        <w:t>and product candidates. Our global bulk supply of these products and product candidates depends on the uninterrupted and efficient operation of these facilities, which could be adversely affected by equipment failures, labor shortages, natural disasters, power failures and numerous other factors.</w:t>
      </w:r>
    </w:p>
    <w:p>
      <w:pPr>
        <w:spacing w:after="0" w:line="119" w:lineRule="exact"/>
        <w:rPr>
          <w:rFonts w:ascii="Arial" w:cs="Arial" w:eastAsia="Arial" w:hAnsi="Arial"/>
          <w:sz w:val="17"/>
          <w:szCs w:val="17"/>
          <w:color w:val="auto"/>
        </w:rPr>
      </w:pPr>
    </w:p>
    <w:p>
      <w:pPr>
        <w:ind w:left="380" w:right="40" w:hanging="314"/>
        <w:spacing w:after="0" w:line="258" w:lineRule="auto"/>
        <w:tabs>
          <w:tab w:leader="none" w:pos="38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Risks Relating to Compliance with cGMP. </w:t>
      </w:r>
      <w:r>
        <w:rPr>
          <w:rFonts w:ascii="Arial" w:cs="Arial" w:eastAsia="Arial" w:hAnsi="Arial"/>
          <w:sz w:val="17"/>
          <w:szCs w:val="17"/>
          <w:color w:val="auto"/>
        </w:rPr>
        <w:t>We and our third-party providers are generally required to maintain compliance with cGMP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stringent requirements and are subject to inspections by the FDA and comparable agencies in other jurisdictions to confirm such compliance. Any delay, interruption or other issues that arise in the manufacture, fill-finish, packaging or storage of our products as a result of a failure of our facilities or the facilities or operations of third parties to pass any regulatory agency inspection could significantly impair our ability to develop and commercialize our products. Significant noncompliance could also result in the imposition of monetary penalties or other civil or criminal sanctions and damage our reputation.</w:t>
      </w:r>
    </w:p>
    <w:p>
      <w:pPr>
        <w:spacing w:after="0" w:line="140" w:lineRule="exact"/>
        <w:rPr>
          <w:sz w:val="20"/>
          <w:szCs w:val="20"/>
          <w:color w:val="auto"/>
        </w:rPr>
      </w:pPr>
    </w:p>
    <w:p>
      <w:pPr>
        <w:ind w:right="160" w:firstLine="384"/>
        <w:spacing w:after="0" w:line="254" w:lineRule="auto"/>
        <w:rPr>
          <w:sz w:val="20"/>
          <w:szCs w:val="20"/>
          <w:color w:val="auto"/>
        </w:rPr>
      </w:pPr>
      <w:r>
        <w:rPr>
          <w:rFonts w:ascii="Arial" w:cs="Arial" w:eastAsia="Arial" w:hAnsi="Arial"/>
          <w:sz w:val="17"/>
          <w:szCs w:val="17"/>
          <w:color w:val="auto"/>
        </w:rPr>
        <w:t>Any adverse developments affecting our manufacturing operations or the operations of our third-party suppliers and manufacturers may result in shipment delays, inventory shortages, lot failures, product withdrawals or recalls or other interruptions in the commercial supply of our products. We may also have to take inventory write-offs and incur other charges and expenses for products that fail to meet specifications, undertake costly remediation efforts or seek more costly manufacturing alternatives. Such developments could increase our manufacturing costs, cause us to lose revenues or market share as patients and physicians turn to competing therapeutics, diminish our profitability or damage our reputation.</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A breakdown or breach of our technology systems could subject us to liability or interrupt the operation of our business.</w:t>
      </w:r>
    </w:p>
    <w:p>
      <w:pPr>
        <w:spacing w:after="0" w:line="106" w:lineRule="exact"/>
        <w:rPr>
          <w:sz w:val="20"/>
          <w:szCs w:val="20"/>
          <w:color w:val="auto"/>
        </w:rPr>
      </w:pPr>
    </w:p>
    <w:p>
      <w:pPr>
        <w:ind w:firstLine="384"/>
        <w:spacing w:after="0" w:line="252" w:lineRule="auto"/>
        <w:rPr>
          <w:sz w:val="20"/>
          <w:szCs w:val="20"/>
          <w:color w:val="auto"/>
        </w:rPr>
      </w:pPr>
      <w:r>
        <w:rPr>
          <w:rFonts w:ascii="Arial" w:cs="Arial" w:eastAsia="Arial" w:hAnsi="Arial"/>
          <w:sz w:val="17"/>
          <w:szCs w:val="17"/>
          <w:color w:val="auto"/>
        </w:rPr>
        <w:t>We are increasingly dependent upon technology systems and data. Our computer systems continue to increase in multitude and complexity due to the growth in our business, making them potentially vulnerable to breakdown, malicious intrusion and random attack. Likewise, data privacy or security breaches by individuals authorized to access our technology systems or others may pose a risk that sensitive data, including intellectual property, trade secrets or personal information belonging to us, our patients, customers or other business partners, may be exposed to unauthorized persons or to the public. Cyber-attacks are increasing in their frequency, sophistication and intensity, and are becoming increasingly difficult to detect. They are often carried out by motivated, well-resourced, skilled and persistent actors including nation states, organized crime groups, “hacktivists” and employees or contractors acting with malicious intent. Cyber-attacks could include the deployment of harmful malware and key loggers, ransomware, a denial-of-service attack, a malicious website, the use of social engineering and other means to affect the confidentiality, integrity and availability of our technology systems and data. Our key business partners face similar risks and any security breach of their systems could adversely affect our security posture. While we continue to build and improve our systems and infrastructure and believe we have taken appropriate security measures to reduce these risks to our data and information technology systems, there can be no assurance that our efforts will prevent breakdowns or breaches in our systems that could adversely affect our business and operations and/or result in the loss of critical or sensitive information, which could result in financial, legal, business or reputational harm to us. In addition, our liability insurance may not be sufficient in type or amount to cover us against claims related to security breaches, cyber-attacks and other related breaches.</w:t>
      </w:r>
    </w:p>
    <w:p>
      <w:pPr>
        <w:spacing w:after="0" w:line="129" w:lineRule="exact"/>
        <w:rPr>
          <w:sz w:val="20"/>
          <w:szCs w:val="20"/>
          <w:color w:val="auto"/>
        </w:rPr>
      </w:pPr>
    </w:p>
    <w:p>
      <w:pPr>
        <w:ind w:right="640" w:firstLine="231"/>
        <w:spacing w:after="0" w:line="287" w:lineRule="auto"/>
        <w:rPr>
          <w:sz w:val="20"/>
          <w:szCs w:val="20"/>
          <w:color w:val="auto"/>
        </w:rPr>
      </w:pPr>
      <w:r>
        <w:rPr>
          <w:rFonts w:ascii="Arial" w:cs="Arial" w:eastAsia="Arial" w:hAnsi="Arial"/>
          <w:sz w:val="17"/>
          <w:szCs w:val="17"/>
          <w:b w:val="1"/>
          <w:bCs w:val="1"/>
          <w:i w:val="1"/>
          <w:iCs w:val="1"/>
          <w:color w:val="2573BA"/>
        </w:rPr>
        <w:t>We depend on relationships with collaborators and other third parties for revenues, and for the development, regulatory approval, commercialization and marketing of certain of our products and product candidates, which are outside of our full control.</w:t>
      </w:r>
    </w:p>
    <w:p>
      <w:pPr>
        <w:spacing w:after="0" w:line="39" w:lineRule="exact"/>
        <w:rPr>
          <w:sz w:val="20"/>
          <w:szCs w:val="20"/>
          <w:color w:val="auto"/>
        </w:rPr>
      </w:pPr>
    </w:p>
    <w:p>
      <w:pPr>
        <w:ind w:right="20" w:firstLine="384"/>
        <w:spacing w:after="0" w:line="255" w:lineRule="auto"/>
        <w:rPr>
          <w:sz w:val="20"/>
          <w:szCs w:val="20"/>
          <w:color w:val="auto"/>
        </w:rPr>
      </w:pPr>
      <w:r>
        <w:rPr>
          <w:rFonts w:ascii="Arial" w:cs="Arial" w:eastAsia="Arial" w:hAnsi="Arial"/>
          <w:sz w:val="17"/>
          <w:szCs w:val="17"/>
          <w:color w:val="auto"/>
        </w:rPr>
        <w:t>We rely on a number of significant collaborative and other third-party relationships for revenues, and for the development, regulatory approval, commercialization and marketing of certain of our products and product candidates. We also outsource to third parties certain aspects of our regulatory affairs and clinical development relating to our products and product candidates. Reliance on collaborative and other third-party relationships subjects us to a number of risks, including:</w:t>
      </w:r>
    </w:p>
    <w:p>
      <w:pPr>
        <w:spacing w:after="0" w:line="143" w:lineRule="exact"/>
        <w:rPr>
          <w:sz w:val="20"/>
          <w:szCs w:val="20"/>
          <w:color w:val="auto"/>
        </w:rPr>
      </w:pPr>
    </w:p>
    <w:p>
      <w:pPr>
        <w:ind w:left="380" w:hanging="314"/>
        <w:spacing w:after="0"/>
        <w:tabs>
          <w:tab w:leader="none" w:pos="3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we may be unable to control the resources our collaborators or third parties devote to our programs or products;</w:t>
      </w:r>
    </w:p>
    <w:p>
      <w:pPr>
        <w:spacing w:after="0" w:line="163" w:lineRule="exact"/>
        <w:rPr>
          <w:rFonts w:ascii="Arial" w:cs="Arial" w:eastAsia="Arial" w:hAnsi="Arial"/>
          <w:sz w:val="17"/>
          <w:szCs w:val="17"/>
          <w:color w:val="auto"/>
        </w:rPr>
      </w:pPr>
    </w:p>
    <w:p>
      <w:pPr>
        <w:ind w:left="380" w:right="80" w:hanging="314"/>
        <w:spacing w:after="0" w:line="257" w:lineRule="auto"/>
        <w:tabs>
          <w:tab w:leader="none" w:pos="3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disputes may arise under the agreement, including with respect to the achievement and payment of milestones or ownership of rights to technology developed with our collaborators or other third parties, and the underlying contract with our collaborators or other third parties may fail to provide significant protection or may fail to be effectively enforced if the collaborators or third parties fail to perform;</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00"/>
          </w:cols>
          <w:pgMar w:left="240" w:top="144" w:right="25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2" w:lineRule="exact"/>
        <w:rPr>
          <w:sz w:val="20"/>
          <w:szCs w:val="20"/>
          <w:color w:val="auto"/>
        </w:rPr>
      </w:pPr>
    </w:p>
    <w:p>
      <w:pPr>
        <w:ind w:left="380" w:right="700" w:hanging="314"/>
        <w:spacing w:after="0" w:line="262" w:lineRule="auto"/>
        <w:tabs>
          <w:tab w:leader="none" w:pos="3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interests of our collaborators or third parties may not always be aligned with our interests, and such parties may not pursue regulatory approvals or market a product in the same manner or to the same extent that we would, which could adversely affect our revenues;</w:t>
      </w:r>
    </w:p>
    <w:p>
      <w:pPr>
        <w:spacing w:after="0" w:line="136" w:lineRule="exact"/>
        <w:rPr>
          <w:rFonts w:ascii="Arial" w:cs="Arial" w:eastAsia="Arial" w:hAnsi="Arial"/>
          <w:sz w:val="17"/>
          <w:szCs w:val="17"/>
          <w:color w:val="auto"/>
        </w:rPr>
      </w:pPr>
    </w:p>
    <w:p>
      <w:pPr>
        <w:ind w:left="380" w:right="340" w:hanging="314"/>
        <w:spacing w:after="0" w:line="257" w:lineRule="auto"/>
        <w:tabs>
          <w:tab w:leader="none" w:pos="3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third-party relationships and collaborations often require the parties to cooperate, and failure to do so effectively could adversely affect product sales, or the clinical development or regulatory approvals of products under joint control or could result in termination of the research, development or commercialization of product candidates or result in litigation or arbitration; and</w:t>
      </w:r>
    </w:p>
    <w:p>
      <w:pPr>
        <w:spacing w:after="0" w:line="140" w:lineRule="exact"/>
        <w:rPr>
          <w:rFonts w:ascii="Arial" w:cs="Arial" w:eastAsia="Arial" w:hAnsi="Arial"/>
          <w:sz w:val="17"/>
          <w:szCs w:val="17"/>
          <w:color w:val="auto"/>
        </w:rPr>
      </w:pPr>
    </w:p>
    <w:p>
      <w:pPr>
        <w:jc w:val="both"/>
        <w:ind w:left="380" w:right="120" w:hanging="314"/>
        <w:spacing w:after="0" w:line="255" w:lineRule="auto"/>
        <w:tabs>
          <w:tab w:leader="none" w:pos="3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any failure on the part of our collaborators or other third parties to comply with applicable laws and regulatory requirements in the marketing, sale and maintenance of the marketing authorization of our products or to fulfill any responsibilities our collaborators or other third parties may have to protect and enforce any intellectual property rights underlying our products could have an adverse effect on our revenues as well as involve us in possible legal proceedings.</w:t>
      </w:r>
    </w:p>
    <w:p>
      <w:pPr>
        <w:spacing w:after="0" w:line="143" w:lineRule="exact"/>
        <w:rPr>
          <w:sz w:val="20"/>
          <w:szCs w:val="20"/>
          <w:color w:val="auto"/>
        </w:rPr>
      </w:pPr>
    </w:p>
    <w:p>
      <w:pPr>
        <w:ind w:right="280" w:firstLine="384"/>
        <w:spacing w:after="0" w:line="262" w:lineRule="auto"/>
        <w:rPr>
          <w:sz w:val="20"/>
          <w:szCs w:val="20"/>
          <w:color w:val="auto"/>
        </w:rPr>
      </w:pPr>
      <w:r>
        <w:rPr>
          <w:rFonts w:ascii="Arial" w:cs="Arial" w:eastAsia="Arial" w:hAnsi="Arial"/>
          <w:sz w:val="17"/>
          <w:szCs w:val="17"/>
          <w:color w:val="auto"/>
        </w:rPr>
        <w:t>Given these risks, there is considerable uncertainty regarding the success of our current and future collaborative efforts. If these efforts fail, our product development or commercialization of new products could be delayed or revenues from products could decline.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Our business may be adversely affected if we do not successfully execute our growth initiatives.</w:t>
      </w:r>
    </w:p>
    <w:p>
      <w:pPr>
        <w:spacing w:after="0" w:line="106" w:lineRule="exact"/>
        <w:rPr>
          <w:sz w:val="20"/>
          <w:szCs w:val="20"/>
          <w:color w:val="auto"/>
        </w:rPr>
      </w:pPr>
    </w:p>
    <w:p>
      <w:pPr>
        <w:ind w:firstLine="384"/>
        <w:spacing w:after="0" w:line="252" w:lineRule="auto"/>
        <w:rPr>
          <w:sz w:val="20"/>
          <w:szCs w:val="20"/>
          <w:color w:val="auto"/>
        </w:rPr>
      </w:pPr>
      <w:r>
        <w:rPr>
          <w:rFonts w:ascii="Arial" w:cs="Arial" w:eastAsia="Arial" w:hAnsi="Arial"/>
          <w:sz w:val="17"/>
          <w:szCs w:val="17"/>
          <w:color w:val="auto"/>
        </w:rPr>
        <w:t>We anticipate growth through internal development projects, commercial initiatives and external opportunities, which may include the acquisition, partnering and in-licensing of products, technologies and companies or the entry into strategic alliances and collaborations. While we believe we have a number of promising programs in our pipeline, failure of internal development projects to advance or difficulties in executing on our commercial initiatives could impact our current and future growth, resulting in additional reliance on external development opportunities for growth. The availability of high quality, cost-effective development opportunities is limited and competitive, and we are not certain that we will be able to identify candidates that we and our shareholders consider suitable or complete transactions on terms that are acceptable to us and our shareholders. We may fail to complete transactions for other reasons, including if we are unable to obtain desired financing on favorable terms, if at all. Even if we are able to successfully identify and complete acquisitions and other strategic alliances and collaborations, we may face unanticipated costs or liabilities in connection with the transaction or we may not be able to integrate them or take full advantage of them or otherwise realize the benefits that we expect.</w:t>
      </w:r>
    </w:p>
    <w:p>
      <w:pPr>
        <w:spacing w:after="0" w:line="151" w:lineRule="exact"/>
        <w:rPr>
          <w:sz w:val="20"/>
          <w:szCs w:val="20"/>
          <w:color w:val="auto"/>
        </w:rPr>
      </w:pPr>
    </w:p>
    <w:p>
      <w:pPr>
        <w:ind w:right="140" w:firstLine="384"/>
        <w:spacing w:after="0" w:line="255" w:lineRule="auto"/>
        <w:rPr>
          <w:sz w:val="20"/>
          <w:szCs w:val="20"/>
          <w:color w:val="auto"/>
        </w:rPr>
      </w:pPr>
      <w:r>
        <w:rPr>
          <w:rFonts w:ascii="Arial" w:cs="Arial" w:eastAsia="Arial" w:hAnsi="Arial"/>
          <w:sz w:val="17"/>
          <w:szCs w:val="17"/>
          <w:color w:val="auto"/>
        </w:rPr>
        <w:t>Supporting our growth initiatives and the further development of our existing products and potential new products in our pipeline will require significant capital expenditures and management resources, including investments in research and development, sales and marketing, manufacturing capabilities and other areas of our business. If we do not successfully execute our growth initiatives, then our business and financial results may be adversely affected and we may incur asset impairment or restructuring charges.</w:t>
      </w:r>
    </w:p>
    <w:p>
      <w:pPr>
        <w:spacing w:after="0" w:line="123" w:lineRule="exact"/>
        <w:rPr>
          <w:sz w:val="20"/>
          <w:szCs w:val="20"/>
          <w:color w:val="auto"/>
        </w:rPr>
      </w:pPr>
    </w:p>
    <w:p>
      <w:pPr>
        <w:ind w:right="340" w:firstLine="231"/>
        <w:spacing w:after="0" w:line="287" w:lineRule="auto"/>
        <w:rPr>
          <w:sz w:val="20"/>
          <w:szCs w:val="20"/>
          <w:color w:val="auto"/>
        </w:rPr>
      </w:pPr>
      <w:r>
        <w:rPr>
          <w:rFonts w:ascii="Arial" w:cs="Arial" w:eastAsia="Arial" w:hAnsi="Arial"/>
          <w:sz w:val="17"/>
          <w:szCs w:val="17"/>
          <w:b w:val="1"/>
          <w:bCs w:val="1"/>
          <w:i w:val="1"/>
          <w:iCs w:val="1"/>
          <w:color w:val="2573BA"/>
        </w:rPr>
        <w:t>Management and key personnel changes may disrupt our operations, and we may have difficulty retaining key personnel or attracting and retaining qualified replacements on a timely basis for management and other key personnel who may leave the Company.</w:t>
      </w:r>
    </w:p>
    <w:p>
      <w:pPr>
        <w:spacing w:after="0" w:line="39" w:lineRule="exact"/>
        <w:rPr>
          <w:sz w:val="20"/>
          <w:szCs w:val="20"/>
          <w:color w:val="auto"/>
        </w:rPr>
      </w:pPr>
    </w:p>
    <w:p>
      <w:pPr>
        <w:ind w:firstLine="384"/>
        <w:spacing w:after="0" w:line="254" w:lineRule="auto"/>
        <w:rPr>
          <w:sz w:val="20"/>
          <w:szCs w:val="20"/>
          <w:color w:val="auto"/>
        </w:rPr>
      </w:pPr>
      <w:r>
        <w:rPr>
          <w:rFonts w:ascii="Arial" w:cs="Arial" w:eastAsia="Arial" w:hAnsi="Arial"/>
          <w:sz w:val="17"/>
          <w:szCs w:val="17"/>
          <w:color w:val="auto"/>
        </w:rPr>
        <w:t>We have experienced changes in management and other key personnel in critical functions across our organization, including our chief executive officer and our chief financial officer. Changes in management and other key personnel have the potential to disrupt our business, and any such disruption could adversely affect our operations, programs, growth, financial condition and results of operations. Further, new members of management may have different perspectives on programs and opportunities for our business, which may cause us to focus on new business opportunities or reduce or change emphasis on our existing business programs.</w:t>
      </w:r>
    </w:p>
    <w:p>
      <w:pPr>
        <w:spacing w:after="0" w:line="144" w:lineRule="exact"/>
        <w:rPr>
          <w:sz w:val="20"/>
          <w:szCs w:val="20"/>
          <w:color w:val="auto"/>
        </w:rPr>
      </w:pPr>
    </w:p>
    <w:p>
      <w:pPr>
        <w:ind w:right="80" w:firstLine="384"/>
        <w:spacing w:after="0" w:line="254" w:lineRule="auto"/>
        <w:rPr>
          <w:sz w:val="20"/>
          <w:szCs w:val="20"/>
          <w:color w:val="auto"/>
        </w:rPr>
      </w:pPr>
      <w:r>
        <w:rPr>
          <w:rFonts w:ascii="Arial" w:cs="Arial" w:eastAsia="Arial" w:hAnsi="Arial"/>
          <w:sz w:val="17"/>
          <w:szCs w:val="17"/>
          <w:color w:val="auto"/>
        </w:rPr>
        <w:t>Our success is dependent upon our ability to attract and retain qualified management and key personnel in a highly competitive environment. Qualified individuals are in high demand, and we may incur significant costs to attract them, particularly at the executive level. We may face difficulty in attracting and retaining key talent for a number of reasons, such as management changes, the underperformance or discontinuation of one or more late stage programs or recruitment by competitors. We cannot assure you that we will be able to hire or retain the personnel necessary for our operations or that the loss of any such personnel will not have a material impact on our financial condition and results of operations.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144"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right="700" w:firstLine="231"/>
        <w:spacing w:after="0" w:line="287" w:lineRule="auto"/>
        <w:rPr>
          <w:sz w:val="20"/>
          <w:szCs w:val="20"/>
          <w:color w:val="auto"/>
        </w:rPr>
      </w:pPr>
      <w:r>
        <w:rPr>
          <w:rFonts w:ascii="Arial" w:cs="Arial" w:eastAsia="Arial" w:hAnsi="Arial"/>
          <w:sz w:val="17"/>
          <w:szCs w:val="17"/>
          <w:b w:val="1"/>
          <w:bCs w:val="1"/>
          <w:i w:val="1"/>
          <w:iCs w:val="1"/>
          <w:color w:val="2573BA"/>
        </w:rPr>
        <w:t>We are pursuing opportunities to expand our manufacturing capacity for future clinical and commercial requirements for product candidates, which will result in the incurrence of significant investment with no assurance that such investment will be recouped.</w:t>
      </w:r>
    </w:p>
    <w:p>
      <w:pPr>
        <w:spacing w:after="0" w:line="39" w:lineRule="exact"/>
        <w:rPr>
          <w:sz w:val="20"/>
          <w:szCs w:val="20"/>
          <w:color w:val="auto"/>
        </w:rPr>
      </w:pPr>
    </w:p>
    <w:p>
      <w:pPr>
        <w:ind w:right="20" w:firstLine="384"/>
        <w:spacing w:after="0" w:line="253" w:lineRule="auto"/>
        <w:rPr>
          <w:sz w:val="20"/>
          <w:szCs w:val="20"/>
          <w:color w:val="auto"/>
        </w:rPr>
      </w:pPr>
      <w:r>
        <w:rPr>
          <w:rFonts w:ascii="Arial" w:cs="Arial" w:eastAsia="Arial" w:hAnsi="Arial"/>
          <w:sz w:val="17"/>
          <w:szCs w:val="17"/>
          <w:color w:val="auto"/>
        </w:rPr>
        <w:t>While we believe we currently have sufficient large scale manufacturing capacity to meet our near-term manufacturing requirements, it is probable that we would need additional large scale manufacturing capacity to support future clinical and commercial manufacturing requirements for product candidates in our pipeline, if such candidates are successful and approved. We are building a large-scale biologics manufacturing facility in Solothurn, Switzerland. Due to the long lead times necessary for the expansion of manufacturing capacity, we expect to make significant investments to build or obtain third-party contract manufacturers with no assurance that such investment will be recouped. If we are unable to adequately and timely manufacture and supply our products and product candidates or if we do not fully utilize our manufacturing facilities, our business may be harmed.</w:t>
      </w:r>
    </w:p>
    <w:p>
      <w:pPr>
        <w:spacing w:after="0" w:line="127" w:lineRule="exact"/>
        <w:rPr>
          <w:sz w:val="20"/>
          <w:szCs w:val="20"/>
          <w:color w:val="auto"/>
        </w:rPr>
      </w:pPr>
    </w:p>
    <w:p>
      <w:pPr>
        <w:ind w:firstLine="231"/>
        <w:spacing w:after="0" w:line="287" w:lineRule="auto"/>
        <w:rPr>
          <w:sz w:val="20"/>
          <w:szCs w:val="20"/>
          <w:color w:val="auto"/>
        </w:rPr>
      </w:pPr>
      <w:r>
        <w:rPr>
          <w:rFonts w:ascii="Arial" w:cs="Arial" w:eastAsia="Arial" w:hAnsi="Arial"/>
          <w:sz w:val="17"/>
          <w:szCs w:val="17"/>
          <w:b w:val="1"/>
          <w:bCs w:val="1"/>
          <w:i w:val="1"/>
          <w:iCs w:val="1"/>
          <w:color w:val="2573BA"/>
        </w:rPr>
        <w:t>If we fail to comply with the extensive legal and regulatory requirements affecting the health care industry, we could face increased costs, penalties and a loss of business.</w:t>
      </w:r>
    </w:p>
    <w:p>
      <w:pPr>
        <w:spacing w:after="0" w:line="39" w:lineRule="exact"/>
        <w:rPr>
          <w:sz w:val="20"/>
          <w:szCs w:val="20"/>
          <w:color w:val="auto"/>
        </w:rPr>
      </w:pPr>
    </w:p>
    <w:p>
      <w:pPr>
        <w:ind w:firstLine="384"/>
        <w:spacing w:after="0" w:line="252" w:lineRule="auto"/>
        <w:rPr>
          <w:sz w:val="20"/>
          <w:szCs w:val="20"/>
          <w:color w:val="auto"/>
        </w:rPr>
      </w:pPr>
      <w:r>
        <w:rPr>
          <w:rFonts w:ascii="Arial" w:cs="Arial" w:eastAsia="Arial" w:hAnsi="Arial"/>
          <w:sz w:val="17"/>
          <w:szCs w:val="17"/>
          <w:color w:val="auto"/>
        </w:rPr>
        <w:t>Our activities, and the activities of our collaborators, distributors and other third-party providers, are subject to extensive government regulation and oversight both in the U.S. and in foreign jurisdictions. The FDA and comparable agencies in other jurisdictions directly regulate many of our most critical business activities, including the conduct of preclinical and clinical studies, product manufacturing, advertising and promotion, product distribution, adverse event reporting and product risk management. Our interactions in the U.S. or abroad with physicians and other health care providers that prescribe or purchase our products are also subject to government regulation designed to prevent fraud and abuse in the sale and use of the products and place significant restrictions on the marketing practices of health care companies. Health care companies such as ours are facing heightened scrutiny of their relationships with health care providers from anti-corruption enforcement officials. In addition, health care companies such as ours have been the target of lawsuits and investigations alleging violations of government regulation, including claims asserting submission of incorrect pricing information, impermissible off-label promotion of pharmaceutical products, payments intended to influence the referral of health care business, submission of false claims for government reimbursement, antitrust violations or violations related to environmental matters. There is also enhanced scrutiny of company-sponsored patient assistance programs, including insurance premium and co-pay assistance programs and donations to third party charities that provide such assistance. If we, or our vendors or donation recipients, are deemed to fail to comply with relevant laws, regulations or government guidance in the operation of these programs, we could be subject to significant fines or penalties. Risks relating to compliance with laws and regulations may be heightened as we continue to expand our global operations and enter new therapeutic areas with different patient populations, which may have different product distribution methods, marketing programs or patient assistance programs from those we currently utilize or support.</w:t>
      </w:r>
    </w:p>
    <w:p>
      <w:pPr>
        <w:spacing w:after="0" w:line="14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Regulations governing the health care industry are subject to change, with possibly retroactive effect, including:</w:t>
      </w:r>
    </w:p>
    <w:p>
      <w:pPr>
        <w:spacing w:after="0" w:line="163" w:lineRule="exact"/>
        <w:rPr>
          <w:sz w:val="20"/>
          <w:szCs w:val="20"/>
          <w:color w:val="auto"/>
        </w:rPr>
      </w:pPr>
    </w:p>
    <w:p>
      <w:pPr>
        <w:ind w:left="380" w:right="100" w:hanging="314"/>
        <w:spacing w:after="0" w:line="254" w:lineRule="auto"/>
        <w:tabs>
          <w:tab w:leader="none" w:pos="3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new laws, regulations or judicial decisions, or new interpretations of existing laws, regulations or judicial decisions, related to health care availability, pricing or marketing practices, compliance with wage and hour laws and other employment practices, method of delivery, payment for health care products and services, compliance with health information and data privacy and security laws and regulations, tracking and reporting payments and other transfers of value made to physicians and teaching hospitals, extensive anti-bribery and anti-corruption prohibitions, product serialization and labeling requirements and used product take-back requirements;</w:t>
      </w:r>
    </w:p>
    <w:p>
      <w:pPr>
        <w:spacing w:after="0" w:line="143" w:lineRule="exact"/>
        <w:rPr>
          <w:rFonts w:ascii="Arial" w:cs="Arial" w:eastAsia="Arial" w:hAnsi="Arial"/>
          <w:sz w:val="17"/>
          <w:szCs w:val="17"/>
          <w:color w:val="auto"/>
        </w:rPr>
      </w:pPr>
    </w:p>
    <w:p>
      <w:pPr>
        <w:ind w:left="380" w:right="220" w:hanging="314"/>
        <w:spacing w:after="0" w:line="262" w:lineRule="auto"/>
        <w:tabs>
          <w:tab w:leader="none" w:pos="3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changes in the FDA and foreign regulatory approval processes that may delay or prevent the approval of new products and result in lost market opportunity;</w:t>
      </w:r>
    </w:p>
    <w:p>
      <w:pPr>
        <w:spacing w:after="0" w:line="136" w:lineRule="exact"/>
        <w:rPr>
          <w:rFonts w:ascii="Arial" w:cs="Arial" w:eastAsia="Arial" w:hAnsi="Arial"/>
          <w:sz w:val="17"/>
          <w:szCs w:val="17"/>
          <w:color w:val="auto"/>
        </w:rPr>
      </w:pPr>
    </w:p>
    <w:p>
      <w:pPr>
        <w:ind w:left="380" w:right="360" w:hanging="314"/>
        <w:spacing w:after="0" w:line="262" w:lineRule="auto"/>
        <w:tabs>
          <w:tab w:leader="none" w:pos="3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hiring freeze implemented by the federal government in 2017, including at the FDA, could impact the review and potential approval of new products, which may adversely affect our business and financial condition;</w:t>
      </w:r>
    </w:p>
    <w:p>
      <w:pPr>
        <w:spacing w:after="0" w:line="136" w:lineRule="exact"/>
        <w:rPr>
          <w:rFonts w:ascii="Arial" w:cs="Arial" w:eastAsia="Arial" w:hAnsi="Arial"/>
          <w:sz w:val="17"/>
          <w:szCs w:val="17"/>
          <w:color w:val="auto"/>
        </w:rPr>
      </w:pPr>
    </w:p>
    <w:p>
      <w:pPr>
        <w:ind w:left="380" w:right="60" w:hanging="314"/>
        <w:spacing w:after="0" w:line="257" w:lineRule="auto"/>
        <w:tabs>
          <w:tab w:leader="none" w:pos="3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requirements that provide for increased transparency of clinical trial results and quality data, such as the EMA’s clinical transparency policy, which could impact our ability to protect trade secrets and competitively-sensitive information contained in approval applications or could be misinterpreted leading to reputational damage, misperception or legal action which could harm our business; and</w:t>
      </w:r>
    </w:p>
    <w:p>
      <w:pPr>
        <w:spacing w:after="0" w:line="140" w:lineRule="exact"/>
        <w:rPr>
          <w:rFonts w:ascii="Arial" w:cs="Arial" w:eastAsia="Arial" w:hAnsi="Arial"/>
          <w:sz w:val="17"/>
          <w:szCs w:val="17"/>
          <w:color w:val="auto"/>
        </w:rPr>
      </w:pPr>
    </w:p>
    <w:p>
      <w:pPr>
        <w:ind w:left="380" w:right="20" w:hanging="314"/>
        <w:spacing w:after="0" w:line="257" w:lineRule="auto"/>
        <w:tabs>
          <w:tab w:leader="none" w:pos="3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changes in FDA and foreign regulations that may require additional safety monitoring, labeling changes, restrictions on product distribution or use, or other measures after the introduction of our products to market, which could increase our costs of doing business, adversely affect the future permitted uses of approved products or otherwise adversely affect the market for our products.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00"/>
          </w:cols>
          <w:pgMar w:left="240" w:top="144" w:right="25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2" w:lineRule="exact"/>
        <w:rPr>
          <w:sz w:val="20"/>
          <w:szCs w:val="20"/>
          <w:color w:val="auto"/>
        </w:rPr>
      </w:pPr>
    </w:p>
    <w:p>
      <w:pPr>
        <w:ind w:right="20" w:firstLine="384"/>
        <w:spacing w:after="0" w:line="253" w:lineRule="auto"/>
        <w:rPr>
          <w:sz w:val="20"/>
          <w:szCs w:val="20"/>
          <w:color w:val="auto"/>
        </w:rPr>
      </w:pPr>
      <w:r>
        <w:rPr>
          <w:rFonts w:ascii="Arial" w:cs="Arial" w:eastAsia="Arial" w:hAnsi="Arial"/>
          <w:sz w:val="17"/>
          <w:szCs w:val="17"/>
          <w:color w:val="auto"/>
        </w:rPr>
        <w:t>Violations of governmental regulation may be punishable by criminal and civil sanctions against us, including fines and civil monetary penalties and exclusion from participation in government programs, including Medicare and Medicaid, as well as against executives overseeing our business. In addition to penalties for violation of laws and regulations, we could be required to repay amounts we received from government payors, or pay additional rebates and interest if we are found to have miscalculated the pricing information we have submitted to the government. We cannot ensure you that our compliance controls, policies and procedures will in every instance protect us from acts committed by our employees, collaborators, partners or third-party providers that would violate the laws or regulations of the jurisdictions in which we operate. Whether or not we have complied with the law, an investigation into alleged unlawful conduct could increase our expenses, damage our reputation, divert management time and attention and/or adversely affect our business.</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Our effective tax rate fluctuates, and we may incur obligations in tax jurisdictions in excess of accrued amounts.</w:t>
      </w:r>
    </w:p>
    <w:p>
      <w:pPr>
        <w:spacing w:after="0" w:line="106" w:lineRule="exact"/>
        <w:rPr>
          <w:sz w:val="20"/>
          <w:szCs w:val="20"/>
          <w:color w:val="auto"/>
        </w:rPr>
      </w:pPr>
    </w:p>
    <w:p>
      <w:pPr>
        <w:ind w:firstLine="384"/>
        <w:spacing w:after="0" w:line="253" w:lineRule="auto"/>
        <w:rPr>
          <w:sz w:val="20"/>
          <w:szCs w:val="20"/>
          <w:color w:val="auto"/>
        </w:rPr>
      </w:pPr>
      <w:r>
        <w:rPr>
          <w:rFonts w:ascii="Arial" w:cs="Arial" w:eastAsia="Arial" w:hAnsi="Arial"/>
          <w:sz w:val="17"/>
          <w:szCs w:val="17"/>
          <w:color w:val="auto"/>
        </w:rPr>
        <w:t>As a global biopharmaceutical company, we are subject to taxation in numerous countries, states and other jurisdictions. As a result, our effective tax rate is derived from a combination of applicable tax rates in the various places that we operate. In preparing our financial statements, we estimate the amount of tax that will become payable in each of such places. Our effective tax rate, however, may be different than experienced in the past due to numerous factors, including changes in the mix of our profitability from country to country, the results of examinations and audits of our tax filings, adjustments to the value of our uncertain tax positions, changes in accounting for income taxes and changes in tax laws, including the 2017 Tax Act. Any of these factors could cause us to experience an effective tax rate significantly different from previous periods or our current expectations.</w:t>
      </w:r>
    </w:p>
    <w:p>
      <w:pPr>
        <w:spacing w:after="0" w:line="147" w:lineRule="exact"/>
        <w:rPr>
          <w:sz w:val="20"/>
          <w:szCs w:val="20"/>
          <w:color w:val="auto"/>
        </w:rPr>
      </w:pPr>
    </w:p>
    <w:p>
      <w:pPr>
        <w:ind w:right="80" w:firstLine="384"/>
        <w:spacing w:after="0" w:line="262" w:lineRule="auto"/>
        <w:rPr>
          <w:sz w:val="20"/>
          <w:szCs w:val="20"/>
          <w:color w:val="auto"/>
        </w:rPr>
      </w:pPr>
      <w:r>
        <w:rPr>
          <w:rFonts w:ascii="Arial" w:cs="Arial" w:eastAsia="Arial" w:hAnsi="Arial"/>
          <w:sz w:val="17"/>
          <w:szCs w:val="17"/>
          <w:color w:val="auto"/>
        </w:rPr>
        <w:t>In addition, our inability to secure or sustain acceptable arrangements with tax authorities and future changes in the tax laws, among other things, may result in tax obligations in excess of amounts accrued in our financial statements.</w:t>
      </w:r>
    </w:p>
    <w:p>
      <w:pPr>
        <w:spacing w:after="0" w:line="60" w:lineRule="exact"/>
        <w:rPr>
          <w:sz w:val="20"/>
          <w:szCs w:val="20"/>
          <w:color w:val="auto"/>
        </w:rPr>
      </w:pPr>
    </w:p>
    <w:p>
      <w:pPr>
        <w:ind w:right="80" w:firstLine="384"/>
        <w:spacing w:after="0" w:line="254" w:lineRule="auto"/>
        <w:rPr>
          <w:sz w:val="20"/>
          <w:szCs w:val="20"/>
          <w:color w:val="auto"/>
        </w:rPr>
      </w:pPr>
      <w:r>
        <w:rPr>
          <w:rFonts w:ascii="Arial" w:cs="Arial" w:eastAsia="Arial" w:hAnsi="Arial"/>
          <w:sz w:val="17"/>
          <w:szCs w:val="17"/>
          <w:color w:val="auto"/>
        </w:rPr>
        <w:t>The 2017 Tax Act has resulted in significant changes to the U.S. corporate income tax system. These changes include a federal statutory rate reduction from 35% to 21%, the elimination or reduction of certain domestic deductions and credits and limitations on the deductibility of interest expense and executive compensation. The 2017 Tax Act also transitions international taxation from a worldwide system to a modified territorial system and includes base erosion prevention measures on non-U.S. earnings, which has the effect of subjecting certain earnings of our foreign subsidiaries to U.S. taxation as GILTI. These changes are effective beginning in 2018.</w:t>
      </w:r>
    </w:p>
    <w:p>
      <w:pPr>
        <w:spacing w:after="0" w:line="144" w:lineRule="exact"/>
        <w:rPr>
          <w:sz w:val="20"/>
          <w:szCs w:val="20"/>
          <w:color w:val="auto"/>
        </w:rPr>
      </w:pPr>
    </w:p>
    <w:p>
      <w:pPr>
        <w:ind w:right="340" w:firstLine="384"/>
        <w:spacing w:after="0" w:line="257" w:lineRule="auto"/>
        <w:rPr>
          <w:sz w:val="20"/>
          <w:szCs w:val="20"/>
          <w:color w:val="auto"/>
        </w:rPr>
      </w:pPr>
      <w:r>
        <w:rPr>
          <w:rFonts w:ascii="Arial" w:cs="Arial" w:eastAsia="Arial" w:hAnsi="Arial"/>
          <w:sz w:val="17"/>
          <w:szCs w:val="17"/>
          <w:color w:val="auto"/>
        </w:rPr>
        <w:t>The 2017 Tax Act also includes the Transition Toll Tax, which is a one-time mandatory deemed repatriation tax on accumulated foreign subsidiaries' previously untaxed foreign earnings. The Transition Toll Tax will be paid over an eight-year period, starting in 2018, and will not accrue interest.</w:t>
      </w:r>
    </w:p>
    <w:p>
      <w:pPr>
        <w:spacing w:after="0" w:line="140" w:lineRule="exact"/>
        <w:rPr>
          <w:sz w:val="20"/>
          <w:szCs w:val="20"/>
          <w:color w:val="auto"/>
        </w:rPr>
      </w:pPr>
    </w:p>
    <w:p>
      <w:pPr>
        <w:ind w:right="60" w:firstLine="384"/>
        <w:spacing w:after="0" w:line="253" w:lineRule="auto"/>
        <w:rPr>
          <w:sz w:val="20"/>
          <w:szCs w:val="20"/>
          <w:color w:val="auto"/>
        </w:rPr>
      </w:pPr>
      <w:r>
        <w:rPr>
          <w:rFonts w:ascii="Arial" w:cs="Arial" w:eastAsia="Arial" w:hAnsi="Arial"/>
          <w:sz w:val="17"/>
          <w:szCs w:val="17"/>
          <w:color w:val="auto"/>
        </w:rPr>
        <w:t>Our preliminary estimate of the Transition Toll Tax and the remeasurement of our deferred tax assets and liabilities is subject to the finalization of management's analysis related to certain matters, such as developing interpretations of the provisions of the 2017 Tax Act, changes to certain estimates and amounts related to the earnings and profits of certain subsidiaries and the filing of our tax returns. U.S. Treasury regulations, administrative interpretations or court decisions interpreting the 2017 Tax Act may require further adjustments and changes in our estimates, which could have a material adverse effect on our business, results of operations or financial conditions. The final determination of the Transition Toll Tax and the remeasurement of our deferred tax assets and liabilities will be completed as additional information becomes available, but no later than one year from the enactment of the 2017 Tax Act.</w:t>
      </w:r>
    </w:p>
    <w:p>
      <w:pPr>
        <w:spacing w:after="0" w:line="146" w:lineRule="exact"/>
        <w:rPr>
          <w:sz w:val="20"/>
          <w:szCs w:val="20"/>
          <w:color w:val="auto"/>
        </w:rPr>
      </w:pPr>
    </w:p>
    <w:p>
      <w:pPr>
        <w:ind w:right="120" w:firstLine="384"/>
        <w:spacing w:after="0" w:line="255" w:lineRule="auto"/>
        <w:rPr>
          <w:sz w:val="20"/>
          <w:szCs w:val="20"/>
          <w:color w:val="auto"/>
        </w:rPr>
      </w:pPr>
      <w:r>
        <w:rPr>
          <w:rFonts w:ascii="Arial" w:cs="Arial" w:eastAsia="Arial" w:hAnsi="Arial"/>
          <w:sz w:val="17"/>
          <w:szCs w:val="17"/>
          <w:color w:val="auto"/>
        </w:rPr>
        <w:t>In addition, the adoption of some or all of the recommendations set forth in the Organization for Economic Co-operation and Development’s project on “Base Erosion and Profit Shifting” (BEPS) by tax authorities in the countries in which we operate, could negatively impact our effective tax rate. These recommendations focus on payments from affiliates in high tax jurisdictions to affiliates in lower tax jurisdictions and the activities that give rise to a taxable presence in a particular country.</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Our sales and operations are subject to the risks of doing business internationally.</w:t>
      </w:r>
    </w:p>
    <w:p>
      <w:pPr>
        <w:spacing w:after="0" w:line="106" w:lineRule="exact"/>
        <w:rPr>
          <w:sz w:val="20"/>
          <w:szCs w:val="20"/>
          <w:color w:val="auto"/>
        </w:rPr>
      </w:pPr>
    </w:p>
    <w:p>
      <w:pPr>
        <w:ind w:firstLine="384"/>
        <w:spacing w:after="0" w:line="262" w:lineRule="auto"/>
        <w:rPr>
          <w:sz w:val="20"/>
          <w:szCs w:val="20"/>
          <w:color w:val="auto"/>
        </w:rPr>
      </w:pPr>
      <w:r>
        <w:rPr>
          <w:rFonts w:ascii="Arial" w:cs="Arial" w:eastAsia="Arial" w:hAnsi="Arial"/>
          <w:sz w:val="17"/>
          <w:szCs w:val="17"/>
          <w:color w:val="auto"/>
        </w:rPr>
        <w:t>We are increasing our presence in international markets, particularly emerging markets, subjecting us to many risks that could adversely affect our business and revenues, such as:</w:t>
      </w:r>
    </w:p>
    <w:p>
      <w:pPr>
        <w:spacing w:after="0" w:line="137" w:lineRule="exact"/>
        <w:rPr>
          <w:sz w:val="20"/>
          <w:szCs w:val="20"/>
          <w:color w:val="auto"/>
        </w:rPr>
      </w:pPr>
    </w:p>
    <w:p>
      <w:pPr>
        <w:ind w:left="380" w:hanging="301"/>
        <w:spacing w:after="0"/>
        <w:tabs>
          <w:tab w:leader="none" w:pos="3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inability to obtain necessary foreign regulatory or pricing approvals of products in a timely manner;</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uncertainties regarding the collectability of accounts receivable;</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fluctuations in foreign currency exchange rates that may adversely impact our revenues and net income;</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144"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2" w:lineRule="exact"/>
        <w:rPr>
          <w:sz w:val="20"/>
          <w:szCs w:val="20"/>
          <w:color w:val="auto"/>
        </w:rPr>
      </w:pPr>
    </w:p>
    <w:p>
      <w:pPr>
        <w:ind w:left="380" w:hanging="301"/>
        <w:spacing w:after="0"/>
        <w:tabs>
          <w:tab w:leader="none" w:pos="3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difficulties in staffing and managing international operations;</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imposition of governmental controls;</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less favorable intellectual property or other applicable laws;</w:t>
      </w:r>
    </w:p>
    <w:p>
      <w:pPr>
        <w:spacing w:after="0" w:line="163" w:lineRule="exact"/>
        <w:rPr>
          <w:rFonts w:ascii="Arial" w:cs="Arial" w:eastAsia="Arial" w:hAnsi="Arial"/>
          <w:sz w:val="17"/>
          <w:szCs w:val="17"/>
          <w:color w:val="auto"/>
        </w:rPr>
      </w:pPr>
    </w:p>
    <w:p>
      <w:pPr>
        <w:ind w:left="380" w:right="400" w:hanging="301"/>
        <w:spacing w:after="0" w:line="262" w:lineRule="auto"/>
        <w:tabs>
          <w:tab w:leader="none" w:pos="3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increasingly complex standards for complying with foreign laws and regulations that may differ substantially from country to country and may conflict with corresponding U.S. laws and regulations;</w:t>
      </w:r>
    </w:p>
    <w:p>
      <w:pPr>
        <w:spacing w:after="0" w:line="136" w:lineRule="exact"/>
        <w:rPr>
          <w:rFonts w:ascii="Arial" w:cs="Arial" w:eastAsia="Arial" w:hAnsi="Arial"/>
          <w:sz w:val="17"/>
          <w:szCs w:val="17"/>
          <w:color w:val="auto"/>
        </w:rPr>
      </w:pPr>
    </w:p>
    <w:p>
      <w:pPr>
        <w:ind w:left="380" w:right="200" w:hanging="301"/>
        <w:spacing w:after="0" w:line="262" w:lineRule="auto"/>
        <w:tabs>
          <w:tab w:leader="none" w:pos="3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far-reaching anti-bribery and anti-corruption legislation in the U.K., including the Bribery Act, and elsewhere and escalation of investigations and prosecutions pursuant to such laws;</w:t>
      </w:r>
    </w:p>
    <w:p>
      <w:pPr>
        <w:spacing w:after="0" w:line="136" w:lineRule="exact"/>
        <w:rPr>
          <w:rFonts w:ascii="Arial" w:cs="Arial" w:eastAsia="Arial" w:hAnsi="Arial"/>
          <w:sz w:val="17"/>
          <w:szCs w:val="17"/>
          <w:color w:val="auto"/>
        </w:rPr>
      </w:pPr>
    </w:p>
    <w:p>
      <w:pPr>
        <w:ind w:left="380" w:hanging="301"/>
        <w:spacing w:after="0"/>
        <w:tabs>
          <w:tab w:leader="none" w:pos="3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effects of the implementation of the U.K.’s decision to voluntarily depart from the E.U., known as Brexit;</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compliance with complex import and export control laws;</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restrictions on direct investments by foreign entities and trade restrictions;</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greater political or economic instability; and</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changes in tax laws and tariffs.</w:t>
      </w:r>
    </w:p>
    <w:p>
      <w:pPr>
        <w:spacing w:after="0" w:line="163" w:lineRule="exact"/>
        <w:rPr>
          <w:sz w:val="20"/>
          <w:szCs w:val="20"/>
          <w:color w:val="auto"/>
        </w:rPr>
      </w:pPr>
    </w:p>
    <w:p>
      <w:pPr>
        <w:ind w:firstLine="384"/>
        <w:spacing w:after="0" w:line="252" w:lineRule="auto"/>
        <w:rPr>
          <w:sz w:val="20"/>
          <w:szCs w:val="20"/>
          <w:color w:val="auto"/>
        </w:rPr>
      </w:pPr>
      <w:r>
        <w:rPr>
          <w:rFonts w:ascii="Arial" w:cs="Arial" w:eastAsia="Arial" w:hAnsi="Arial"/>
          <w:sz w:val="17"/>
          <w:szCs w:val="17"/>
          <w:color w:val="auto"/>
        </w:rPr>
        <w:t>In addition, our international operations are subject to regulation under U.S. law. For example, the FCPA prohibits U.S. companies and their representatives from paying, offering to pay, promising to pay or authorizing the payment of anything of value to any foreign government official, government staff member, political party or political candidate for the purpose of obtaining or retaining business or to otherwise obtain favorable treatment or influence a person working in an official capacity. In many countries, the health care professionals we regularly interact with may meet the FCPA's definition of a foreign government official. Failure to comply with domestic or foreign laws could result in various adverse consequences, including: possible delay in approval or refusal to approve a product; recalls, seizures or withdrawal of an approved product from the market; disruption in the supply or availability of our products or suspension of export or import privileges; the imposition of civil or criminal sanctions; the prosecution of executives overseeing our international operations; and damage to our reputation. Any significant impairment of our ability to sell products outside of the U.S. could adversely impact our business and financial results.</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Our operating results are subject to significant fluctuations.</w:t>
      </w:r>
    </w:p>
    <w:p>
      <w:pPr>
        <w:spacing w:after="0" w:line="106" w:lineRule="exact"/>
        <w:rPr>
          <w:sz w:val="20"/>
          <w:szCs w:val="20"/>
          <w:color w:val="auto"/>
        </w:rPr>
      </w:pPr>
    </w:p>
    <w:p>
      <w:pPr>
        <w:ind w:right="60" w:firstLine="384"/>
        <w:spacing w:after="0" w:line="257" w:lineRule="auto"/>
        <w:rPr>
          <w:sz w:val="20"/>
          <w:szCs w:val="20"/>
          <w:color w:val="auto"/>
        </w:rPr>
      </w:pPr>
      <w:r>
        <w:rPr>
          <w:rFonts w:ascii="Arial" w:cs="Arial" w:eastAsia="Arial" w:hAnsi="Arial"/>
          <w:sz w:val="17"/>
          <w:szCs w:val="17"/>
          <w:color w:val="auto"/>
        </w:rPr>
        <w:t xml:space="preserve">Our quarterly revenues, expenses and net income (loss) have fluctuated in the past and are likely to fluctuate significantly in the future due to the risks described in these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as well as the timing of charges and expenses that we may take. We have recorded, or may be required to record, charges that include:</w:t>
      </w:r>
    </w:p>
    <w:p>
      <w:pPr>
        <w:spacing w:after="0" w:line="140" w:lineRule="exact"/>
        <w:rPr>
          <w:sz w:val="20"/>
          <w:szCs w:val="20"/>
          <w:color w:val="auto"/>
        </w:rPr>
      </w:pPr>
    </w:p>
    <w:p>
      <w:pPr>
        <w:ind w:left="380" w:hanging="301"/>
        <w:spacing w:after="0"/>
        <w:tabs>
          <w:tab w:leader="none" w:pos="3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cost of restructurings or other initiatives to streamline our operations and reallocate resources;</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impairments with respect to investments, fixed assets and long-lived assets, including in-process R&amp;D and other intangible assets;</w:t>
      </w:r>
    </w:p>
    <w:p>
      <w:pPr>
        <w:spacing w:after="0" w:line="163" w:lineRule="exact"/>
        <w:rPr>
          <w:rFonts w:ascii="Arial" w:cs="Arial" w:eastAsia="Arial" w:hAnsi="Arial"/>
          <w:sz w:val="17"/>
          <w:szCs w:val="17"/>
          <w:color w:val="auto"/>
        </w:rPr>
      </w:pPr>
    </w:p>
    <w:p>
      <w:pPr>
        <w:ind w:left="380" w:right="120" w:hanging="301"/>
        <w:spacing w:after="0" w:line="262" w:lineRule="auto"/>
        <w:tabs>
          <w:tab w:leader="none" w:pos="3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inventory write-downs for failed quality specifications, charges for excess or obsolete inventory and charges for inventory write downs relating to product suspensions, expirations or recalls;</w:t>
      </w:r>
    </w:p>
    <w:p>
      <w:pPr>
        <w:spacing w:after="0" w:line="136" w:lineRule="exact"/>
        <w:rPr>
          <w:rFonts w:ascii="Arial" w:cs="Arial" w:eastAsia="Arial" w:hAnsi="Arial"/>
          <w:sz w:val="17"/>
          <w:szCs w:val="17"/>
          <w:color w:val="auto"/>
        </w:rPr>
      </w:pPr>
    </w:p>
    <w:p>
      <w:pPr>
        <w:ind w:left="380" w:hanging="301"/>
        <w:spacing w:after="0"/>
        <w:tabs>
          <w:tab w:leader="none" w:pos="3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changes in the fair value of contingent consideration;</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bad debt expenses and increased bad debt reserves;</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outcomes of litigation and other legal or administrative proceedings, regulatory matters and tax matters;</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milestone payments under license and collaboration agreements; and</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payments in connection with acquisitions and other business development activities.</w:t>
      </w: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360"/>
          </w:cols>
          <w:pgMar w:left="240" w:top="144" w:right="29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2" w:lineRule="exact"/>
        <w:rPr>
          <w:sz w:val="20"/>
          <w:szCs w:val="20"/>
          <w:color w:val="auto"/>
        </w:rPr>
      </w:pPr>
    </w:p>
    <w:p>
      <w:pPr>
        <w:ind w:firstLine="384"/>
        <w:spacing w:after="0" w:line="253" w:lineRule="auto"/>
        <w:rPr>
          <w:sz w:val="20"/>
          <w:szCs w:val="20"/>
          <w:color w:val="auto"/>
        </w:rPr>
      </w:pPr>
      <w:r>
        <w:rPr>
          <w:rFonts w:ascii="Arial" w:cs="Arial" w:eastAsia="Arial" w:hAnsi="Arial"/>
          <w:sz w:val="17"/>
          <w:szCs w:val="17"/>
          <w:color w:val="auto"/>
        </w:rPr>
        <w:t>Our revenues are also subject to foreign currency exchange rate fluctuations due to the global nature of our operations. Although we have foreign currency forward contracts to hedge specific forecasted transactions denominated in foreign currencies, our efforts to mitigate the impact of fluctuating currency exchange rates may not be successful. As a result, currency fluctuations among our reporting currency, the U.S. dollar, and the other currencies in which we do business will affect our operating results, often in unpredictable ways. Our net income may also fluctuate due to the impact of charges we may be required to take with respect to foreign currency hedge transactions. In particular, we may incur higher than expected charges from hedge ineffectiveness or from the termination of a hedge relationship.</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operating results during any one period do not necessarily suggest the anticipated results of future periods.</w:t>
      </w:r>
    </w:p>
    <w:p>
      <w:pPr>
        <w:spacing w:after="0" w:line="143" w:lineRule="exact"/>
        <w:rPr>
          <w:sz w:val="20"/>
          <w:szCs w:val="20"/>
          <w:color w:val="auto"/>
        </w:rPr>
      </w:pPr>
    </w:p>
    <w:p>
      <w:pPr>
        <w:ind w:right="120" w:firstLine="231"/>
        <w:spacing w:after="0" w:line="287" w:lineRule="auto"/>
        <w:rPr>
          <w:sz w:val="20"/>
          <w:szCs w:val="20"/>
          <w:color w:val="auto"/>
        </w:rPr>
      </w:pPr>
      <w:r>
        <w:rPr>
          <w:rFonts w:ascii="Arial" w:cs="Arial" w:eastAsia="Arial" w:hAnsi="Arial"/>
          <w:sz w:val="17"/>
          <w:szCs w:val="17"/>
          <w:b w:val="1"/>
          <w:bCs w:val="1"/>
          <w:i w:val="1"/>
          <w:iCs w:val="1"/>
          <w:color w:val="2573BA"/>
        </w:rPr>
        <w:t>Our investment in Samsung Bioepis, and our success in commercializing biosimilars developed by Samsung Bioepis, is subject to risks and uncertainties inherent in the development, manufacture and commercialization of biosimilars.</w:t>
      </w:r>
    </w:p>
    <w:p>
      <w:pPr>
        <w:spacing w:after="0" w:line="39" w:lineRule="exact"/>
        <w:rPr>
          <w:sz w:val="20"/>
          <w:szCs w:val="20"/>
          <w:color w:val="auto"/>
        </w:rPr>
      </w:pPr>
    </w:p>
    <w:p>
      <w:pPr>
        <w:ind w:right="280" w:firstLine="384"/>
        <w:spacing w:after="0" w:line="262" w:lineRule="auto"/>
        <w:rPr>
          <w:sz w:val="20"/>
          <w:szCs w:val="20"/>
          <w:color w:val="auto"/>
        </w:rPr>
      </w:pPr>
      <w:r>
        <w:rPr>
          <w:rFonts w:ascii="Arial" w:cs="Arial" w:eastAsia="Arial" w:hAnsi="Arial"/>
          <w:sz w:val="17"/>
          <w:szCs w:val="17"/>
          <w:color w:val="auto"/>
        </w:rPr>
        <w:t>Our investment in Samsung Bioepis, and our success in commercializing biosimilars developed by Samsung Bioepis, is subject to a number of risks, including:</w:t>
      </w:r>
    </w:p>
    <w:p>
      <w:pPr>
        <w:spacing w:after="0" w:line="119" w:lineRule="exact"/>
        <w:rPr>
          <w:sz w:val="20"/>
          <w:szCs w:val="20"/>
          <w:color w:val="auto"/>
        </w:rPr>
      </w:pPr>
    </w:p>
    <w:p>
      <w:pPr>
        <w:jc w:val="both"/>
        <w:ind w:left="380" w:hanging="301"/>
        <w:spacing w:after="0" w:line="268" w:lineRule="auto"/>
        <w:tabs>
          <w:tab w:leader="none" w:pos="380" w:val="left"/>
        </w:tabs>
        <w:numPr>
          <w:ilvl w:val="0"/>
          <w:numId w:val="59"/>
        </w:numPr>
        <w:rPr>
          <w:rFonts w:ascii="Arial" w:cs="Arial" w:eastAsia="Arial" w:hAnsi="Arial"/>
          <w:sz w:val="17"/>
          <w:szCs w:val="17"/>
          <w:color w:val="auto"/>
        </w:rPr>
      </w:pPr>
      <w:r>
        <w:rPr>
          <w:rFonts w:ascii="Arial" w:cs="Arial" w:eastAsia="Arial" w:hAnsi="Arial"/>
          <w:sz w:val="17"/>
          <w:szCs w:val="17"/>
          <w:i w:val="1"/>
          <w:iCs w:val="1"/>
          <w:color w:val="auto"/>
        </w:rPr>
        <w:t xml:space="preserve">Reliance on Third Parties. </w:t>
      </w:r>
      <w:r>
        <w:rPr>
          <w:rFonts w:ascii="Arial" w:cs="Arial" w:eastAsia="Arial" w:hAnsi="Arial"/>
          <w:sz w:val="17"/>
          <w:szCs w:val="17"/>
          <w:color w:val="auto"/>
        </w:rPr>
        <w:t>We are dependent on the efforts of Samsung Bioepis and other third parties over whom we have limited or no control in</w:t>
      </w:r>
      <w:r>
        <w:rPr>
          <w:rFonts w:ascii="Arial" w:cs="Arial" w:eastAsia="Arial" w:hAnsi="Arial"/>
          <w:sz w:val="17"/>
          <w:szCs w:val="17"/>
          <w:i w:val="1"/>
          <w:iCs w:val="1"/>
          <w:color w:val="auto"/>
        </w:rPr>
        <w:t xml:space="preserve"> </w:t>
      </w:r>
      <w:r>
        <w:rPr>
          <w:rFonts w:ascii="Arial" w:cs="Arial" w:eastAsia="Arial" w:hAnsi="Arial"/>
          <w:sz w:val="17"/>
          <w:szCs w:val="17"/>
          <w:color w:val="auto"/>
        </w:rPr>
        <w:t>the development and manufacturing of biosimilars products. If Samsung Bioepis or such other third parties fail to perform successfully, we may not realize the anticipated benefits of our investment in Samsung Bioepis;</w:t>
      </w:r>
    </w:p>
    <w:p>
      <w:pPr>
        <w:spacing w:after="0" w:line="113" w:lineRule="exact"/>
        <w:rPr>
          <w:rFonts w:ascii="Arial" w:cs="Arial" w:eastAsia="Arial" w:hAnsi="Arial"/>
          <w:sz w:val="17"/>
          <w:szCs w:val="17"/>
          <w:color w:val="auto"/>
        </w:rPr>
      </w:pPr>
    </w:p>
    <w:p>
      <w:pPr>
        <w:ind w:left="380" w:right="200" w:hanging="301"/>
        <w:spacing w:after="0" w:line="284" w:lineRule="auto"/>
        <w:tabs>
          <w:tab w:leader="none" w:pos="380" w:val="left"/>
        </w:tabs>
        <w:numPr>
          <w:ilvl w:val="0"/>
          <w:numId w:val="59"/>
        </w:numPr>
        <w:rPr>
          <w:rFonts w:ascii="Arial" w:cs="Arial" w:eastAsia="Arial" w:hAnsi="Arial"/>
          <w:sz w:val="17"/>
          <w:szCs w:val="17"/>
          <w:color w:val="auto"/>
        </w:rPr>
      </w:pPr>
      <w:r>
        <w:rPr>
          <w:rFonts w:ascii="Arial" w:cs="Arial" w:eastAsia="Arial" w:hAnsi="Arial"/>
          <w:sz w:val="17"/>
          <w:szCs w:val="17"/>
          <w:i w:val="1"/>
          <w:iCs w:val="1"/>
          <w:color w:val="auto"/>
        </w:rPr>
        <w:t xml:space="preserve">Regulatory Compliance. </w:t>
      </w:r>
      <w:r>
        <w:rPr>
          <w:rFonts w:ascii="Arial" w:cs="Arial" w:eastAsia="Arial" w:hAnsi="Arial"/>
          <w:sz w:val="17"/>
          <w:szCs w:val="17"/>
          <w:color w:val="auto"/>
        </w:rPr>
        <w:t>Biosimilar products may face regulatory hurdles or delays due to the evolving and uncertain regulatory and commercial</w:t>
      </w:r>
      <w:r>
        <w:rPr>
          <w:rFonts w:ascii="Arial" w:cs="Arial" w:eastAsia="Arial" w:hAnsi="Arial"/>
          <w:sz w:val="17"/>
          <w:szCs w:val="17"/>
          <w:i w:val="1"/>
          <w:iCs w:val="1"/>
          <w:color w:val="auto"/>
        </w:rPr>
        <w:t xml:space="preserve"> </w:t>
      </w:r>
      <w:r>
        <w:rPr>
          <w:rFonts w:ascii="Arial" w:cs="Arial" w:eastAsia="Arial" w:hAnsi="Arial"/>
          <w:sz w:val="17"/>
          <w:szCs w:val="17"/>
          <w:color w:val="auto"/>
        </w:rPr>
        <w:t>pathway of biosimilars products in certain jurisdictions;</w:t>
      </w:r>
    </w:p>
    <w:p>
      <w:pPr>
        <w:spacing w:after="0" w:line="100" w:lineRule="exact"/>
        <w:rPr>
          <w:rFonts w:ascii="Arial" w:cs="Arial" w:eastAsia="Arial" w:hAnsi="Arial"/>
          <w:sz w:val="17"/>
          <w:szCs w:val="17"/>
          <w:color w:val="auto"/>
        </w:rPr>
      </w:pPr>
    </w:p>
    <w:p>
      <w:pPr>
        <w:ind w:left="380" w:right="700" w:hanging="301"/>
        <w:spacing w:after="0" w:line="284" w:lineRule="auto"/>
        <w:tabs>
          <w:tab w:leader="none" w:pos="380" w:val="left"/>
        </w:tabs>
        <w:numPr>
          <w:ilvl w:val="0"/>
          <w:numId w:val="59"/>
        </w:numPr>
        <w:rPr>
          <w:rFonts w:ascii="Arial" w:cs="Arial" w:eastAsia="Arial" w:hAnsi="Arial"/>
          <w:sz w:val="17"/>
          <w:szCs w:val="17"/>
          <w:color w:val="auto"/>
        </w:rPr>
      </w:pPr>
      <w:r>
        <w:rPr>
          <w:rFonts w:ascii="Arial" w:cs="Arial" w:eastAsia="Arial" w:hAnsi="Arial"/>
          <w:sz w:val="17"/>
          <w:szCs w:val="17"/>
          <w:i w:val="1"/>
          <w:iCs w:val="1"/>
          <w:color w:val="auto"/>
        </w:rPr>
        <w:t xml:space="preserve">Intellectual Property and Regulatory Challenges. </w:t>
      </w:r>
      <w:r>
        <w:rPr>
          <w:rFonts w:ascii="Arial" w:cs="Arial" w:eastAsia="Arial" w:hAnsi="Arial"/>
          <w:sz w:val="17"/>
          <w:szCs w:val="17"/>
          <w:color w:val="auto"/>
        </w:rPr>
        <w:t>Biosimilar products may face extensive patent clearances, patent infringement litigation,</w:t>
      </w:r>
      <w:r>
        <w:rPr>
          <w:rFonts w:ascii="Arial" w:cs="Arial" w:eastAsia="Arial" w:hAnsi="Arial"/>
          <w:sz w:val="17"/>
          <w:szCs w:val="17"/>
          <w:i w:val="1"/>
          <w:iCs w:val="1"/>
          <w:color w:val="auto"/>
        </w:rPr>
        <w:t xml:space="preserve"> </w:t>
      </w:r>
      <w:r>
        <w:rPr>
          <w:rFonts w:ascii="Arial" w:cs="Arial" w:eastAsia="Arial" w:hAnsi="Arial"/>
          <w:sz w:val="17"/>
          <w:szCs w:val="17"/>
          <w:color w:val="auto"/>
        </w:rPr>
        <w:t>injunctions or regulatory challenges, which could prevent the commercial launch of a product or delay it for many years;</w:t>
      </w:r>
    </w:p>
    <w:p>
      <w:pPr>
        <w:spacing w:after="0" w:line="100" w:lineRule="exact"/>
        <w:rPr>
          <w:rFonts w:ascii="Arial" w:cs="Arial" w:eastAsia="Arial" w:hAnsi="Arial"/>
          <w:sz w:val="17"/>
          <w:szCs w:val="17"/>
          <w:color w:val="auto"/>
        </w:rPr>
      </w:pPr>
    </w:p>
    <w:p>
      <w:pPr>
        <w:ind w:left="380" w:right="400" w:hanging="301"/>
        <w:spacing w:after="0" w:line="268" w:lineRule="auto"/>
        <w:tabs>
          <w:tab w:leader="none" w:pos="380" w:val="left"/>
        </w:tabs>
        <w:numPr>
          <w:ilvl w:val="0"/>
          <w:numId w:val="59"/>
        </w:numPr>
        <w:rPr>
          <w:rFonts w:ascii="Arial" w:cs="Arial" w:eastAsia="Arial" w:hAnsi="Arial"/>
          <w:sz w:val="17"/>
          <w:szCs w:val="17"/>
          <w:color w:val="auto"/>
        </w:rPr>
      </w:pPr>
      <w:r>
        <w:rPr>
          <w:rFonts w:ascii="Arial" w:cs="Arial" w:eastAsia="Arial" w:hAnsi="Arial"/>
          <w:sz w:val="17"/>
          <w:szCs w:val="17"/>
          <w:i w:val="1"/>
          <w:iCs w:val="1"/>
          <w:color w:val="auto"/>
        </w:rPr>
        <w:t xml:space="preserve">Failure to Gain Market and Patient Acceptance. </w:t>
      </w:r>
      <w:r>
        <w:rPr>
          <w:rFonts w:ascii="Arial" w:cs="Arial" w:eastAsia="Arial" w:hAnsi="Arial"/>
          <w:sz w:val="17"/>
          <w:szCs w:val="17"/>
          <w:color w:val="auto"/>
        </w:rPr>
        <w:t>Market success of biosimilar products will be adversely affected if patients, physicians and/or</w:t>
      </w:r>
      <w:r>
        <w:rPr>
          <w:rFonts w:ascii="Arial" w:cs="Arial" w:eastAsia="Arial" w:hAnsi="Arial"/>
          <w:sz w:val="17"/>
          <w:szCs w:val="17"/>
          <w:i w:val="1"/>
          <w:iCs w:val="1"/>
          <w:color w:val="auto"/>
        </w:rPr>
        <w:t xml:space="preserve"> </w:t>
      </w:r>
      <w:r>
        <w:rPr>
          <w:rFonts w:ascii="Arial" w:cs="Arial" w:eastAsia="Arial" w:hAnsi="Arial"/>
          <w:sz w:val="17"/>
          <w:szCs w:val="17"/>
          <w:color w:val="auto"/>
        </w:rPr>
        <w:t>payors do not accept biosimilar products as safe and efficacious products offering a more competitive price or other benefit over existing therapies;</w:t>
      </w:r>
    </w:p>
    <w:p>
      <w:pPr>
        <w:spacing w:after="0" w:line="113" w:lineRule="exact"/>
        <w:rPr>
          <w:rFonts w:ascii="Arial" w:cs="Arial" w:eastAsia="Arial" w:hAnsi="Arial"/>
          <w:sz w:val="17"/>
          <w:szCs w:val="17"/>
          <w:color w:val="auto"/>
        </w:rPr>
      </w:pPr>
    </w:p>
    <w:p>
      <w:pPr>
        <w:ind w:left="380" w:right="160" w:hanging="301"/>
        <w:spacing w:after="0" w:line="284" w:lineRule="auto"/>
        <w:tabs>
          <w:tab w:leader="none" w:pos="380" w:val="left"/>
        </w:tabs>
        <w:numPr>
          <w:ilvl w:val="0"/>
          <w:numId w:val="59"/>
        </w:numPr>
        <w:rPr>
          <w:rFonts w:ascii="Arial" w:cs="Arial" w:eastAsia="Arial" w:hAnsi="Arial"/>
          <w:sz w:val="17"/>
          <w:szCs w:val="17"/>
          <w:color w:val="auto"/>
        </w:rPr>
      </w:pPr>
      <w:r>
        <w:rPr>
          <w:rFonts w:ascii="Arial" w:cs="Arial" w:eastAsia="Arial" w:hAnsi="Arial"/>
          <w:sz w:val="17"/>
          <w:szCs w:val="17"/>
          <w:i w:val="1"/>
          <w:iCs w:val="1"/>
          <w:color w:val="auto"/>
        </w:rPr>
        <w:t xml:space="preserve">Ability to Provide Adequate Supply. </w:t>
      </w:r>
      <w:r>
        <w:rPr>
          <w:rFonts w:ascii="Arial" w:cs="Arial" w:eastAsia="Arial" w:hAnsi="Arial"/>
          <w:sz w:val="17"/>
          <w:szCs w:val="17"/>
          <w:color w:val="auto"/>
        </w:rPr>
        <w:t>Manufacturing biosimilars is complex. If we encounter any manufacturing or supply chain difficulties, we may</w:t>
      </w:r>
      <w:r>
        <w:rPr>
          <w:rFonts w:ascii="Arial" w:cs="Arial" w:eastAsia="Arial" w:hAnsi="Arial"/>
          <w:sz w:val="17"/>
          <w:szCs w:val="17"/>
          <w:i w:val="1"/>
          <w:iCs w:val="1"/>
          <w:color w:val="auto"/>
        </w:rPr>
        <w:t xml:space="preserve"> </w:t>
      </w:r>
      <w:r>
        <w:rPr>
          <w:rFonts w:ascii="Arial" w:cs="Arial" w:eastAsia="Arial" w:hAnsi="Arial"/>
          <w:sz w:val="17"/>
          <w:szCs w:val="17"/>
          <w:color w:val="auto"/>
        </w:rPr>
        <w:t>be unable to meet higher than anticipated demand; and</w:t>
      </w:r>
    </w:p>
    <w:p>
      <w:pPr>
        <w:spacing w:after="0" w:line="100" w:lineRule="exact"/>
        <w:rPr>
          <w:rFonts w:ascii="Arial" w:cs="Arial" w:eastAsia="Arial" w:hAnsi="Arial"/>
          <w:sz w:val="17"/>
          <w:szCs w:val="17"/>
          <w:color w:val="auto"/>
        </w:rPr>
      </w:pPr>
    </w:p>
    <w:p>
      <w:pPr>
        <w:ind w:left="380" w:right="140" w:hanging="301"/>
        <w:spacing w:after="0" w:line="262" w:lineRule="auto"/>
        <w:tabs>
          <w:tab w:leader="none" w:pos="380" w:val="left"/>
        </w:tabs>
        <w:numPr>
          <w:ilvl w:val="0"/>
          <w:numId w:val="59"/>
        </w:numPr>
        <w:rPr>
          <w:rFonts w:ascii="Arial" w:cs="Arial" w:eastAsia="Arial" w:hAnsi="Arial"/>
          <w:sz w:val="17"/>
          <w:szCs w:val="17"/>
          <w:color w:val="auto"/>
        </w:rPr>
      </w:pPr>
      <w:r>
        <w:rPr>
          <w:rFonts w:ascii="Arial" w:cs="Arial" w:eastAsia="Arial" w:hAnsi="Arial"/>
          <w:sz w:val="17"/>
          <w:szCs w:val="17"/>
          <w:i w:val="1"/>
          <w:iCs w:val="1"/>
          <w:color w:val="auto"/>
        </w:rPr>
        <w:t xml:space="preserve">Competitive Challenges. </w:t>
      </w:r>
      <w:r>
        <w:rPr>
          <w:rFonts w:ascii="Arial" w:cs="Arial" w:eastAsia="Arial" w:hAnsi="Arial"/>
          <w:sz w:val="17"/>
          <w:szCs w:val="17"/>
          <w:color w:val="auto"/>
        </w:rPr>
        <w:t>Biosimilar products face significant competition, including from innovator products and from biosimilar products offered</w:t>
      </w:r>
      <w:r>
        <w:rPr>
          <w:rFonts w:ascii="Arial" w:cs="Arial" w:eastAsia="Arial" w:hAnsi="Arial"/>
          <w:sz w:val="17"/>
          <w:szCs w:val="17"/>
          <w:i w:val="1"/>
          <w:iCs w:val="1"/>
          <w:color w:val="auto"/>
        </w:rPr>
        <w:t xml:space="preserve"> </w:t>
      </w:r>
      <w:r>
        <w:rPr>
          <w:rFonts w:ascii="Arial" w:cs="Arial" w:eastAsia="Arial" w:hAnsi="Arial"/>
          <w:sz w:val="17"/>
          <w:szCs w:val="17"/>
          <w:color w:val="auto"/>
        </w:rPr>
        <w:t>by other companies. In some jurisdictions, local tendering processes may restrict biosimilar products from being marketed and sold in those jurisdictions. The number of competitors in a jurisdiction, the timing of approval and the ability to market biosimilar products successfully in a timely and cost-effective matter are additional factors that may impact our success and/or the success of Samsung Bioepis in this business area.</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Our investments in properties may not be fully realized.</w:t>
      </w:r>
    </w:p>
    <w:p>
      <w:pPr>
        <w:spacing w:after="0" w:line="106" w:lineRule="exact"/>
        <w:rPr>
          <w:sz w:val="20"/>
          <w:szCs w:val="20"/>
          <w:color w:val="auto"/>
        </w:rPr>
      </w:pPr>
    </w:p>
    <w:p>
      <w:pPr>
        <w:ind w:right="40" w:firstLine="384"/>
        <w:spacing w:after="0" w:line="253" w:lineRule="auto"/>
        <w:rPr>
          <w:sz w:val="20"/>
          <w:szCs w:val="20"/>
          <w:color w:val="auto"/>
        </w:rPr>
      </w:pPr>
      <w:r>
        <w:rPr>
          <w:rFonts w:ascii="Arial" w:cs="Arial" w:eastAsia="Arial" w:hAnsi="Arial"/>
          <w:sz w:val="17"/>
          <w:szCs w:val="17"/>
          <w:color w:val="auto"/>
        </w:rPr>
        <w:t>We own or lease real estate primarily consisting of buildings that contain research laboratories, office space and manufacturing operations. For strategic or other operational reasons, we may decide to consolidate or co-locate certain aspects of our business operations or dispose of one or more of our properties, some of which may be located in markets that are experiencing high vacancy rates and decreasing property values. If we determine that the fair value of any of our owned properties is lower than their book value we may not realize the full investment in these properties and incur significant impairment charges or additional depreciation when the expected useful lives of certain assets have been shortened due to the anticipated closing of facilities. If we decide to fully or partially vacate a leased property, we may incur significant cost, including facility closing costs, employee separation and retention expenses, lease termination fees, rent expense in excess of sublease income and impairment of leasehold improvements and accelerated depreciation of assets. Any of these events may have an adverse impact on our results of operations.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144"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Our portfolio of marketable securities is subject to market, interest and credit risk that may reduce its value.</w:t>
      </w:r>
    </w:p>
    <w:p>
      <w:pPr>
        <w:spacing w:after="0" w:line="106" w:lineRule="exact"/>
        <w:rPr>
          <w:sz w:val="20"/>
          <w:szCs w:val="20"/>
          <w:color w:val="auto"/>
        </w:rPr>
      </w:pPr>
    </w:p>
    <w:p>
      <w:pPr>
        <w:ind w:right="180" w:firstLine="384"/>
        <w:spacing w:after="0" w:line="253" w:lineRule="auto"/>
        <w:rPr>
          <w:sz w:val="20"/>
          <w:szCs w:val="20"/>
          <w:color w:val="auto"/>
        </w:rPr>
      </w:pPr>
      <w:r>
        <w:rPr>
          <w:rFonts w:ascii="Arial" w:cs="Arial" w:eastAsia="Arial" w:hAnsi="Arial"/>
          <w:sz w:val="17"/>
          <w:szCs w:val="17"/>
          <w:color w:val="auto"/>
        </w:rPr>
        <w:t>We maintain a portfolio of marketable securities for investment of our cash. Changes in the value of our portfolio of marketable securities could adversely affect our earnings. In particular, the value of our investments may decline due to increases in interest rates, downgrades of the bonds and other securities included in our portfolio, instability in the global financial markets that reduces the liquidity of securities included in our portfolio, declines in the value of collateral underlying the securities included in our portfolio and other factors. Each of these events may cause us to record charges to reduce the carrying value of our investment portfolio or sell investments for less than our acquisition cost. Although we attempt to mitigate these risks through diversification of our investments and continuous monitoring of our portfolio's overall risk profile, the value of our investments may nevertheless decline.</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There can be no assurance that we will continue to repurchase stock or that we will repurchase stock at favorable prices.</w:t>
      </w:r>
    </w:p>
    <w:p>
      <w:pPr>
        <w:spacing w:after="0" w:line="106" w:lineRule="exact"/>
        <w:rPr>
          <w:sz w:val="20"/>
          <w:szCs w:val="20"/>
          <w:color w:val="auto"/>
        </w:rPr>
      </w:pPr>
    </w:p>
    <w:p>
      <w:pPr>
        <w:ind w:firstLine="384"/>
        <w:spacing w:after="0" w:line="253" w:lineRule="auto"/>
        <w:rPr>
          <w:sz w:val="20"/>
          <w:szCs w:val="20"/>
          <w:color w:val="auto"/>
        </w:rPr>
      </w:pPr>
      <w:r>
        <w:rPr>
          <w:rFonts w:ascii="Arial" w:cs="Arial" w:eastAsia="Arial" w:hAnsi="Arial"/>
          <w:sz w:val="17"/>
          <w:szCs w:val="17"/>
          <w:color w:val="auto"/>
        </w:rPr>
        <w:t>From time to time our Board of Directors authorizes stock repurchase programs, including most recently a program to repurchase up to $5.0 billion of our common stock, which was authorized by our Board of Directors in July 2016 (2016 Share Repurchase Program). The amount and timing of stock repurchases are subject to capital availability and our determination that stock repurchases are in the best interest of our shareholders and are in compliance with all respective laws and our agreements applicable to the repurchase of stock. Our ability to repurchase stock will depend upon, among other factors, our cash balances and potential future capital requirements for strategic transactions, our results of operations, our financial condition and other factors beyond our control that we may deem relevant. A reduction in, or the completion or expiration of, our stock repurchase programs could have a negative effect on our stock price. We can provide no assurance that we will repurchase stock at favorable prices, if at all.</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We may not be able to access the capital and credit markets on terms that are favorable to us.</w:t>
      </w:r>
    </w:p>
    <w:p>
      <w:pPr>
        <w:spacing w:after="0" w:line="106" w:lineRule="exact"/>
        <w:rPr>
          <w:sz w:val="20"/>
          <w:szCs w:val="20"/>
          <w:color w:val="auto"/>
        </w:rPr>
      </w:pPr>
    </w:p>
    <w:p>
      <w:pPr>
        <w:ind w:right="200" w:firstLine="384"/>
        <w:spacing w:after="0" w:line="254" w:lineRule="auto"/>
        <w:rPr>
          <w:sz w:val="20"/>
          <w:szCs w:val="20"/>
          <w:color w:val="auto"/>
        </w:rPr>
      </w:pPr>
      <w:r>
        <w:rPr>
          <w:rFonts w:ascii="Arial" w:cs="Arial" w:eastAsia="Arial" w:hAnsi="Arial"/>
          <w:sz w:val="17"/>
          <w:szCs w:val="17"/>
          <w:color w:val="auto"/>
        </w:rPr>
        <w:t>We may seek access to the capital and credit markets to supplement our existing funds and cash generated from operations for working capital, capital expenditure and debt service requirements and other business initiatives. The capital and credit markets have experienced extreme volatility and disruption in the past, which leads to uncertainty and liquidity issues for both borrowers and investors. In the event of adverse capital and credit market conditions, we may be unable to obtain capital or credit market financing on favorable terms. Changes in credit ratings issued by nationally recognized credit rating agencies could also adversely affect our cost of financing and the market price of our securities.</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Our indebtedness could adversely affect our business and limit our ability to plan for or respond to changes in our business.</w:t>
      </w:r>
    </w:p>
    <w:p>
      <w:pPr>
        <w:spacing w:after="0" w:line="106" w:lineRule="exact"/>
        <w:rPr>
          <w:sz w:val="20"/>
          <w:szCs w:val="20"/>
          <w:color w:val="auto"/>
        </w:rPr>
      </w:pPr>
    </w:p>
    <w:p>
      <w:pPr>
        <w:ind w:right="320" w:firstLine="384"/>
        <w:spacing w:after="0" w:line="262" w:lineRule="auto"/>
        <w:rPr>
          <w:sz w:val="20"/>
          <w:szCs w:val="20"/>
          <w:color w:val="auto"/>
        </w:rPr>
      </w:pPr>
      <w:r>
        <w:rPr>
          <w:rFonts w:ascii="Arial" w:cs="Arial" w:eastAsia="Arial" w:hAnsi="Arial"/>
          <w:sz w:val="17"/>
          <w:szCs w:val="17"/>
          <w:color w:val="auto"/>
        </w:rPr>
        <w:t>Our indebtedness, together with our significant contingent liabilities, including milestone and royalty payment obligations, could have important consequences to our business; for example, such obligations could:</w:t>
      </w:r>
    </w:p>
    <w:p>
      <w:pPr>
        <w:spacing w:after="0" w:line="137" w:lineRule="exact"/>
        <w:rPr>
          <w:sz w:val="20"/>
          <w:szCs w:val="20"/>
          <w:color w:val="auto"/>
        </w:rPr>
      </w:pPr>
    </w:p>
    <w:p>
      <w:pPr>
        <w:ind w:left="380" w:hanging="301"/>
        <w:spacing w:after="0"/>
        <w:tabs>
          <w:tab w:leader="none" w:pos="3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increase our vulnerability to general adverse economic and industry conditions;</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limit our ability to access capital markets and incur additional debt in the future;</w:t>
      </w:r>
    </w:p>
    <w:p>
      <w:pPr>
        <w:spacing w:after="0" w:line="163" w:lineRule="exact"/>
        <w:rPr>
          <w:rFonts w:ascii="Arial" w:cs="Arial" w:eastAsia="Arial" w:hAnsi="Arial"/>
          <w:sz w:val="17"/>
          <w:szCs w:val="17"/>
          <w:color w:val="auto"/>
        </w:rPr>
      </w:pPr>
    </w:p>
    <w:p>
      <w:pPr>
        <w:ind w:left="380" w:right="100" w:hanging="301"/>
        <w:spacing w:after="0" w:line="262" w:lineRule="auto"/>
        <w:tabs>
          <w:tab w:leader="none" w:pos="3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require us to dedicate a substantial portion of our cash flow from operations to payments on our indebtedness, thereby reducing the availability of our cash flow for other purposes, including business development efforts, research and development and mergers and acquisitions; and</w:t>
      </w:r>
    </w:p>
    <w:p>
      <w:pPr>
        <w:spacing w:after="0" w:line="136" w:lineRule="exact"/>
        <w:rPr>
          <w:rFonts w:ascii="Arial" w:cs="Arial" w:eastAsia="Arial" w:hAnsi="Arial"/>
          <w:sz w:val="17"/>
          <w:szCs w:val="17"/>
          <w:color w:val="auto"/>
        </w:rPr>
      </w:pPr>
    </w:p>
    <w:p>
      <w:pPr>
        <w:ind w:left="380" w:right="60" w:hanging="301"/>
        <w:spacing w:after="0" w:line="262" w:lineRule="auto"/>
        <w:tabs>
          <w:tab w:leader="none" w:pos="3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limit our flexibility in planning for, or reacting to, changes in our business and the industry in which we operate, thereby placing us at a competitive disadvantage compared to our competitors that have less debt.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Our business involves environmental risks, which include the cost of compliance and the risk of contamination or injury.</w:t>
      </w:r>
    </w:p>
    <w:p>
      <w:pPr>
        <w:spacing w:after="0" w:line="106" w:lineRule="exact"/>
        <w:rPr>
          <w:sz w:val="20"/>
          <w:szCs w:val="20"/>
          <w:color w:val="auto"/>
        </w:rPr>
      </w:pPr>
    </w:p>
    <w:p>
      <w:pPr>
        <w:ind w:right="120" w:firstLine="384"/>
        <w:spacing w:after="0" w:line="253" w:lineRule="auto"/>
        <w:rPr>
          <w:sz w:val="20"/>
          <w:szCs w:val="20"/>
          <w:color w:val="auto"/>
        </w:rPr>
      </w:pPr>
      <w:r>
        <w:rPr>
          <w:rFonts w:ascii="Arial" w:cs="Arial" w:eastAsia="Arial" w:hAnsi="Arial"/>
          <w:sz w:val="17"/>
          <w:szCs w:val="17"/>
          <w:color w:val="auto"/>
        </w:rPr>
        <w:t>Our business and the business of several of our strategic partners involve the controlled use of hazardous materials, chemicals, biologics and radioactive compounds. Although we believe that our safety procedures for handling and disposing of such materials comply with state, federal and foreign standards, there will always be the risk of accidental contamination or injury. If we were to become liable for an accident, or if we were to suffer an extended facility shutdown, we could incur significant costs, damages and penalties that could harm our business. Manufacturing of our products and product candidates also requires permits from government agencies for water supply and wastewater discharge. If we do not obtain appropriate permits, including permits for sufficient quantities of water and wastewater, we could incur significant costs and limits on our manufacturing volumes that could harm our business.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144"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right="200" w:firstLine="231"/>
        <w:spacing w:after="0" w:line="287" w:lineRule="auto"/>
        <w:rPr>
          <w:sz w:val="20"/>
          <w:szCs w:val="20"/>
          <w:color w:val="auto"/>
        </w:rPr>
      </w:pPr>
      <w:r>
        <w:rPr>
          <w:rFonts w:ascii="Arial" w:cs="Arial" w:eastAsia="Arial" w:hAnsi="Arial"/>
          <w:sz w:val="17"/>
          <w:szCs w:val="17"/>
          <w:b w:val="1"/>
          <w:bCs w:val="1"/>
          <w:i w:val="1"/>
          <w:iCs w:val="1"/>
          <w:color w:val="2573BA"/>
        </w:rPr>
        <w:t>The illegal distribution and sale by third parties of counterfeit versions of our products or stolen products could have a negative impact on our reputation and business.</w:t>
      </w:r>
    </w:p>
    <w:p>
      <w:pPr>
        <w:spacing w:after="0" w:line="39" w:lineRule="exact"/>
        <w:rPr>
          <w:sz w:val="20"/>
          <w:szCs w:val="20"/>
          <w:color w:val="auto"/>
        </w:rPr>
      </w:pPr>
    </w:p>
    <w:p>
      <w:pPr>
        <w:ind w:right="60" w:firstLine="384"/>
        <w:spacing w:after="0" w:line="253" w:lineRule="auto"/>
        <w:rPr>
          <w:sz w:val="20"/>
          <w:szCs w:val="20"/>
          <w:color w:val="auto"/>
        </w:rPr>
      </w:pPr>
      <w:r>
        <w:rPr>
          <w:rFonts w:ascii="Arial" w:cs="Arial" w:eastAsia="Arial" w:hAnsi="Arial"/>
          <w:sz w:val="17"/>
          <w:szCs w:val="17"/>
          <w:color w:val="auto"/>
        </w:rPr>
        <w:t>Third parties might illegally distribute and sell counterfeit or unfit versions of our products, which do not meet our rigorous manufacturing, distribution and testing standards. A patient who receives a counterfeit or unfit drug may be at risk for a number of dangerous health consequences. Our reputation and business could suffer harm as a result of counterfeit or unfit drugs sold under our brand name. Stolen inventory that is not properly stored or sold through unauthorized channels could adversely impact patient safety, our reputation and our business. In addition, inventory that is stolen from warehouses, plants or while in-transit, and that is subsequently improperly stored and sold through unauthorized channels, could adversely impact patient safety, our reputation and our business.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The increasing use of social media platforms presents new risks and challenges.</w:t>
      </w:r>
    </w:p>
    <w:p>
      <w:pPr>
        <w:spacing w:after="0" w:line="106" w:lineRule="exact"/>
        <w:rPr>
          <w:sz w:val="20"/>
          <w:szCs w:val="20"/>
          <w:color w:val="auto"/>
        </w:rPr>
      </w:pPr>
    </w:p>
    <w:p>
      <w:pPr>
        <w:ind w:right="20" w:firstLine="384"/>
        <w:spacing w:after="0" w:line="252" w:lineRule="auto"/>
        <w:rPr>
          <w:sz w:val="20"/>
          <w:szCs w:val="20"/>
          <w:color w:val="auto"/>
        </w:rPr>
      </w:pPr>
      <w:r>
        <w:rPr>
          <w:rFonts w:ascii="Arial" w:cs="Arial" w:eastAsia="Arial" w:hAnsi="Arial"/>
          <w:sz w:val="17"/>
          <w:szCs w:val="17"/>
          <w:color w:val="auto"/>
        </w:rPr>
        <w:t>Social media is increasingly being used to communicate about our products and the diseases our therapies are designed to treat. Social media practices in the biopharmaceutical industry continue to evolve and regulations relating to such use are not always clear. This evolution creates uncertainty and risk of noncompliance with regulations applicable to our business. For example, patients may use social media channels to comment on the effectiveness of a product or to report an alleged adverse event. When such disclosures occur, there is a risk that we fail to monitor and comply with applicable adverse event reporting obligations or we may not be able to defend the company or the public's legitimate interests in the face of the political and market pressures generated by social media due to restrictions on what we may say about our products. There is also a risk of inappropriate disclosure of sensitive information or negative or inaccurate posts or comments about us on any social networking website. If any of these events were to occur or we otherwise fail to comply with applicable regulations, we could incur liability, face overly restrictive regulatory actions or incur other harm to our business.</w:t>
      </w:r>
    </w:p>
    <w:p>
      <w:pPr>
        <w:spacing w:after="0" w:line="131" w:lineRule="exact"/>
        <w:rPr>
          <w:sz w:val="20"/>
          <w:szCs w:val="20"/>
          <w:color w:val="auto"/>
        </w:rPr>
      </w:pPr>
    </w:p>
    <w:p>
      <w:pPr>
        <w:ind w:right="80" w:firstLine="231"/>
        <w:spacing w:after="0" w:line="287" w:lineRule="auto"/>
        <w:rPr>
          <w:sz w:val="20"/>
          <w:szCs w:val="20"/>
          <w:color w:val="auto"/>
        </w:rPr>
      </w:pPr>
      <w:r>
        <w:rPr>
          <w:rFonts w:ascii="Arial" w:cs="Arial" w:eastAsia="Arial" w:hAnsi="Arial"/>
          <w:sz w:val="17"/>
          <w:szCs w:val="17"/>
          <w:b w:val="1"/>
          <w:bCs w:val="1"/>
          <w:i w:val="1"/>
          <w:iCs w:val="1"/>
          <w:color w:val="2573BA"/>
        </w:rPr>
        <w:t>Some of our collaboration agreements contain change in control provisions that may discourage a third party from attempting to acquire us.</w:t>
      </w:r>
    </w:p>
    <w:p>
      <w:pPr>
        <w:spacing w:after="0" w:line="39" w:lineRule="exact"/>
        <w:rPr>
          <w:sz w:val="20"/>
          <w:szCs w:val="20"/>
          <w:color w:val="auto"/>
        </w:rPr>
      </w:pPr>
    </w:p>
    <w:p>
      <w:pPr>
        <w:ind w:firstLine="384"/>
        <w:spacing w:after="0" w:line="255" w:lineRule="auto"/>
        <w:rPr>
          <w:sz w:val="20"/>
          <w:szCs w:val="20"/>
          <w:color w:val="auto"/>
        </w:rPr>
      </w:pPr>
      <w:r>
        <w:rPr>
          <w:rFonts w:ascii="Arial" w:cs="Arial" w:eastAsia="Arial" w:hAnsi="Arial"/>
          <w:sz w:val="17"/>
          <w:szCs w:val="17"/>
          <w:color w:val="auto"/>
        </w:rPr>
        <w:t>Some of our collaboration agreements include change in control provisions that could reduce the potential acquisition price an acquirer is willing to pay or discourage a takeover attempt that could be viewed as beneficial to shareholders. Upon a change in control, some of these provisions could trigger reduced milestone, profit or royalty payments to us or give our collaboration partner rights to terminate our collaboration agreement, acquire operational control or force the purchase or sale of the programs that are the subject of the collaboration.</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We may incur operational difficulties or be exposed to claims and liabilities as a result of the spin-off of our hemophilia business.</w:t>
      </w:r>
    </w:p>
    <w:p>
      <w:pPr>
        <w:spacing w:after="0" w:line="106" w:lineRule="exact"/>
        <w:rPr>
          <w:sz w:val="20"/>
          <w:szCs w:val="20"/>
          <w:color w:val="auto"/>
        </w:rPr>
      </w:pPr>
    </w:p>
    <w:p>
      <w:pPr>
        <w:ind w:right="120" w:firstLine="384"/>
        <w:spacing w:after="0" w:line="253" w:lineRule="auto"/>
        <w:rPr>
          <w:sz w:val="20"/>
          <w:szCs w:val="20"/>
          <w:color w:val="auto"/>
        </w:rPr>
      </w:pPr>
      <w:r>
        <w:rPr>
          <w:rFonts w:ascii="Arial" w:cs="Arial" w:eastAsia="Arial" w:hAnsi="Arial"/>
          <w:sz w:val="17"/>
          <w:szCs w:val="17"/>
          <w:color w:val="auto"/>
        </w:rPr>
        <w:t>On February 1, 2017, we distributed all of the then outstanding shares of Bioverativ common stock to Biogen shareholders in connection with the spin-off of our hemophilia business. In connection with the distribution, we entered into a separation and distribution agreement and various other agreements (including a transition services agreement, a tax matters agreement, a manufacturing and supply agreement, an employee matters agreement, an intellectual property matters agreement and certain other commercial agreements). These agreements govern the separation and distribution and the relationship between us and Bioverativ going forward, including with respect to potential tax-related losses associated with the separation and distribution. They also provide for the performance of services by each company for the benefit of the other for a period of time (including under the manufacturing and supply agreement pursuant to which we will manufacture and supply certain products and materials to Bioverativ).</w:t>
      </w:r>
    </w:p>
    <w:p>
      <w:pPr>
        <w:spacing w:after="0" w:line="144" w:lineRule="exact"/>
        <w:rPr>
          <w:sz w:val="20"/>
          <w:szCs w:val="20"/>
          <w:color w:val="auto"/>
        </w:rPr>
      </w:pPr>
    </w:p>
    <w:p>
      <w:pPr>
        <w:ind w:right="100" w:firstLine="384"/>
        <w:spacing w:after="0" w:line="253" w:lineRule="auto"/>
        <w:rPr>
          <w:sz w:val="20"/>
          <w:szCs w:val="20"/>
          <w:color w:val="auto"/>
        </w:rPr>
      </w:pPr>
      <w:r>
        <w:rPr>
          <w:rFonts w:ascii="Arial" w:cs="Arial" w:eastAsia="Arial" w:hAnsi="Arial"/>
          <w:sz w:val="17"/>
          <w:szCs w:val="17"/>
          <w:color w:val="auto"/>
        </w:rPr>
        <w:t>The spin-off of our hemophilia business as an independent public company is intended to qualify for tax-free treatment to Biogen and its shareholders under the Internal Revenue Code. Completion of the spin-off was conditioned upon, among other things, our receipt of a favorable opinion from our tax advisors with respect to the tax-free nature of the transaction. The opinion is not binding on the U.S. Internal Revenue Service (IRS) or the courts, and there can be no assurance that the IRS or the courts will not challenge the qualification of the spin-off as a tax-free transaction or that any such challenge would not prevail. If the spin-off is determined to be taxable, the full financial benefits expected to result from the separation may not be achieved and/or Biogen and its shareholders could incur significant tax liabilities, which could adversely affect our business, financial condition or results of operations and the value of our stock could be adversely impacted.</w:t>
      </w:r>
    </w:p>
    <w:p>
      <w:pPr>
        <w:spacing w:after="0" w:line="146" w:lineRule="exact"/>
        <w:rPr>
          <w:sz w:val="20"/>
          <w:szCs w:val="20"/>
          <w:color w:val="auto"/>
        </w:rPr>
      </w:pPr>
    </w:p>
    <w:p>
      <w:pPr>
        <w:ind w:right="20" w:firstLine="384"/>
        <w:spacing w:after="0" w:line="255" w:lineRule="auto"/>
        <w:rPr>
          <w:sz w:val="20"/>
          <w:szCs w:val="20"/>
          <w:color w:val="auto"/>
        </w:rPr>
      </w:pPr>
      <w:r>
        <w:rPr>
          <w:rFonts w:ascii="Arial" w:cs="Arial" w:eastAsia="Arial" w:hAnsi="Arial"/>
          <w:sz w:val="17"/>
          <w:szCs w:val="17"/>
          <w:color w:val="auto"/>
        </w:rPr>
        <w:t>Bioverativ has agreed to indemnify us for certain potential liabilities that may arise, but we cannot guarantee that Bioverativ will be able to satisfy its indemnification obligations. The separation and distribution agreement provides for indemnification obligations designed to make Bioverativ financially responsible for many liabilities that may exist relating to its business activities, whether incurred prior to or after the distribution, including any pending or future litigation. It is possible that a court would disregard the allocation agreed to between us and Bioverativ and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20"/>
          </w:cols>
          <w:pgMar w:left="240" w:top="144"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2"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require us to assume responsibility for obligations allocated to Bioverativ. Third parties could also seek to hold us responsible for any of these liabilities or obligations, and the indemnity rights we have under the separation and distribution agreement may not be sufficient to fully cover all of these liabilities and obligations. Even if we are successful in obtaining indemnification, we may have to bear costs temporarily. In addition, our indemnity obligations to Bioverativ may be significant. These risks could negatively affect our business, financial condition or results of operations.</w:t>
      </w:r>
    </w:p>
    <w:p>
      <w:pPr>
        <w:spacing w:after="0" w:line="66" w:lineRule="exact"/>
        <w:rPr>
          <w:sz w:val="20"/>
          <w:szCs w:val="20"/>
          <w:color w:val="auto"/>
        </w:rPr>
      </w:pPr>
    </w:p>
    <w:p>
      <w:pPr>
        <w:ind w:right="60" w:firstLine="384"/>
        <w:spacing w:after="0" w:line="253" w:lineRule="auto"/>
        <w:rPr>
          <w:sz w:val="20"/>
          <w:szCs w:val="20"/>
          <w:color w:val="auto"/>
        </w:rPr>
      </w:pPr>
      <w:r>
        <w:rPr>
          <w:rFonts w:ascii="Arial" w:cs="Arial" w:eastAsia="Arial" w:hAnsi="Arial"/>
          <w:sz w:val="17"/>
          <w:szCs w:val="17"/>
          <w:color w:val="auto"/>
        </w:rPr>
        <w:t>The spin-off of Bioverativ continues to involve a number of risks, including, among other things, the indemnification risks described above. Certain of the agreements described above provide for the performance of services by each company for the benefit of the other for a period of time. If Bioverativ is unable to satisfy its obligations under these agreements, including its indemnification obligations, we could incur losses. These arrangements could also lead to disputes over rights to certain shared property and over the allocation of costs and revenues for products and operations. Our inability to effectively manage the separation activities and related events could adversely affect our business, financial condition or results of operations.</w:t>
      </w:r>
    </w:p>
    <w:p>
      <w:pPr>
        <w:spacing w:after="0" w:line="127" w:lineRule="exact"/>
        <w:rPr>
          <w:sz w:val="20"/>
          <w:szCs w:val="20"/>
          <w:color w:val="auto"/>
        </w:rPr>
      </w:pPr>
    </w:p>
    <w:p>
      <w:pPr>
        <w:ind w:right="380" w:firstLine="231"/>
        <w:spacing w:after="0" w:line="287" w:lineRule="auto"/>
        <w:rPr>
          <w:sz w:val="20"/>
          <w:szCs w:val="20"/>
          <w:color w:val="auto"/>
        </w:rPr>
      </w:pPr>
      <w:r>
        <w:rPr>
          <w:rFonts w:ascii="Arial" w:cs="Arial" w:eastAsia="Arial" w:hAnsi="Arial"/>
          <w:sz w:val="17"/>
          <w:szCs w:val="17"/>
          <w:b w:val="1"/>
          <w:bCs w:val="1"/>
          <w:i w:val="1"/>
          <w:iCs w:val="1"/>
          <w:color w:val="2573BA"/>
        </w:rPr>
        <w:t>We may not achieve some or all of the anticipated benefits of the spin-off of our hemophilia business, which may adversely affect our business.</w:t>
      </w:r>
    </w:p>
    <w:p>
      <w:pPr>
        <w:spacing w:after="0" w:line="116" w:lineRule="exact"/>
        <w:rPr>
          <w:sz w:val="20"/>
          <w:szCs w:val="20"/>
          <w:color w:val="auto"/>
        </w:rPr>
      </w:pPr>
    </w:p>
    <w:p>
      <w:pPr>
        <w:ind w:right="400" w:firstLine="384"/>
        <w:spacing w:after="0" w:line="257" w:lineRule="auto"/>
        <w:rPr>
          <w:sz w:val="20"/>
          <w:szCs w:val="20"/>
          <w:color w:val="auto"/>
        </w:rPr>
      </w:pPr>
      <w:r>
        <w:rPr>
          <w:rFonts w:ascii="Arial" w:cs="Arial" w:eastAsia="Arial" w:hAnsi="Arial"/>
          <w:sz w:val="17"/>
          <w:szCs w:val="17"/>
          <w:color w:val="auto"/>
        </w:rPr>
        <w:t>We may not be able to achieve the full strategic and financial benefits expected to result from the spin-off of our hemophilia business, or such benefits may not occur at all. If we fail to achieve some or all of the expected benefits of the spin-off, our business, financial condition, results of operations and the value of our stock could be adversely impacted.</w:t>
      </w:r>
    </w:p>
    <w:p>
      <w:pPr>
        <w:spacing w:after="0" w:line="199"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b w:val="1"/>
          <w:bCs w:val="1"/>
          <w:color w:val="1C5A7D"/>
        </w:rPr>
        <w:t>Item 1B.</w:t>
        <w:tab/>
        <w:t>Unresolved Staff Comments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None.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1C5A7D"/>
        </w:rPr>
        <w:t>Item 2.</w:t>
        <w:tab/>
        <w:t>Properties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Below is a summary of our owned and leased properties as of December 31, 2017.</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Massachusetts</w:t>
      </w:r>
    </w:p>
    <w:p>
      <w:pPr>
        <w:spacing w:after="0" w:line="106" w:lineRule="exact"/>
        <w:rPr>
          <w:sz w:val="20"/>
          <w:szCs w:val="20"/>
          <w:color w:val="auto"/>
        </w:rPr>
      </w:pPr>
    </w:p>
    <w:p>
      <w:pPr>
        <w:ind w:firstLine="410"/>
        <w:spacing w:after="0" w:line="257" w:lineRule="auto"/>
        <w:rPr>
          <w:sz w:val="20"/>
          <w:szCs w:val="20"/>
          <w:color w:val="auto"/>
        </w:rPr>
      </w:pPr>
      <w:r>
        <w:rPr>
          <w:rFonts w:ascii="Arial" w:cs="Arial" w:eastAsia="Arial" w:hAnsi="Arial"/>
          <w:sz w:val="17"/>
          <w:szCs w:val="17"/>
          <w:color w:val="auto"/>
        </w:rPr>
        <w:t>In Cambridge, MA, we own approximately 508,000 square feet of real estate space, consisting of a building that houses a research laboratory and a cogeneration plant totaling approximately 263,000 square feet and a building that contains research, development and quality laboratories totaling approximately 245,000 square feet.</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addition, we lease a total of approximately 1,157,000 square feet in Massachusetts, which is summarized as follows:</w:t>
      </w:r>
    </w:p>
    <w:p>
      <w:pPr>
        <w:spacing w:after="0" w:line="163" w:lineRule="exact"/>
        <w:rPr>
          <w:sz w:val="20"/>
          <w:szCs w:val="20"/>
          <w:color w:val="auto"/>
        </w:rPr>
      </w:pPr>
    </w:p>
    <w:p>
      <w:pPr>
        <w:ind w:left="380" w:right="200" w:hanging="301"/>
        <w:spacing w:after="0" w:line="257" w:lineRule="auto"/>
        <w:tabs>
          <w:tab w:leader="none" w:pos="3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800,000 square feet in Cambridge, MA, which is comprised of offices for our corporate headquarters, and other administrative and development functions and laboratories, of which 242,000 square feet is subleased by multiple companies for general office space, laboratories and manufacturing facilities; and</w:t>
      </w:r>
    </w:p>
    <w:p>
      <w:pPr>
        <w:spacing w:after="0" w:line="140" w:lineRule="exact"/>
        <w:rPr>
          <w:rFonts w:ascii="Arial" w:cs="Arial" w:eastAsia="Arial" w:hAnsi="Arial"/>
          <w:sz w:val="17"/>
          <w:szCs w:val="17"/>
          <w:color w:val="auto"/>
        </w:rPr>
      </w:pPr>
    </w:p>
    <w:p>
      <w:pPr>
        <w:ind w:left="380" w:right="320" w:hanging="301"/>
        <w:spacing w:after="0" w:line="262" w:lineRule="auto"/>
        <w:tabs>
          <w:tab w:leader="none" w:pos="3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357,000 square feet of office space in Weston, MA, of which 174,000 square feet has been subleased through the remaining term of our lease agreement.</w:t>
      </w:r>
    </w:p>
    <w:p>
      <w:pPr>
        <w:spacing w:after="0" w:line="13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Massachusetts lease agreements expire at various dates through the year 2028.</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North Carolina</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RTP, NC, we own approximately 1,022,000 square feet of real estate space, which is summarized as follows:</w:t>
      </w:r>
    </w:p>
    <w:p>
      <w:pPr>
        <w:spacing w:after="0" w:line="163" w:lineRule="exact"/>
        <w:rPr>
          <w:sz w:val="20"/>
          <w:szCs w:val="20"/>
          <w:color w:val="auto"/>
        </w:rPr>
      </w:pPr>
    </w:p>
    <w:p>
      <w:pPr>
        <w:ind w:left="380" w:hanging="301"/>
        <w:spacing w:after="0"/>
        <w:tabs>
          <w:tab w:leader="none" w:pos="3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357,000 square feet of laboratory and office space;</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188,000 square feet related to an oral solid dose manufacturing facility;</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175,000 square feet related to a large-scale biologics manufacturing facility;</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105,000 square feet related to a small-scale biologics manufacturing facility;</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84,000 square feet of warehouse space and utilities;</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70,000 square feet related to a parenteral fill-finish facility; and</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144"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2" w:lineRule="exact"/>
        <w:rPr>
          <w:sz w:val="20"/>
          <w:szCs w:val="20"/>
          <w:color w:val="auto"/>
        </w:rPr>
      </w:pPr>
    </w:p>
    <w:p>
      <w:pPr>
        <w:ind w:left="380" w:hanging="301"/>
        <w:spacing w:after="0"/>
        <w:tabs>
          <w:tab w:leader="none" w:pos="3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43,000 square feet related to a large-scale purification facility.</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addition, we own approximately 40,000 square feet of warehouse space in Durham, NC.</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Denmark</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own a large-scale biologics manufacturing facility totaling approximately 228,000 square feet located in Hillerød, Denmark.</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also own approximately 306,000 square feet of additional space, which is summarized as follows:</w:t>
      </w:r>
    </w:p>
    <w:p>
      <w:pPr>
        <w:spacing w:after="0" w:line="163" w:lineRule="exact"/>
        <w:rPr>
          <w:sz w:val="20"/>
          <w:szCs w:val="20"/>
          <w:color w:val="auto"/>
        </w:rPr>
      </w:pPr>
    </w:p>
    <w:p>
      <w:pPr>
        <w:ind w:left="380" w:hanging="301"/>
        <w:spacing w:after="0"/>
        <w:tabs>
          <w:tab w:leader="none" w:pos="3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139,000 square feet of warehouse, utilities and support space;</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70,000 square feet related to a label and packaging facility;</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50,000 square feet related to a laboratory facility; and</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47,000 square feet of administrative space.</w:t>
      </w:r>
    </w:p>
    <w:p>
      <w:pPr>
        <w:spacing w:after="0" w:line="143"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2573BA"/>
        </w:rPr>
        <w:t>Switzerland</w:t>
      </w:r>
    </w:p>
    <w:p>
      <w:pPr>
        <w:spacing w:after="0" w:line="106" w:lineRule="exact"/>
        <w:rPr>
          <w:sz w:val="20"/>
          <w:szCs w:val="20"/>
          <w:color w:val="auto"/>
        </w:rPr>
      </w:pPr>
    </w:p>
    <w:p>
      <w:pPr>
        <w:jc w:val="both"/>
        <w:ind w:right="380" w:firstLine="410"/>
        <w:spacing w:after="0" w:line="257" w:lineRule="auto"/>
        <w:rPr>
          <w:sz w:val="20"/>
          <w:szCs w:val="20"/>
          <w:color w:val="auto"/>
        </w:rPr>
      </w:pPr>
      <w:r>
        <w:rPr>
          <w:rFonts w:ascii="Arial" w:cs="Arial" w:eastAsia="Arial" w:hAnsi="Arial"/>
          <w:sz w:val="17"/>
          <w:szCs w:val="17"/>
          <w:color w:val="auto"/>
        </w:rPr>
        <w:t>In December 2015 we purchased land in Solothurn, Switzerland and are building a large-scale biologics manufacturing facility at this site. We expect this facility to be operational by the end of the decade. Upon completion, the facility will include 393,000 square feet related to a large-scale biologics manufacturing facility, 290,000 square feet of warehouse, utilities and support space and 51,000 square feet of administrative space.</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Other International</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lease office space in Zug, Switzerland, our international headquarters, the U.K., Germany, France, Denmark and numerous other countries.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Our international lease agreements expire at various dates through the year 2028.</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1C5A7D"/>
        </w:rPr>
        <w:t>Item 3.</w:t>
        <w:tab/>
        <w:t>Legal Proceedings</w:t>
      </w:r>
    </w:p>
    <w:p>
      <w:pPr>
        <w:spacing w:after="0" w:line="91" w:lineRule="exact"/>
        <w:rPr>
          <w:sz w:val="20"/>
          <w:szCs w:val="20"/>
          <w:color w:val="auto"/>
        </w:rPr>
      </w:pPr>
    </w:p>
    <w:p>
      <w:pPr>
        <w:ind w:firstLine="410"/>
        <w:spacing w:after="0" w:line="284" w:lineRule="auto"/>
        <w:rPr>
          <w:sz w:val="20"/>
          <w:szCs w:val="20"/>
          <w:color w:val="auto"/>
        </w:rPr>
      </w:pPr>
      <w:r>
        <w:rPr>
          <w:rFonts w:ascii="Arial" w:cs="Arial" w:eastAsia="Arial" w:hAnsi="Arial"/>
          <w:sz w:val="17"/>
          <w:szCs w:val="17"/>
          <w:color w:val="auto"/>
        </w:rPr>
        <w:t xml:space="preserve">For a discussion of legal matters as of December 31, 2017, please read Note 21, </w:t>
      </w:r>
      <w:r>
        <w:rPr>
          <w:rFonts w:ascii="Arial" w:cs="Arial" w:eastAsia="Arial" w:hAnsi="Arial"/>
          <w:sz w:val="17"/>
          <w:szCs w:val="17"/>
          <w:i w:val="1"/>
          <w:iCs w:val="1"/>
          <w:color w:val="auto"/>
        </w:rPr>
        <w:t>Litigation,</w:t>
      </w:r>
      <w:r>
        <w:rPr>
          <w:rFonts w:ascii="Arial" w:cs="Arial" w:eastAsia="Arial" w:hAnsi="Arial"/>
          <w:sz w:val="17"/>
          <w:szCs w:val="17"/>
          <w:color w:val="auto"/>
        </w:rPr>
        <w:t xml:space="preserve"> to our consolidated financial statements included in this report, which is incorporated into this item by reference.</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1C5A7D"/>
        </w:rPr>
        <w:t>Item 4.</w:t>
        <w:tab/>
        <w:t>Mine Safety Disclosures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Not applicable.</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20"/>
          </w:cols>
          <w:pgMar w:left="240" w:top="144"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PART II</w:t>
      </w:r>
    </w:p>
    <w:p>
      <w:pPr>
        <w:spacing w:after="0" w:line="39" w:lineRule="exact"/>
        <w:rPr>
          <w:sz w:val="20"/>
          <w:szCs w:val="20"/>
          <w:color w:val="auto"/>
        </w:rPr>
      </w:pPr>
    </w:p>
    <w:p>
      <w:pPr>
        <w:ind w:right="660"/>
        <w:spacing w:after="0" w:line="270" w:lineRule="auto"/>
        <w:rPr>
          <w:sz w:val="20"/>
          <w:szCs w:val="20"/>
          <w:color w:val="auto"/>
        </w:rPr>
      </w:pPr>
      <w:r>
        <w:rPr>
          <w:rFonts w:ascii="Arial" w:cs="Arial" w:eastAsia="Arial" w:hAnsi="Arial"/>
          <w:sz w:val="20"/>
          <w:szCs w:val="20"/>
          <w:b w:val="1"/>
          <w:bCs w:val="1"/>
          <w:color w:val="1C5A7D"/>
        </w:rPr>
        <w:t>Item 5. Market for Registrant’s Common Equity, Related Stockholder Matters and Issuer Purchases of Equity Securities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Market and Stockholder Information</w:t>
      </w:r>
    </w:p>
    <w:p>
      <w:pPr>
        <w:spacing w:after="0" w:line="109" w:lineRule="exact"/>
        <w:rPr>
          <w:sz w:val="20"/>
          <w:szCs w:val="20"/>
          <w:color w:val="auto"/>
        </w:rPr>
      </w:pPr>
    </w:p>
    <w:p>
      <w:pPr>
        <w:ind w:right="160" w:firstLine="410"/>
        <w:spacing w:after="0" w:line="262" w:lineRule="auto"/>
        <w:rPr>
          <w:sz w:val="20"/>
          <w:szCs w:val="20"/>
          <w:color w:val="auto"/>
        </w:rPr>
      </w:pPr>
      <w:r>
        <w:rPr>
          <w:rFonts w:ascii="Arial" w:cs="Arial" w:eastAsia="Arial" w:hAnsi="Arial"/>
          <w:sz w:val="17"/>
          <w:szCs w:val="17"/>
          <w:color w:val="auto"/>
        </w:rPr>
        <w:t>Our common stock trades on The Nasdaq Global Select Market under the symbol “BIIB.” The following table shows the high and low sales price for our common stock as reported by The Nasdaq Global Select Market for each quarter in the years ended December 31, 2017 and 2016:</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5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Common Stock Price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49"/>
        </w:trPr>
        <w:tc>
          <w:tcPr>
            <w:tcW w:w="5140" w:type="dxa"/>
            <w:vAlign w:val="bottom"/>
          </w:tcPr>
          <w:p>
            <w:pPr>
              <w:spacing w:after="0"/>
              <w:rPr>
                <w:sz w:val="21"/>
                <w:szCs w:val="21"/>
                <w:color w:val="auto"/>
              </w:rPr>
            </w:pPr>
          </w:p>
        </w:tc>
        <w:tc>
          <w:tcPr>
            <w:tcW w:w="140" w:type="dxa"/>
            <w:vAlign w:val="bottom"/>
            <w:tcBorders>
              <w:bottom w:val="single" w:sz="8" w:color="auto"/>
            </w:tcBorders>
            <w:shd w:val="clear" w:color="auto" w:fill="DDDDDD"/>
          </w:tcPr>
          <w:p>
            <w:pPr>
              <w:spacing w:after="0"/>
              <w:rPr>
                <w:sz w:val="21"/>
                <w:szCs w:val="21"/>
                <w:color w:val="auto"/>
              </w:rPr>
            </w:pPr>
          </w:p>
        </w:tc>
        <w:tc>
          <w:tcPr>
            <w:tcW w:w="1260" w:type="dxa"/>
            <w:vAlign w:val="bottom"/>
            <w:tcBorders>
              <w:bottom w:val="single" w:sz="8" w:color="auto"/>
            </w:tcBorders>
            <w:shd w:val="clear" w:color="auto" w:fill="DDDDDD"/>
          </w:tcPr>
          <w:p>
            <w:pPr>
              <w:spacing w:after="0"/>
              <w:rPr>
                <w:sz w:val="21"/>
                <w:szCs w:val="21"/>
                <w:color w:val="auto"/>
              </w:rPr>
            </w:pPr>
          </w:p>
        </w:tc>
        <w:tc>
          <w:tcPr>
            <w:tcW w:w="560" w:type="dxa"/>
            <w:vAlign w:val="bottom"/>
            <w:tcBorders>
              <w:bottom w:val="single" w:sz="8" w:color="auto"/>
            </w:tcBorders>
            <w:gridSpan w:val="3"/>
            <w:shd w:val="clear" w:color="auto" w:fill="DDDDDD"/>
          </w:tcPr>
          <w:p>
            <w:pPr>
              <w:jc w:val="right"/>
              <w:ind w:right="260"/>
              <w:spacing w:after="0"/>
              <w:rPr>
                <w:sz w:val="20"/>
                <w:szCs w:val="20"/>
                <w:color w:val="auto"/>
              </w:rPr>
            </w:pPr>
            <w:r>
              <w:rPr>
                <w:rFonts w:ascii="Arial" w:cs="Arial" w:eastAsia="Arial" w:hAnsi="Arial"/>
                <w:sz w:val="14"/>
                <w:szCs w:val="14"/>
                <w:b w:val="1"/>
                <w:bCs w:val="1"/>
                <w:color w:val="2573BA"/>
                <w:w w:val="89"/>
              </w:rPr>
              <w:t>2017</w:t>
            </w:r>
          </w:p>
        </w:tc>
        <w:tc>
          <w:tcPr>
            <w:tcW w:w="1120" w:type="dxa"/>
            <w:vAlign w:val="bottom"/>
            <w:tcBorders>
              <w:bottom w:val="single" w:sz="8" w:color="auto"/>
            </w:tcBorders>
            <w:shd w:val="clear" w:color="auto" w:fill="DDDDDD"/>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6"/>
              </w:rPr>
              <w:t>2016</w:t>
            </w:r>
          </w:p>
        </w:tc>
        <w:tc>
          <w:tcPr>
            <w:tcW w:w="1120" w:type="dxa"/>
            <w:vAlign w:val="bottom"/>
            <w:tcBorders>
              <w:bottom w:val="single" w:sz="8" w:color="auto"/>
            </w:tcBorders>
          </w:tcPr>
          <w:p>
            <w:pPr>
              <w:spacing w:after="0"/>
              <w:rPr>
                <w:sz w:val="21"/>
                <w:szCs w:val="21"/>
                <w:color w:val="auto"/>
              </w:rPr>
            </w:pPr>
          </w:p>
        </w:tc>
      </w:tr>
      <w:tr>
        <w:trPr>
          <w:trHeight w:val="247"/>
        </w:trPr>
        <w:tc>
          <w:tcPr>
            <w:tcW w:w="5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DDDDDD"/>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Low</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Low</w:t>
            </w:r>
          </w:p>
        </w:tc>
      </w:tr>
      <w:tr>
        <w:trPr>
          <w:trHeight w:val="229"/>
        </w:trPr>
        <w:tc>
          <w:tcPr>
            <w:tcW w:w="5140" w:type="dxa"/>
            <w:vAlign w:val="bottom"/>
          </w:tcPr>
          <w:p>
            <w:pPr>
              <w:spacing w:after="0"/>
              <w:rPr>
                <w:sz w:val="20"/>
                <w:szCs w:val="20"/>
                <w:color w:val="auto"/>
              </w:rPr>
            </w:pPr>
            <w:r>
              <w:rPr>
                <w:rFonts w:ascii="Arial" w:cs="Arial" w:eastAsia="Arial" w:hAnsi="Arial"/>
                <w:sz w:val="17"/>
                <w:szCs w:val="17"/>
                <w:color w:val="auto"/>
              </w:rPr>
              <w:t>First Quarter</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298.00</w:t>
            </w:r>
          </w:p>
        </w:tc>
        <w:tc>
          <w:tcPr>
            <w:tcW w:w="560" w:type="dxa"/>
            <w:vAlign w:val="bottom"/>
            <w:gridSpan w:val="3"/>
            <w:shd w:val="clear" w:color="auto" w:fill="DDDDDD"/>
          </w:tcPr>
          <w:p>
            <w:pPr>
              <w:jc w:val="right"/>
              <w:ind w:right="240"/>
              <w:spacing w:after="0"/>
              <w:rPr>
                <w:sz w:val="20"/>
                <w:szCs w:val="20"/>
                <w:color w:val="auto"/>
              </w:rPr>
            </w:pPr>
            <w:r>
              <w:rPr>
                <w:rFonts w:ascii="Arial" w:cs="Arial" w:eastAsia="Arial" w:hAnsi="Arial"/>
                <w:sz w:val="17"/>
                <w:szCs w:val="17"/>
                <w:color w:val="2573BA"/>
              </w:rPr>
              <w:t>$</w:t>
            </w:r>
          </w:p>
        </w:tc>
        <w:tc>
          <w:tcPr>
            <w:tcW w:w="1120" w:type="dxa"/>
            <w:vAlign w:val="bottom"/>
            <w:shd w:val="clear" w:color="auto" w:fill="DDDDDD"/>
          </w:tcPr>
          <w:p>
            <w:pPr>
              <w:ind w:left="500"/>
              <w:spacing w:after="0"/>
              <w:rPr>
                <w:sz w:val="20"/>
                <w:szCs w:val="20"/>
                <w:color w:val="auto"/>
              </w:rPr>
            </w:pPr>
            <w:r>
              <w:rPr>
                <w:rFonts w:ascii="Arial" w:cs="Arial" w:eastAsia="Arial" w:hAnsi="Arial"/>
                <w:sz w:val="17"/>
                <w:szCs w:val="17"/>
                <w:color w:val="2573BA"/>
              </w:rPr>
              <w:t>254.15</w:t>
            </w:r>
          </w:p>
        </w:tc>
        <w:tc>
          <w:tcPr>
            <w:tcW w:w="4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301.02</w:t>
            </w:r>
          </w:p>
        </w:tc>
        <w:tc>
          <w:tcPr>
            <w:tcW w:w="56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8"/>
              <w:spacing w:after="0"/>
              <w:rPr>
                <w:sz w:val="20"/>
                <w:szCs w:val="20"/>
                <w:color w:val="auto"/>
              </w:rPr>
            </w:pPr>
            <w:r>
              <w:rPr>
                <w:rFonts w:ascii="Arial" w:cs="Arial" w:eastAsia="Arial" w:hAnsi="Arial"/>
                <w:sz w:val="17"/>
                <w:szCs w:val="17"/>
                <w:color w:val="auto"/>
              </w:rPr>
              <w:t>242.07</w:t>
            </w:r>
          </w:p>
        </w:tc>
      </w:tr>
      <w:tr>
        <w:trPr>
          <w:trHeight w:val="256"/>
        </w:trPr>
        <w:tc>
          <w:tcPr>
            <w:tcW w:w="5140" w:type="dxa"/>
            <w:vAlign w:val="bottom"/>
          </w:tcPr>
          <w:p>
            <w:pPr>
              <w:spacing w:after="0"/>
              <w:rPr>
                <w:sz w:val="20"/>
                <w:szCs w:val="20"/>
                <w:color w:val="auto"/>
              </w:rPr>
            </w:pPr>
            <w:r>
              <w:rPr>
                <w:rFonts w:ascii="Arial" w:cs="Arial" w:eastAsia="Arial" w:hAnsi="Arial"/>
                <w:sz w:val="17"/>
                <w:szCs w:val="17"/>
                <w:color w:val="auto"/>
              </w:rPr>
              <w:t>Second Quarter</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291.90</w:t>
            </w:r>
          </w:p>
        </w:tc>
        <w:tc>
          <w:tcPr>
            <w:tcW w:w="560" w:type="dxa"/>
            <w:vAlign w:val="bottom"/>
            <w:gridSpan w:val="3"/>
            <w:shd w:val="clear" w:color="auto" w:fill="DDDDDD"/>
          </w:tcPr>
          <w:p>
            <w:pPr>
              <w:jc w:val="right"/>
              <w:ind w:right="240"/>
              <w:spacing w:after="0"/>
              <w:rPr>
                <w:sz w:val="20"/>
                <w:szCs w:val="20"/>
                <w:color w:val="auto"/>
              </w:rPr>
            </w:pPr>
            <w:r>
              <w:rPr>
                <w:rFonts w:ascii="Arial" w:cs="Arial" w:eastAsia="Arial" w:hAnsi="Arial"/>
                <w:sz w:val="17"/>
                <w:szCs w:val="17"/>
                <w:color w:val="2573BA"/>
              </w:rPr>
              <w:t>$</w:t>
            </w:r>
          </w:p>
        </w:tc>
        <w:tc>
          <w:tcPr>
            <w:tcW w:w="1120" w:type="dxa"/>
            <w:vAlign w:val="bottom"/>
            <w:shd w:val="clear" w:color="auto" w:fill="DDDDDD"/>
          </w:tcPr>
          <w:p>
            <w:pPr>
              <w:ind w:left="500"/>
              <w:spacing w:after="0"/>
              <w:rPr>
                <w:sz w:val="20"/>
                <w:szCs w:val="20"/>
                <w:color w:val="auto"/>
              </w:rPr>
            </w:pPr>
            <w:r>
              <w:rPr>
                <w:rFonts w:ascii="Arial" w:cs="Arial" w:eastAsia="Arial" w:hAnsi="Arial"/>
                <w:sz w:val="17"/>
                <w:szCs w:val="17"/>
                <w:color w:val="2573BA"/>
              </w:rPr>
              <w:t>244.28</w:t>
            </w:r>
          </w:p>
        </w:tc>
        <w:tc>
          <w:tcPr>
            <w:tcW w:w="4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292.69</w:t>
            </w:r>
          </w:p>
        </w:tc>
        <w:tc>
          <w:tcPr>
            <w:tcW w:w="56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8"/>
              <w:spacing w:after="0"/>
              <w:rPr>
                <w:sz w:val="20"/>
                <w:szCs w:val="20"/>
                <w:color w:val="auto"/>
              </w:rPr>
            </w:pPr>
            <w:r>
              <w:rPr>
                <w:rFonts w:ascii="Arial" w:cs="Arial" w:eastAsia="Arial" w:hAnsi="Arial"/>
                <w:sz w:val="17"/>
                <w:szCs w:val="17"/>
                <w:color w:val="auto"/>
              </w:rPr>
              <w:t>223.02</w:t>
            </w:r>
          </w:p>
        </w:tc>
      </w:tr>
      <w:tr>
        <w:trPr>
          <w:trHeight w:val="256"/>
        </w:trPr>
        <w:tc>
          <w:tcPr>
            <w:tcW w:w="5140" w:type="dxa"/>
            <w:vAlign w:val="bottom"/>
          </w:tcPr>
          <w:p>
            <w:pPr>
              <w:spacing w:after="0"/>
              <w:rPr>
                <w:sz w:val="20"/>
                <w:szCs w:val="20"/>
                <w:color w:val="auto"/>
              </w:rPr>
            </w:pPr>
            <w:r>
              <w:rPr>
                <w:rFonts w:ascii="Arial" w:cs="Arial" w:eastAsia="Arial" w:hAnsi="Arial"/>
                <w:sz w:val="17"/>
                <w:szCs w:val="17"/>
                <w:color w:val="auto"/>
              </w:rPr>
              <w:t>Third Quarter</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330.00</w:t>
            </w:r>
          </w:p>
        </w:tc>
        <w:tc>
          <w:tcPr>
            <w:tcW w:w="100" w:type="dxa"/>
            <w:vAlign w:val="bottom"/>
            <w:shd w:val="clear" w:color="auto" w:fill="DDDDDD"/>
          </w:tcPr>
          <w:p>
            <w:pPr>
              <w:spacing w:after="0"/>
              <w:rPr>
                <w:sz w:val="22"/>
                <w:szCs w:val="22"/>
                <w:color w:val="auto"/>
              </w:rPr>
            </w:pPr>
          </w:p>
        </w:tc>
        <w:tc>
          <w:tcPr>
            <w:tcW w:w="460" w:type="dxa"/>
            <w:vAlign w:val="bottom"/>
            <w:gridSpan w:val="2"/>
            <w:shd w:val="clear" w:color="auto" w:fill="DDDDDD"/>
          </w:tcPr>
          <w:p>
            <w:pPr>
              <w:jc w:val="right"/>
              <w:ind w:right="240"/>
              <w:spacing w:after="0"/>
              <w:rPr>
                <w:sz w:val="20"/>
                <w:szCs w:val="20"/>
                <w:color w:val="auto"/>
              </w:rPr>
            </w:pPr>
            <w:r>
              <w:rPr>
                <w:rFonts w:ascii="Arial" w:cs="Arial" w:eastAsia="Arial" w:hAnsi="Arial"/>
                <w:sz w:val="17"/>
                <w:szCs w:val="17"/>
                <w:color w:val="2573BA"/>
              </w:rPr>
              <w:t>$</w:t>
            </w:r>
          </w:p>
        </w:tc>
        <w:tc>
          <w:tcPr>
            <w:tcW w:w="1120" w:type="dxa"/>
            <w:vAlign w:val="bottom"/>
            <w:shd w:val="clear" w:color="auto" w:fill="DDDDDD"/>
          </w:tcPr>
          <w:p>
            <w:pPr>
              <w:ind w:left="500"/>
              <w:spacing w:after="0"/>
              <w:rPr>
                <w:sz w:val="20"/>
                <w:szCs w:val="20"/>
                <w:color w:val="auto"/>
              </w:rPr>
            </w:pPr>
            <w:r>
              <w:rPr>
                <w:rFonts w:ascii="Arial" w:cs="Arial" w:eastAsia="Arial" w:hAnsi="Arial"/>
                <w:sz w:val="17"/>
                <w:szCs w:val="17"/>
                <w:color w:val="2573BA"/>
              </w:rPr>
              <w:t>269.50</w:t>
            </w:r>
          </w:p>
        </w:tc>
        <w:tc>
          <w:tcPr>
            <w:tcW w:w="4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333.65</w:t>
            </w:r>
          </w:p>
        </w:tc>
        <w:tc>
          <w:tcPr>
            <w:tcW w:w="56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8"/>
              <w:spacing w:after="0"/>
              <w:rPr>
                <w:sz w:val="20"/>
                <w:szCs w:val="20"/>
                <w:color w:val="auto"/>
              </w:rPr>
            </w:pPr>
            <w:r>
              <w:rPr>
                <w:rFonts w:ascii="Arial" w:cs="Arial" w:eastAsia="Arial" w:hAnsi="Arial"/>
                <w:sz w:val="17"/>
                <w:szCs w:val="17"/>
                <w:color w:val="auto"/>
              </w:rPr>
              <w:t>240.07</w:t>
            </w:r>
          </w:p>
        </w:tc>
      </w:tr>
      <w:tr>
        <w:trPr>
          <w:trHeight w:val="270"/>
        </w:trPr>
        <w:tc>
          <w:tcPr>
            <w:tcW w:w="5140" w:type="dxa"/>
            <w:vAlign w:val="bottom"/>
          </w:tcPr>
          <w:p>
            <w:pPr>
              <w:spacing w:after="0"/>
              <w:rPr>
                <w:sz w:val="20"/>
                <w:szCs w:val="20"/>
                <w:color w:val="auto"/>
              </w:rPr>
            </w:pPr>
            <w:r>
              <w:rPr>
                <w:rFonts w:ascii="Arial" w:cs="Arial" w:eastAsia="Arial" w:hAnsi="Arial"/>
                <w:sz w:val="17"/>
                <w:szCs w:val="17"/>
                <w:color w:val="auto"/>
              </w:rPr>
              <w:t>Fourth Quarter</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348.84</w:t>
            </w:r>
          </w:p>
        </w:tc>
        <w:tc>
          <w:tcPr>
            <w:tcW w:w="100" w:type="dxa"/>
            <w:vAlign w:val="bottom"/>
            <w:shd w:val="clear" w:color="auto" w:fill="DDDDDD"/>
          </w:tcPr>
          <w:p>
            <w:pPr>
              <w:spacing w:after="0"/>
              <w:rPr>
                <w:sz w:val="23"/>
                <w:szCs w:val="23"/>
                <w:color w:val="auto"/>
              </w:rPr>
            </w:pPr>
          </w:p>
        </w:tc>
        <w:tc>
          <w:tcPr>
            <w:tcW w:w="460" w:type="dxa"/>
            <w:vAlign w:val="bottom"/>
            <w:gridSpan w:val="2"/>
            <w:shd w:val="clear" w:color="auto" w:fill="DDDDDD"/>
          </w:tcPr>
          <w:p>
            <w:pPr>
              <w:jc w:val="right"/>
              <w:ind w:right="240"/>
              <w:spacing w:after="0"/>
              <w:rPr>
                <w:sz w:val="20"/>
                <w:szCs w:val="20"/>
                <w:color w:val="auto"/>
              </w:rPr>
            </w:pPr>
            <w:r>
              <w:rPr>
                <w:rFonts w:ascii="Arial" w:cs="Arial" w:eastAsia="Arial" w:hAnsi="Arial"/>
                <w:sz w:val="17"/>
                <w:szCs w:val="17"/>
                <w:color w:val="2573BA"/>
              </w:rPr>
              <w:t>$</w:t>
            </w:r>
          </w:p>
        </w:tc>
        <w:tc>
          <w:tcPr>
            <w:tcW w:w="1120" w:type="dxa"/>
            <w:vAlign w:val="bottom"/>
            <w:shd w:val="clear" w:color="auto" w:fill="DDDDDD"/>
          </w:tcPr>
          <w:p>
            <w:pPr>
              <w:ind w:left="500"/>
              <w:spacing w:after="0"/>
              <w:rPr>
                <w:sz w:val="20"/>
                <w:szCs w:val="20"/>
                <w:color w:val="auto"/>
              </w:rPr>
            </w:pPr>
            <w:r>
              <w:rPr>
                <w:rFonts w:ascii="Arial" w:cs="Arial" w:eastAsia="Arial" w:hAnsi="Arial"/>
                <w:sz w:val="17"/>
                <w:szCs w:val="17"/>
                <w:color w:val="2573BA"/>
              </w:rPr>
              <w:t>301.81</w:t>
            </w:r>
          </w:p>
        </w:tc>
        <w:tc>
          <w:tcPr>
            <w:tcW w:w="4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329.83</w:t>
            </w:r>
          </w:p>
        </w:tc>
        <w:tc>
          <w:tcPr>
            <w:tcW w:w="56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8"/>
              <w:spacing w:after="0"/>
              <w:rPr>
                <w:sz w:val="20"/>
                <w:szCs w:val="20"/>
                <w:color w:val="auto"/>
              </w:rPr>
            </w:pPr>
            <w:r>
              <w:rPr>
                <w:rFonts w:ascii="Arial" w:cs="Arial" w:eastAsia="Arial" w:hAnsi="Arial"/>
                <w:sz w:val="17"/>
                <w:szCs w:val="17"/>
                <w:color w:val="auto"/>
              </w:rPr>
              <w:t>268.00</w:t>
            </w:r>
          </w:p>
        </w:tc>
      </w:tr>
    </w:tbl>
    <w:p>
      <w:pPr>
        <w:spacing w:after="0" w:line="153" w:lineRule="exact"/>
        <w:rPr>
          <w:sz w:val="20"/>
          <w:szCs w:val="20"/>
          <w:color w:val="auto"/>
        </w:rPr>
      </w:pPr>
    </w:p>
    <w:p>
      <w:pPr>
        <w:ind w:right="160" w:firstLine="410"/>
        <w:spacing w:after="0" w:line="257" w:lineRule="auto"/>
        <w:rPr>
          <w:sz w:val="20"/>
          <w:szCs w:val="20"/>
          <w:color w:val="auto"/>
        </w:rPr>
      </w:pPr>
      <w:r>
        <w:rPr>
          <w:rFonts w:ascii="Arial" w:cs="Arial" w:eastAsia="Arial" w:hAnsi="Arial"/>
          <w:sz w:val="17"/>
          <w:szCs w:val="17"/>
          <w:color w:val="auto"/>
        </w:rPr>
        <w:t xml:space="preserve">The sales prices in the first quarter of 2017 in the tables above have been adjusted for the impact of the spin-off of our hemophilia business. For additional information on the spin-off of our hemophilia business, please read Note 3, </w:t>
      </w:r>
      <w:r>
        <w:rPr>
          <w:rFonts w:ascii="Arial" w:cs="Arial" w:eastAsia="Arial" w:hAnsi="Arial"/>
          <w:sz w:val="17"/>
          <w:szCs w:val="17"/>
          <w:i w:val="1"/>
          <w:iCs w:val="1"/>
          <w:color w:val="auto"/>
        </w:rPr>
        <w:t>Hemophilia Spin-Off</w:t>
      </w:r>
      <w:r>
        <w:rPr>
          <w:rFonts w:ascii="Arial" w:cs="Arial" w:eastAsia="Arial" w:hAnsi="Arial"/>
          <w:sz w:val="17"/>
          <w:szCs w:val="17"/>
          <w:color w:val="auto"/>
        </w:rPr>
        <w:t>, to our consolidated financial statements included in this report.</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January 26, 2018, there were approximately 665 shareholders of record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Dividends</w:t>
      </w:r>
    </w:p>
    <w:p>
      <w:pPr>
        <w:spacing w:after="0" w:line="109" w:lineRule="exact"/>
        <w:rPr>
          <w:sz w:val="20"/>
          <w:szCs w:val="20"/>
          <w:color w:val="auto"/>
        </w:rPr>
      </w:pPr>
    </w:p>
    <w:p>
      <w:pPr>
        <w:ind w:right="280" w:firstLine="410"/>
        <w:spacing w:after="0" w:line="257" w:lineRule="auto"/>
        <w:rPr>
          <w:sz w:val="20"/>
          <w:szCs w:val="20"/>
          <w:color w:val="auto"/>
        </w:rPr>
      </w:pPr>
      <w:r>
        <w:rPr>
          <w:rFonts w:ascii="Arial" w:cs="Arial" w:eastAsia="Arial" w:hAnsi="Arial"/>
          <w:sz w:val="17"/>
          <w:szCs w:val="17"/>
          <w:color w:val="auto"/>
        </w:rPr>
        <w:t>We have not paid cash dividends since our inception. While we historically have not paid cash dividends and do not have a current intention to pay cash dividends, we continually review our capital allocation strategies, including, among other things, payment of cash dividends, stock repurchases or acquisitions.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578196"/>
        </w:rPr>
        <w:t>Issuer Purchases of Equity Securities</w:t>
      </w:r>
    </w:p>
    <w:p>
      <w:pPr>
        <w:spacing w:after="0" w:line="109" w:lineRule="exact"/>
        <w:rPr>
          <w:sz w:val="20"/>
          <w:szCs w:val="20"/>
          <w:color w:val="auto"/>
        </w:rPr>
      </w:pPr>
    </w:p>
    <w:p>
      <w:pPr>
        <w:ind w:right="240" w:firstLine="410"/>
        <w:spacing w:after="0" w:line="262" w:lineRule="auto"/>
        <w:rPr>
          <w:sz w:val="20"/>
          <w:szCs w:val="20"/>
          <w:color w:val="auto"/>
        </w:rPr>
      </w:pPr>
      <w:r>
        <w:rPr>
          <w:rFonts w:ascii="Arial" w:cs="Arial" w:eastAsia="Arial" w:hAnsi="Arial"/>
          <w:sz w:val="17"/>
          <w:szCs w:val="17"/>
          <w:color w:val="auto"/>
        </w:rPr>
        <w:t>In July 2016 our Board of Directors authorized our 2016 Share Repurchase Program, which is a program to repurchase up to $5.0 billion of our common stock. This authorization does not have an expiration date. All share repurchases under this authorization will be retired.</w:t>
      </w:r>
    </w:p>
    <w:p>
      <w:pPr>
        <w:spacing w:after="0" w:line="137" w:lineRule="exact"/>
        <w:rPr>
          <w:sz w:val="20"/>
          <w:szCs w:val="20"/>
          <w:color w:val="auto"/>
        </w:rPr>
      </w:pPr>
    </w:p>
    <w:p>
      <w:pPr>
        <w:ind w:right="40" w:firstLine="410"/>
        <w:spacing w:after="0" w:line="257" w:lineRule="auto"/>
        <w:rPr>
          <w:sz w:val="20"/>
          <w:szCs w:val="20"/>
          <w:color w:val="auto"/>
        </w:rPr>
      </w:pPr>
      <w:r>
        <w:rPr>
          <w:rFonts w:ascii="Arial" w:cs="Arial" w:eastAsia="Arial" w:hAnsi="Arial"/>
          <w:sz w:val="17"/>
          <w:szCs w:val="17"/>
          <w:color w:val="auto"/>
        </w:rPr>
        <w:t>During the year ended December 31, 2017, we repurchased and retired approximately 3.7 million shares of common stock at a cost of $1.0 billion under our 2016 Share Repurchase Program. As of December 31, 2017, approximately $3.0 billion remains available for share repurchases under our 2016 Share Repurchase Program.</w:t>
      </w:r>
    </w:p>
    <w:p>
      <w:pPr>
        <w:spacing w:after="0" w:line="140" w:lineRule="exact"/>
        <w:rPr>
          <w:sz w:val="20"/>
          <w:szCs w:val="20"/>
          <w:color w:val="auto"/>
        </w:rPr>
      </w:pPr>
    </w:p>
    <w:p>
      <w:pPr>
        <w:ind w:right="260" w:firstLine="410"/>
        <w:spacing w:after="0" w:line="257" w:lineRule="auto"/>
        <w:rPr>
          <w:sz w:val="20"/>
          <w:szCs w:val="20"/>
          <w:color w:val="auto"/>
        </w:rPr>
      </w:pPr>
      <w:r>
        <w:rPr>
          <w:rFonts w:ascii="Arial" w:cs="Arial" w:eastAsia="Arial" w:hAnsi="Arial"/>
          <w:sz w:val="17"/>
          <w:szCs w:val="17"/>
          <w:color w:val="auto"/>
        </w:rPr>
        <w:t>In February 2011 our Board of Directors authorized a program to repurchase up to 20.0 million shares of our common stock (2011 Share Repurchase Program). Shares repurchased under this authorization were principally used to offset common stock issuances under our share-based compensation programs.</w:t>
      </w:r>
    </w:p>
    <w:p>
      <w:pPr>
        <w:spacing w:after="0" w:line="140" w:lineRule="exact"/>
        <w:rPr>
          <w:sz w:val="20"/>
          <w:szCs w:val="20"/>
          <w:color w:val="auto"/>
        </w:rPr>
      </w:pPr>
    </w:p>
    <w:p>
      <w:pPr>
        <w:ind w:right="180" w:firstLine="410"/>
        <w:spacing w:after="0" w:line="262" w:lineRule="auto"/>
        <w:rPr>
          <w:sz w:val="20"/>
          <w:szCs w:val="20"/>
          <w:color w:val="auto"/>
        </w:rPr>
      </w:pPr>
      <w:r>
        <w:rPr>
          <w:rFonts w:ascii="Arial" w:cs="Arial" w:eastAsia="Arial" w:hAnsi="Arial"/>
          <w:sz w:val="17"/>
          <w:szCs w:val="17"/>
          <w:color w:val="auto"/>
        </w:rPr>
        <w:t>During the year ended December 31, 2017, we repurchased approximately 1.2 million shares of common stock at a cost of $365.4 million under our 2011 Share Repurchase Program. Our 2011 Share Repurchase Program was completed as of March 31, 2017.</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20"/>
          </w:cols>
          <w:pgMar w:left="240" w:top="144"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Stock Performance Graph</w:t>
      </w:r>
    </w:p>
    <w:p>
      <w:pPr>
        <w:spacing w:after="0" w:line="109" w:lineRule="exact"/>
        <w:rPr>
          <w:sz w:val="20"/>
          <w:szCs w:val="20"/>
          <w:color w:val="auto"/>
        </w:rPr>
      </w:pPr>
    </w:p>
    <w:p>
      <w:pPr>
        <w:ind w:right="80" w:firstLine="410"/>
        <w:spacing w:after="0" w:line="254" w:lineRule="auto"/>
        <w:rPr>
          <w:sz w:val="20"/>
          <w:szCs w:val="20"/>
          <w:color w:val="auto"/>
        </w:rPr>
      </w:pPr>
      <w:r>
        <w:rPr>
          <w:rFonts w:ascii="Arial" w:cs="Arial" w:eastAsia="Arial" w:hAnsi="Arial"/>
          <w:sz w:val="17"/>
          <w:szCs w:val="17"/>
          <w:color w:val="auto"/>
        </w:rPr>
        <w:t xml:space="preserve">The graph below compares the five-year cumulative total stockholder return on our common stock, the S&amp;P 500 Index, the Nasdaq Pharmaceutical Index and the Nasdaq Biotechnology Index assuming the investment of $100.00 on December 31, 2012 with dividends being reinvested. The stock price performance in the graph below is not necessarily indicative of future price performance. The table below reflects the stock prices as adjusted for the spin-off of our hemophilia business, which was effected on February 1, 2017. For additional information on the spin-off of our hemophilia business, please read Note 3, </w:t>
      </w:r>
      <w:r>
        <w:rPr>
          <w:rFonts w:ascii="Arial" w:cs="Arial" w:eastAsia="Arial" w:hAnsi="Arial"/>
          <w:sz w:val="17"/>
          <w:szCs w:val="17"/>
          <w:i w:val="1"/>
          <w:iCs w:val="1"/>
          <w:color w:val="auto"/>
        </w:rPr>
        <w:t>Hemophilia Spin-Off</w:t>
      </w:r>
      <w:r>
        <w:rPr>
          <w:rFonts w:ascii="Arial" w:cs="Arial" w:eastAsia="Arial" w:hAnsi="Arial"/>
          <w:sz w:val="17"/>
          <w:szCs w:val="17"/>
          <w:color w:val="auto"/>
        </w:rPr>
        <w:t>, to our consolidated financial statements included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-5080</wp:posOffset>
            </wp:positionV>
            <wp:extent cx="4984750" cy="39033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984750" cy="390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2500" w:type="dxa"/>
            <w:vAlign w:val="bottom"/>
          </w:tcPr>
          <w:p>
            <w:pPr>
              <w:spacing w:after="0"/>
              <w:rPr>
                <w:sz w:val="16"/>
                <w:szCs w:val="16"/>
                <w:color w:val="auto"/>
              </w:rPr>
            </w:pPr>
          </w:p>
        </w:tc>
        <w:tc>
          <w:tcPr>
            <w:tcW w:w="1740" w:type="dxa"/>
            <w:vAlign w:val="bottom"/>
            <w:tcBorders>
              <w:bottom w:val="single" w:sz="8" w:color="auto"/>
            </w:tcBorders>
          </w:tcPr>
          <w:p>
            <w:pPr>
              <w:jc w:val="right"/>
              <w:ind w:right="758"/>
              <w:spacing w:after="0"/>
              <w:rPr>
                <w:sz w:val="20"/>
                <w:szCs w:val="20"/>
                <w:color w:val="auto"/>
              </w:rPr>
            </w:pPr>
            <w:r>
              <w:rPr>
                <w:rFonts w:ascii="Arial" w:cs="Arial" w:eastAsia="Arial" w:hAnsi="Arial"/>
                <w:sz w:val="14"/>
                <w:szCs w:val="14"/>
                <w:b w:val="1"/>
                <w:bCs w:val="1"/>
                <w:color w:val="auto"/>
              </w:rPr>
              <w:t>2012</w:t>
            </w:r>
          </w:p>
        </w:tc>
        <w:tc>
          <w:tcPr>
            <w:tcW w:w="126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2013</w:t>
            </w:r>
          </w:p>
        </w:tc>
        <w:tc>
          <w:tcPr>
            <w:tcW w:w="1720" w:type="dxa"/>
            <w:vAlign w:val="bottom"/>
            <w:tcBorders>
              <w:bottom w:val="single" w:sz="8" w:color="auto"/>
            </w:tcBorders>
          </w:tcPr>
          <w:p>
            <w:pPr>
              <w:jc w:val="right"/>
              <w:ind w:right="737"/>
              <w:spacing w:after="0"/>
              <w:rPr>
                <w:sz w:val="20"/>
                <w:szCs w:val="20"/>
                <w:color w:val="auto"/>
              </w:rPr>
            </w:pPr>
            <w:r>
              <w:rPr>
                <w:rFonts w:ascii="Arial" w:cs="Arial" w:eastAsia="Arial" w:hAnsi="Arial"/>
                <w:sz w:val="14"/>
                <w:szCs w:val="14"/>
                <w:b w:val="1"/>
                <w:bCs w:val="1"/>
                <w:color w:val="auto"/>
              </w:rPr>
              <w:t>2014</w:t>
            </w:r>
          </w:p>
        </w:tc>
        <w:tc>
          <w:tcPr>
            <w:tcW w:w="1480" w:type="dxa"/>
            <w:vAlign w:val="bottom"/>
            <w:tcBorders>
              <w:bottom w:val="single" w:sz="8" w:color="auto"/>
            </w:tcBorders>
          </w:tcPr>
          <w:p>
            <w:pPr>
              <w:jc w:val="right"/>
              <w:ind w:right="738"/>
              <w:spacing w:after="0"/>
              <w:rPr>
                <w:sz w:val="20"/>
                <w:szCs w:val="20"/>
                <w:color w:val="auto"/>
              </w:rPr>
            </w:pPr>
            <w:r>
              <w:rPr>
                <w:rFonts w:ascii="Arial" w:cs="Arial" w:eastAsia="Arial" w:hAnsi="Arial"/>
                <w:sz w:val="14"/>
                <w:szCs w:val="14"/>
                <w:b w:val="1"/>
                <w:bCs w:val="1"/>
                <w:color w:val="auto"/>
              </w:rPr>
              <w:t>2015</w:t>
            </w:r>
          </w:p>
        </w:tc>
        <w:tc>
          <w:tcPr>
            <w:tcW w:w="1480" w:type="dxa"/>
            <w:vAlign w:val="bottom"/>
            <w:tcBorders>
              <w:bottom w:val="single" w:sz="8" w:color="auto"/>
            </w:tcBorders>
          </w:tcPr>
          <w:p>
            <w:pPr>
              <w:jc w:val="right"/>
              <w:ind w:right="758"/>
              <w:spacing w:after="0"/>
              <w:rPr>
                <w:sz w:val="20"/>
                <w:szCs w:val="20"/>
                <w:color w:val="auto"/>
              </w:rPr>
            </w:pPr>
            <w:r>
              <w:rPr>
                <w:rFonts w:ascii="Arial" w:cs="Arial" w:eastAsia="Arial" w:hAnsi="Arial"/>
                <w:sz w:val="14"/>
                <w:szCs w:val="14"/>
                <w:b w:val="1"/>
                <w:bCs w:val="1"/>
                <w:color w:val="auto"/>
              </w:rPr>
              <w:t>2016</w:t>
            </w:r>
          </w:p>
        </w:tc>
        <w:tc>
          <w:tcPr>
            <w:tcW w:w="122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2017</w:t>
            </w:r>
          </w:p>
        </w:tc>
      </w:tr>
      <w:tr>
        <w:trPr>
          <w:trHeight w:val="228"/>
        </w:trPr>
        <w:tc>
          <w:tcPr>
            <w:tcW w:w="2500" w:type="dxa"/>
            <w:vAlign w:val="bottom"/>
          </w:tcPr>
          <w:p>
            <w:pPr>
              <w:spacing w:after="0"/>
              <w:rPr>
                <w:sz w:val="20"/>
                <w:szCs w:val="20"/>
                <w:color w:val="auto"/>
              </w:rPr>
            </w:pPr>
            <w:r>
              <w:rPr>
                <w:rFonts w:ascii="Arial" w:cs="Arial" w:eastAsia="Arial" w:hAnsi="Arial"/>
                <w:sz w:val="17"/>
                <w:szCs w:val="17"/>
                <w:color w:val="auto"/>
              </w:rPr>
              <w:t>Biogen Inc.</w:t>
            </w:r>
          </w:p>
        </w:tc>
        <w:tc>
          <w:tcPr>
            <w:tcW w:w="1740" w:type="dxa"/>
            <w:vAlign w:val="bottom"/>
          </w:tcPr>
          <w:p>
            <w:pPr>
              <w:jc w:val="right"/>
              <w:ind w:right="278"/>
              <w:spacing w:after="0"/>
              <w:rPr>
                <w:sz w:val="20"/>
                <w:szCs w:val="20"/>
                <w:color w:val="auto"/>
              </w:rPr>
            </w:pPr>
            <w:r>
              <w:rPr>
                <w:rFonts w:ascii="Arial" w:cs="Arial" w:eastAsia="Arial" w:hAnsi="Arial"/>
                <w:sz w:val="17"/>
                <w:szCs w:val="17"/>
                <w:color w:val="auto"/>
              </w:rPr>
              <w:t>100.00</w:t>
            </w:r>
          </w:p>
        </w:tc>
        <w:tc>
          <w:tcPr>
            <w:tcW w:w="1260" w:type="dxa"/>
            <w:vAlign w:val="bottom"/>
          </w:tcPr>
          <w:p>
            <w:pPr>
              <w:jc w:val="right"/>
              <w:ind w:right="38"/>
              <w:spacing w:after="0"/>
              <w:rPr>
                <w:sz w:val="20"/>
                <w:szCs w:val="20"/>
                <w:color w:val="auto"/>
              </w:rPr>
            </w:pPr>
            <w:r>
              <w:rPr>
                <w:rFonts w:ascii="Arial" w:cs="Arial" w:eastAsia="Arial" w:hAnsi="Arial"/>
                <w:sz w:val="17"/>
                <w:szCs w:val="17"/>
                <w:color w:val="auto"/>
              </w:rPr>
              <w:t>191.00</w:t>
            </w:r>
          </w:p>
        </w:tc>
        <w:tc>
          <w:tcPr>
            <w:tcW w:w="1720" w:type="dxa"/>
            <w:vAlign w:val="bottom"/>
          </w:tcPr>
          <w:p>
            <w:pPr>
              <w:jc w:val="right"/>
              <w:ind w:right="257"/>
              <w:spacing w:after="0"/>
              <w:rPr>
                <w:sz w:val="20"/>
                <w:szCs w:val="20"/>
                <w:color w:val="auto"/>
              </w:rPr>
            </w:pPr>
            <w:r>
              <w:rPr>
                <w:rFonts w:ascii="Arial" w:cs="Arial" w:eastAsia="Arial" w:hAnsi="Arial"/>
                <w:sz w:val="17"/>
                <w:szCs w:val="17"/>
                <w:color w:val="auto"/>
              </w:rPr>
              <w:t>231.91</w:t>
            </w:r>
          </w:p>
        </w:tc>
        <w:tc>
          <w:tcPr>
            <w:tcW w:w="1480" w:type="dxa"/>
            <w:vAlign w:val="bottom"/>
          </w:tcPr>
          <w:p>
            <w:pPr>
              <w:jc w:val="right"/>
              <w:ind w:right="258"/>
              <w:spacing w:after="0"/>
              <w:rPr>
                <w:sz w:val="20"/>
                <w:szCs w:val="20"/>
                <w:color w:val="auto"/>
              </w:rPr>
            </w:pPr>
            <w:r>
              <w:rPr>
                <w:rFonts w:ascii="Arial" w:cs="Arial" w:eastAsia="Arial" w:hAnsi="Arial"/>
                <w:sz w:val="17"/>
                <w:szCs w:val="17"/>
                <w:color w:val="auto"/>
              </w:rPr>
              <w:t>209.30</w:t>
            </w:r>
          </w:p>
        </w:tc>
        <w:tc>
          <w:tcPr>
            <w:tcW w:w="1480" w:type="dxa"/>
            <w:vAlign w:val="bottom"/>
          </w:tcPr>
          <w:p>
            <w:pPr>
              <w:jc w:val="right"/>
              <w:ind w:right="258"/>
              <w:spacing w:after="0"/>
              <w:rPr>
                <w:sz w:val="20"/>
                <w:szCs w:val="20"/>
                <w:color w:val="auto"/>
              </w:rPr>
            </w:pPr>
            <w:r>
              <w:rPr>
                <w:rFonts w:ascii="Arial" w:cs="Arial" w:eastAsia="Arial" w:hAnsi="Arial"/>
                <w:sz w:val="17"/>
                <w:szCs w:val="17"/>
                <w:color w:val="auto"/>
              </w:rPr>
              <w:t>193.74</w:t>
            </w: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235.96</w:t>
            </w:r>
          </w:p>
        </w:tc>
      </w:tr>
      <w:tr>
        <w:trPr>
          <w:trHeight w:val="243"/>
        </w:trPr>
        <w:tc>
          <w:tcPr>
            <w:tcW w:w="2500" w:type="dxa"/>
            <w:vAlign w:val="bottom"/>
          </w:tcPr>
          <w:p>
            <w:pPr>
              <w:spacing w:after="0"/>
              <w:rPr>
                <w:sz w:val="20"/>
                <w:szCs w:val="20"/>
                <w:color w:val="auto"/>
              </w:rPr>
            </w:pPr>
            <w:r>
              <w:rPr>
                <w:rFonts w:ascii="Arial" w:cs="Arial" w:eastAsia="Arial" w:hAnsi="Arial"/>
                <w:sz w:val="17"/>
                <w:szCs w:val="17"/>
                <w:color w:val="auto"/>
              </w:rPr>
              <w:t>Nasdaq Pharmaceutical</w:t>
            </w:r>
          </w:p>
        </w:tc>
        <w:tc>
          <w:tcPr>
            <w:tcW w:w="1740" w:type="dxa"/>
            <w:vAlign w:val="bottom"/>
          </w:tcPr>
          <w:p>
            <w:pPr>
              <w:jc w:val="right"/>
              <w:ind w:right="278"/>
              <w:spacing w:after="0"/>
              <w:rPr>
                <w:sz w:val="20"/>
                <w:szCs w:val="20"/>
                <w:color w:val="auto"/>
              </w:rPr>
            </w:pPr>
            <w:r>
              <w:rPr>
                <w:rFonts w:ascii="Arial" w:cs="Arial" w:eastAsia="Arial" w:hAnsi="Arial"/>
                <w:sz w:val="17"/>
                <w:szCs w:val="17"/>
                <w:color w:val="auto"/>
              </w:rPr>
              <w:t>100.00</w:t>
            </w:r>
          </w:p>
        </w:tc>
        <w:tc>
          <w:tcPr>
            <w:tcW w:w="1260" w:type="dxa"/>
            <w:vAlign w:val="bottom"/>
          </w:tcPr>
          <w:p>
            <w:pPr>
              <w:jc w:val="right"/>
              <w:ind w:right="38"/>
              <w:spacing w:after="0"/>
              <w:rPr>
                <w:sz w:val="20"/>
                <w:szCs w:val="20"/>
                <w:color w:val="auto"/>
              </w:rPr>
            </w:pPr>
            <w:r>
              <w:rPr>
                <w:rFonts w:ascii="Arial" w:cs="Arial" w:eastAsia="Arial" w:hAnsi="Arial"/>
                <w:sz w:val="17"/>
                <w:szCs w:val="17"/>
                <w:color w:val="auto"/>
              </w:rPr>
              <w:t>135.68</w:t>
            </w:r>
          </w:p>
        </w:tc>
        <w:tc>
          <w:tcPr>
            <w:tcW w:w="1720" w:type="dxa"/>
            <w:vAlign w:val="bottom"/>
          </w:tcPr>
          <w:p>
            <w:pPr>
              <w:jc w:val="right"/>
              <w:ind w:right="257"/>
              <w:spacing w:after="0"/>
              <w:rPr>
                <w:sz w:val="20"/>
                <w:szCs w:val="20"/>
                <w:color w:val="auto"/>
              </w:rPr>
            </w:pPr>
            <w:r>
              <w:rPr>
                <w:rFonts w:ascii="Arial" w:cs="Arial" w:eastAsia="Arial" w:hAnsi="Arial"/>
                <w:sz w:val="17"/>
                <w:szCs w:val="17"/>
                <w:color w:val="auto"/>
              </w:rPr>
              <w:t>165.29</w:t>
            </w:r>
          </w:p>
        </w:tc>
        <w:tc>
          <w:tcPr>
            <w:tcW w:w="1480" w:type="dxa"/>
            <w:vAlign w:val="bottom"/>
          </w:tcPr>
          <w:p>
            <w:pPr>
              <w:jc w:val="right"/>
              <w:ind w:right="258"/>
              <w:spacing w:after="0"/>
              <w:rPr>
                <w:sz w:val="20"/>
                <w:szCs w:val="20"/>
                <w:color w:val="auto"/>
              </w:rPr>
            </w:pPr>
            <w:r>
              <w:rPr>
                <w:rFonts w:ascii="Arial" w:cs="Arial" w:eastAsia="Arial" w:hAnsi="Arial"/>
                <w:sz w:val="17"/>
                <w:szCs w:val="17"/>
                <w:color w:val="auto"/>
              </w:rPr>
              <w:t>174.27</w:t>
            </w:r>
          </w:p>
        </w:tc>
        <w:tc>
          <w:tcPr>
            <w:tcW w:w="1480" w:type="dxa"/>
            <w:vAlign w:val="bottom"/>
          </w:tcPr>
          <w:p>
            <w:pPr>
              <w:jc w:val="right"/>
              <w:ind w:right="258"/>
              <w:spacing w:after="0"/>
              <w:rPr>
                <w:sz w:val="20"/>
                <w:szCs w:val="20"/>
                <w:color w:val="auto"/>
              </w:rPr>
            </w:pPr>
            <w:r>
              <w:rPr>
                <w:rFonts w:ascii="Arial" w:cs="Arial" w:eastAsia="Arial" w:hAnsi="Arial"/>
                <w:sz w:val="17"/>
                <w:szCs w:val="17"/>
                <w:color w:val="auto"/>
              </w:rPr>
              <w:t>172.37</w:t>
            </w: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205.33</w:t>
            </w:r>
          </w:p>
        </w:tc>
      </w:tr>
      <w:tr>
        <w:trPr>
          <w:trHeight w:val="243"/>
        </w:trPr>
        <w:tc>
          <w:tcPr>
            <w:tcW w:w="2500" w:type="dxa"/>
            <w:vAlign w:val="bottom"/>
          </w:tcPr>
          <w:p>
            <w:pPr>
              <w:spacing w:after="0"/>
              <w:rPr>
                <w:sz w:val="20"/>
                <w:szCs w:val="20"/>
                <w:color w:val="auto"/>
              </w:rPr>
            </w:pPr>
            <w:r>
              <w:rPr>
                <w:rFonts w:ascii="Arial" w:cs="Arial" w:eastAsia="Arial" w:hAnsi="Arial"/>
                <w:sz w:val="17"/>
                <w:szCs w:val="17"/>
                <w:color w:val="auto"/>
              </w:rPr>
              <w:t>S&amp;P 500 Index</w:t>
            </w:r>
          </w:p>
        </w:tc>
        <w:tc>
          <w:tcPr>
            <w:tcW w:w="1740" w:type="dxa"/>
            <w:vAlign w:val="bottom"/>
          </w:tcPr>
          <w:p>
            <w:pPr>
              <w:jc w:val="right"/>
              <w:ind w:right="278"/>
              <w:spacing w:after="0"/>
              <w:rPr>
                <w:sz w:val="20"/>
                <w:szCs w:val="20"/>
                <w:color w:val="auto"/>
              </w:rPr>
            </w:pPr>
            <w:r>
              <w:rPr>
                <w:rFonts w:ascii="Arial" w:cs="Arial" w:eastAsia="Arial" w:hAnsi="Arial"/>
                <w:sz w:val="17"/>
                <w:szCs w:val="17"/>
                <w:color w:val="auto"/>
              </w:rPr>
              <w:t>100.00</w:t>
            </w:r>
          </w:p>
        </w:tc>
        <w:tc>
          <w:tcPr>
            <w:tcW w:w="1260" w:type="dxa"/>
            <w:vAlign w:val="bottom"/>
          </w:tcPr>
          <w:p>
            <w:pPr>
              <w:jc w:val="right"/>
              <w:ind w:right="38"/>
              <w:spacing w:after="0"/>
              <w:rPr>
                <w:sz w:val="20"/>
                <w:szCs w:val="20"/>
                <w:color w:val="auto"/>
              </w:rPr>
            </w:pPr>
            <w:r>
              <w:rPr>
                <w:rFonts w:ascii="Arial" w:cs="Arial" w:eastAsia="Arial" w:hAnsi="Arial"/>
                <w:sz w:val="17"/>
                <w:szCs w:val="17"/>
                <w:color w:val="auto"/>
              </w:rPr>
              <w:t>132.39</w:t>
            </w:r>
          </w:p>
        </w:tc>
        <w:tc>
          <w:tcPr>
            <w:tcW w:w="1720" w:type="dxa"/>
            <w:vAlign w:val="bottom"/>
          </w:tcPr>
          <w:p>
            <w:pPr>
              <w:jc w:val="right"/>
              <w:ind w:right="257"/>
              <w:spacing w:after="0"/>
              <w:rPr>
                <w:sz w:val="20"/>
                <w:szCs w:val="20"/>
                <w:color w:val="auto"/>
              </w:rPr>
            </w:pPr>
            <w:r>
              <w:rPr>
                <w:rFonts w:ascii="Arial" w:cs="Arial" w:eastAsia="Arial" w:hAnsi="Arial"/>
                <w:sz w:val="17"/>
                <w:szCs w:val="17"/>
                <w:color w:val="auto"/>
              </w:rPr>
              <w:t>150.51</w:t>
            </w:r>
          </w:p>
        </w:tc>
        <w:tc>
          <w:tcPr>
            <w:tcW w:w="1480" w:type="dxa"/>
            <w:vAlign w:val="bottom"/>
          </w:tcPr>
          <w:p>
            <w:pPr>
              <w:jc w:val="right"/>
              <w:ind w:right="258"/>
              <w:spacing w:after="0"/>
              <w:rPr>
                <w:sz w:val="20"/>
                <w:szCs w:val="20"/>
                <w:color w:val="auto"/>
              </w:rPr>
            </w:pPr>
            <w:r>
              <w:rPr>
                <w:rFonts w:ascii="Arial" w:cs="Arial" w:eastAsia="Arial" w:hAnsi="Arial"/>
                <w:sz w:val="17"/>
                <w:szCs w:val="17"/>
                <w:color w:val="auto"/>
              </w:rPr>
              <w:t>152.59</w:t>
            </w:r>
          </w:p>
        </w:tc>
        <w:tc>
          <w:tcPr>
            <w:tcW w:w="1480" w:type="dxa"/>
            <w:vAlign w:val="bottom"/>
          </w:tcPr>
          <w:p>
            <w:pPr>
              <w:jc w:val="right"/>
              <w:ind w:right="258"/>
              <w:spacing w:after="0"/>
              <w:rPr>
                <w:sz w:val="20"/>
                <w:szCs w:val="20"/>
                <w:color w:val="auto"/>
              </w:rPr>
            </w:pPr>
            <w:r>
              <w:rPr>
                <w:rFonts w:ascii="Arial" w:cs="Arial" w:eastAsia="Arial" w:hAnsi="Arial"/>
                <w:sz w:val="17"/>
                <w:szCs w:val="17"/>
                <w:color w:val="auto"/>
              </w:rPr>
              <w:t>170.84</w:t>
            </w: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208.14</w:t>
            </w:r>
          </w:p>
        </w:tc>
      </w:tr>
      <w:tr>
        <w:trPr>
          <w:trHeight w:val="243"/>
        </w:trPr>
        <w:tc>
          <w:tcPr>
            <w:tcW w:w="2500" w:type="dxa"/>
            <w:vAlign w:val="bottom"/>
          </w:tcPr>
          <w:p>
            <w:pPr>
              <w:spacing w:after="0"/>
              <w:rPr>
                <w:sz w:val="20"/>
                <w:szCs w:val="20"/>
                <w:color w:val="auto"/>
              </w:rPr>
            </w:pPr>
            <w:r>
              <w:rPr>
                <w:rFonts w:ascii="Arial" w:cs="Arial" w:eastAsia="Arial" w:hAnsi="Arial"/>
                <w:sz w:val="17"/>
                <w:szCs w:val="17"/>
                <w:color w:val="auto"/>
              </w:rPr>
              <w:t>Nasdaq Biotechnology</w:t>
            </w:r>
          </w:p>
        </w:tc>
        <w:tc>
          <w:tcPr>
            <w:tcW w:w="1740" w:type="dxa"/>
            <w:vAlign w:val="bottom"/>
          </w:tcPr>
          <w:p>
            <w:pPr>
              <w:jc w:val="right"/>
              <w:ind w:right="278"/>
              <w:spacing w:after="0"/>
              <w:rPr>
                <w:sz w:val="20"/>
                <w:szCs w:val="20"/>
                <w:color w:val="auto"/>
              </w:rPr>
            </w:pPr>
            <w:r>
              <w:rPr>
                <w:rFonts w:ascii="Arial" w:cs="Arial" w:eastAsia="Arial" w:hAnsi="Arial"/>
                <w:sz w:val="17"/>
                <w:szCs w:val="17"/>
                <w:color w:val="auto"/>
              </w:rPr>
              <w:t>100.00</w:t>
            </w:r>
          </w:p>
        </w:tc>
        <w:tc>
          <w:tcPr>
            <w:tcW w:w="1260" w:type="dxa"/>
            <w:vAlign w:val="bottom"/>
          </w:tcPr>
          <w:p>
            <w:pPr>
              <w:jc w:val="right"/>
              <w:ind w:right="38"/>
              <w:spacing w:after="0"/>
              <w:rPr>
                <w:sz w:val="20"/>
                <w:szCs w:val="20"/>
                <w:color w:val="auto"/>
              </w:rPr>
            </w:pPr>
            <w:r>
              <w:rPr>
                <w:rFonts w:ascii="Arial" w:cs="Arial" w:eastAsia="Arial" w:hAnsi="Arial"/>
                <w:sz w:val="17"/>
                <w:szCs w:val="17"/>
                <w:color w:val="auto"/>
              </w:rPr>
              <w:t>166.02</w:t>
            </w:r>
          </w:p>
        </w:tc>
        <w:tc>
          <w:tcPr>
            <w:tcW w:w="1720" w:type="dxa"/>
            <w:vAlign w:val="bottom"/>
          </w:tcPr>
          <w:p>
            <w:pPr>
              <w:jc w:val="right"/>
              <w:ind w:right="257"/>
              <w:spacing w:after="0"/>
              <w:rPr>
                <w:sz w:val="20"/>
                <w:szCs w:val="20"/>
                <w:color w:val="auto"/>
              </w:rPr>
            </w:pPr>
            <w:r>
              <w:rPr>
                <w:rFonts w:ascii="Arial" w:cs="Arial" w:eastAsia="Arial" w:hAnsi="Arial"/>
                <w:sz w:val="17"/>
                <w:szCs w:val="17"/>
                <w:color w:val="auto"/>
              </w:rPr>
              <w:t>223.13</w:t>
            </w:r>
          </w:p>
        </w:tc>
        <w:tc>
          <w:tcPr>
            <w:tcW w:w="1480" w:type="dxa"/>
            <w:vAlign w:val="bottom"/>
          </w:tcPr>
          <w:p>
            <w:pPr>
              <w:jc w:val="right"/>
              <w:ind w:right="258"/>
              <w:spacing w:after="0"/>
              <w:rPr>
                <w:sz w:val="20"/>
                <w:szCs w:val="20"/>
                <w:color w:val="auto"/>
              </w:rPr>
            </w:pPr>
            <w:r>
              <w:rPr>
                <w:rFonts w:ascii="Arial" w:cs="Arial" w:eastAsia="Arial" w:hAnsi="Arial"/>
                <w:sz w:val="17"/>
                <w:szCs w:val="17"/>
                <w:color w:val="auto"/>
              </w:rPr>
              <w:t>249.39</w:t>
            </w:r>
          </w:p>
        </w:tc>
        <w:tc>
          <w:tcPr>
            <w:tcW w:w="1480" w:type="dxa"/>
            <w:vAlign w:val="bottom"/>
          </w:tcPr>
          <w:p>
            <w:pPr>
              <w:jc w:val="right"/>
              <w:ind w:right="258"/>
              <w:spacing w:after="0"/>
              <w:rPr>
                <w:sz w:val="20"/>
                <w:szCs w:val="20"/>
                <w:color w:val="auto"/>
              </w:rPr>
            </w:pPr>
            <w:r>
              <w:rPr>
                <w:rFonts w:ascii="Arial" w:cs="Arial" w:eastAsia="Arial" w:hAnsi="Arial"/>
                <w:sz w:val="17"/>
                <w:szCs w:val="17"/>
                <w:color w:val="auto"/>
              </w:rPr>
              <w:t>196.15</w:t>
            </w: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238.64</w:t>
            </w:r>
          </w:p>
        </w:tc>
      </w:tr>
      <w:tr>
        <w:trPr>
          <w:trHeight w:val="448"/>
        </w:trPr>
        <w:tc>
          <w:tcPr>
            <w:tcW w:w="2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20" w:type="dxa"/>
            <w:vAlign w:val="bottom"/>
          </w:tcPr>
          <w:p>
            <w:pPr>
              <w:jc w:val="right"/>
              <w:ind w:right="1357"/>
              <w:spacing w:after="0"/>
              <w:rPr>
                <w:sz w:val="20"/>
                <w:szCs w:val="20"/>
                <w:color w:val="auto"/>
              </w:rPr>
            </w:pPr>
            <w:r>
              <w:rPr>
                <w:rFonts w:ascii="Arial" w:cs="Arial" w:eastAsia="Arial" w:hAnsi="Arial"/>
                <w:sz w:val="17"/>
                <w:szCs w:val="17"/>
                <w:color w:val="auto"/>
              </w:rPr>
              <w:t>49</w:t>
            </w: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44"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99"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1C5A7D"/>
        </w:rPr>
        <w:t>Item 6.</w:t>
        <w:tab/>
        <w:t>Selected Financial Data</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SELECTED FINANCIAL DATA</w:t>
      </w:r>
    </w:p>
    <w:p>
      <w:pPr>
        <w:spacing w:after="0" w:line="39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results of operations are summarized as follows:</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4100" w:type="dxa"/>
            <w:vAlign w:val="bottom"/>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 the Years Ended December 31,</w:t>
            </w:r>
          </w:p>
        </w:tc>
        <w:tc>
          <w:tcPr>
            <w:tcW w:w="9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43"/>
        </w:trPr>
        <w:tc>
          <w:tcPr>
            <w:tcW w:w="4100" w:type="dxa"/>
            <w:vAlign w:val="bottom"/>
          </w:tcPr>
          <w:p>
            <w:pPr>
              <w:spacing w:after="0"/>
              <w:rPr>
                <w:sz w:val="21"/>
                <w:szCs w:val="21"/>
                <w:color w:val="auto"/>
              </w:rPr>
            </w:pPr>
          </w:p>
        </w:tc>
        <w:tc>
          <w:tcPr>
            <w:tcW w:w="1620" w:type="dxa"/>
            <w:vAlign w:val="bottom"/>
          </w:tcPr>
          <w:p>
            <w:pPr>
              <w:jc w:val="right"/>
              <w:ind w:right="692"/>
              <w:spacing w:after="0"/>
              <w:rPr>
                <w:sz w:val="20"/>
                <w:szCs w:val="20"/>
                <w:color w:val="auto"/>
              </w:rPr>
            </w:pPr>
            <w:r>
              <w:rPr>
                <w:rFonts w:ascii="Arial" w:cs="Arial" w:eastAsia="Arial" w:hAnsi="Arial"/>
                <w:sz w:val="14"/>
                <w:szCs w:val="14"/>
                <w:b w:val="1"/>
                <w:bCs w:val="1"/>
                <w:color w:val="2573BA"/>
              </w:rPr>
              <w:t>2017</w:t>
            </w:r>
          </w:p>
        </w:tc>
        <w:tc>
          <w:tcPr>
            <w:tcW w:w="840" w:type="dxa"/>
            <w:vAlign w:val="bottom"/>
          </w:tcPr>
          <w:p>
            <w:pPr>
              <w:jc w:val="right"/>
              <w:ind w:right="32"/>
              <w:spacing w:after="0"/>
              <w:rPr>
                <w:sz w:val="20"/>
                <w:szCs w:val="20"/>
                <w:color w:val="auto"/>
              </w:rPr>
            </w:pPr>
            <w:r>
              <w:rPr>
                <w:rFonts w:ascii="Arial" w:cs="Arial" w:eastAsia="Arial" w:hAnsi="Arial"/>
                <w:sz w:val="14"/>
                <w:szCs w:val="14"/>
                <w:b w:val="1"/>
                <w:bCs w:val="1"/>
                <w:color w:val="auto"/>
              </w:rPr>
              <w:t>2016</w:t>
            </w: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96"/>
              </w:rPr>
              <w:t>2015</w:t>
            </w:r>
          </w:p>
        </w:tc>
        <w:tc>
          <w:tcPr>
            <w:tcW w:w="980" w:type="dxa"/>
            <w:vAlign w:val="bottom"/>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420" w:type="dxa"/>
            <w:vAlign w:val="bottom"/>
          </w:tcPr>
          <w:p>
            <w:pPr>
              <w:jc w:val="right"/>
              <w:ind w:right="452"/>
              <w:spacing w:after="0"/>
              <w:rPr>
                <w:sz w:val="20"/>
                <w:szCs w:val="20"/>
                <w:color w:val="auto"/>
              </w:rPr>
            </w:pPr>
            <w:r>
              <w:rPr>
                <w:rFonts w:ascii="Arial" w:cs="Arial" w:eastAsia="Arial" w:hAnsi="Arial"/>
                <w:sz w:val="14"/>
                <w:szCs w:val="14"/>
                <w:b w:val="1"/>
                <w:bCs w:val="1"/>
                <w:color w:val="auto"/>
              </w:rPr>
              <w:t>2013</w:t>
            </w:r>
          </w:p>
        </w:tc>
      </w:tr>
      <w:tr>
        <w:trPr>
          <w:trHeight w:val="256"/>
        </w:trPr>
        <w:tc>
          <w:tcPr>
            <w:tcW w:w="4100" w:type="dxa"/>
            <w:vAlign w:val="bottom"/>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1620" w:type="dxa"/>
            <w:vAlign w:val="bottom"/>
          </w:tcPr>
          <w:p>
            <w:pPr>
              <w:jc w:val="center"/>
              <w:ind w:right="112"/>
              <w:spacing w:after="0"/>
              <w:rPr>
                <w:sz w:val="20"/>
                <w:szCs w:val="20"/>
                <w:color w:val="auto"/>
              </w:rPr>
            </w:pPr>
            <w:r>
              <w:rPr>
                <w:rFonts w:ascii="Arial" w:cs="Arial" w:eastAsia="Arial" w:hAnsi="Arial"/>
                <w:sz w:val="14"/>
                <w:szCs w:val="14"/>
                <w:b w:val="1"/>
                <w:bCs w:val="1"/>
                <w:color w:val="2573BA"/>
                <w:w w:val="97"/>
              </w:rPr>
              <w:t>(a) (b) (c) (d) (e)</w:t>
            </w:r>
          </w:p>
        </w:tc>
        <w:tc>
          <w:tcPr>
            <w:tcW w:w="840" w:type="dxa"/>
            <w:vAlign w:val="bottom"/>
          </w:tcPr>
          <w:p>
            <w:pPr>
              <w:jc w:val="center"/>
              <w:ind w:left="252"/>
              <w:spacing w:after="0"/>
              <w:rPr>
                <w:sz w:val="20"/>
                <w:szCs w:val="20"/>
                <w:color w:val="auto"/>
              </w:rPr>
            </w:pPr>
            <w:r>
              <w:rPr>
                <w:rFonts w:ascii="Arial" w:cs="Arial" w:eastAsia="Arial" w:hAnsi="Arial"/>
                <w:sz w:val="14"/>
                <w:szCs w:val="14"/>
                <w:b w:val="1"/>
                <w:bCs w:val="1"/>
                <w:color w:val="auto"/>
                <w:w w:val="94"/>
              </w:rPr>
              <w:t>(c) (e)</w:t>
            </w: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97"/>
              </w:rPr>
              <w:t>(e) (f)</w:t>
            </w:r>
          </w:p>
        </w:tc>
        <w:tc>
          <w:tcPr>
            <w:tcW w:w="98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9"/>
              </w:rPr>
              <w:t>(g)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-325755</wp:posOffset>
            </wp:positionV>
            <wp:extent cx="7253605" cy="30168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3605" cy="301688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Results of Operations (1)</w:t>
      </w:r>
    </w:p>
    <w:p>
      <w:pPr>
        <w:sectPr>
          <w:pgSz w:w="11900" w:h="16838" w:orient="portrait"/>
          <w:cols w:equalWidth="0" w:num="1">
            <w:col w:w="11420"/>
          </w:cols>
          <w:pgMar w:left="240" w:top="144" w:right="239" w:bottom="1440" w:gutter="0" w:footer="0" w:header="0"/>
        </w:sectPr>
      </w:pP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Product revenues, net </w:t>
      </w:r>
      <w:r>
        <w:rPr>
          <w:rFonts w:ascii="Arial" w:cs="Arial" w:eastAsia="Arial" w:hAnsi="Arial"/>
          <w:sz w:val="17"/>
          <w:szCs w:val="17"/>
          <w:b w:val="1"/>
          <w:bCs w:val="1"/>
          <w:color w:val="auto"/>
        </w:rPr>
        <w:t>(2)</w:t>
      </w:r>
    </w:p>
    <w:p>
      <w:pPr>
        <w:spacing w:after="0" w:line="81" w:lineRule="exact"/>
        <w:rPr>
          <w:sz w:val="20"/>
          <w:szCs w:val="20"/>
          <w:color w:val="auto"/>
        </w:rPr>
      </w:pPr>
    </w:p>
    <w:p>
      <w:pPr>
        <w:ind w:left="20" w:right="400"/>
        <w:spacing w:after="0" w:line="314" w:lineRule="auto"/>
        <w:rPr>
          <w:sz w:val="20"/>
          <w:szCs w:val="20"/>
          <w:color w:val="auto"/>
        </w:rPr>
      </w:pPr>
      <w:r>
        <w:rPr>
          <w:rFonts w:ascii="Arial" w:cs="Arial" w:eastAsia="Arial" w:hAnsi="Arial"/>
          <w:sz w:val="17"/>
          <w:szCs w:val="17"/>
          <w:color w:val="auto"/>
        </w:rPr>
        <w:t>Revenues from anti-CD20 therapeutic programs Other revenues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Total revenues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 cost and expenses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Gain on sale of rights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Income from operations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Other income (expense), net</w:t>
      </w:r>
    </w:p>
    <w:p>
      <w:pPr>
        <w:spacing w:after="0" w:line="61" w:lineRule="exact"/>
        <w:rPr>
          <w:sz w:val="20"/>
          <w:szCs w:val="20"/>
          <w:color w:val="auto"/>
        </w:rPr>
      </w:pPr>
    </w:p>
    <w:p>
      <w:pPr>
        <w:ind w:left="20"/>
        <w:spacing w:after="0" w:line="246" w:lineRule="auto"/>
        <w:rPr>
          <w:sz w:val="20"/>
          <w:szCs w:val="20"/>
          <w:color w:val="auto"/>
        </w:rPr>
      </w:pPr>
      <w:r>
        <w:rPr>
          <w:rFonts w:ascii="Arial" w:cs="Arial" w:eastAsia="Arial" w:hAnsi="Arial"/>
          <w:sz w:val="17"/>
          <w:szCs w:val="17"/>
          <w:color w:val="auto"/>
        </w:rPr>
        <w:t>Income before income tax expense and equity in loss of investee, net of tax</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Income tax expense</w:t>
      </w:r>
    </w:p>
    <w:p>
      <w:pPr>
        <w:spacing w:after="0" w:line="61" w:lineRule="exact"/>
        <w:rPr>
          <w:sz w:val="20"/>
          <w:szCs w:val="20"/>
          <w:color w:val="auto"/>
        </w:rPr>
      </w:pPr>
    </w:p>
    <w:p>
      <w:pPr>
        <w:ind w:left="20" w:right="1360"/>
        <w:spacing w:after="0" w:line="314" w:lineRule="auto"/>
        <w:rPr>
          <w:sz w:val="20"/>
          <w:szCs w:val="20"/>
          <w:color w:val="auto"/>
        </w:rPr>
      </w:pPr>
      <w:r>
        <w:rPr>
          <w:rFonts w:ascii="Arial" w:cs="Arial" w:eastAsia="Arial" w:hAnsi="Arial"/>
          <w:sz w:val="17"/>
          <w:szCs w:val="17"/>
          <w:color w:val="auto"/>
        </w:rPr>
        <w:t>Equity in loss of investee, net of tax Net income</w:t>
      </w:r>
    </w:p>
    <w:p>
      <w:pPr>
        <w:spacing w:after="0" w:line="1" w:lineRule="exact"/>
        <w:rPr>
          <w:sz w:val="20"/>
          <w:szCs w:val="20"/>
          <w:color w:val="auto"/>
        </w:rPr>
      </w:pPr>
    </w:p>
    <w:p>
      <w:pPr>
        <w:ind w:left="20" w:right="520"/>
        <w:spacing w:after="0" w:line="246" w:lineRule="auto"/>
        <w:rPr>
          <w:sz w:val="20"/>
          <w:szCs w:val="20"/>
          <w:color w:val="auto"/>
        </w:rPr>
      </w:pPr>
      <w:r>
        <w:rPr>
          <w:rFonts w:ascii="Arial" w:cs="Arial" w:eastAsia="Arial" w:hAnsi="Arial"/>
          <w:sz w:val="17"/>
          <w:szCs w:val="17"/>
          <w:color w:val="auto"/>
        </w:rPr>
        <w:t>Net income (loss) attributable to noncontrolling interests, net of tax</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income attributable to Biogen Inc.</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380" w:type="dxa"/>
            <w:vAlign w:val="bottom"/>
          </w:tcPr>
          <w:p>
            <w:pPr>
              <w:jc w:val="right"/>
              <w:ind w:right="175"/>
              <w:spacing w:after="0"/>
              <w:rPr>
                <w:sz w:val="20"/>
                <w:szCs w:val="20"/>
                <w:color w:val="auto"/>
              </w:rPr>
            </w:pPr>
            <w:r>
              <w:rPr>
                <w:rFonts w:ascii="Arial" w:cs="Arial" w:eastAsia="Arial" w:hAnsi="Arial"/>
                <w:sz w:val="17"/>
                <w:szCs w:val="17"/>
                <w:color w:val="2573BA"/>
              </w:rPr>
              <w:t>$</w:t>
            </w:r>
          </w:p>
        </w:tc>
        <w:tc>
          <w:tcPr>
            <w:tcW w:w="1040" w:type="dxa"/>
            <w:vAlign w:val="bottom"/>
          </w:tcPr>
          <w:p>
            <w:pPr>
              <w:jc w:val="right"/>
              <w:ind w:right="35"/>
              <w:spacing w:after="0"/>
              <w:rPr>
                <w:sz w:val="20"/>
                <w:szCs w:val="20"/>
                <w:color w:val="auto"/>
              </w:rPr>
            </w:pPr>
            <w:r>
              <w:rPr>
                <w:rFonts w:ascii="Arial" w:cs="Arial" w:eastAsia="Arial" w:hAnsi="Arial"/>
                <w:sz w:val="17"/>
                <w:szCs w:val="17"/>
                <w:color w:val="2573BA"/>
              </w:rPr>
              <w:t>10,354.7</w:t>
            </w: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9,817.9</w:t>
            </w:r>
          </w:p>
        </w:tc>
        <w:tc>
          <w:tcPr>
            <w:tcW w:w="100" w:type="dxa"/>
            <w:vAlign w:val="bottom"/>
          </w:tcPr>
          <w:p>
            <w:pPr>
              <w:spacing w:after="0"/>
              <w:rPr>
                <w:sz w:val="21"/>
                <w:szCs w:val="21"/>
                <w:color w:val="auto"/>
              </w:rPr>
            </w:pPr>
          </w:p>
        </w:tc>
        <w:tc>
          <w:tcPr>
            <w:tcW w:w="38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9,188.5</w:t>
            </w:r>
          </w:p>
        </w:tc>
        <w:tc>
          <w:tcPr>
            <w:tcW w:w="100" w:type="dxa"/>
            <w:vAlign w:val="bottom"/>
          </w:tcPr>
          <w:p>
            <w:pPr>
              <w:spacing w:after="0"/>
              <w:rPr>
                <w:sz w:val="21"/>
                <w:szCs w:val="21"/>
                <w:color w:val="auto"/>
              </w:rPr>
            </w:pP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8,203.4</w:t>
            </w:r>
          </w:p>
        </w:tc>
        <w:tc>
          <w:tcPr>
            <w:tcW w:w="100" w:type="dxa"/>
            <w:vAlign w:val="bottom"/>
          </w:tcPr>
          <w:p>
            <w:pPr>
              <w:spacing w:after="0"/>
              <w:rPr>
                <w:sz w:val="21"/>
                <w:szCs w:val="21"/>
                <w:color w:val="auto"/>
              </w:rPr>
            </w:pPr>
          </w:p>
        </w:tc>
        <w:tc>
          <w:tcPr>
            <w:tcW w:w="40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5,542.3</w:t>
            </w:r>
          </w:p>
        </w:tc>
      </w:tr>
      <w:tr>
        <w:trPr>
          <w:trHeight w:val="256"/>
        </w:trPr>
        <w:tc>
          <w:tcPr>
            <w:tcW w:w="380" w:type="dxa"/>
            <w:vAlign w:val="bottom"/>
          </w:tcPr>
          <w:p>
            <w:pPr>
              <w:spacing w:after="0"/>
              <w:rPr>
                <w:sz w:val="22"/>
                <w:szCs w:val="22"/>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2573BA"/>
              </w:rPr>
              <w:t>1,559.2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1,314.5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1,339.2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1,195.4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1,126.0</w:t>
            </w:r>
          </w:p>
        </w:tc>
      </w:tr>
      <w:tr>
        <w:trPr>
          <w:trHeight w:val="263"/>
        </w:trPr>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2573BA"/>
              </w:rPr>
              <w:t>360.0</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316.4</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236.1</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304.5</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263.9</w:t>
            </w:r>
          </w:p>
        </w:tc>
      </w:tr>
      <w:tr>
        <w:trPr>
          <w:trHeight w:val="236"/>
        </w:trPr>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2573BA"/>
              </w:rPr>
              <w:t>12,273.9</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11,448.8</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10,763.8</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9,703.3</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6,932.2</w:t>
            </w:r>
          </w:p>
        </w:tc>
      </w:tr>
      <w:tr>
        <w:trPr>
          <w:trHeight w:val="229"/>
        </w:trPr>
        <w:tc>
          <w:tcPr>
            <w:tcW w:w="38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2573BA"/>
              </w:rPr>
              <w:t>6,929.7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6,298.4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5,872.8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5,747.7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4,441.6</w:t>
            </w:r>
          </w:p>
        </w:tc>
      </w:tr>
      <w:tr>
        <w:trPr>
          <w:trHeight w:val="263"/>
        </w:trPr>
        <w:tc>
          <w:tcPr>
            <w:tcW w:w="380" w:type="dxa"/>
            <w:vAlign w:val="bottom"/>
          </w:tcPr>
          <w:p>
            <w:pPr>
              <w:spacing w:after="0"/>
              <w:rPr>
                <w:sz w:val="22"/>
                <w:szCs w:val="22"/>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2573BA"/>
              </w:rPr>
              <w:t>—</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2"/>
                <w:szCs w:val="22"/>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16.8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24.9</w:t>
            </w:r>
          </w:p>
        </w:tc>
      </w:tr>
      <w:tr>
        <w:trPr>
          <w:trHeight w:val="229"/>
        </w:trPr>
        <w:tc>
          <w:tcPr>
            <w:tcW w:w="3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2573BA"/>
              </w:rPr>
              <w:t>5,344.2</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5,150.4</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4,891.0</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3,972.4</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2,515.5</w:t>
            </w:r>
          </w:p>
        </w:tc>
      </w:tr>
      <w:tr>
        <w:trPr>
          <w:trHeight w:val="263"/>
        </w:trPr>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(215.4)</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(217.4)</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(123.7)</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(34.9)</w:t>
            </w:r>
          </w:p>
        </w:tc>
      </w:tr>
      <w:tr>
        <w:trPr>
          <w:trHeight w:val="408"/>
        </w:trPr>
        <w:tc>
          <w:tcPr>
            <w:tcW w:w="380" w:type="dxa"/>
            <w:vAlign w:val="bottom"/>
          </w:tcPr>
          <w:p>
            <w:pPr>
              <w:spacing w:after="0"/>
              <w:rPr>
                <w:sz w:val="24"/>
                <w:szCs w:val="24"/>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2573BA"/>
              </w:rPr>
              <w:t>5,128.8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4,933.0</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4,767.3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3,946.6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2,480.6</w:t>
            </w:r>
          </w:p>
        </w:tc>
      </w:tr>
      <w:tr>
        <w:trPr>
          <w:trHeight w:val="256"/>
        </w:trPr>
        <w:tc>
          <w:tcPr>
            <w:tcW w:w="380" w:type="dxa"/>
            <w:vAlign w:val="bottom"/>
          </w:tcPr>
          <w:p>
            <w:pPr>
              <w:spacing w:after="0"/>
              <w:rPr>
                <w:sz w:val="22"/>
                <w:szCs w:val="22"/>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2573BA"/>
              </w:rPr>
              <w:t>2,458.7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1,237.3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1,161.6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989.9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601.0</w:t>
            </w:r>
          </w:p>
        </w:tc>
      </w:tr>
      <w:tr>
        <w:trPr>
          <w:trHeight w:val="263"/>
        </w:trPr>
        <w:tc>
          <w:tcPr>
            <w:tcW w:w="380" w:type="dxa"/>
            <w:vAlign w:val="bottom"/>
          </w:tcPr>
          <w:p>
            <w:pPr>
              <w:spacing w:after="0"/>
              <w:rPr>
                <w:sz w:val="22"/>
                <w:szCs w:val="22"/>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2573BA"/>
              </w:rPr>
              <w:t>—</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22"/>
                <w:szCs w:val="22"/>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12.5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15.1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17.2</w:t>
            </w:r>
          </w:p>
        </w:tc>
      </w:tr>
      <w:tr>
        <w:trPr>
          <w:trHeight w:val="229"/>
        </w:trPr>
        <w:tc>
          <w:tcPr>
            <w:tcW w:w="3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2573BA"/>
              </w:rPr>
              <w:t>2,670.1</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3,695.7</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3,593.2</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2,941.6</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1,862.3</w:t>
            </w:r>
          </w:p>
        </w:tc>
      </w:tr>
      <w:tr>
        <w:trPr>
          <w:trHeight w:val="442"/>
        </w:trPr>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2573BA"/>
              </w:rPr>
              <w:t>131.0</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46.2</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r>
      <w:tr>
        <w:trPr>
          <w:trHeight w:val="236"/>
        </w:trPr>
        <w:tc>
          <w:tcPr>
            <w:tcW w:w="380" w:type="dxa"/>
            <w:vAlign w:val="bottom"/>
          </w:tcPr>
          <w:p>
            <w:pPr>
              <w:jc w:val="right"/>
              <w:ind w:right="175"/>
              <w:spacing w:after="0"/>
              <w:rPr>
                <w:sz w:val="20"/>
                <w:szCs w:val="20"/>
                <w:color w:val="auto"/>
              </w:rPr>
            </w:pPr>
            <w:r>
              <w:rPr>
                <w:rFonts w:ascii="Arial" w:cs="Arial" w:eastAsia="Arial" w:hAnsi="Arial"/>
                <w:sz w:val="17"/>
                <w:szCs w:val="17"/>
                <w:color w:val="2573BA"/>
              </w:rPr>
              <w:t>$</w:t>
            </w:r>
          </w:p>
        </w:tc>
        <w:tc>
          <w:tcPr>
            <w:tcW w:w="1040" w:type="dxa"/>
            <w:vAlign w:val="bottom"/>
          </w:tcPr>
          <w:p>
            <w:pPr>
              <w:jc w:val="right"/>
              <w:ind w:right="35"/>
              <w:spacing w:after="0"/>
              <w:rPr>
                <w:sz w:val="20"/>
                <w:szCs w:val="20"/>
                <w:color w:val="auto"/>
              </w:rPr>
            </w:pPr>
            <w:r>
              <w:rPr>
                <w:rFonts w:ascii="Arial" w:cs="Arial" w:eastAsia="Arial" w:hAnsi="Arial"/>
                <w:sz w:val="17"/>
                <w:szCs w:val="17"/>
                <w:color w:val="2573BA"/>
              </w:rPr>
              <w:t>2,539.1</w:t>
            </w: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3,702.8</w:t>
            </w:r>
          </w:p>
        </w:tc>
        <w:tc>
          <w:tcPr>
            <w:tcW w:w="100" w:type="dxa"/>
            <w:vAlign w:val="bottom"/>
          </w:tcPr>
          <w:p>
            <w:pPr>
              <w:spacing w:after="0"/>
              <w:rPr>
                <w:sz w:val="20"/>
                <w:szCs w:val="20"/>
                <w:color w:val="auto"/>
              </w:rPr>
            </w:pPr>
          </w:p>
        </w:tc>
        <w:tc>
          <w:tcPr>
            <w:tcW w:w="38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3,547.0</w:t>
            </w:r>
          </w:p>
        </w:tc>
        <w:tc>
          <w:tcPr>
            <w:tcW w:w="100" w:type="dxa"/>
            <w:vAlign w:val="bottom"/>
          </w:tcPr>
          <w:p>
            <w:pPr>
              <w:spacing w:after="0"/>
              <w:rPr>
                <w:sz w:val="20"/>
                <w:szCs w:val="20"/>
                <w:color w:val="auto"/>
              </w:rPr>
            </w:pP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2,934.8</w:t>
            </w:r>
          </w:p>
        </w:tc>
        <w:tc>
          <w:tcPr>
            <w:tcW w:w="100" w:type="dxa"/>
            <w:vAlign w:val="bottom"/>
          </w:tcPr>
          <w:p>
            <w:pPr>
              <w:spacing w:after="0"/>
              <w:rPr>
                <w:sz w:val="20"/>
                <w:szCs w:val="20"/>
                <w:color w:val="auto"/>
              </w:rPr>
            </w:pPr>
          </w:p>
        </w:tc>
        <w:tc>
          <w:tcPr>
            <w:tcW w:w="40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1,862.3</w:t>
            </w:r>
          </w:p>
        </w:tc>
      </w:tr>
      <w:tr>
        <w:trPr>
          <w:trHeight w:val="20"/>
        </w:trPr>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4060" w:space="60"/>
            <w:col w:w="7300"/>
          </w:cols>
          <w:pgMar w:left="240" w:top="144" w:right="239" w:bottom="1440" w:gutter="0" w:footer="0" w:header="0"/>
          <w:type w:val="continuous"/>
        </w:sectPr>
      </w:pPr>
    </w:p>
    <w:tbl>
      <w:tblPr>
        <w:tblLayout w:type="fixed"/>
        <w:tblInd w:w="0" w:type="dxa"/>
        <w:tblCellMar>
          <w:top w:w="0" w:type="dxa"/>
          <w:left w:w="0" w:type="dxa"/>
          <w:bottom w:w="0" w:type="dxa"/>
          <w:right w:w="0" w:type="dxa"/>
        </w:tblCellMar>
      </w:tblPr>
      <w:tr>
        <w:trPr>
          <w:trHeight w:val="491"/>
        </w:trPr>
        <w:tc>
          <w:tcPr>
            <w:tcW w:w="412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Diluted Earnings Per Share</w:t>
            </w:r>
          </w:p>
        </w:tc>
        <w:tc>
          <w:tcPr>
            <w:tcW w:w="140" w:type="dxa"/>
            <w:vAlign w:val="bottom"/>
            <w:shd w:val="clear" w:color="auto" w:fill="DDDDDD"/>
          </w:tcPr>
          <w:p>
            <w:pPr>
              <w:spacing w:after="0"/>
              <w:rPr>
                <w:sz w:val="24"/>
                <w:szCs w:val="24"/>
                <w:color w:val="auto"/>
              </w:rPr>
            </w:pPr>
          </w:p>
        </w:tc>
        <w:tc>
          <w:tcPr>
            <w:tcW w:w="1160" w:type="dxa"/>
            <w:vAlign w:val="bottom"/>
            <w:shd w:val="clear" w:color="auto" w:fill="DDDDDD"/>
          </w:tcPr>
          <w:p>
            <w:pPr>
              <w:spacing w:after="0"/>
              <w:rPr>
                <w:sz w:val="24"/>
                <w:szCs w:val="24"/>
                <w:color w:val="auto"/>
              </w:rPr>
            </w:pPr>
          </w:p>
        </w:tc>
        <w:tc>
          <w:tcPr>
            <w:tcW w:w="120" w:type="dxa"/>
            <w:vAlign w:val="bottom"/>
            <w:shd w:val="clear" w:color="auto" w:fill="DDDDDD"/>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120" w:type="dxa"/>
            <w:vAlign w:val="bottom"/>
          </w:tcPr>
          <w:p>
            <w:pPr>
              <w:ind w:left="20"/>
              <w:spacing w:after="0"/>
              <w:rPr>
                <w:sz w:val="20"/>
                <w:szCs w:val="20"/>
                <w:color w:val="auto"/>
              </w:rPr>
            </w:pPr>
            <w:r>
              <w:rPr>
                <w:rFonts w:ascii="Arial" w:cs="Arial" w:eastAsia="Arial" w:hAnsi="Arial"/>
                <w:sz w:val="17"/>
                <w:szCs w:val="17"/>
                <w:color w:val="auto"/>
              </w:rPr>
              <w:t>Diluted earnings per share attributable to Biogen Inc.</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11.92</w:t>
            </w:r>
          </w:p>
        </w:tc>
        <w:tc>
          <w:tcPr>
            <w:tcW w:w="120" w:type="dxa"/>
            <w:vAlign w:val="bottom"/>
            <w:shd w:val="clear" w:color="auto" w:fill="DDDDDD"/>
          </w:tcPr>
          <w:p>
            <w:pPr>
              <w:spacing w:after="0"/>
              <w:rPr>
                <w:sz w:val="24"/>
                <w:szCs w:val="24"/>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16.93</w:t>
            </w:r>
          </w:p>
        </w:tc>
        <w:tc>
          <w:tcPr>
            <w:tcW w:w="10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15.34</w:t>
            </w:r>
          </w:p>
        </w:tc>
        <w:tc>
          <w:tcPr>
            <w:tcW w:w="100" w:type="dxa"/>
            <w:vAlign w:val="bottom"/>
          </w:tcPr>
          <w:p>
            <w:pPr>
              <w:spacing w:after="0"/>
              <w:rPr>
                <w:sz w:val="24"/>
                <w:szCs w:val="24"/>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7"/>
              <w:spacing w:after="0"/>
              <w:rPr>
                <w:sz w:val="20"/>
                <w:szCs w:val="20"/>
                <w:color w:val="auto"/>
              </w:rPr>
            </w:pPr>
            <w:r>
              <w:rPr>
                <w:rFonts w:ascii="Arial" w:cs="Arial" w:eastAsia="Arial" w:hAnsi="Arial"/>
                <w:sz w:val="17"/>
                <w:szCs w:val="17"/>
                <w:color w:val="auto"/>
              </w:rPr>
              <w:t>12.37</w:t>
            </w:r>
          </w:p>
        </w:tc>
        <w:tc>
          <w:tcPr>
            <w:tcW w:w="100" w:type="dxa"/>
            <w:vAlign w:val="bottom"/>
          </w:tcPr>
          <w:p>
            <w:pPr>
              <w:spacing w:after="0"/>
              <w:rPr>
                <w:sz w:val="24"/>
                <w:szCs w:val="24"/>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7.81</w:t>
            </w:r>
          </w:p>
        </w:tc>
        <w:tc>
          <w:tcPr>
            <w:tcW w:w="0" w:type="dxa"/>
            <w:vAlign w:val="bottom"/>
          </w:tcPr>
          <w:p>
            <w:pPr>
              <w:spacing w:after="0"/>
              <w:rPr>
                <w:sz w:val="1"/>
                <w:szCs w:val="1"/>
                <w:color w:val="auto"/>
              </w:rPr>
            </w:pPr>
          </w:p>
        </w:tc>
      </w:tr>
      <w:tr>
        <w:trPr>
          <w:trHeight w:val="177"/>
        </w:trPr>
        <w:tc>
          <w:tcPr>
            <w:tcW w:w="4120" w:type="dxa"/>
            <w:vAlign w:val="bottom"/>
          </w:tcPr>
          <w:p>
            <w:pPr>
              <w:ind w:left="20"/>
              <w:spacing w:after="0" w:line="177" w:lineRule="exact"/>
              <w:rPr>
                <w:sz w:val="20"/>
                <w:szCs w:val="20"/>
                <w:color w:val="auto"/>
              </w:rPr>
            </w:pPr>
            <w:r>
              <w:rPr>
                <w:rFonts w:ascii="Arial" w:cs="Arial" w:eastAsia="Arial" w:hAnsi="Arial"/>
                <w:sz w:val="17"/>
                <w:szCs w:val="17"/>
                <w:color w:val="auto"/>
              </w:rPr>
              <w:t>Weighted-average shares used in calculating diluted</w:t>
            </w:r>
          </w:p>
        </w:tc>
        <w:tc>
          <w:tcPr>
            <w:tcW w:w="140" w:type="dxa"/>
            <w:vAlign w:val="bottom"/>
            <w:tcBorders>
              <w:top w:val="single" w:sz="8" w:color="auto"/>
            </w:tcBorders>
            <w:shd w:val="clear" w:color="auto" w:fill="DDDDDD"/>
          </w:tcPr>
          <w:p>
            <w:pPr>
              <w:spacing w:after="0"/>
              <w:rPr>
                <w:sz w:val="15"/>
                <w:szCs w:val="15"/>
                <w:color w:val="auto"/>
              </w:rPr>
            </w:pPr>
          </w:p>
        </w:tc>
        <w:tc>
          <w:tcPr>
            <w:tcW w:w="1160" w:type="dxa"/>
            <w:vAlign w:val="bottom"/>
            <w:tcBorders>
              <w:top w:val="single" w:sz="8" w:color="auto"/>
            </w:tcBorders>
            <w:vMerge w:val="restart"/>
            <w:shd w:val="clear" w:color="auto" w:fill="DDDDDD"/>
          </w:tcPr>
          <w:p>
            <w:pPr>
              <w:jc w:val="right"/>
              <w:spacing w:after="0"/>
              <w:rPr>
                <w:sz w:val="20"/>
                <w:szCs w:val="20"/>
                <w:color w:val="auto"/>
              </w:rPr>
            </w:pPr>
            <w:r>
              <w:rPr>
                <w:rFonts w:ascii="Arial" w:cs="Arial" w:eastAsia="Arial" w:hAnsi="Arial"/>
                <w:sz w:val="17"/>
                <w:szCs w:val="17"/>
                <w:color w:val="2573BA"/>
              </w:rPr>
              <w:t>213.0</w:t>
            </w:r>
          </w:p>
        </w:tc>
        <w:tc>
          <w:tcPr>
            <w:tcW w:w="120" w:type="dxa"/>
            <w:vAlign w:val="bottom"/>
            <w:tcBorders>
              <w:top w:val="single" w:sz="8" w:color="auto"/>
            </w:tcBorders>
            <w:shd w:val="clear" w:color="auto" w:fill="DDDDDD"/>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7"/>
                <w:szCs w:val="17"/>
                <w:color w:val="auto"/>
              </w:rPr>
              <w:t>218.8</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7"/>
                <w:szCs w:val="17"/>
                <w:color w:val="auto"/>
              </w:rPr>
              <w:t>231.2</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7"/>
                <w:szCs w:val="17"/>
                <w:color w:val="auto"/>
              </w:rPr>
              <w:t>237.2</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7"/>
                <w:szCs w:val="17"/>
                <w:color w:val="auto"/>
              </w:rPr>
              <w:t>238.3</w:t>
            </w:r>
          </w:p>
        </w:tc>
        <w:tc>
          <w:tcPr>
            <w:tcW w:w="0" w:type="dxa"/>
            <w:vAlign w:val="bottom"/>
          </w:tcPr>
          <w:p>
            <w:pPr>
              <w:spacing w:after="0"/>
              <w:rPr>
                <w:sz w:val="1"/>
                <w:szCs w:val="1"/>
                <w:color w:val="auto"/>
              </w:rPr>
            </w:pPr>
          </w:p>
        </w:tc>
      </w:tr>
      <w:tr>
        <w:trPr>
          <w:trHeight w:val="204"/>
        </w:trPr>
        <w:tc>
          <w:tcPr>
            <w:tcW w:w="4120" w:type="dxa"/>
            <w:vAlign w:val="bottom"/>
          </w:tcPr>
          <w:p>
            <w:pPr>
              <w:ind w:left="20"/>
              <w:spacing w:after="0"/>
              <w:rPr>
                <w:sz w:val="20"/>
                <w:szCs w:val="20"/>
                <w:color w:val="auto"/>
              </w:rPr>
            </w:pPr>
            <w:r>
              <w:rPr>
                <w:rFonts w:ascii="Arial" w:cs="Arial" w:eastAsia="Arial" w:hAnsi="Arial"/>
                <w:sz w:val="17"/>
                <w:szCs w:val="17"/>
                <w:color w:val="auto"/>
              </w:rPr>
              <w:t>earnings per share attributable to Biogen Inc.</w:t>
            </w:r>
          </w:p>
        </w:tc>
        <w:tc>
          <w:tcPr>
            <w:tcW w:w="140" w:type="dxa"/>
            <w:vAlign w:val="bottom"/>
            <w:tcBorders>
              <w:bottom w:val="single" w:sz="8" w:color="auto"/>
            </w:tcBorders>
            <w:shd w:val="clear" w:color="auto" w:fill="DDDDDD"/>
          </w:tcPr>
          <w:p>
            <w:pPr>
              <w:spacing w:after="0"/>
              <w:rPr>
                <w:sz w:val="17"/>
                <w:szCs w:val="17"/>
                <w:color w:val="auto"/>
              </w:rPr>
            </w:pPr>
          </w:p>
        </w:tc>
        <w:tc>
          <w:tcPr>
            <w:tcW w:w="1160" w:type="dxa"/>
            <w:vAlign w:val="bottom"/>
            <w:tcBorders>
              <w:bottom w:val="single" w:sz="8" w:color="auto"/>
            </w:tcBorders>
            <w:vMerge w:val="continue"/>
            <w:shd w:val="clear" w:color="auto" w:fill="DDDDDD"/>
          </w:tcPr>
          <w:p>
            <w:pPr>
              <w:spacing w:after="0"/>
              <w:rPr>
                <w:sz w:val="17"/>
                <w:szCs w:val="17"/>
                <w:color w:val="auto"/>
              </w:rPr>
            </w:pPr>
          </w:p>
        </w:tc>
        <w:tc>
          <w:tcPr>
            <w:tcW w:w="120" w:type="dxa"/>
            <w:vAlign w:val="bottom"/>
            <w:tcBorders>
              <w:bottom w:val="single" w:sz="8" w:color="auto"/>
            </w:tcBorders>
            <w:shd w:val="clear" w:color="auto" w:fill="DDDDDD"/>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ind w:left="420"/>
              <w:spacing w:after="0"/>
              <w:rPr>
                <w:sz w:val="20"/>
                <w:szCs w:val="20"/>
                <w:color w:val="auto"/>
              </w:rPr>
            </w:pPr>
            <w:r>
              <w:rPr>
                <w:rFonts w:ascii="Arial" w:cs="Arial" w:eastAsia="Arial" w:hAnsi="Arial"/>
                <w:sz w:val="17"/>
                <w:szCs w:val="17"/>
                <w:color w:val="auto"/>
              </w:rPr>
              <w:t>Our financial condition is summarized as follows:</w:t>
            </w: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1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As of December 31,</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120" w:type="dxa"/>
            <w:vAlign w:val="bottom"/>
          </w:tcPr>
          <w:p>
            <w:pPr>
              <w:spacing w:after="0"/>
              <w:rPr>
                <w:sz w:val="21"/>
                <w:szCs w:val="21"/>
                <w:color w:val="auto"/>
              </w:rPr>
            </w:pPr>
          </w:p>
        </w:tc>
        <w:tc>
          <w:tcPr>
            <w:tcW w:w="140" w:type="dxa"/>
            <w:vAlign w:val="bottom"/>
            <w:shd w:val="clear" w:color="auto" w:fill="DDDDDD"/>
          </w:tcPr>
          <w:p>
            <w:pPr>
              <w:spacing w:after="0"/>
              <w:rPr>
                <w:sz w:val="21"/>
                <w:szCs w:val="21"/>
                <w:color w:val="auto"/>
              </w:rPr>
            </w:pPr>
          </w:p>
        </w:tc>
        <w:tc>
          <w:tcPr>
            <w:tcW w:w="1160" w:type="dxa"/>
            <w:vAlign w:val="bottom"/>
            <w:shd w:val="clear" w:color="auto" w:fill="DDDDDD"/>
          </w:tcPr>
          <w:p>
            <w:pPr>
              <w:jc w:val="right"/>
              <w:ind w:right="357"/>
              <w:spacing w:after="0"/>
              <w:rPr>
                <w:sz w:val="20"/>
                <w:szCs w:val="20"/>
                <w:color w:val="auto"/>
              </w:rPr>
            </w:pPr>
            <w:r>
              <w:rPr>
                <w:rFonts w:ascii="Arial" w:cs="Arial" w:eastAsia="Arial" w:hAnsi="Arial"/>
                <w:sz w:val="14"/>
                <w:szCs w:val="14"/>
                <w:b w:val="1"/>
                <w:bCs w:val="1"/>
                <w:color w:val="2573BA"/>
              </w:rPr>
              <w:t>2017</w:t>
            </w:r>
          </w:p>
        </w:tc>
        <w:tc>
          <w:tcPr>
            <w:tcW w:w="120" w:type="dxa"/>
            <w:vAlign w:val="bottom"/>
            <w:shd w:val="clear" w:color="auto" w:fill="DDDDDD"/>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437"/>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437"/>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62"/>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shd w:val="clear" w:color="auto" w:fill="DDDDDD"/>
          </w:tcPr>
          <w:p>
            <w:pPr>
              <w:spacing w:after="0"/>
              <w:rPr>
                <w:sz w:val="22"/>
                <w:szCs w:val="22"/>
                <w:color w:val="auto"/>
              </w:rPr>
            </w:pPr>
          </w:p>
        </w:tc>
        <w:tc>
          <w:tcPr>
            <w:tcW w:w="1160" w:type="dxa"/>
            <w:vAlign w:val="bottom"/>
            <w:tcBorders>
              <w:bottom w:val="single" w:sz="8" w:color="auto"/>
            </w:tcBorders>
            <w:shd w:val="clear" w:color="auto" w:fill="DDDDDD"/>
          </w:tcPr>
          <w:p>
            <w:pPr>
              <w:spacing w:after="0"/>
              <w:rPr>
                <w:sz w:val="22"/>
                <w:szCs w:val="22"/>
                <w:color w:val="auto"/>
              </w:rPr>
            </w:pPr>
          </w:p>
        </w:tc>
        <w:tc>
          <w:tcPr>
            <w:tcW w:w="120" w:type="dxa"/>
            <w:vAlign w:val="bottom"/>
            <w:tcBorders>
              <w:bottom w:val="single" w:sz="8" w:color="auto"/>
            </w:tcBorders>
            <w:shd w:val="clear" w:color="auto" w:fill="DDDDDD"/>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12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Financial Condition (1)</w:t>
            </w:r>
          </w:p>
        </w:tc>
        <w:tc>
          <w:tcPr>
            <w:tcW w:w="140" w:type="dxa"/>
            <w:vAlign w:val="bottom"/>
            <w:shd w:val="clear" w:color="auto" w:fill="DDDDDD"/>
          </w:tcPr>
          <w:p>
            <w:pPr>
              <w:spacing w:after="0"/>
              <w:rPr>
                <w:sz w:val="19"/>
                <w:szCs w:val="19"/>
                <w:color w:val="auto"/>
              </w:rPr>
            </w:pPr>
          </w:p>
        </w:tc>
        <w:tc>
          <w:tcPr>
            <w:tcW w:w="116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4120" w:type="dxa"/>
            <w:vAlign w:val="bottom"/>
          </w:tcPr>
          <w:p>
            <w:pPr>
              <w:ind w:left="20"/>
              <w:spacing w:after="0"/>
              <w:rPr>
                <w:sz w:val="20"/>
                <w:szCs w:val="20"/>
                <w:color w:val="auto"/>
              </w:rPr>
            </w:pPr>
            <w:r>
              <w:rPr>
                <w:rFonts w:ascii="Arial" w:cs="Arial" w:eastAsia="Arial" w:hAnsi="Arial"/>
                <w:sz w:val="17"/>
                <w:szCs w:val="17"/>
                <w:color w:val="auto"/>
              </w:rPr>
              <w:t>Cash, cash equivalents and marketable securities</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80" w:type="dxa"/>
            <w:vAlign w:val="bottom"/>
            <w:gridSpan w:val="2"/>
            <w:shd w:val="clear" w:color="auto" w:fill="DDDDDD"/>
          </w:tcPr>
          <w:p>
            <w:pPr>
              <w:jc w:val="right"/>
              <w:ind w:right="120"/>
              <w:spacing w:after="0"/>
              <w:rPr>
                <w:sz w:val="20"/>
                <w:szCs w:val="20"/>
                <w:color w:val="auto"/>
              </w:rPr>
            </w:pPr>
            <w:r>
              <w:rPr>
                <w:rFonts w:ascii="Arial" w:cs="Arial" w:eastAsia="Arial" w:hAnsi="Arial"/>
                <w:sz w:val="17"/>
                <w:szCs w:val="17"/>
                <w:color w:val="2573BA"/>
              </w:rPr>
              <w:t>6,746.3</w:t>
            </w:r>
          </w:p>
        </w:tc>
        <w:tc>
          <w:tcPr>
            <w:tcW w:w="4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7,724.5</w:t>
            </w:r>
          </w:p>
        </w:tc>
        <w:tc>
          <w:tcPr>
            <w:tcW w:w="100" w:type="dxa"/>
            <w:vAlign w:val="bottom"/>
          </w:tcPr>
          <w:p>
            <w:pPr>
              <w:spacing w:after="0"/>
              <w:rPr>
                <w:sz w:val="23"/>
                <w:szCs w:val="23"/>
                <w:color w:val="auto"/>
              </w:rPr>
            </w:pPr>
          </w:p>
        </w:tc>
        <w:tc>
          <w:tcPr>
            <w:tcW w:w="340" w:type="dxa"/>
            <w:vAlign w:val="bottom"/>
          </w:tcPr>
          <w:p>
            <w:pPr>
              <w:ind w:left="4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6,188.9</w:t>
            </w:r>
          </w:p>
        </w:tc>
        <w:tc>
          <w:tcPr>
            <w:tcW w:w="100" w:type="dxa"/>
            <w:vAlign w:val="bottom"/>
          </w:tcPr>
          <w:p>
            <w:pPr>
              <w:spacing w:after="0"/>
              <w:rPr>
                <w:sz w:val="23"/>
                <w:szCs w:val="23"/>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7"/>
              <w:spacing w:after="0"/>
              <w:rPr>
                <w:sz w:val="20"/>
                <w:szCs w:val="20"/>
                <w:color w:val="auto"/>
              </w:rPr>
            </w:pPr>
            <w:r>
              <w:rPr>
                <w:rFonts w:ascii="Arial" w:cs="Arial" w:eastAsia="Arial" w:hAnsi="Arial"/>
                <w:sz w:val="17"/>
                <w:szCs w:val="17"/>
                <w:color w:val="auto"/>
              </w:rPr>
              <w:t>3,316.0</w:t>
            </w:r>
          </w:p>
        </w:tc>
        <w:tc>
          <w:tcPr>
            <w:tcW w:w="100" w:type="dxa"/>
            <w:vAlign w:val="bottom"/>
          </w:tcPr>
          <w:p>
            <w:pPr>
              <w:spacing w:after="0"/>
              <w:rPr>
                <w:sz w:val="23"/>
                <w:szCs w:val="23"/>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1,848.5</w:t>
            </w:r>
          </w:p>
        </w:tc>
        <w:tc>
          <w:tcPr>
            <w:tcW w:w="0" w:type="dxa"/>
            <w:vAlign w:val="bottom"/>
          </w:tcPr>
          <w:p>
            <w:pPr>
              <w:spacing w:after="0"/>
              <w:rPr>
                <w:sz w:val="1"/>
                <w:szCs w:val="1"/>
                <w:color w:val="auto"/>
              </w:rPr>
            </w:pPr>
          </w:p>
        </w:tc>
      </w:tr>
      <w:tr>
        <w:trPr>
          <w:trHeight w:val="256"/>
        </w:trPr>
        <w:tc>
          <w:tcPr>
            <w:tcW w:w="412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23,652.6</w:t>
            </w:r>
          </w:p>
        </w:tc>
        <w:tc>
          <w:tcPr>
            <w:tcW w:w="120" w:type="dxa"/>
            <w:vAlign w:val="bottom"/>
            <w:shd w:val="clear" w:color="auto" w:fill="DDDDDD"/>
          </w:tcPr>
          <w:p>
            <w:pPr>
              <w:spacing w:after="0"/>
              <w:rPr>
                <w:sz w:val="22"/>
                <w:szCs w:val="22"/>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22,876.8</w:t>
            </w:r>
          </w:p>
        </w:tc>
        <w:tc>
          <w:tcPr>
            <w:tcW w:w="100" w:type="dxa"/>
            <w:vAlign w:val="bottom"/>
          </w:tcPr>
          <w:p>
            <w:pPr>
              <w:spacing w:after="0"/>
              <w:rPr>
                <w:sz w:val="22"/>
                <w:szCs w:val="22"/>
                <w:color w:val="auto"/>
              </w:rPr>
            </w:pPr>
          </w:p>
        </w:tc>
        <w:tc>
          <w:tcPr>
            <w:tcW w:w="340" w:type="dxa"/>
            <w:vAlign w:val="bottom"/>
          </w:tcPr>
          <w:p>
            <w:pPr>
              <w:ind w:left="4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19,504.8</w:t>
            </w:r>
          </w:p>
        </w:tc>
        <w:tc>
          <w:tcPr>
            <w:tcW w:w="100" w:type="dxa"/>
            <w:vAlign w:val="bottom"/>
          </w:tcPr>
          <w:p>
            <w:pPr>
              <w:spacing w:after="0"/>
              <w:rPr>
                <w:sz w:val="22"/>
                <w:szCs w:val="22"/>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7"/>
              <w:spacing w:after="0"/>
              <w:rPr>
                <w:sz w:val="20"/>
                <w:szCs w:val="20"/>
                <w:color w:val="auto"/>
              </w:rPr>
            </w:pPr>
            <w:r>
              <w:rPr>
                <w:rFonts w:ascii="Arial" w:cs="Arial" w:eastAsia="Arial" w:hAnsi="Arial"/>
                <w:sz w:val="17"/>
                <w:szCs w:val="17"/>
                <w:color w:val="auto"/>
              </w:rPr>
              <w:t>14,314.7</w:t>
            </w:r>
          </w:p>
        </w:tc>
        <w:tc>
          <w:tcPr>
            <w:tcW w:w="100" w:type="dxa"/>
            <w:vAlign w:val="bottom"/>
          </w:tcPr>
          <w:p>
            <w:pPr>
              <w:spacing w:after="0"/>
              <w:rPr>
                <w:sz w:val="22"/>
                <w:szCs w:val="22"/>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11,863.3</w:t>
            </w:r>
          </w:p>
        </w:tc>
        <w:tc>
          <w:tcPr>
            <w:tcW w:w="0" w:type="dxa"/>
            <w:vAlign w:val="bottom"/>
          </w:tcPr>
          <w:p>
            <w:pPr>
              <w:spacing w:after="0"/>
              <w:rPr>
                <w:sz w:val="1"/>
                <w:szCs w:val="1"/>
                <w:color w:val="auto"/>
              </w:rPr>
            </w:pPr>
          </w:p>
        </w:tc>
      </w:tr>
      <w:tr>
        <w:trPr>
          <w:trHeight w:val="211"/>
        </w:trPr>
        <w:tc>
          <w:tcPr>
            <w:tcW w:w="4120" w:type="dxa"/>
            <w:vAlign w:val="bottom"/>
          </w:tcPr>
          <w:p>
            <w:pPr>
              <w:ind w:left="20"/>
              <w:spacing w:after="0"/>
              <w:rPr>
                <w:sz w:val="20"/>
                <w:szCs w:val="20"/>
                <w:color w:val="auto"/>
              </w:rPr>
            </w:pPr>
            <w:r>
              <w:rPr>
                <w:rFonts w:ascii="Arial" w:cs="Arial" w:eastAsia="Arial" w:hAnsi="Arial"/>
                <w:sz w:val="17"/>
                <w:szCs w:val="17"/>
                <w:color w:val="auto"/>
              </w:rPr>
              <w:t>Notes payable and other financing arrangements,</w:t>
            </w:r>
          </w:p>
        </w:tc>
        <w:tc>
          <w:tcPr>
            <w:tcW w:w="140" w:type="dxa"/>
            <w:vAlign w:val="bottom"/>
            <w:shd w:val="clear" w:color="auto" w:fill="DDDDDD"/>
          </w:tcPr>
          <w:p>
            <w:pPr>
              <w:spacing w:after="0"/>
              <w:rPr>
                <w:sz w:val="18"/>
                <w:szCs w:val="18"/>
                <w:color w:val="auto"/>
              </w:rPr>
            </w:pPr>
          </w:p>
        </w:tc>
        <w:tc>
          <w:tcPr>
            <w:tcW w:w="116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120" w:type="dxa"/>
            <w:vAlign w:val="bottom"/>
          </w:tcPr>
          <w:p>
            <w:pPr>
              <w:ind w:left="20"/>
              <w:spacing w:after="0"/>
              <w:rPr>
                <w:sz w:val="20"/>
                <w:szCs w:val="20"/>
                <w:color w:val="auto"/>
              </w:rPr>
            </w:pPr>
            <w:r>
              <w:rPr>
                <w:rFonts w:ascii="Arial" w:cs="Arial" w:eastAsia="Arial" w:hAnsi="Arial"/>
                <w:sz w:val="17"/>
                <w:szCs w:val="17"/>
                <w:color w:val="auto"/>
              </w:rPr>
              <w:t xml:space="preserve">less current portion </w:t>
            </w:r>
            <w:r>
              <w:rPr>
                <w:rFonts w:ascii="Arial" w:cs="Arial" w:eastAsia="Arial" w:hAnsi="Arial"/>
                <w:sz w:val="17"/>
                <w:szCs w:val="17"/>
                <w:b w:val="1"/>
                <w:bCs w:val="1"/>
                <w:color w:val="auto"/>
              </w:rPr>
              <w:t>(3)</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5,935.0</w:t>
            </w:r>
          </w:p>
        </w:tc>
        <w:tc>
          <w:tcPr>
            <w:tcW w:w="120" w:type="dxa"/>
            <w:vAlign w:val="bottom"/>
            <w:shd w:val="clear" w:color="auto" w:fill="DDDDDD"/>
          </w:tcPr>
          <w:p>
            <w:pPr>
              <w:spacing w:after="0"/>
              <w:rPr>
                <w:sz w:val="19"/>
                <w:szCs w:val="19"/>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6,512.7</w:t>
            </w:r>
          </w:p>
        </w:tc>
        <w:tc>
          <w:tcPr>
            <w:tcW w:w="100" w:type="dxa"/>
            <w:vAlign w:val="bottom"/>
          </w:tcPr>
          <w:p>
            <w:pPr>
              <w:spacing w:after="0"/>
              <w:rPr>
                <w:sz w:val="19"/>
                <w:szCs w:val="19"/>
                <w:color w:val="auto"/>
              </w:rPr>
            </w:pPr>
          </w:p>
        </w:tc>
        <w:tc>
          <w:tcPr>
            <w:tcW w:w="340" w:type="dxa"/>
            <w:vAlign w:val="bottom"/>
          </w:tcPr>
          <w:p>
            <w:pPr>
              <w:ind w:left="4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6,521.5</w:t>
            </w:r>
          </w:p>
        </w:tc>
        <w:tc>
          <w:tcPr>
            <w:tcW w:w="100" w:type="dxa"/>
            <w:vAlign w:val="bottom"/>
          </w:tcPr>
          <w:p>
            <w:pPr>
              <w:spacing w:after="0"/>
              <w:rPr>
                <w:sz w:val="19"/>
                <w:szCs w:val="19"/>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7"/>
              <w:spacing w:after="0"/>
              <w:rPr>
                <w:sz w:val="20"/>
                <w:szCs w:val="20"/>
                <w:color w:val="auto"/>
              </w:rPr>
            </w:pPr>
            <w:r>
              <w:rPr>
                <w:rFonts w:ascii="Arial" w:cs="Arial" w:eastAsia="Arial" w:hAnsi="Arial"/>
                <w:sz w:val="17"/>
                <w:szCs w:val="17"/>
                <w:color w:val="auto"/>
              </w:rPr>
              <w:t>580.3</w:t>
            </w:r>
          </w:p>
        </w:tc>
        <w:tc>
          <w:tcPr>
            <w:tcW w:w="100" w:type="dxa"/>
            <w:vAlign w:val="bottom"/>
          </w:tcPr>
          <w:p>
            <w:pPr>
              <w:spacing w:after="0"/>
              <w:rPr>
                <w:sz w:val="19"/>
                <w:szCs w:val="19"/>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592.4</w:t>
            </w:r>
          </w:p>
        </w:tc>
        <w:tc>
          <w:tcPr>
            <w:tcW w:w="0" w:type="dxa"/>
            <w:vAlign w:val="bottom"/>
          </w:tcPr>
          <w:p>
            <w:pPr>
              <w:spacing w:after="0"/>
              <w:rPr>
                <w:sz w:val="1"/>
                <w:szCs w:val="1"/>
                <w:color w:val="auto"/>
              </w:rPr>
            </w:pPr>
          </w:p>
        </w:tc>
      </w:tr>
      <w:tr>
        <w:trPr>
          <w:trHeight w:val="270"/>
        </w:trPr>
        <w:tc>
          <w:tcPr>
            <w:tcW w:w="4120" w:type="dxa"/>
            <w:vAlign w:val="bottom"/>
          </w:tcPr>
          <w:p>
            <w:pPr>
              <w:ind w:left="20"/>
              <w:spacing w:after="0"/>
              <w:rPr>
                <w:sz w:val="20"/>
                <w:szCs w:val="20"/>
                <w:color w:val="auto"/>
              </w:rPr>
            </w:pPr>
            <w:r>
              <w:rPr>
                <w:rFonts w:ascii="Arial" w:cs="Arial" w:eastAsia="Arial" w:hAnsi="Arial"/>
                <w:sz w:val="17"/>
                <w:szCs w:val="17"/>
                <w:color w:val="auto"/>
              </w:rPr>
              <w:t xml:space="preserve">Total Biogen Inc. shareholders’ equity </w:t>
            </w:r>
            <w:r>
              <w:rPr>
                <w:rFonts w:ascii="Arial" w:cs="Arial" w:eastAsia="Arial" w:hAnsi="Arial"/>
                <w:sz w:val="17"/>
                <w:szCs w:val="17"/>
                <w:b w:val="1"/>
                <w:bCs w:val="1"/>
                <w:color w:val="auto"/>
              </w:rPr>
              <w:t>(4)</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12,612.8</w:t>
            </w:r>
          </w:p>
        </w:tc>
        <w:tc>
          <w:tcPr>
            <w:tcW w:w="120" w:type="dxa"/>
            <w:vAlign w:val="bottom"/>
            <w:shd w:val="clear" w:color="auto" w:fill="DDDDDD"/>
          </w:tcPr>
          <w:p>
            <w:pPr>
              <w:spacing w:after="0"/>
              <w:rPr>
                <w:sz w:val="23"/>
                <w:szCs w:val="23"/>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12,140.1</w:t>
            </w:r>
          </w:p>
        </w:tc>
        <w:tc>
          <w:tcPr>
            <w:tcW w:w="100" w:type="dxa"/>
            <w:vAlign w:val="bottom"/>
          </w:tcPr>
          <w:p>
            <w:pPr>
              <w:spacing w:after="0"/>
              <w:rPr>
                <w:sz w:val="23"/>
                <w:szCs w:val="23"/>
                <w:color w:val="auto"/>
              </w:rPr>
            </w:pPr>
          </w:p>
        </w:tc>
        <w:tc>
          <w:tcPr>
            <w:tcW w:w="340" w:type="dxa"/>
            <w:vAlign w:val="bottom"/>
          </w:tcPr>
          <w:p>
            <w:pPr>
              <w:ind w:left="4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9,372.8</w:t>
            </w:r>
          </w:p>
        </w:tc>
        <w:tc>
          <w:tcPr>
            <w:tcW w:w="100" w:type="dxa"/>
            <w:vAlign w:val="bottom"/>
          </w:tcPr>
          <w:p>
            <w:pPr>
              <w:spacing w:after="0"/>
              <w:rPr>
                <w:sz w:val="23"/>
                <w:szCs w:val="23"/>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7"/>
              <w:spacing w:after="0"/>
              <w:rPr>
                <w:sz w:val="20"/>
                <w:szCs w:val="20"/>
                <w:color w:val="auto"/>
              </w:rPr>
            </w:pPr>
            <w:r>
              <w:rPr>
                <w:rFonts w:ascii="Arial" w:cs="Arial" w:eastAsia="Arial" w:hAnsi="Arial"/>
                <w:sz w:val="17"/>
                <w:szCs w:val="17"/>
                <w:color w:val="auto"/>
              </w:rPr>
              <w:t>10,809.0</w:t>
            </w:r>
          </w:p>
        </w:tc>
        <w:tc>
          <w:tcPr>
            <w:tcW w:w="100" w:type="dxa"/>
            <w:vAlign w:val="bottom"/>
          </w:tcPr>
          <w:p>
            <w:pPr>
              <w:spacing w:after="0"/>
              <w:rPr>
                <w:sz w:val="23"/>
                <w:szCs w:val="23"/>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8,620.2</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right="140" w:firstLine="384"/>
        <w:spacing w:after="0" w:line="257" w:lineRule="auto"/>
        <w:rPr>
          <w:sz w:val="20"/>
          <w:szCs w:val="20"/>
          <w:color w:val="auto"/>
        </w:rPr>
      </w:pPr>
      <w:r>
        <w:rPr>
          <w:rFonts w:ascii="Arial" w:cs="Arial" w:eastAsia="Arial" w:hAnsi="Arial"/>
          <w:sz w:val="17"/>
          <w:szCs w:val="17"/>
          <w:color w:val="auto"/>
        </w:rPr>
        <w:t xml:space="preserve">In addition to the following notes, the financial data included within the tables above should be read in conjunction with our consolidated financial statements and related notes and Item 7.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xml:space="preserve"> included in this report and our previously filed Annual Reports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268605</wp:posOffset>
            </wp:positionV>
            <wp:extent cx="725360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20"/>
          </w:cols>
          <w:pgMar w:left="240" w:top="144" w:right="239" w:bottom="1440" w:gutter="0" w:footer="0" w:header="0"/>
          <w:type w:val="continuous"/>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2" w:lineRule="exact"/>
        <w:rPr>
          <w:sz w:val="20"/>
          <w:szCs w:val="20"/>
          <w:color w:val="auto"/>
        </w:rPr>
      </w:pPr>
    </w:p>
    <w:p>
      <w:pPr>
        <w:ind w:left="380" w:right="20" w:hanging="301"/>
        <w:spacing w:after="0" w:line="255" w:lineRule="auto"/>
        <w:tabs>
          <w:tab w:leader="none" w:pos="380" w:val="left"/>
        </w:tabs>
        <w:numPr>
          <w:ilvl w:val="1"/>
          <w:numId w:val="65"/>
        </w:numPr>
        <w:rPr>
          <w:rFonts w:ascii="Arial" w:cs="Arial" w:eastAsia="Arial" w:hAnsi="Arial"/>
          <w:sz w:val="17"/>
          <w:szCs w:val="17"/>
          <w:color w:val="auto"/>
        </w:rPr>
      </w:pPr>
      <w:r>
        <w:rPr>
          <w:rFonts w:ascii="Arial" w:cs="Arial" w:eastAsia="Arial" w:hAnsi="Arial"/>
          <w:sz w:val="17"/>
          <w:szCs w:val="17"/>
          <w:color w:val="auto"/>
        </w:rPr>
        <w:t xml:space="preserve">On February 1, 2017, we completed the spin-off of our hemophilia business, Bioverativ, as an independent, publicly traded company. Our consolidated results of operations and financial position reflect the financial results of our hemophilia business for all periods through January 31, 2017. For additional information on the spin-off of our hemophilia business, please read Note 3, </w:t>
      </w:r>
      <w:r>
        <w:rPr>
          <w:rFonts w:ascii="Arial" w:cs="Arial" w:eastAsia="Arial" w:hAnsi="Arial"/>
          <w:sz w:val="17"/>
          <w:szCs w:val="17"/>
          <w:i w:val="1"/>
          <w:iCs w:val="1"/>
          <w:color w:val="auto"/>
        </w:rPr>
        <w:t>Hemophilia Spin-Off</w:t>
      </w:r>
      <w:r>
        <w:rPr>
          <w:rFonts w:ascii="Arial" w:cs="Arial" w:eastAsia="Arial" w:hAnsi="Arial"/>
          <w:sz w:val="17"/>
          <w:szCs w:val="17"/>
          <w:color w:val="auto"/>
        </w:rPr>
        <w:t>, to our consolidated financial statements included in this report.</w:t>
      </w:r>
    </w:p>
    <w:p>
      <w:pPr>
        <w:spacing w:after="0" w:line="142" w:lineRule="exact"/>
        <w:rPr>
          <w:rFonts w:ascii="Arial" w:cs="Arial" w:eastAsia="Arial" w:hAnsi="Arial"/>
          <w:sz w:val="17"/>
          <w:szCs w:val="17"/>
          <w:color w:val="auto"/>
        </w:rPr>
      </w:pPr>
    </w:p>
    <w:p>
      <w:pPr>
        <w:ind w:left="380" w:hanging="301"/>
        <w:spacing w:after="0"/>
        <w:tabs>
          <w:tab w:leader="none" w:pos="380" w:val="left"/>
        </w:tabs>
        <w:numPr>
          <w:ilvl w:val="1"/>
          <w:numId w:val="65"/>
        </w:numPr>
        <w:rPr>
          <w:rFonts w:ascii="Arial" w:cs="Arial" w:eastAsia="Arial" w:hAnsi="Arial"/>
          <w:sz w:val="17"/>
          <w:szCs w:val="17"/>
          <w:color w:val="auto"/>
        </w:rPr>
      </w:pPr>
      <w:r>
        <w:rPr>
          <w:rFonts w:ascii="Arial" w:cs="Arial" w:eastAsia="Arial" w:hAnsi="Arial"/>
          <w:sz w:val="17"/>
          <w:szCs w:val="17"/>
          <w:color w:val="auto"/>
        </w:rPr>
        <w:t>Product revenues, net reflect the impact of the following product launches:</w:t>
      </w:r>
    </w:p>
    <w:p>
      <w:pPr>
        <w:spacing w:after="0" w:line="86" w:lineRule="exact"/>
        <w:rPr>
          <w:rFonts w:ascii="Arial" w:cs="Arial" w:eastAsia="Arial" w:hAnsi="Arial"/>
          <w:sz w:val="17"/>
          <w:szCs w:val="17"/>
          <w:color w:val="auto"/>
        </w:rPr>
      </w:pPr>
    </w:p>
    <w:p>
      <w:pPr>
        <w:ind w:left="840" w:hanging="248"/>
        <w:spacing w:after="0"/>
        <w:tabs>
          <w:tab w:leader="none" w:pos="840" w:val="left"/>
        </w:tabs>
        <w:numPr>
          <w:ilvl w:val="2"/>
          <w:numId w:val="65"/>
        </w:numPr>
        <w:rPr>
          <w:rFonts w:ascii="Arial" w:cs="Arial" w:eastAsia="Arial" w:hAnsi="Arial"/>
          <w:sz w:val="17"/>
          <w:szCs w:val="17"/>
          <w:color w:val="auto"/>
        </w:rPr>
      </w:pPr>
      <w:r>
        <w:rPr>
          <w:rFonts w:ascii="Arial" w:cs="Arial" w:eastAsia="Arial" w:hAnsi="Arial"/>
          <w:sz w:val="17"/>
          <w:szCs w:val="17"/>
          <w:color w:val="auto"/>
        </w:rPr>
        <w:t>Commercial sales of SPINRAZA in the U.S. began in the fourth quarter of 2016 and in rest of world markets in the first quarter of 2017.</w:t>
      </w:r>
    </w:p>
    <w:p>
      <w:pPr>
        <w:spacing w:after="0" w:line="86" w:lineRule="exact"/>
        <w:rPr>
          <w:rFonts w:ascii="Arial" w:cs="Arial" w:eastAsia="Arial" w:hAnsi="Arial"/>
          <w:sz w:val="17"/>
          <w:szCs w:val="17"/>
          <w:color w:val="auto"/>
        </w:rPr>
      </w:pPr>
    </w:p>
    <w:p>
      <w:pPr>
        <w:ind w:left="840" w:right="220" w:hanging="248"/>
        <w:spacing w:after="0" w:line="262" w:lineRule="auto"/>
        <w:tabs>
          <w:tab w:leader="none" w:pos="840" w:val="left"/>
        </w:tabs>
        <w:numPr>
          <w:ilvl w:val="2"/>
          <w:numId w:val="65"/>
        </w:numPr>
        <w:rPr>
          <w:rFonts w:ascii="Arial" w:cs="Arial" w:eastAsia="Arial" w:hAnsi="Arial"/>
          <w:sz w:val="17"/>
          <w:szCs w:val="17"/>
          <w:color w:val="auto"/>
        </w:rPr>
      </w:pPr>
      <w:r>
        <w:rPr>
          <w:rFonts w:ascii="Arial" w:cs="Arial" w:eastAsia="Arial" w:hAnsi="Arial"/>
          <w:sz w:val="17"/>
          <w:szCs w:val="17"/>
          <w:color w:val="auto"/>
        </w:rPr>
        <w:t>Under our collaboration agreement with AbbVie, we began to recognize revenues on sales of ZINBRYTA to third parties in the E.U. in the third quarter of 2016.</w:t>
      </w:r>
    </w:p>
    <w:p>
      <w:pPr>
        <w:spacing w:after="0" w:line="59" w:lineRule="exact"/>
        <w:rPr>
          <w:rFonts w:ascii="Arial" w:cs="Arial" w:eastAsia="Arial" w:hAnsi="Arial"/>
          <w:sz w:val="17"/>
          <w:szCs w:val="17"/>
          <w:color w:val="auto"/>
        </w:rPr>
      </w:pPr>
    </w:p>
    <w:p>
      <w:pPr>
        <w:ind w:left="840" w:right="380" w:hanging="248"/>
        <w:spacing w:after="0" w:line="262" w:lineRule="auto"/>
        <w:tabs>
          <w:tab w:leader="none" w:pos="840" w:val="left"/>
        </w:tabs>
        <w:numPr>
          <w:ilvl w:val="2"/>
          <w:numId w:val="65"/>
        </w:numPr>
        <w:rPr>
          <w:rFonts w:ascii="Arial" w:cs="Arial" w:eastAsia="Arial" w:hAnsi="Arial"/>
          <w:sz w:val="17"/>
          <w:szCs w:val="17"/>
          <w:color w:val="auto"/>
        </w:rPr>
      </w:pPr>
      <w:r>
        <w:rPr>
          <w:rFonts w:ascii="Arial" w:cs="Arial" w:eastAsia="Arial" w:hAnsi="Arial"/>
          <w:sz w:val="17"/>
          <w:szCs w:val="17"/>
          <w:color w:val="auto"/>
        </w:rPr>
        <w:t>Under our commercial agreement with Samsung Bioepis, we began to recognize revenues on sales of BENEPALI and FLIXABI to third parties in the E.U. in the first quarter of 2016 and third quarter of 2016, respectively.</w:t>
      </w:r>
    </w:p>
    <w:p>
      <w:pPr>
        <w:spacing w:after="0" w:line="59" w:lineRule="exact"/>
        <w:rPr>
          <w:rFonts w:ascii="Arial" w:cs="Arial" w:eastAsia="Arial" w:hAnsi="Arial"/>
          <w:sz w:val="17"/>
          <w:szCs w:val="17"/>
          <w:color w:val="auto"/>
        </w:rPr>
      </w:pPr>
    </w:p>
    <w:p>
      <w:pPr>
        <w:ind w:left="840" w:right="820" w:hanging="248"/>
        <w:spacing w:after="0" w:line="262" w:lineRule="auto"/>
        <w:tabs>
          <w:tab w:leader="none" w:pos="840" w:val="left"/>
        </w:tabs>
        <w:numPr>
          <w:ilvl w:val="2"/>
          <w:numId w:val="65"/>
        </w:numPr>
        <w:rPr>
          <w:rFonts w:ascii="Arial" w:cs="Arial" w:eastAsia="Arial" w:hAnsi="Arial"/>
          <w:sz w:val="17"/>
          <w:szCs w:val="17"/>
          <w:color w:val="auto"/>
        </w:rPr>
      </w:pPr>
      <w:r>
        <w:rPr>
          <w:rFonts w:ascii="Arial" w:cs="Arial" w:eastAsia="Arial" w:hAnsi="Arial"/>
          <w:sz w:val="17"/>
          <w:szCs w:val="17"/>
          <w:color w:val="auto"/>
        </w:rPr>
        <w:t>Commercial sales of ALPROLIX commenced in the second quarter of 2014 and commercial sales of ELOCTATE and PLEGRIDY commenced in the third quarter of 2014.</w:t>
      </w:r>
    </w:p>
    <w:p>
      <w:pPr>
        <w:spacing w:after="0" w:line="111" w:lineRule="exact"/>
        <w:rPr>
          <w:rFonts w:ascii="Arial" w:cs="Arial" w:eastAsia="Arial" w:hAnsi="Arial"/>
          <w:sz w:val="17"/>
          <w:szCs w:val="17"/>
          <w:color w:val="auto"/>
        </w:rPr>
      </w:pPr>
    </w:p>
    <w:p>
      <w:pPr>
        <w:ind w:left="840" w:hanging="248"/>
        <w:spacing w:after="0"/>
        <w:tabs>
          <w:tab w:leader="none" w:pos="840" w:val="left"/>
        </w:tabs>
        <w:numPr>
          <w:ilvl w:val="2"/>
          <w:numId w:val="65"/>
        </w:numPr>
        <w:rPr>
          <w:rFonts w:ascii="Arial" w:cs="Arial" w:eastAsia="Arial" w:hAnsi="Arial"/>
          <w:sz w:val="17"/>
          <w:szCs w:val="17"/>
          <w:color w:val="auto"/>
        </w:rPr>
      </w:pPr>
      <w:r>
        <w:rPr>
          <w:rFonts w:ascii="Arial" w:cs="Arial" w:eastAsia="Arial" w:hAnsi="Arial"/>
          <w:sz w:val="17"/>
          <w:szCs w:val="17"/>
          <w:color w:val="auto"/>
        </w:rPr>
        <w:t>Commercial sales of TECFIDERA began in April 2013.</w:t>
      </w:r>
    </w:p>
    <w:p>
      <w:pPr>
        <w:spacing w:after="0" w:line="201" w:lineRule="exact"/>
        <w:rPr>
          <w:rFonts w:ascii="Arial" w:cs="Arial" w:eastAsia="Arial" w:hAnsi="Arial"/>
          <w:sz w:val="17"/>
          <w:szCs w:val="17"/>
          <w:color w:val="auto"/>
        </w:rPr>
      </w:pPr>
    </w:p>
    <w:p>
      <w:pPr>
        <w:ind w:left="380" w:hanging="301"/>
        <w:spacing w:after="0"/>
        <w:tabs>
          <w:tab w:leader="none" w:pos="380" w:val="left"/>
        </w:tabs>
        <w:numPr>
          <w:ilvl w:val="1"/>
          <w:numId w:val="65"/>
        </w:numPr>
        <w:rPr>
          <w:rFonts w:ascii="Arial" w:cs="Arial" w:eastAsia="Arial" w:hAnsi="Arial"/>
          <w:sz w:val="17"/>
          <w:szCs w:val="17"/>
          <w:color w:val="auto"/>
        </w:rPr>
      </w:pPr>
      <w:r>
        <w:rPr>
          <w:rFonts w:ascii="Arial" w:cs="Arial" w:eastAsia="Arial" w:hAnsi="Arial"/>
          <w:sz w:val="17"/>
          <w:szCs w:val="17"/>
          <w:color w:val="auto"/>
        </w:rPr>
        <w:t>Notes payable and other financing arrangements reflects:</w:t>
      </w:r>
    </w:p>
    <w:p>
      <w:pPr>
        <w:spacing w:after="0" w:line="86" w:lineRule="exact"/>
        <w:rPr>
          <w:rFonts w:ascii="Arial" w:cs="Arial" w:eastAsia="Arial" w:hAnsi="Arial"/>
          <w:sz w:val="17"/>
          <w:szCs w:val="17"/>
          <w:color w:val="auto"/>
        </w:rPr>
      </w:pPr>
    </w:p>
    <w:p>
      <w:pPr>
        <w:ind w:left="840" w:hanging="248"/>
        <w:spacing w:after="0"/>
        <w:tabs>
          <w:tab w:leader="none" w:pos="840" w:val="left"/>
        </w:tabs>
        <w:numPr>
          <w:ilvl w:val="2"/>
          <w:numId w:val="65"/>
        </w:numPr>
        <w:rPr>
          <w:rFonts w:ascii="Arial" w:cs="Arial" w:eastAsia="Arial" w:hAnsi="Arial"/>
          <w:sz w:val="17"/>
          <w:szCs w:val="17"/>
          <w:color w:val="auto"/>
        </w:rPr>
      </w:pPr>
      <w:r>
        <w:rPr>
          <w:rFonts w:ascii="Arial" w:cs="Arial" w:eastAsia="Arial" w:hAnsi="Arial"/>
          <w:sz w:val="17"/>
          <w:szCs w:val="17"/>
          <w:color w:val="auto"/>
        </w:rPr>
        <w:t>Our 2017 repayment of our 6.875% notes that were issued in 2008 with an aggregate principal amount of $550.0 million, and</w:t>
      </w:r>
    </w:p>
    <w:p>
      <w:pPr>
        <w:spacing w:after="0" w:line="86" w:lineRule="exact"/>
        <w:rPr>
          <w:rFonts w:ascii="Arial" w:cs="Arial" w:eastAsia="Arial" w:hAnsi="Arial"/>
          <w:sz w:val="17"/>
          <w:szCs w:val="17"/>
          <w:color w:val="auto"/>
        </w:rPr>
      </w:pPr>
    </w:p>
    <w:p>
      <w:pPr>
        <w:ind w:left="840" w:hanging="248"/>
        <w:spacing w:after="0"/>
        <w:tabs>
          <w:tab w:leader="none" w:pos="840" w:val="left"/>
        </w:tabs>
        <w:numPr>
          <w:ilvl w:val="2"/>
          <w:numId w:val="65"/>
        </w:numPr>
        <w:rPr>
          <w:rFonts w:ascii="Arial" w:cs="Arial" w:eastAsia="Arial" w:hAnsi="Arial"/>
          <w:sz w:val="17"/>
          <w:szCs w:val="17"/>
          <w:color w:val="auto"/>
        </w:rPr>
      </w:pPr>
      <w:r>
        <w:rPr>
          <w:rFonts w:ascii="Arial" w:cs="Arial" w:eastAsia="Arial" w:hAnsi="Arial"/>
          <w:sz w:val="17"/>
          <w:szCs w:val="17"/>
          <w:color w:val="auto"/>
        </w:rPr>
        <w:t>The issuance of our senior unsecured notes for an aggregate principal amount of $6.0 billion in September 2015.</w:t>
      </w:r>
    </w:p>
    <w:p>
      <w:pPr>
        <w:spacing w:after="0" w:line="163" w:lineRule="exact"/>
        <w:rPr>
          <w:rFonts w:ascii="Arial" w:cs="Arial" w:eastAsia="Arial" w:hAnsi="Arial"/>
          <w:sz w:val="17"/>
          <w:szCs w:val="17"/>
          <w:color w:val="auto"/>
        </w:rPr>
      </w:pPr>
    </w:p>
    <w:p>
      <w:pPr>
        <w:ind w:left="380" w:hanging="314"/>
        <w:spacing w:after="0" w:line="262" w:lineRule="auto"/>
        <w:tabs>
          <w:tab w:leader="none" w:pos="3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Total Biogen Inc. shareholders' equity reflects the repurchase of approximately 29.9 million shares of our common stock at a cost of approximately $8.7 billion between 2013 and 2017:</w:t>
      </w:r>
    </w:p>
    <w:p>
      <w:pPr>
        <w:spacing w:after="0" w:line="85" w:lineRule="exact"/>
        <w:rPr>
          <w:rFonts w:ascii="Arial" w:cs="Arial" w:eastAsia="Arial" w:hAnsi="Arial"/>
          <w:sz w:val="17"/>
          <w:szCs w:val="17"/>
          <w:color w:val="auto"/>
        </w:rPr>
      </w:pPr>
    </w:p>
    <w:p>
      <w:pPr>
        <w:ind w:left="840" w:right="420" w:hanging="248"/>
        <w:spacing w:after="0" w:line="262" w:lineRule="auto"/>
        <w:tabs>
          <w:tab w:leader="none" w:pos="840" w:val="left"/>
        </w:tabs>
        <w:numPr>
          <w:ilvl w:val="2"/>
          <w:numId w:val="66"/>
        </w:numPr>
        <w:rPr>
          <w:rFonts w:ascii="Arial" w:cs="Arial" w:eastAsia="Arial" w:hAnsi="Arial"/>
          <w:sz w:val="17"/>
          <w:szCs w:val="17"/>
          <w:color w:val="auto"/>
        </w:rPr>
      </w:pPr>
      <w:r>
        <w:rPr>
          <w:rFonts w:ascii="Arial" w:cs="Arial" w:eastAsia="Arial" w:hAnsi="Arial"/>
          <w:sz w:val="17"/>
          <w:szCs w:val="17"/>
          <w:color w:val="auto"/>
        </w:rPr>
        <w:t>During 2017 we repurchased and retired approximately 3.7 million shares of our common stock at a cost of $1.0 billion under our 2016 Share Repurchase Program.</w:t>
      </w:r>
    </w:p>
    <w:p>
      <w:pPr>
        <w:spacing w:after="0" w:line="85" w:lineRule="exact"/>
        <w:rPr>
          <w:rFonts w:ascii="Arial" w:cs="Arial" w:eastAsia="Arial" w:hAnsi="Arial"/>
          <w:sz w:val="17"/>
          <w:szCs w:val="17"/>
          <w:color w:val="auto"/>
        </w:rPr>
      </w:pPr>
    </w:p>
    <w:p>
      <w:pPr>
        <w:ind w:left="840" w:right="540" w:hanging="248"/>
        <w:spacing w:after="0" w:line="262" w:lineRule="auto"/>
        <w:tabs>
          <w:tab w:leader="none" w:pos="840" w:val="left"/>
        </w:tabs>
        <w:numPr>
          <w:ilvl w:val="2"/>
          <w:numId w:val="66"/>
        </w:numPr>
        <w:rPr>
          <w:rFonts w:ascii="Arial" w:cs="Arial" w:eastAsia="Arial" w:hAnsi="Arial"/>
          <w:sz w:val="17"/>
          <w:szCs w:val="17"/>
          <w:color w:val="auto"/>
        </w:rPr>
      </w:pPr>
      <w:r>
        <w:rPr>
          <w:rFonts w:ascii="Arial" w:cs="Arial" w:eastAsia="Arial" w:hAnsi="Arial"/>
          <w:sz w:val="17"/>
          <w:szCs w:val="17"/>
          <w:color w:val="auto"/>
        </w:rPr>
        <w:t>During 2017 we repurchased approximately 1.2 million shares of our common stock at a cost of $365.4 million under our 2011 Share Repurchase Program.</w:t>
      </w:r>
    </w:p>
    <w:p>
      <w:pPr>
        <w:spacing w:after="0" w:line="85" w:lineRule="exact"/>
        <w:rPr>
          <w:rFonts w:ascii="Arial" w:cs="Arial" w:eastAsia="Arial" w:hAnsi="Arial"/>
          <w:sz w:val="17"/>
          <w:szCs w:val="17"/>
          <w:color w:val="auto"/>
        </w:rPr>
      </w:pPr>
    </w:p>
    <w:p>
      <w:pPr>
        <w:ind w:left="840" w:right="420" w:hanging="248"/>
        <w:spacing w:after="0" w:line="262" w:lineRule="auto"/>
        <w:tabs>
          <w:tab w:leader="none" w:pos="840" w:val="left"/>
        </w:tabs>
        <w:numPr>
          <w:ilvl w:val="2"/>
          <w:numId w:val="66"/>
        </w:numPr>
        <w:rPr>
          <w:rFonts w:ascii="Arial" w:cs="Arial" w:eastAsia="Arial" w:hAnsi="Arial"/>
          <w:sz w:val="17"/>
          <w:szCs w:val="17"/>
          <w:color w:val="auto"/>
        </w:rPr>
      </w:pPr>
      <w:r>
        <w:rPr>
          <w:rFonts w:ascii="Arial" w:cs="Arial" w:eastAsia="Arial" w:hAnsi="Arial"/>
          <w:sz w:val="17"/>
          <w:szCs w:val="17"/>
          <w:color w:val="auto"/>
        </w:rPr>
        <w:t>During 2016 we repurchased and retired approximately 3.3 million shares of our common stock at a cost of $1.0 billion under our 2016 Share Repurchase Program.</w:t>
      </w:r>
    </w:p>
    <w:p>
      <w:pPr>
        <w:spacing w:after="0" w:line="85" w:lineRule="exact"/>
        <w:rPr>
          <w:rFonts w:ascii="Arial" w:cs="Arial" w:eastAsia="Arial" w:hAnsi="Arial"/>
          <w:sz w:val="17"/>
          <w:szCs w:val="17"/>
          <w:color w:val="auto"/>
        </w:rPr>
      </w:pPr>
    </w:p>
    <w:p>
      <w:pPr>
        <w:ind w:left="840" w:right="220" w:hanging="248"/>
        <w:spacing w:after="0" w:line="257" w:lineRule="auto"/>
        <w:tabs>
          <w:tab w:leader="none" w:pos="840" w:val="left"/>
        </w:tabs>
        <w:numPr>
          <w:ilvl w:val="2"/>
          <w:numId w:val="66"/>
        </w:numPr>
        <w:rPr>
          <w:rFonts w:ascii="Arial" w:cs="Arial" w:eastAsia="Arial" w:hAnsi="Arial"/>
          <w:sz w:val="17"/>
          <w:szCs w:val="17"/>
          <w:color w:val="auto"/>
        </w:rPr>
      </w:pPr>
      <w:r>
        <w:rPr>
          <w:rFonts w:ascii="Arial" w:cs="Arial" w:eastAsia="Arial" w:hAnsi="Arial"/>
          <w:sz w:val="17"/>
          <w:szCs w:val="17"/>
          <w:color w:val="auto"/>
        </w:rPr>
        <w:t>During 2015 we repurchased and retired approximately 16.8 million shares of our common stock at a cost of $5.0 billion under a program authorized by our Board of Directors in May 2015 for the repurchase of up to $5.0 billion of our common stock (2015 Share Repurchase Program).</w:t>
      </w:r>
    </w:p>
    <w:p>
      <w:pPr>
        <w:spacing w:after="0" w:line="89" w:lineRule="exact"/>
        <w:rPr>
          <w:rFonts w:ascii="Arial" w:cs="Arial" w:eastAsia="Arial" w:hAnsi="Arial"/>
          <w:sz w:val="17"/>
          <w:szCs w:val="17"/>
          <w:color w:val="auto"/>
        </w:rPr>
      </w:pPr>
    </w:p>
    <w:p>
      <w:pPr>
        <w:ind w:left="840" w:right="420" w:hanging="248"/>
        <w:spacing w:after="0" w:line="262" w:lineRule="auto"/>
        <w:tabs>
          <w:tab w:leader="none" w:pos="840" w:val="left"/>
        </w:tabs>
        <w:numPr>
          <w:ilvl w:val="2"/>
          <w:numId w:val="66"/>
        </w:numPr>
        <w:rPr>
          <w:rFonts w:ascii="Arial" w:cs="Arial" w:eastAsia="Arial" w:hAnsi="Arial"/>
          <w:sz w:val="17"/>
          <w:szCs w:val="17"/>
          <w:color w:val="auto"/>
        </w:rPr>
      </w:pPr>
      <w:r>
        <w:rPr>
          <w:rFonts w:ascii="Arial" w:cs="Arial" w:eastAsia="Arial" w:hAnsi="Arial"/>
          <w:sz w:val="17"/>
          <w:szCs w:val="17"/>
          <w:color w:val="auto"/>
        </w:rPr>
        <w:t>During 2014 and 2013 we repurchased approximately 2.9 million and 2.0 million shares, respectively, of our common stock at a cost of approximately $1.3 billion under our 2011 Share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266065</wp:posOffset>
            </wp:positionV>
            <wp:extent cx="72536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380" w:right="200" w:hanging="314"/>
        <w:spacing w:after="0" w:line="262" w:lineRule="auto"/>
        <w:tabs>
          <w:tab w:leader="none" w:pos="3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Total cost and expenses for the year ended December 31, 2017, includes a pre-tax charge to acquired in-process research and development of $120.0 million for an upfront payment made to Remedy upon closing of our asset purchase transaction for BIIB093.</w:t>
      </w:r>
    </w:p>
    <w:p>
      <w:pPr>
        <w:spacing w:after="0" w:line="111" w:lineRule="exact"/>
        <w:rPr>
          <w:rFonts w:ascii="Arial" w:cs="Arial" w:eastAsia="Arial" w:hAnsi="Arial"/>
          <w:sz w:val="17"/>
          <w:szCs w:val="17"/>
          <w:color w:val="auto"/>
        </w:rPr>
      </w:pPr>
    </w:p>
    <w:p>
      <w:pPr>
        <w:ind w:left="380" w:right="240" w:hanging="314"/>
        <w:spacing w:after="0" w:line="257" w:lineRule="auto"/>
        <w:tabs>
          <w:tab w:leader="none" w:pos="3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Net income (loss) attributable to noncontrolling interests, net of tax for the year ended December 31, 2017, includes a pre-tax charge of $150.0 million for a payment to Neurimmune in exchange for a 15% reduction in royalty rates payable on products developed under the agreement, including on potential commercial sales of aducanumab.</w:t>
      </w:r>
    </w:p>
    <w:p>
      <w:pPr>
        <w:spacing w:after="0" w:line="114" w:lineRule="exact"/>
        <w:rPr>
          <w:rFonts w:ascii="Arial" w:cs="Arial" w:eastAsia="Arial" w:hAnsi="Arial"/>
          <w:sz w:val="17"/>
          <w:szCs w:val="17"/>
          <w:color w:val="auto"/>
        </w:rPr>
      </w:pPr>
    </w:p>
    <w:p>
      <w:pPr>
        <w:ind w:left="380" w:right="760" w:hanging="314"/>
        <w:spacing w:after="0" w:line="262" w:lineRule="auto"/>
        <w:tabs>
          <w:tab w:leader="none" w:pos="3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Total cost and expenses for the year ended December 31, 2016, includes a pre-tax charge of $454.8 million related to our January 2017 settlement and license agreement with Forward Pharma.</w:t>
      </w:r>
    </w:p>
    <w:p>
      <w:pPr>
        <w:spacing w:after="0" w:line="111" w:lineRule="exact"/>
        <w:rPr>
          <w:rFonts w:ascii="Arial" w:cs="Arial" w:eastAsia="Arial" w:hAnsi="Arial"/>
          <w:sz w:val="17"/>
          <w:szCs w:val="17"/>
          <w:color w:val="auto"/>
        </w:rPr>
      </w:pPr>
    </w:p>
    <w:p>
      <w:pPr>
        <w:ind w:left="380"/>
        <w:spacing w:after="0" w:line="257" w:lineRule="auto"/>
        <w:rPr>
          <w:rFonts w:ascii="Arial" w:cs="Arial" w:eastAsia="Arial" w:hAnsi="Arial"/>
          <w:sz w:val="17"/>
          <w:szCs w:val="17"/>
          <w:color w:val="auto"/>
        </w:rPr>
      </w:pPr>
      <w:r>
        <w:rPr>
          <w:rFonts w:ascii="Arial" w:cs="Arial" w:eastAsia="Arial" w:hAnsi="Arial"/>
          <w:sz w:val="17"/>
          <w:szCs w:val="17"/>
          <w:color w:val="auto"/>
        </w:rPr>
        <w:t>Total cost and expenses for the year ended December 31, 2017, includes $444.2 million of amortization and impairment charges related to our U.S. and rest of world licenses to Forward Pharma’s intellectual property, including Forward Pharma's intellectual property related to TECFIDERA. For additional information on our</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380"/>
          </w:cols>
          <w:pgMar w:left="240" w:top="144" w:right="27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8" w:lineRule="exact"/>
        <w:rPr>
          <w:sz w:val="20"/>
          <w:szCs w:val="20"/>
          <w:color w:val="auto"/>
        </w:rPr>
      </w:pPr>
    </w:p>
    <w:p>
      <w:pPr>
        <w:ind w:left="380"/>
        <w:spacing w:after="0" w:line="284" w:lineRule="auto"/>
        <w:rPr>
          <w:sz w:val="20"/>
          <w:szCs w:val="20"/>
          <w:color w:val="auto"/>
        </w:rPr>
      </w:pPr>
      <w:r>
        <w:rPr>
          <w:rFonts w:ascii="Arial" w:cs="Arial" w:eastAsia="Arial" w:hAnsi="Arial"/>
          <w:sz w:val="17"/>
          <w:szCs w:val="17"/>
          <w:color w:val="auto"/>
        </w:rPr>
        <w:t xml:space="preserve">settlement and license agreement with Forward Pharma and related intangible assets, please read Note 7, </w:t>
      </w:r>
      <w:r>
        <w:rPr>
          <w:rFonts w:ascii="Arial" w:cs="Arial" w:eastAsia="Arial" w:hAnsi="Arial"/>
          <w:sz w:val="17"/>
          <w:szCs w:val="17"/>
          <w:i w:val="1"/>
          <w:iCs w:val="1"/>
          <w:color w:val="auto"/>
        </w:rPr>
        <w:t>Intangible Assets and Goodwill</w:t>
      </w:r>
      <w:r>
        <w:rPr>
          <w:rFonts w:ascii="Arial" w:cs="Arial" w:eastAsia="Arial" w:hAnsi="Arial"/>
          <w:sz w:val="17"/>
          <w:szCs w:val="17"/>
          <w:color w:val="auto"/>
        </w:rPr>
        <w:t>, to our consolidated financial statements included in this report.</w:t>
      </w:r>
    </w:p>
    <w:p>
      <w:pPr>
        <w:spacing w:after="0" w:line="82" w:lineRule="exact"/>
        <w:rPr>
          <w:sz w:val="20"/>
          <w:szCs w:val="20"/>
          <w:color w:val="auto"/>
        </w:rPr>
      </w:pPr>
    </w:p>
    <w:p>
      <w:pPr>
        <w:ind w:left="380" w:right="20" w:hanging="314"/>
        <w:spacing w:after="0" w:line="264" w:lineRule="auto"/>
        <w:tabs>
          <w:tab w:leader="none" w:pos="3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Income tax expense for the year ended December 31, 2017, includes $1,173.6 million related to our current estimate of the provisions of the 2017 Tax Act, including a $989.6 million expense under the Transition Toll Tax. For additional information on the 2017 Tax Act, please read Note 17, </w:t>
      </w:r>
      <w:r>
        <w:rPr>
          <w:rFonts w:ascii="Arial" w:cs="Arial" w:eastAsia="Arial" w:hAnsi="Arial"/>
          <w:sz w:val="17"/>
          <w:szCs w:val="17"/>
          <w:i w:val="1"/>
          <w:iCs w:val="1"/>
          <w:color w:val="auto"/>
        </w:rPr>
        <w:t>Income Taxes</w:t>
      </w:r>
      <w:r>
        <w:rPr>
          <w:rFonts w:ascii="Arial" w:cs="Arial" w:eastAsia="Arial" w:hAnsi="Arial"/>
          <w:sz w:val="17"/>
          <w:szCs w:val="17"/>
          <w:color w:val="auto"/>
        </w:rPr>
        <w:t>, to our consolidated financial statements included in this report.</w:t>
      </w:r>
    </w:p>
    <w:p>
      <w:pPr>
        <w:spacing w:after="0" w:line="109" w:lineRule="exact"/>
        <w:rPr>
          <w:rFonts w:ascii="Arial" w:cs="Arial" w:eastAsia="Arial" w:hAnsi="Arial"/>
          <w:sz w:val="17"/>
          <w:szCs w:val="17"/>
          <w:color w:val="auto"/>
        </w:rPr>
      </w:pPr>
    </w:p>
    <w:p>
      <w:pPr>
        <w:ind w:left="380" w:right="40" w:hanging="314"/>
        <w:spacing w:after="0" w:line="253" w:lineRule="auto"/>
        <w:tabs>
          <w:tab w:leader="none" w:pos="3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Total cost and expenses for the years ended December 31, 2017, 2016 and 2015, include restructuring charges of $0.9 million, $33.1 million and $93.4 million, respectively. In addition, total cost and expenses for the year ended December 31, 2016, also include charges to cost of sales totaling $52.4 million of expenses incurred as a result of our determination to cease manufacturing and vacate our small-scale biologics facility in Cambridge, MA as well as close and vacate our warehouse in Somerville, MA. Total cost and expenses for the years ended December 31, 2017 and 2016, also includes $19.2 million and $18.1 million, respectively, of costs incurred directly related to the spin-off of our hemophilia business into an independent, publicly traded company.</w:t>
      </w:r>
    </w:p>
    <w:p>
      <w:pPr>
        <w:spacing w:after="0" w:line="121" w:lineRule="exact"/>
        <w:rPr>
          <w:rFonts w:ascii="Arial" w:cs="Arial" w:eastAsia="Arial" w:hAnsi="Arial"/>
          <w:sz w:val="17"/>
          <w:szCs w:val="17"/>
          <w:color w:val="auto"/>
        </w:rPr>
      </w:pPr>
    </w:p>
    <w:p>
      <w:pPr>
        <w:ind w:left="380" w:hanging="314"/>
        <w:spacing w:after="0" w:line="262" w:lineRule="auto"/>
        <w:tabs>
          <w:tab w:leader="none" w:pos="3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Net income attributable to Biogen Inc. for the year ended December 31, 2015, includes a pre-tax charge to noncontrolling interest of $60.0 million for a milestone payment due to Neurimmune upon the enrollment of the first patient in a Phase 3 trial for aducanumab.</w:t>
      </w:r>
    </w:p>
    <w:p>
      <w:pPr>
        <w:spacing w:after="0" w:line="111" w:lineRule="exact"/>
        <w:rPr>
          <w:rFonts w:ascii="Arial" w:cs="Arial" w:eastAsia="Arial" w:hAnsi="Arial"/>
          <w:sz w:val="17"/>
          <w:szCs w:val="17"/>
          <w:color w:val="auto"/>
        </w:rPr>
      </w:pPr>
    </w:p>
    <w:p>
      <w:pPr>
        <w:ind w:left="380" w:hanging="314"/>
        <w:spacing w:after="0" w:line="257" w:lineRule="auto"/>
        <w:tabs>
          <w:tab w:leader="none" w:pos="3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Commencing in the second quarter of 2013 product and total revenues include 100% of net revenues related to sales of TYSABRI as a result of our acquisition of all remaining rights to TYSABRI from Elan Pharma International, Ltd (Elan), an affiliate of Elan Corporation, plc. Upon closing of this transaction, our collaboration agreement was terminated.</w:t>
      </w: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320"/>
          </w:cols>
          <w:pgMar w:left="240" w:top="144" w:right="3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ind w:right="380"/>
        <w:spacing w:after="0" w:line="297" w:lineRule="auto"/>
        <w:rPr>
          <w:sz w:val="20"/>
          <w:szCs w:val="20"/>
          <w:color w:val="auto"/>
        </w:rPr>
      </w:pPr>
      <w:r>
        <w:rPr>
          <w:rFonts w:ascii="Arial" w:cs="Arial" w:eastAsia="Arial" w:hAnsi="Arial"/>
          <w:sz w:val="20"/>
          <w:szCs w:val="20"/>
          <w:b w:val="1"/>
          <w:bCs w:val="1"/>
          <w:color w:val="1C5A7D"/>
        </w:rPr>
        <w:t>Item 7. Management’s Discussion and Analysis of Financial Condition and Results of Operations</w:t>
      </w:r>
    </w:p>
    <w:p>
      <w:pPr>
        <w:spacing w:after="0" w:line="13" w:lineRule="exact"/>
        <w:rPr>
          <w:sz w:val="20"/>
          <w:szCs w:val="20"/>
          <w:color w:val="auto"/>
        </w:rPr>
      </w:pPr>
    </w:p>
    <w:p>
      <w:pPr>
        <w:ind w:right="280" w:firstLine="410"/>
        <w:spacing w:after="0" w:line="257" w:lineRule="auto"/>
        <w:rPr>
          <w:sz w:val="20"/>
          <w:szCs w:val="20"/>
          <w:color w:val="auto"/>
        </w:rPr>
      </w:pPr>
      <w:r>
        <w:rPr>
          <w:rFonts w:ascii="Arial" w:cs="Arial" w:eastAsia="Arial" w:hAnsi="Arial"/>
          <w:sz w:val="17"/>
          <w:szCs w:val="17"/>
          <w:color w:val="auto"/>
        </w:rPr>
        <w:t>The following discussion should be read in conjunction with our consolidated financial statements and related notes beginning on page F-1 of this report. Certain totals may not sum due to rounding.</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Executive Summary</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Introduction</w:t>
      </w:r>
    </w:p>
    <w:p>
      <w:pPr>
        <w:spacing w:after="0" w:line="183" w:lineRule="exact"/>
        <w:rPr>
          <w:sz w:val="20"/>
          <w:szCs w:val="20"/>
          <w:color w:val="auto"/>
        </w:rPr>
      </w:pPr>
    </w:p>
    <w:p>
      <w:pPr>
        <w:ind w:right="20" w:firstLine="384"/>
        <w:spacing w:after="0" w:line="252" w:lineRule="auto"/>
        <w:rPr>
          <w:sz w:val="20"/>
          <w:szCs w:val="20"/>
          <w:color w:val="auto"/>
        </w:rPr>
      </w:pPr>
      <w:r>
        <w:rPr>
          <w:rFonts w:ascii="Arial" w:cs="Arial" w:eastAsia="Arial" w:hAnsi="Arial"/>
          <w:sz w:val="17"/>
          <w:szCs w:val="17"/>
          <w:color w:val="auto"/>
        </w:rPr>
        <w:t>Biogen is a global biopharmaceutical company focused on discovering, developing and delivering worldwide innovative therapies for people living with serious neurological and neurodegenerative diseases, including in our core growth areas of MS and neuroimmunology, AD and dementia, movement disorders and neuromuscular disorders, including SMA and ALS. We also plan to invest in emerging growth areas such as pain, ophthalmology, neuropsychiatry and acute neurology. In addition, we are employing innovative technologies to discover potential treatments for rare and genetic disorders, including new ways of treating diseases through gene therapy in the previously mentioned areas. We also manufacture and commercialize biosimilars of advanced biologics.</w:t>
      </w:r>
    </w:p>
    <w:p>
      <w:pPr>
        <w:spacing w:after="0" w:line="149" w:lineRule="exact"/>
        <w:rPr>
          <w:sz w:val="20"/>
          <w:szCs w:val="20"/>
          <w:color w:val="auto"/>
        </w:rPr>
      </w:pPr>
    </w:p>
    <w:p>
      <w:pPr>
        <w:ind w:right="100" w:firstLine="410"/>
        <w:spacing w:after="0" w:line="252" w:lineRule="auto"/>
        <w:rPr>
          <w:sz w:val="20"/>
          <w:szCs w:val="20"/>
          <w:color w:val="auto"/>
        </w:rPr>
      </w:pPr>
      <w:r>
        <w:rPr>
          <w:rFonts w:ascii="Arial" w:cs="Arial" w:eastAsia="Arial" w:hAnsi="Arial"/>
          <w:sz w:val="17"/>
          <w:szCs w:val="17"/>
          <w:color w:val="auto"/>
        </w:rPr>
        <w:t>Our marketed products include TECFIDERA, AVONEX, PLEGRIDY, TYSABRI, ZINBRYTA and FAMPYRA for the treatment of MS, SPINRAZA for the treatment of SMA and FUMADERM for the treatment of severe plaque psoriasis. We also have certain business and financial rights with respect to RITUXAN for the treatment of non-Hodgkin's lymphoma, CLL and other conditions, GAZYVA for the treatment of CLL and follicular lymphoma, OCREVUS for the treatment of PPMS and RMS, and other potential anti-CD20 therapies under a collaboration agreement with Genentech.</w:t>
      </w:r>
    </w:p>
    <w:p>
      <w:pPr>
        <w:spacing w:after="0" w:line="151" w:lineRule="exact"/>
        <w:rPr>
          <w:sz w:val="20"/>
          <w:szCs w:val="20"/>
          <w:color w:val="auto"/>
        </w:rPr>
      </w:pPr>
    </w:p>
    <w:p>
      <w:pPr>
        <w:ind w:firstLine="410"/>
        <w:spacing w:after="0" w:line="255" w:lineRule="auto"/>
        <w:rPr>
          <w:sz w:val="20"/>
          <w:szCs w:val="20"/>
          <w:color w:val="auto"/>
        </w:rPr>
      </w:pPr>
      <w:r>
        <w:rPr>
          <w:rFonts w:ascii="Arial" w:cs="Arial" w:eastAsia="Arial" w:hAnsi="Arial"/>
          <w:sz w:val="17"/>
          <w:szCs w:val="17"/>
          <w:color w:val="auto"/>
        </w:rPr>
        <w:t>Our current revenues depend upon continued sales of our principal products and, unless we develop, acquire rights to and/or commercialize new products and technologies, we may be substantially dependent on sales from our principal products for many years.</w:t>
      </w:r>
    </w:p>
    <w:p>
      <w:pPr>
        <w:spacing w:after="0" w:line="143" w:lineRule="exact"/>
        <w:rPr>
          <w:sz w:val="20"/>
          <w:szCs w:val="20"/>
          <w:color w:val="auto"/>
        </w:rPr>
      </w:pPr>
    </w:p>
    <w:p>
      <w:pPr>
        <w:ind w:right="80" w:firstLine="384"/>
        <w:spacing w:after="0" w:line="253" w:lineRule="auto"/>
        <w:rPr>
          <w:sz w:val="20"/>
          <w:szCs w:val="20"/>
          <w:color w:val="auto"/>
        </w:rPr>
      </w:pPr>
      <w:r>
        <w:rPr>
          <w:rFonts w:ascii="Arial" w:cs="Arial" w:eastAsia="Arial" w:hAnsi="Arial"/>
          <w:sz w:val="17"/>
          <w:szCs w:val="17"/>
          <w:color w:val="auto"/>
        </w:rPr>
        <w:t>In the longer term, our revenue growth will be dependent upon the successful clinical development, regulatory approval and launch of new commercial products as well as additional indications for our existing products, our ability to obtain and maintain patents and other rights related to our marketed products, assets originating from our research and development efforts and/or successful execution of external business development opportunities.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ind w:left="320" w:right="20" w:firstLine="384"/>
        <w:spacing w:after="0" w:line="252" w:lineRule="auto"/>
        <w:rPr>
          <w:sz w:val="20"/>
          <w:szCs w:val="20"/>
          <w:color w:val="auto"/>
        </w:rPr>
      </w:pPr>
      <w:r>
        <w:rPr>
          <w:rFonts w:ascii="Arial" w:cs="Arial" w:eastAsia="Arial" w:hAnsi="Arial"/>
          <w:sz w:val="17"/>
          <w:szCs w:val="17"/>
          <w:color w:val="auto"/>
        </w:rPr>
        <w:t>Our innovative drug development and commercialization activities are complemented by our biosimilar therapies, which expand access to medicines and reduce the cost burden for healthcare systems. We are leveraging our manufacturing capabilities and know-how to develop, manufacture and market biosimilars through Samsung Bioepis, our joint venture with Samsung Biologics. Under our commercial agreement, we market and sell BENEPALI, an etanercept biosimilar referencing ENBREL, and FLIXABI, an infliximab biosimilar referencing REMICADE, in the E.U.</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538235"/>
        </w:rPr>
        <w:t>2017 Corporate Strategy</w:t>
      </w:r>
    </w:p>
    <w:p>
      <w:pPr>
        <w:spacing w:after="0" w:line="104" w:lineRule="exact"/>
        <w:rPr>
          <w:sz w:val="20"/>
          <w:szCs w:val="20"/>
          <w:color w:val="auto"/>
        </w:rPr>
      </w:pPr>
    </w:p>
    <w:p>
      <w:pPr>
        <w:ind w:left="320" w:right="40" w:firstLine="384"/>
        <w:spacing w:after="0" w:line="253" w:lineRule="auto"/>
        <w:rPr>
          <w:sz w:val="20"/>
          <w:szCs w:val="20"/>
          <w:color w:val="auto"/>
        </w:rPr>
      </w:pPr>
      <w:r>
        <w:rPr>
          <w:rFonts w:ascii="Arial" w:cs="Arial" w:eastAsia="Arial" w:hAnsi="Arial"/>
          <w:sz w:val="17"/>
          <w:szCs w:val="17"/>
          <w:color w:val="auto"/>
        </w:rPr>
        <w:t>In July 2017 we announced an updated strategic framework to optimize the value of our MS business while investing for the future across our core growth areas of MS and neuroimmunology, AD and dementia, movement disorders, and neuromuscular diseases, including SMA and ALS. We also plan to invest in emerging growth areas such as pain, ophthalmology, neuropsychiatry, and acute neurology.</w:t>
      </w:r>
    </w:p>
    <w:p>
      <w:pPr>
        <w:spacing w:after="0" w:line="147" w:lineRule="exact"/>
        <w:rPr>
          <w:sz w:val="20"/>
          <w:szCs w:val="20"/>
          <w:color w:val="auto"/>
        </w:rPr>
      </w:pPr>
    </w:p>
    <w:p>
      <w:pPr>
        <w:ind w:left="320" w:firstLine="384"/>
        <w:spacing w:after="0" w:line="253" w:lineRule="auto"/>
        <w:rPr>
          <w:sz w:val="20"/>
          <w:szCs w:val="20"/>
          <w:color w:val="auto"/>
        </w:rPr>
      </w:pPr>
      <w:r>
        <w:rPr>
          <w:rFonts w:ascii="Arial" w:cs="Arial" w:eastAsia="Arial" w:hAnsi="Arial"/>
          <w:sz w:val="17"/>
          <w:szCs w:val="17"/>
          <w:color w:val="auto"/>
        </w:rPr>
        <w:t xml:space="preserve">We expect the continued performance of our commercial assets and the expiration of the contingent payments related to TECFIDERA, discussed further in the </w:t>
      </w:r>
      <w:r>
        <w:rPr>
          <w:rFonts w:ascii="Arial" w:cs="Arial" w:eastAsia="Arial" w:hAnsi="Arial"/>
          <w:sz w:val="17"/>
          <w:szCs w:val="17"/>
          <w:i w:val="1"/>
          <w:iCs w:val="1"/>
          <w:color w:val="auto"/>
        </w:rPr>
        <w:t>“Contractual Obligations and Off-Balance Sheet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Arrangements” </w:t>
      </w:r>
      <w:r>
        <w:rPr>
          <w:rFonts w:ascii="Arial" w:cs="Arial" w:eastAsia="Arial" w:hAnsi="Arial"/>
          <w:sz w:val="17"/>
          <w:szCs w:val="17"/>
          <w:color w:val="auto"/>
        </w:rPr>
        <w:t>section of this report, to enable us to invest in and build</w:t>
      </w:r>
      <w:r>
        <w:rPr>
          <w:rFonts w:ascii="Arial" w:cs="Arial" w:eastAsia="Arial" w:hAnsi="Arial"/>
          <w:sz w:val="17"/>
          <w:szCs w:val="17"/>
          <w:i w:val="1"/>
          <w:iCs w:val="1"/>
          <w:color w:val="auto"/>
        </w:rPr>
        <w:t xml:space="preserve"> </w:t>
      </w:r>
      <w:r>
        <w:rPr>
          <w:rFonts w:ascii="Arial" w:cs="Arial" w:eastAsia="Arial" w:hAnsi="Arial"/>
          <w:sz w:val="17"/>
          <w:szCs w:val="17"/>
          <w:color w:val="auto"/>
        </w:rPr>
        <w:t>an industry leading neuroscience pipeline. We view investment in growth as our top priority, but also recognize the value of opportunistically returning excess capital to shareholders through share repurchases.</w:t>
      </w:r>
    </w:p>
    <w:p>
      <w:pPr>
        <w:spacing w:after="0" w:line="146" w:lineRule="exact"/>
        <w:rPr>
          <w:sz w:val="20"/>
          <w:szCs w:val="20"/>
          <w:color w:val="auto"/>
        </w:rPr>
      </w:pPr>
    </w:p>
    <w:p>
      <w:pPr>
        <w:ind w:left="320" w:firstLine="384"/>
        <w:spacing w:after="0" w:line="257" w:lineRule="auto"/>
        <w:rPr>
          <w:sz w:val="20"/>
          <w:szCs w:val="20"/>
          <w:color w:val="auto"/>
        </w:rPr>
      </w:pPr>
      <w:r>
        <w:rPr>
          <w:rFonts w:ascii="Arial" w:cs="Arial" w:eastAsia="Arial" w:hAnsi="Arial"/>
          <w:sz w:val="17"/>
          <w:szCs w:val="17"/>
          <w:color w:val="auto"/>
        </w:rPr>
        <w:t>In order to deliver positive results in the near term while investing in the next stages of our growth, we will focus on the following strategic priorities:</w:t>
      </w:r>
    </w:p>
    <w:p>
      <w:pPr>
        <w:spacing w:after="0" w:line="140" w:lineRule="exact"/>
        <w:rPr>
          <w:sz w:val="20"/>
          <w:szCs w:val="20"/>
          <w:color w:val="auto"/>
        </w:rPr>
      </w:pPr>
    </w:p>
    <w:p>
      <w:pPr>
        <w:ind w:left="700" w:hanging="301"/>
        <w:spacing w:after="0"/>
        <w:tabs>
          <w:tab w:leader="none" w:pos="7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maximizing the resilience of our MS core business;</w:t>
      </w:r>
    </w:p>
    <w:p>
      <w:pPr>
        <w:spacing w:after="0" w:line="163" w:lineRule="exact"/>
        <w:rPr>
          <w:rFonts w:ascii="Arial" w:cs="Arial" w:eastAsia="Arial" w:hAnsi="Arial"/>
          <w:sz w:val="17"/>
          <w:szCs w:val="17"/>
          <w:color w:val="auto"/>
        </w:rPr>
      </w:pPr>
    </w:p>
    <w:p>
      <w:pPr>
        <w:ind w:left="700" w:hanging="301"/>
        <w:spacing w:after="0"/>
        <w:tabs>
          <w:tab w:leader="none" w:pos="7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accelerating efforts in SMA as a significant new growth opportunity;</w:t>
      </w:r>
    </w:p>
    <w:p>
      <w:pPr>
        <w:spacing w:after="0" w:line="163" w:lineRule="exact"/>
        <w:rPr>
          <w:rFonts w:ascii="Arial" w:cs="Arial" w:eastAsia="Arial" w:hAnsi="Arial"/>
          <w:sz w:val="17"/>
          <w:szCs w:val="17"/>
          <w:color w:val="auto"/>
        </w:rPr>
      </w:pPr>
    </w:p>
    <w:p>
      <w:pPr>
        <w:ind w:left="700" w:hanging="301"/>
        <w:spacing w:after="0"/>
        <w:tabs>
          <w:tab w:leader="none" w:pos="7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developing and expanding our neuroscience portfolio;</w:t>
      </w:r>
    </w:p>
    <w:p>
      <w:pPr>
        <w:spacing w:after="0" w:line="163" w:lineRule="exact"/>
        <w:rPr>
          <w:rFonts w:ascii="Arial" w:cs="Arial" w:eastAsia="Arial" w:hAnsi="Arial"/>
          <w:sz w:val="17"/>
          <w:szCs w:val="17"/>
          <w:color w:val="auto"/>
        </w:rPr>
      </w:pPr>
    </w:p>
    <w:p>
      <w:pPr>
        <w:ind w:left="700" w:right="120" w:hanging="301"/>
        <w:spacing w:after="0" w:line="262" w:lineRule="auto"/>
        <w:tabs>
          <w:tab w:leader="none" w:pos="7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focusing our capital allocation efforts to drive investment for future growth; and</w:t>
      </w:r>
    </w:p>
    <w:p>
      <w:pPr>
        <w:spacing w:after="0" w:line="136" w:lineRule="exact"/>
        <w:rPr>
          <w:rFonts w:ascii="Arial" w:cs="Arial" w:eastAsia="Arial" w:hAnsi="Arial"/>
          <w:sz w:val="17"/>
          <w:szCs w:val="17"/>
          <w:color w:val="auto"/>
        </w:rPr>
      </w:pPr>
    </w:p>
    <w:p>
      <w:pPr>
        <w:ind w:left="700" w:right="240" w:hanging="301"/>
        <w:spacing w:after="0" w:line="257" w:lineRule="auto"/>
        <w:tabs>
          <w:tab w:leader="none" w:pos="7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creating a leaner and simpler operating model to streamline our operations and reallocate resources towards prioritized research and development and commercial value creation opportunities.</w:t>
      </w:r>
    </w:p>
    <w:p>
      <w:pPr>
        <w:spacing w:after="0" w:line="140" w:lineRule="exact"/>
        <w:rPr>
          <w:sz w:val="20"/>
          <w:szCs w:val="20"/>
          <w:color w:val="auto"/>
        </w:rPr>
      </w:pPr>
    </w:p>
    <w:p>
      <w:pPr>
        <w:ind w:left="320" w:right="160" w:firstLine="384"/>
        <w:spacing w:after="0" w:line="255" w:lineRule="auto"/>
        <w:rPr>
          <w:sz w:val="20"/>
          <w:szCs w:val="20"/>
          <w:color w:val="auto"/>
        </w:rPr>
      </w:pPr>
      <w:r>
        <w:rPr>
          <w:rFonts w:ascii="Arial" w:cs="Arial" w:eastAsia="Arial" w:hAnsi="Arial"/>
          <w:sz w:val="17"/>
          <w:szCs w:val="17"/>
          <w:color w:val="auto"/>
        </w:rPr>
        <w:t>In October 2017, in connection with creating a leaner and simpler operating model, we approved a corporate restructuring program intended to streamline our operations and reallocate resources. We expect to make total non-recurring operating and</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53</w:t>
      </w:r>
    </w:p>
    <w:p>
      <w:pPr>
        <w:sectPr>
          <w:pgSz w:w="11900" w:h="16838" w:orient="portrait"/>
          <w:cols w:equalWidth="0" w:num="2">
            <w:col w:w="5460" w:space="160"/>
            <w:col w:w="5800"/>
          </w:cols>
          <w:pgMar w:left="240" w:top="144" w:right="239" w:bottom="1440" w:gutter="0" w:footer="0" w:header="0"/>
        </w:sectPr>
      </w:pPr>
    </w:p>
    <w:bookmarkStart w:id="57" w:name="page58"/>
    <w:bookmarkEnd w:id="5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340"/>
          </w:cols>
          <w:pgMar w:left="240" w:top="144" w:right="319" w:bottom="1440" w:gutter="0" w:footer="0" w:header="0"/>
        </w:sectPr>
      </w:pPr>
    </w:p>
    <w:p>
      <w:pPr>
        <w:spacing w:after="0" w:line="383"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capital expenditures of up to $170.0 million, primarily in 2018, and our goal is to redirect resources of up to $400.0 million annually by 2020 to prioritized research and development and other value creation opportunities.</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Tax Reform</w:t>
      </w:r>
    </w:p>
    <w:p>
      <w:pPr>
        <w:spacing w:after="0" w:line="104" w:lineRule="exact"/>
        <w:rPr>
          <w:sz w:val="20"/>
          <w:szCs w:val="20"/>
          <w:color w:val="auto"/>
        </w:rPr>
      </w:pPr>
    </w:p>
    <w:p>
      <w:pPr>
        <w:ind w:right="20" w:firstLine="384"/>
        <w:spacing w:after="0" w:line="252" w:lineRule="auto"/>
        <w:rPr>
          <w:sz w:val="20"/>
          <w:szCs w:val="20"/>
          <w:color w:val="auto"/>
        </w:rPr>
      </w:pPr>
      <w:r>
        <w:rPr>
          <w:rFonts w:ascii="Arial" w:cs="Arial" w:eastAsia="Arial" w:hAnsi="Arial"/>
          <w:sz w:val="17"/>
          <w:szCs w:val="17"/>
          <w:color w:val="auto"/>
        </w:rPr>
        <w:t>The 2017 Tax Act has resulted in significant changes to the U.S. corporate income tax system. These changes include a federal statutory rate reduction from 35% to 21%, the elimination or reduction of certain domestic deductions and credits and limitations on the deductibility of interest expense and executive compensation. The 2017 Tax Act also transitions international taxation from a worldwide system to a modified territorial system and includes base erosion prevention measures on non-U.S. earnings, which has the effect of subjecting certain earnings of our foreign subsidiaries to U.S. taxation as GILTI. These changes are effective beginning in 2018.</w:t>
      </w:r>
    </w:p>
    <w:p>
      <w:pPr>
        <w:spacing w:after="0" w:line="150" w:lineRule="exact"/>
        <w:rPr>
          <w:sz w:val="20"/>
          <w:szCs w:val="20"/>
          <w:color w:val="auto"/>
        </w:rPr>
      </w:pPr>
    </w:p>
    <w:p>
      <w:pPr>
        <w:ind w:right="180" w:firstLine="384"/>
        <w:spacing w:after="0" w:line="257" w:lineRule="auto"/>
        <w:rPr>
          <w:sz w:val="20"/>
          <w:szCs w:val="20"/>
          <w:color w:val="auto"/>
        </w:rPr>
      </w:pPr>
      <w:r>
        <w:rPr>
          <w:rFonts w:ascii="Arial" w:cs="Arial" w:eastAsia="Arial" w:hAnsi="Arial"/>
          <w:sz w:val="17"/>
          <w:szCs w:val="17"/>
          <w:color w:val="auto"/>
        </w:rPr>
        <w:t>The 2017 Tax Act also includes the Transition Toll Tax, which is a one-time mandatory deemed repatriation tax on accumulated foreign subsidiaries' previously untaxed foreign earnings.</w:t>
      </w:r>
    </w:p>
    <w:p>
      <w:pPr>
        <w:spacing w:after="0" w:line="140" w:lineRule="exact"/>
        <w:rPr>
          <w:sz w:val="20"/>
          <w:szCs w:val="20"/>
          <w:color w:val="auto"/>
        </w:rPr>
      </w:pPr>
    </w:p>
    <w:p>
      <w:pPr>
        <w:ind w:firstLine="384"/>
        <w:spacing w:after="0" w:line="253" w:lineRule="auto"/>
        <w:rPr>
          <w:sz w:val="20"/>
          <w:szCs w:val="20"/>
          <w:color w:val="auto"/>
        </w:rPr>
      </w:pPr>
      <w:r>
        <w:rPr>
          <w:rFonts w:ascii="Arial" w:cs="Arial" w:eastAsia="Arial" w:hAnsi="Arial"/>
          <w:sz w:val="17"/>
          <w:szCs w:val="17"/>
          <w:color w:val="auto"/>
        </w:rPr>
        <w:t>Changes in tax rates and tax laws are accounted for in the period of enactment. Therefore, during the year ended December 31, 2017, we recorded a charge totaling $1,173.6 million related to our current estimate of the provisions of the 2017 Tax Act, including a $989.6 million expense under the Transition Toll Tax. The Transition Toll Tax will be paid over an eight-year period, starting in 2018, and will not accrue interest.</w:t>
      </w:r>
    </w:p>
    <w:p>
      <w:pPr>
        <w:spacing w:after="0" w:line="146" w:lineRule="exact"/>
        <w:rPr>
          <w:sz w:val="20"/>
          <w:szCs w:val="20"/>
          <w:color w:val="auto"/>
        </w:rPr>
      </w:pPr>
    </w:p>
    <w:p>
      <w:pPr>
        <w:ind w:right="60" w:firstLine="384"/>
        <w:spacing w:after="0" w:line="255" w:lineRule="auto"/>
        <w:rPr>
          <w:sz w:val="20"/>
          <w:szCs w:val="20"/>
          <w:color w:val="auto"/>
        </w:rPr>
      </w:pPr>
      <w:r>
        <w:rPr>
          <w:rFonts w:ascii="Arial" w:cs="Arial" w:eastAsia="Arial" w:hAnsi="Arial"/>
          <w:sz w:val="17"/>
          <w:szCs w:val="17"/>
          <w:color w:val="auto"/>
        </w:rPr>
        <w:t>The 2017 Tax Act will provide us with flexibility in deploying our cash resources to advance our business interests. We expect that it will have a modest positive effect on our income tax rate in 2018 and a potential incremental benefit thereafter.</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Hemophilia Spin-Off</w:t>
      </w:r>
    </w:p>
    <w:p>
      <w:pPr>
        <w:spacing w:after="0" w:line="104" w:lineRule="exact"/>
        <w:rPr>
          <w:sz w:val="20"/>
          <w:szCs w:val="20"/>
          <w:color w:val="auto"/>
        </w:rPr>
      </w:pPr>
    </w:p>
    <w:p>
      <w:pPr>
        <w:ind w:firstLine="384"/>
        <w:spacing w:after="0" w:line="252" w:lineRule="auto"/>
        <w:rPr>
          <w:sz w:val="20"/>
          <w:szCs w:val="20"/>
          <w:color w:val="auto"/>
        </w:rPr>
      </w:pPr>
      <w:r>
        <w:rPr>
          <w:rFonts w:ascii="Arial" w:cs="Arial" w:eastAsia="Arial" w:hAnsi="Arial"/>
          <w:sz w:val="17"/>
          <w:szCs w:val="17"/>
          <w:color w:val="auto"/>
        </w:rPr>
        <w:t>On February 1, 2017, we completed the spin-off of our hemophilia business, Bioverativ, as an independent, publicly traded company trading under the symbol "BIVV" on the Nasdaq Global Select Market. The spin-off was accomplished through the distribution of all the then outstanding shares of common stock of Bioverativ to Biogen shareholders, who received one share of Bioverativ common stock for every two shares of Biogen common stock they owned. The separation and distribution was structured to be tax-free for shareholders for federal income tax purposes. Bioverativ assumed all of our rights and obligations under our collaboration agreement with Sobi and our collaboration and license agreement with Sangamo.</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ind w:left="320" w:right="400" w:firstLine="384"/>
        <w:spacing w:after="0" w:line="257" w:lineRule="auto"/>
        <w:rPr>
          <w:sz w:val="20"/>
          <w:szCs w:val="20"/>
          <w:color w:val="auto"/>
        </w:rPr>
      </w:pPr>
      <w:r>
        <w:rPr>
          <w:rFonts w:ascii="Arial" w:cs="Arial" w:eastAsia="Arial" w:hAnsi="Arial"/>
          <w:sz w:val="17"/>
          <w:szCs w:val="17"/>
          <w:color w:val="auto"/>
        </w:rPr>
        <w:t>Our consolidated results of operations and financial position included in this report reflect the financial results of our hemophilia business for all periods through January 31, 2017.</w:t>
      </w:r>
    </w:p>
    <w:p>
      <w:pPr>
        <w:spacing w:after="0" w:line="140" w:lineRule="exact"/>
        <w:rPr>
          <w:sz w:val="20"/>
          <w:szCs w:val="20"/>
          <w:color w:val="auto"/>
        </w:rPr>
      </w:pPr>
    </w:p>
    <w:p>
      <w:pPr>
        <w:ind w:left="320" w:right="20" w:firstLine="384"/>
        <w:spacing w:after="0" w:line="257" w:lineRule="auto"/>
        <w:rPr>
          <w:sz w:val="20"/>
          <w:szCs w:val="20"/>
          <w:color w:val="auto"/>
        </w:rPr>
      </w:pPr>
      <w:r>
        <w:rPr>
          <w:rFonts w:ascii="Arial" w:cs="Arial" w:eastAsia="Arial" w:hAnsi="Arial"/>
          <w:sz w:val="17"/>
          <w:szCs w:val="17"/>
          <w:color w:val="auto"/>
        </w:rPr>
        <w:t xml:space="preserve">For additional information on the spin-off of our hemophilia business, please read Note 3, </w:t>
      </w:r>
      <w:r>
        <w:rPr>
          <w:rFonts w:ascii="Arial" w:cs="Arial" w:eastAsia="Arial" w:hAnsi="Arial"/>
          <w:sz w:val="17"/>
          <w:szCs w:val="17"/>
          <w:i w:val="1"/>
          <w:iCs w:val="1"/>
          <w:color w:val="auto"/>
        </w:rPr>
        <w:t>Hemophilia Spin-Off,</w:t>
      </w:r>
      <w:r>
        <w:rPr>
          <w:rFonts w:ascii="Arial" w:cs="Arial" w:eastAsia="Arial" w:hAnsi="Arial"/>
          <w:sz w:val="17"/>
          <w:szCs w:val="17"/>
          <w:color w:val="auto"/>
        </w:rPr>
        <w:t xml:space="preserve"> to our consolidated financial statements included in this report</w:t>
      </w:r>
      <w:r>
        <w:rPr>
          <w:rFonts w:ascii="Arial" w:cs="Arial" w:eastAsia="Arial" w:hAnsi="Arial"/>
          <w:sz w:val="17"/>
          <w:szCs w:val="17"/>
          <w:i w:val="1"/>
          <w:iCs w:val="1"/>
          <w:color w:val="auto"/>
        </w:rPr>
        <w:t>.</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2573BA"/>
        </w:rPr>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67945</wp:posOffset>
            </wp:positionV>
            <wp:extent cx="2578100" cy="35210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78100" cy="3521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20" w:right="20" w:firstLine="410"/>
        <w:spacing w:after="0" w:line="257" w:lineRule="auto"/>
        <w:rPr>
          <w:sz w:val="20"/>
          <w:szCs w:val="20"/>
          <w:color w:val="auto"/>
        </w:rPr>
      </w:pPr>
      <w:r>
        <w:rPr>
          <w:rFonts w:ascii="Arial" w:cs="Arial" w:eastAsia="Arial" w:hAnsi="Arial"/>
          <w:sz w:val="17"/>
          <w:szCs w:val="17"/>
          <w:color w:val="auto"/>
        </w:rPr>
        <w:t>Diluted earnings per share attributable to Biogen Inc. were $11.92 for 2017, representing a decrease of 29.6% versus the same period in 2016.</w:t>
      </w:r>
    </w:p>
    <w:p>
      <w:pPr>
        <w:spacing w:after="0" w:line="122" w:lineRule="exact"/>
        <w:rPr>
          <w:sz w:val="20"/>
          <w:szCs w:val="20"/>
          <w:color w:val="auto"/>
        </w:rPr>
      </w:pPr>
    </w:p>
    <w:p>
      <w:pPr>
        <w:jc w:val="both"/>
        <w:ind w:left="320" w:right="280" w:firstLine="410"/>
        <w:spacing w:after="0" w:line="268" w:lineRule="auto"/>
        <w:rPr>
          <w:sz w:val="20"/>
          <w:szCs w:val="20"/>
          <w:color w:val="auto"/>
        </w:rPr>
      </w:pPr>
      <w:r>
        <w:rPr>
          <w:rFonts w:ascii="Arial" w:cs="Arial" w:eastAsia="Arial" w:hAnsi="Arial"/>
          <w:sz w:val="17"/>
          <w:szCs w:val="17"/>
          <w:color w:val="auto"/>
        </w:rPr>
        <w:t xml:space="preserve">As described below under </w:t>
      </w:r>
      <w:r>
        <w:rPr>
          <w:rFonts w:ascii="Arial" w:cs="Arial" w:eastAsia="Arial" w:hAnsi="Arial"/>
          <w:sz w:val="17"/>
          <w:szCs w:val="17"/>
          <w:i w:val="1"/>
          <w:iCs w:val="1"/>
          <w:color w:val="auto"/>
        </w:rPr>
        <w:t>“Results of Operations</w:t>
      </w:r>
      <w:r>
        <w:rPr>
          <w:rFonts w:ascii="Arial" w:cs="Arial" w:eastAsia="Arial" w:hAnsi="Arial"/>
          <w:sz w:val="17"/>
          <w:szCs w:val="17"/>
          <w:color w:val="auto"/>
        </w:rPr>
        <w:t>,” our income from operations for the year ended December 31, 2017 reflects the following:</w:t>
      </w:r>
    </w:p>
    <w:p>
      <w:pPr>
        <w:spacing w:after="0" w:line="120" w:lineRule="exact"/>
        <w:rPr>
          <w:sz w:val="20"/>
          <w:szCs w:val="20"/>
          <w:color w:val="auto"/>
        </w:rPr>
      </w:pPr>
    </w:p>
    <w:p>
      <w:pPr>
        <w:ind w:left="700" w:right="300" w:hanging="301"/>
        <w:spacing w:after="0" w:line="276" w:lineRule="auto"/>
        <w:tabs>
          <w:tab w:leader="none" w:pos="7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Total revenues were $12,273.9 million for 2017, representing an increase of 7.2% over the same period in 2016.</w:t>
      </w:r>
    </w:p>
    <w:p>
      <w:pPr>
        <w:spacing w:after="0" w:line="113" w:lineRule="exact"/>
        <w:rPr>
          <w:rFonts w:ascii="Arial" w:cs="Arial" w:eastAsia="Arial" w:hAnsi="Arial"/>
          <w:sz w:val="17"/>
          <w:szCs w:val="17"/>
          <w:color w:val="auto"/>
        </w:rPr>
      </w:pPr>
    </w:p>
    <w:p>
      <w:pPr>
        <w:ind w:left="700" w:hanging="301"/>
        <w:spacing w:after="0" w:line="255" w:lineRule="auto"/>
        <w:tabs>
          <w:tab w:leader="none" w:pos="7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Product revenues, net totaled $10,354.7 million for 2017, representing an increase of 5.5% over the same period in 2016. This increase was primarily driven by revenues from SPINRAZA, TECFIDERA and BENEPALI, partially offset by the elimination of worldwide ALPROLIX and ELOCTATE revenues resulting from the spin-off of our hemophilia business on February 1, 2017 and a net decrease in total Interferon sales.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54</w:t>
      </w:r>
    </w:p>
    <w:p>
      <w:pPr>
        <w:sectPr>
          <w:pgSz w:w="11900" w:h="16838" w:orient="portrait"/>
          <w:cols w:equalWidth="0" w:num="2">
            <w:col w:w="5460" w:space="160"/>
            <w:col w:w="5720"/>
          </w:cols>
          <w:pgMar w:left="240" w:top="144" w:right="319" w:bottom="1440" w:gutter="0" w:footer="0" w:header="0"/>
          <w:type w:val="continuous"/>
        </w:sectPr>
      </w:pPr>
    </w:p>
    <w:bookmarkStart w:id="58" w:name="page59"/>
    <w:bookmarkEnd w:id="5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360"/>
          </w:cols>
          <w:pgMar w:left="240" w:top="144" w:right="299" w:bottom="1440" w:gutter="0" w:footer="0" w:header="0"/>
        </w:sectPr>
      </w:pPr>
    </w:p>
    <w:p>
      <w:pPr>
        <w:spacing w:after="0" w:line="371" w:lineRule="exact"/>
        <w:rPr>
          <w:sz w:val="20"/>
          <w:szCs w:val="20"/>
          <w:color w:val="auto"/>
        </w:rPr>
      </w:pPr>
    </w:p>
    <w:p>
      <w:pPr>
        <w:ind w:left="380" w:right="180" w:hanging="301"/>
        <w:spacing w:after="0" w:line="257" w:lineRule="auto"/>
        <w:tabs>
          <w:tab w:leader="none" w:pos="3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Revenues from anti-CD20 therapeutic programs totaled $1,559.2 million for 2017, representing an increase of 18.6% over the same period in 2016. This increase was primarily driven by royalty revenues on sales of OCREVUS and Biogen's share of pre-tax profits on RITUXAN.</w:t>
      </w:r>
    </w:p>
    <w:p>
      <w:pPr>
        <w:spacing w:after="0" w:line="131" w:lineRule="exact"/>
        <w:rPr>
          <w:rFonts w:ascii="Arial" w:cs="Arial" w:eastAsia="Arial" w:hAnsi="Arial"/>
          <w:sz w:val="17"/>
          <w:szCs w:val="17"/>
          <w:color w:val="auto"/>
        </w:rPr>
      </w:pPr>
    </w:p>
    <w:p>
      <w:pPr>
        <w:ind w:left="380" w:right="80" w:hanging="301"/>
        <w:spacing w:after="0" w:line="260" w:lineRule="auto"/>
        <w:tabs>
          <w:tab w:leader="none" w:pos="3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Other revenues totaled $360.0 million for 2017, representing an increase of 13.8% from the same period in 2016. This increase was primarily driven by an increase in other royalty and corporate revenues.</w:t>
      </w:r>
    </w:p>
    <w:p>
      <w:pPr>
        <w:spacing w:after="0" w:line="126" w:lineRule="exact"/>
        <w:rPr>
          <w:rFonts w:ascii="Arial" w:cs="Arial" w:eastAsia="Arial" w:hAnsi="Arial"/>
          <w:sz w:val="17"/>
          <w:szCs w:val="17"/>
          <w:color w:val="auto"/>
        </w:rPr>
      </w:pPr>
    </w:p>
    <w:p>
      <w:pPr>
        <w:ind w:left="380" w:hanging="301"/>
        <w:spacing w:after="0" w:line="253" w:lineRule="auto"/>
        <w:tabs>
          <w:tab w:leader="none" w:pos="3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Total cost and expenses totaled $6,929.7 million for 2017, representing an increase of 10.0%, compared to the same period in 2016. This increase was primarily driven by $444.2 million of amortization and impairment charges related to our U.S. and rest of world licenses to Forward Pharma's intellectual property, including Forward Pharma's intellectual property related to TECFIDERA, a 14.2% increase in research and development primarily related to higher milestone and upfront expenses, a 10.2% increase in cost of goods sold, a $120.0 million pre-tax charge to acquired in-process research and development for an upfront payment made to Remedy upon the closing of the asset purchase transaction for BIIB093 and an increase in collaboration profit sharing. These increases were partially offset by a $454.8 million litigation settlement charge in the prior year.</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As described below under </w:t>
      </w:r>
      <w:r>
        <w:rPr>
          <w:rFonts w:ascii="Arial" w:cs="Arial" w:eastAsia="Arial" w:hAnsi="Arial"/>
          <w:sz w:val="17"/>
          <w:szCs w:val="17"/>
          <w:i w:val="1"/>
          <w:iCs w:val="1"/>
          <w:color w:val="auto"/>
        </w:rPr>
        <w:t>"Financial Condition, Liquidity and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Capital Resources"</w:t>
      </w:r>
      <w:r>
        <w:rPr>
          <w:rFonts w:ascii="Arial" w:cs="Arial" w:eastAsia="Arial" w:hAnsi="Arial"/>
          <w:sz w:val="17"/>
          <w:szCs w:val="17"/>
          <w:color w:val="auto"/>
        </w:rPr>
        <w:t>:</w:t>
      </w:r>
    </w:p>
    <w:p>
      <w:pPr>
        <w:spacing w:after="0" w:line="152" w:lineRule="exact"/>
        <w:rPr>
          <w:sz w:val="20"/>
          <w:szCs w:val="20"/>
          <w:color w:val="auto"/>
        </w:rPr>
      </w:pPr>
    </w:p>
    <w:p>
      <w:pPr>
        <w:ind w:left="380" w:right="40" w:hanging="301"/>
        <w:spacing w:after="0" w:line="276" w:lineRule="auto"/>
        <w:tabs>
          <w:tab w:leader="none" w:pos="3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We generated $4,551.0 million of net cash flows from operations for 2017, which were primarily driven by earnings.</w:t>
      </w:r>
    </w:p>
    <w:p>
      <w:pPr>
        <w:spacing w:after="0" w:line="125" w:lineRule="exact"/>
        <w:rPr>
          <w:rFonts w:ascii="Arial" w:cs="Arial" w:eastAsia="Arial" w:hAnsi="Arial"/>
          <w:sz w:val="17"/>
          <w:szCs w:val="17"/>
          <w:color w:val="auto"/>
        </w:rPr>
      </w:pPr>
    </w:p>
    <w:p>
      <w:pPr>
        <w:ind w:left="380" w:right="780" w:hanging="301"/>
        <w:spacing w:after="0" w:line="262" w:lineRule="auto"/>
        <w:tabs>
          <w:tab w:leader="none" w:pos="3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Cash, cash equivalents and marketable securities totaled approximately $6,746.3 million as of December 31, 2017.</w:t>
      </w:r>
    </w:p>
    <w:p>
      <w:pPr>
        <w:spacing w:after="0" w:line="136" w:lineRule="exact"/>
        <w:rPr>
          <w:rFonts w:ascii="Arial" w:cs="Arial" w:eastAsia="Arial" w:hAnsi="Arial"/>
          <w:sz w:val="17"/>
          <w:szCs w:val="17"/>
          <w:color w:val="auto"/>
        </w:rPr>
      </w:pPr>
    </w:p>
    <w:p>
      <w:pPr>
        <w:ind w:left="380" w:right="20" w:hanging="301"/>
        <w:spacing w:after="0" w:line="257" w:lineRule="auto"/>
        <w:tabs>
          <w:tab w:leader="none" w:pos="3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We repurchased approximately 4.9 million shares of common stock at a cost of $1.4 billion during 2017 under our share repurchase programs.</w:t>
      </w:r>
    </w:p>
    <w:p>
      <w:pPr>
        <w:spacing w:after="0" w:line="44"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Acquisitions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BIIB093 Acquisition</w:t>
      </w:r>
    </w:p>
    <w:p>
      <w:pPr>
        <w:spacing w:after="0" w:line="104" w:lineRule="exact"/>
        <w:rPr>
          <w:sz w:val="20"/>
          <w:szCs w:val="20"/>
          <w:color w:val="auto"/>
        </w:rPr>
      </w:pPr>
    </w:p>
    <w:p>
      <w:pPr>
        <w:ind w:right="20" w:firstLine="384"/>
        <w:spacing w:after="0" w:line="253" w:lineRule="auto"/>
        <w:rPr>
          <w:sz w:val="20"/>
          <w:szCs w:val="20"/>
          <w:color w:val="auto"/>
        </w:rPr>
      </w:pPr>
      <w:r>
        <w:rPr>
          <w:rFonts w:ascii="Arial" w:cs="Arial" w:eastAsia="Arial" w:hAnsi="Arial"/>
          <w:sz w:val="17"/>
          <w:szCs w:val="17"/>
          <w:color w:val="auto"/>
        </w:rPr>
        <w:t>In May 2017 we completed an asset purchase of the Phase 3-ready candidate BIIB093 (intravenous glibencamide) (formerly known as CIRARA) from Remedy. The target indication for BIIB093 is LHI, a severe form of ischemic stroke where cerebral edema often leads to a disproportionately large share of stroke-related morbidity and mortality. The FDA recently granted BIIB093 Orphan Drug Designation for</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ind w:left="320" w:right="20"/>
        <w:spacing w:after="0" w:line="262" w:lineRule="auto"/>
        <w:rPr>
          <w:sz w:val="20"/>
          <w:szCs w:val="20"/>
          <w:color w:val="auto"/>
        </w:rPr>
      </w:pPr>
      <w:r>
        <w:rPr>
          <w:rFonts w:ascii="Arial" w:cs="Arial" w:eastAsia="Arial" w:hAnsi="Arial"/>
          <w:sz w:val="17"/>
          <w:szCs w:val="17"/>
          <w:color w:val="auto"/>
        </w:rPr>
        <w:t>severe cerebral edema in patients with acute ischemic stroke. The FDA has also granted BIIB093 Fast Track designation.</w:t>
      </w:r>
    </w:p>
    <w:p>
      <w:pPr>
        <w:spacing w:after="0" w:line="137" w:lineRule="exact"/>
        <w:rPr>
          <w:sz w:val="20"/>
          <w:szCs w:val="20"/>
          <w:color w:val="auto"/>
        </w:rPr>
      </w:pPr>
    </w:p>
    <w:p>
      <w:pPr>
        <w:ind w:left="320" w:right="180" w:firstLine="384"/>
        <w:spacing w:after="0" w:line="255" w:lineRule="auto"/>
        <w:rPr>
          <w:sz w:val="20"/>
          <w:szCs w:val="20"/>
          <w:color w:val="auto"/>
        </w:rPr>
      </w:pPr>
      <w:r>
        <w:rPr>
          <w:rFonts w:ascii="Arial" w:cs="Arial" w:eastAsia="Arial" w:hAnsi="Arial"/>
          <w:sz w:val="17"/>
          <w:szCs w:val="17"/>
          <w:color w:val="auto"/>
        </w:rPr>
        <w:t>Under this agreement, we are responsible for the future development and commercialization of BIIB093. Remedy will share in the cost of development for the target indication for BIIB093 in LHI stroke.</w:t>
      </w:r>
    </w:p>
    <w:p>
      <w:pPr>
        <w:spacing w:after="0" w:line="143" w:lineRule="exact"/>
        <w:rPr>
          <w:sz w:val="20"/>
          <w:szCs w:val="20"/>
          <w:color w:val="auto"/>
        </w:rPr>
      </w:pPr>
    </w:p>
    <w:p>
      <w:pPr>
        <w:ind w:left="320" w:right="80" w:firstLine="384"/>
        <w:spacing w:after="0" w:line="257" w:lineRule="auto"/>
        <w:rPr>
          <w:sz w:val="20"/>
          <w:szCs w:val="20"/>
          <w:color w:val="auto"/>
        </w:rPr>
      </w:pPr>
      <w:r>
        <w:rPr>
          <w:rFonts w:ascii="Arial" w:cs="Arial" w:eastAsia="Arial" w:hAnsi="Arial"/>
          <w:sz w:val="17"/>
          <w:szCs w:val="17"/>
          <w:color w:val="auto"/>
        </w:rPr>
        <w:t xml:space="preserve">For additional information on our transaction with Remedy, please read Note 2, </w:t>
      </w:r>
      <w:r>
        <w:rPr>
          <w:rFonts w:ascii="Arial" w:cs="Arial" w:eastAsia="Arial" w:hAnsi="Arial"/>
          <w:sz w:val="17"/>
          <w:szCs w:val="17"/>
          <w:i w:val="1"/>
          <w:iCs w:val="1"/>
          <w:color w:val="auto"/>
        </w:rPr>
        <w:t>Acquisitions</w:t>
      </w:r>
      <w:r>
        <w:rPr>
          <w:rFonts w:ascii="Arial" w:cs="Arial" w:eastAsia="Arial" w:hAnsi="Arial"/>
          <w:sz w:val="17"/>
          <w:szCs w:val="17"/>
          <w:color w:val="auto"/>
        </w:rPr>
        <w:t>, to our consolidated financial statements included in this report</w:t>
      </w:r>
      <w:r>
        <w:rPr>
          <w:rFonts w:ascii="Arial" w:cs="Arial" w:eastAsia="Arial" w:hAnsi="Arial"/>
          <w:sz w:val="17"/>
          <w:szCs w:val="17"/>
          <w:i w:val="1"/>
          <w:iCs w:val="1"/>
          <w:color w:val="auto"/>
        </w:rPr>
        <w:t>.</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2573BA"/>
        </w:rPr>
        <w:t>Collaborative and Other Relationships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538235"/>
        </w:rPr>
        <w:t>BIIB092 License Agreement</w:t>
      </w:r>
    </w:p>
    <w:p>
      <w:pPr>
        <w:spacing w:after="0" w:line="104" w:lineRule="exact"/>
        <w:rPr>
          <w:sz w:val="20"/>
          <w:szCs w:val="20"/>
          <w:color w:val="auto"/>
        </w:rPr>
      </w:pPr>
    </w:p>
    <w:p>
      <w:pPr>
        <w:ind w:left="320" w:right="20" w:firstLine="410"/>
        <w:spacing w:after="0" w:line="253" w:lineRule="auto"/>
        <w:rPr>
          <w:sz w:val="20"/>
          <w:szCs w:val="20"/>
          <w:color w:val="auto"/>
        </w:rPr>
      </w:pPr>
      <w:r>
        <w:rPr>
          <w:rFonts w:ascii="Arial" w:cs="Arial" w:eastAsia="Arial" w:hAnsi="Arial"/>
          <w:sz w:val="17"/>
          <w:szCs w:val="17"/>
          <w:color w:val="auto"/>
        </w:rPr>
        <w:t>In June 2017 we completed an exclusive license agreement with BMS for BIIB092 (formerly known as BMS-986168), a Phase 2-ready experimental medicine with potential in AD and PSP. BIIB092 is an antibody targeting tau, the protein that forms the deposits, or tangles, in the brain associated with AD and other neurodegenerative tauopathies such as PSP.</w:t>
      </w:r>
    </w:p>
    <w:p>
      <w:pPr>
        <w:spacing w:after="0" w:line="70" w:lineRule="exact"/>
        <w:rPr>
          <w:sz w:val="20"/>
          <w:szCs w:val="20"/>
          <w:color w:val="auto"/>
        </w:rPr>
      </w:pPr>
    </w:p>
    <w:p>
      <w:pPr>
        <w:ind w:left="320" w:right="240" w:firstLine="410"/>
        <w:spacing w:after="0" w:line="257" w:lineRule="auto"/>
        <w:rPr>
          <w:sz w:val="20"/>
          <w:szCs w:val="20"/>
          <w:color w:val="auto"/>
        </w:rPr>
      </w:pPr>
      <w:r>
        <w:rPr>
          <w:rFonts w:ascii="Arial" w:cs="Arial" w:eastAsia="Arial" w:hAnsi="Arial"/>
          <w:sz w:val="17"/>
          <w:szCs w:val="17"/>
          <w:color w:val="auto"/>
        </w:rPr>
        <w:t>Under this agreement, we received worldwide rights to BIIB092 and are responsible for the full development and global commercialization of BIIB092 in AD and PSP.</w:t>
      </w:r>
    </w:p>
    <w:p>
      <w:pPr>
        <w:spacing w:after="0" w:line="140" w:lineRule="exact"/>
        <w:rPr>
          <w:sz w:val="20"/>
          <w:szCs w:val="20"/>
          <w:color w:val="auto"/>
        </w:rPr>
      </w:pPr>
    </w:p>
    <w:p>
      <w:pPr>
        <w:jc w:val="both"/>
        <w:ind w:left="320" w:right="160" w:firstLine="410"/>
        <w:spacing w:after="0" w:line="257" w:lineRule="auto"/>
        <w:rPr>
          <w:sz w:val="20"/>
          <w:szCs w:val="20"/>
          <w:color w:val="auto"/>
        </w:rPr>
      </w:pPr>
      <w:r>
        <w:rPr>
          <w:rFonts w:ascii="Arial" w:cs="Arial" w:eastAsia="Arial" w:hAnsi="Arial"/>
          <w:sz w:val="17"/>
          <w:szCs w:val="17"/>
          <w:color w:val="auto"/>
        </w:rPr>
        <w:t xml:space="preserve">For additional information on our collaboration arrangement with BMS, please read Note 20, </w:t>
      </w:r>
      <w:r>
        <w:rPr>
          <w:rFonts w:ascii="Arial" w:cs="Arial" w:eastAsia="Arial" w:hAnsi="Arial"/>
          <w:sz w:val="17"/>
          <w:szCs w:val="17"/>
          <w:i w:val="1"/>
          <w:iCs w:val="1"/>
          <w:color w:val="auto"/>
        </w:rPr>
        <w:t>Collaborative and Other Relationships,</w:t>
      </w:r>
      <w:r>
        <w:rPr>
          <w:rFonts w:ascii="Arial" w:cs="Arial" w:eastAsia="Arial" w:hAnsi="Arial"/>
          <w:sz w:val="17"/>
          <w:szCs w:val="17"/>
          <w:color w:val="auto"/>
        </w:rPr>
        <w:t xml:space="preserve"> to our consolidated financial statements included in this report.</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538235"/>
        </w:rPr>
        <w:t>Eisai Collaboration Agreement</w:t>
      </w:r>
    </w:p>
    <w:p>
      <w:pPr>
        <w:spacing w:after="0" w:line="181" w:lineRule="exact"/>
        <w:rPr>
          <w:sz w:val="20"/>
          <w:szCs w:val="20"/>
          <w:color w:val="auto"/>
        </w:rPr>
      </w:pPr>
    </w:p>
    <w:p>
      <w:pPr>
        <w:ind w:left="320" w:firstLine="384"/>
        <w:spacing w:after="0" w:line="252" w:lineRule="auto"/>
        <w:rPr>
          <w:sz w:val="20"/>
          <w:szCs w:val="20"/>
          <w:color w:val="auto"/>
        </w:rPr>
      </w:pPr>
      <w:r>
        <w:rPr>
          <w:rFonts w:ascii="Arial" w:cs="Arial" w:eastAsia="Arial" w:hAnsi="Arial"/>
          <w:sz w:val="17"/>
          <w:szCs w:val="17"/>
          <w:color w:val="auto"/>
        </w:rPr>
        <w:t>In October 2017 we entered into a new collaboration agreement with Eisai for the joint development and commercialization of aducanumab (the Aducanumab Collaboration Agreement). Under the Aducanumab Collaboration Agreement, we will continue to lead the ongoing Phase 3 development of aducanumab and will remain responsible for 100% of development costs for aducanumab until April 2018. Eisai will then reimburse us for 15% of aducanumab development expenses for the period April 2018 through December 2018, and 45% thereafter. Upon commercialization, both companies will co-promote aducanumab with a region-based profit split.</w:t>
      </w:r>
    </w:p>
    <w:p>
      <w:pPr>
        <w:spacing w:after="0" w:line="150" w:lineRule="exact"/>
        <w:rPr>
          <w:sz w:val="20"/>
          <w:szCs w:val="20"/>
          <w:color w:val="auto"/>
        </w:rPr>
      </w:pPr>
    </w:p>
    <w:p>
      <w:pPr>
        <w:ind w:left="320" w:right="100" w:firstLine="384"/>
        <w:spacing w:after="0" w:line="262" w:lineRule="auto"/>
        <w:rPr>
          <w:sz w:val="20"/>
          <w:szCs w:val="20"/>
          <w:color w:val="auto"/>
        </w:rPr>
      </w:pPr>
      <w:r>
        <w:rPr>
          <w:rFonts w:ascii="Arial" w:cs="Arial" w:eastAsia="Arial" w:hAnsi="Arial"/>
          <w:sz w:val="17"/>
          <w:szCs w:val="17"/>
          <w:color w:val="auto"/>
        </w:rPr>
        <w:t>In addition, we and Eisai will continue to jointly develop BAN2401 and E2609.</w:t>
      </w:r>
    </w:p>
    <w:p>
      <w:pPr>
        <w:spacing w:after="0" w:line="137" w:lineRule="exact"/>
        <w:rPr>
          <w:sz w:val="20"/>
          <w:szCs w:val="20"/>
          <w:color w:val="auto"/>
        </w:rPr>
      </w:pPr>
    </w:p>
    <w:p>
      <w:pPr>
        <w:ind w:left="320" w:right="220" w:firstLine="384"/>
        <w:spacing w:after="0" w:line="255" w:lineRule="auto"/>
        <w:rPr>
          <w:sz w:val="20"/>
          <w:szCs w:val="20"/>
          <w:color w:val="auto"/>
        </w:rPr>
      </w:pPr>
      <w:r>
        <w:rPr>
          <w:rFonts w:ascii="Arial" w:cs="Arial" w:eastAsia="Arial" w:hAnsi="Arial"/>
          <w:sz w:val="17"/>
          <w:szCs w:val="17"/>
          <w:color w:val="auto"/>
        </w:rPr>
        <w:t>We and Eisai will co-promote AVONEX, TYSABRI and TECFIDERA in Japan in certain settings and Eisai will distribute AVONEX, TYSABRI, TECFIDERA and PLEGRIDY in India and other Asia-Pacific markets, excluding China.</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55</w:t>
      </w:r>
    </w:p>
    <w:p>
      <w:pPr>
        <w:sectPr>
          <w:pgSz w:w="11900" w:h="16838" w:orient="portrait"/>
          <w:cols w:equalWidth="0" w:num="2">
            <w:col w:w="5480" w:space="140"/>
            <w:col w:w="5740"/>
          </w:cols>
          <w:pgMar w:left="240" w:top="144" w:right="299" w:bottom="1440" w:gutter="0" w:footer="0" w:header="0"/>
          <w:type w:val="continuous"/>
        </w:sectPr>
      </w:pPr>
    </w:p>
    <w:bookmarkStart w:id="59" w:name="page60"/>
    <w:bookmarkEnd w:id="5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383" w:lineRule="exact"/>
        <w:rPr>
          <w:sz w:val="20"/>
          <w:szCs w:val="20"/>
          <w:color w:val="auto"/>
        </w:rPr>
      </w:pPr>
    </w:p>
    <w:p>
      <w:pPr>
        <w:jc w:val="both"/>
        <w:ind w:right="260" w:firstLine="384"/>
        <w:spacing w:after="0" w:line="257" w:lineRule="auto"/>
        <w:rPr>
          <w:sz w:val="20"/>
          <w:szCs w:val="20"/>
          <w:color w:val="auto"/>
        </w:rPr>
      </w:pPr>
      <w:r>
        <w:rPr>
          <w:rFonts w:ascii="Arial" w:cs="Arial" w:eastAsia="Arial" w:hAnsi="Arial"/>
          <w:sz w:val="17"/>
          <w:szCs w:val="17"/>
          <w:color w:val="auto"/>
        </w:rPr>
        <w:t xml:space="preserve">For additional information on our collaboration arrangement with Eisai, please read Note 20, </w:t>
      </w:r>
      <w:r>
        <w:rPr>
          <w:rFonts w:ascii="Arial" w:cs="Arial" w:eastAsia="Arial" w:hAnsi="Arial"/>
          <w:sz w:val="17"/>
          <w:szCs w:val="17"/>
          <w:i w:val="1"/>
          <w:iCs w:val="1"/>
          <w:color w:val="auto"/>
        </w:rPr>
        <w:t>Collaborative and Other Relationships</w:t>
      </w:r>
      <w:r>
        <w:rPr>
          <w:rFonts w:ascii="Arial" w:cs="Arial" w:eastAsia="Arial" w:hAnsi="Arial"/>
          <w:sz w:val="17"/>
          <w:szCs w:val="17"/>
          <w:color w:val="auto"/>
        </w:rPr>
        <w:t>, to our consolidated financial statements included in this report.</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538235"/>
        </w:rPr>
        <w:t>Neurimmune Collaboration Agreement</w:t>
      </w:r>
    </w:p>
    <w:p>
      <w:pPr>
        <w:spacing w:after="0" w:line="104" w:lineRule="exact"/>
        <w:rPr>
          <w:sz w:val="20"/>
          <w:szCs w:val="20"/>
          <w:color w:val="auto"/>
        </w:rPr>
      </w:pPr>
    </w:p>
    <w:p>
      <w:pPr>
        <w:ind w:firstLine="384"/>
        <w:spacing w:after="0" w:line="252" w:lineRule="auto"/>
        <w:rPr>
          <w:sz w:val="20"/>
          <w:szCs w:val="20"/>
          <w:color w:val="auto"/>
        </w:rPr>
      </w:pPr>
      <w:r>
        <w:rPr>
          <w:rFonts w:ascii="Arial" w:cs="Arial" w:eastAsia="Arial" w:hAnsi="Arial"/>
          <w:sz w:val="17"/>
          <w:szCs w:val="17"/>
          <w:color w:val="auto"/>
        </w:rPr>
        <w:t>In October 2017 we amended the terms of our collaboration and license agreement with Neurimmune. Under the amended agreement, we made a $150.0 million payment to Neurimmune, which is reflected as a charge to noncontrolling interests, in exchange for a 15% reduction in royalty rates payable on products developed under the agreement, including on potential commercial sales of aducanumab. Our royalty rates payable on products developed under the agreement, including on potential commercial sales of aducanumab, will now range from the high single digits to low-teens.</w:t>
      </w:r>
    </w:p>
    <w:p>
      <w:pPr>
        <w:spacing w:after="0" w:line="151" w:lineRule="exact"/>
        <w:rPr>
          <w:sz w:val="20"/>
          <w:szCs w:val="20"/>
          <w:color w:val="auto"/>
        </w:rPr>
      </w:pPr>
    </w:p>
    <w:p>
      <w:pPr>
        <w:ind w:right="140" w:firstLine="384"/>
        <w:spacing w:after="0" w:line="254" w:lineRule="auto"/>
        <w:rPr>
          <w:sz w:val="20"/>
          <w:szCs w:val="20"/>
          <w:color w:val="auto"/>
        </w:rPr>
      </w:pPr>
      <w:r>
        <w:rPr>
          <w:rFonts w:ascii="Arial" w:cs="Arial" w:eastAsia="Arial" w:hAnsi="Arial"/>
          <w:sz w:val="17"/>
          <w:szCs w:val="17"/>
          <w:color w:val="auto"/>
        </w:rPr>
        <w:t>Under the amended agreement, we also have an option that will expire in April 2018 to further reduce our royalty rates payable on products developed under the agreement, including on potential commercial sales of aducanumab, by an additional 5% in exchange for a $50.0 million payment to Neurimmune.</w:t>
      </w:r>
    </w:p>
    <w:p>
      <w:pPr>
        <w:spacing w:after="0" w:line="144" w:lineRule="exact"/>
        <w:rPr>
          <w:sz w:val="20"/>
          <w:szCs w:val="20"/>
          <w:color w:val="auto"/>
        </w:rPr>
      </w:pPr>
    </w:p>
    <w:p>
      <w:pPr>
        <w:ind w:right="100" w:firstLine="384"/>
        <w:spacing w:after="0" w:line="257" w:lineRule="auto"/>
        <w:rPr>
          <w:sz w:val="20"/>
          <w:szCs w:val="20"/>
          <w:color w:val="auto"/>
        </w:rPr>
      </w:pPr>
      <w:r>
        <w:rPr>
          <w:rFonts w:ascii="Arial" w:cs="Arial" w:eastAsia="Arial" w:hAnsi="Arial"/>
          <w:sz w:val="17"/>
          <w:szCs w:val="17"/>
          <w:color w:val="auto"/>
        </w:rPr>
        <w:t xml:space="preserve">For additional information on our collaboration arrangement with Neurimmune, please read Note 19, </w:t>
      </w:r>
      <w:r>
        <w:rPr>
          <w:rFonts w:ascii="Arial" w:cs="Arial" w:eastAsia="Arial" w:hAnsi="Arial"/>
          <w:sz w:val="17"/>
          <w:szCs w:val="17"/>
          <w:i w:val="1"/>
          <w:iCs w:val="1"/>
          <w:color w:val="auto"/>
        </w:rPr>
        <w:t>Investments in Variable Interest</w:t>
      </w:r>
      <w:r>
        <w:rPr>
          <w:rFonts w:ascii="Arial" w:cs="Arial" w:eastAsia="Arial" w:hAnsi="Arial"/>
          <w:sz w:val="17"/>
          <w:szCs w:val="17"/>
          <w:color w:val="auto"/>
        </w:rPr>
        <w:t xml:space="preserve"> </w:t>
      </w:r>
      <w:r>
        <w:rPr>
          <w:rFonts w:ascii="Arial" w:cs="Arial" w:eastAsia="Arial" w:hAnsi="Arial"/>
          <w:sz w:val="17"/>
          <w:szCs w:val="17"/>
          <w:i w:val="1"/>
          <w:iCs w:val="1"/>
          <w:color w:val="auto"/>
        </w:rPr>
        <w:t>Entities</w:t>
      </w:r>
      <w:r>
        <w:rPr>
          <w:rFonts w:ascii="Arial" w:cs="Arial" w:eastAsia="Arial" w:hAnsi="Arial"/>
          <w:sz w:val="17"/>
          <w:szCs w:val="17"/>
          <w:color w:val="auto"/>
        </w:rPr>
        <w:t>, to our consolidated financial statements included in this report.</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BIIB098 License Agreement</w:t>
      </w:r>
    </w:p>
    <w:p>
      <w:pPr>
        <w:spacing w:after="0" w:line="104" w:lineRule="exact"/>
        <w:rPr>
          <w:sz w:val="20"/>
          <w:szCs w:val="20"/>
          <w:color w:val="auto"/>
        </w:rPr>
      </w:pPr>
    </w:p>
    <w:p>
      <w:pPr>
        <w:ind w:right="140" w:firstLine="410"/>
        <w:spacing w:after="0" w:line="255" w:lineRule="auto"/>
        <w:rPr>
          <w:sz w:val="20"/>
          <w:szCs w:val="20"/>
          <w:color w:val="auto"/>
        </w:rPr>
      </w:pPr>
      <w:r>
        <w:rPr>
          <w:rFonts w:ascii="Arial" w:cs="Arial" w:eastAsia="Arial" w:hAnsi="Arial"/>
          <w:sz w:val="17"/>
          <w:szCs w:val="17"/>
          <w:color w:val="auto"/>
        </w:rPr>
        <w:t>In November 2017 we entered into an exclusive license and collaboration agreement with Alkermes for BIIB098 (formerly known as ALKS 8700), an oral MMF prodrug in Phase 3 development for the treatment of relapsing forms of MS.</w:t>
      </w:r>
    </w:p>
    <w:p>
      <w:pPr>
        <w:spacing w:after="0" w:line="143"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Under this agreement, we received an exclusive, worldwide license to develop and commercialize BIIB098 and will pay Alkermes a royalty on potential worldwide net sales of BIIB098. Beginning in 2018 we are responsible for all development expenses related to BIIB098. Alkermes will maintain responsibility for regulatory interactions with the FDA through the potential approval of the NDA for BIIB098 for the treatment of MS.</w:t>
      </w:r>
    </w:p>
    <w:p>
      <w:pPr>
        <w:spacing w:after="0" w:line="146" w:lineRule="exact"/>
        <w:rPr>
          <w:sz w:val="20"/>
          <w:szCs w:val="20"/>
          <w:color w:val="auto"/>
        </w:rPr>
      </w:pPr>
    </w:p>
    <w:p>
      <w:pPr>
        <w:ind w:right="120" w:firstLine="410"/>
        <w:spacing w:after="0" w:line="257" w:lineRule="auto"/>
        <w:rPr>
          <w:sz w:val="20"/>
          <w:szCs w:val="20"/>
          <w:color w:val="auto"/>
        </w:rPr>
      </w:pPr>
      <w:r>
        <w:rPr>
          <w:rFonts w:ascii="Arial" w:cs="Arial" w:eastAsia="Arial" w:hAnsi="Arial"/>
          <w:sz w:val="17"/>
          <w:szCs w:val="17"/>
          <w:color w:val="auto"/>
        </w:rPr>
        <w:t xml:space="preserve">For additional information on our collaboration arrangement with Alkermes, please read Note 20, </w:t>
      </w:r>
      <w:r>
        <w:rPr>
          <w:rFonts w:ascii="Arial" w:cs="Arial" w:eastAsia="Arial" w:hAnsi="Arial"/>
          <w:sz w:val="17"/>
          <w:szCs w:val="17"/>
          <w:i w:val="1"/>
          <w:iCs w:val="1"/>
          <w:color w:val="auto"/>
        </w:rPr>
        <w:t>Collaborative and Other Relationships,</w:t>
      </w:r>
      <w:r>
        <w:rPr>
          <w:rFonts w:ascii="Arial" w:cs="Arial" w:eastAsia="Arial" w:hAnsi="Arial"/>
          <w:sz w:val="17"/>
          <w:szCs w:val="17"/>
          <w:color w:val="auto"/>
        </w:rPr>
        <w:t xml:space="preserve"> to our consolidated financial statements included in this report.</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538235"/>
        </w:rPr>
        <w:t>Ionis Collaboration Agreement</w:t>
      </w:r>
    </w:p>
    <w:p>
      <w:pPr>
        <w:spacing w:after="0" w:line="104" w:lineRule="exact"/>
        <w:rPr>
          <w:sz w:val="20"/>
          <w:szCs w:val="20"/>
          <w:color w:val="auto"/>
        </w:rPr>
      </w:pPr>
    </w:p>
    <w:p>
      <w:pPr>
        <w:ind w:firstLine="384"/>
        <w:spacing w:after="0" w:line="254" w:lineRule="auto"/>
        <w:rPr>
          <w:sz w:val="20"/>
          <w:szCs w:val="20"/>
          <w:color w:val="auto"/>
        </w:rPr>
      </w:pPr>
      <w:r>
        <w:rPr>
          <w:rFonts w:ascii="Arial" w:cs="Arial" w:eastAsia="Arial" w:hAnsi="Arial"/>
          <w:sz w:val="17"/>
          <w:szCs w:val="17"/>
          <w:color w:val="auto"/>
        </w:rPr>
        <w:t>In December 2017 we entered into a new collaboration agreement with Ionis to identify new ASO drug candidates for the treatment of SMA. Under this agreement, we have the option to license therapies arising out of this collaboration and will be responsible for the development and commercialization of these therapies.</w:t>
      </w:r>
    </w:p>
    <w:p>
      <w:pPr>
        <w:spacing w:after="0" w:line="144" w:lineRule="exact"/>
        <w:rPr>
          <w:sz w:val="20"/>
          <w:szCs w:val="20"/>
          <w:color w:val="auto"/>
        </w:rPr>
      </w:pPr>
    </w:p>
    <w:p>
      <w:pPr>
        <w:ind w:right="120" w:firstLine="384"/>
        <w:spacing w:after="0" w:line="257" w:lineRule="auto"/>
        <w:rPr>
          <w:sz w:val="20"/>
          <w:szCs w:val="20"/>
          <w:color w:val="auto"/>
        </w:rPr>
      </w:pPr>
      <w:r>
        <w:rPr>
          <w:rFonts w:ascii="Arial" w:cs="Arial" w:eastAsia="Arial" w:hAnsi="Arial"/>
          <w:sz w:val="17"/>
          <w:szCs w:val="17"/>
          <w:color w:val="auto"/>
        </w:rPr>
        <w:t xml:space="preserve">For additional information on our new collaboration arrangement with Ionis, please read Note 20, </w:t>
      </w:r>
      <w:r>
        <w:rPr>
          <w:rFonts w:ascii="Arial" w:cs="Arial" w:eastAsia="Arial" w:hAnsi="Arial"/>
          <w:sz w:val="17"/>
          <w:szCs w:val="17"/>
          <w:i w:val="1"/>
          <w:iCs w:val="1"/>
          <w:color w:val="auto"/>
        </w:rPr>
        <w:t>Collaborative and Other Relationships,</w:t>
      </w:r>
      <w:r>
        <w:rPr>
          <w:rFonts w:ascii="Arial" w:cs="Arial" w:eastAsia="Arial" w:hAnsi="Arial"/>
          <w:sz w:val="17"/>
          <w:szCs w:val="17"/>
          <w:color w:val="auto"/>
        </w:rPr>
        <w:t xml:space="preserve"> to our consolidated financial statements included in this report</w:t>
      </w:r>
      <w:r>
        <w:rPr>
          <w:rFonts w:ascii="Arial" w:cs="Arial" w:eastAsia="Arial" w:hAnsi="Arial"/>
          <w:sz w:val="17"/>
          <w:szCs w:val="17"/>
          <w:i w:val="1"/>
          <w:iCs w:val="1"/>
          <w:color w:val="auto"/>
        </w:rPr>
        <w:t>.</w:t>
      </w:r>
    </w:p>
    <w:p>
      <w:pPr>
        <w:spacing w:after="0" w:line="44"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2573BA"/>
        </w:rPr>
        <w:t>Business Environment</w:t>
      </w:r>
    </w:p>
    <w:p>
      <w:pPr>
        <w:spacing w:after="0" w:line="106" w:lineRule="exact"/>
        <w:rPr>
          <w:sz w:val="20"/>
          <w:szCs w:val="20"/>
          <w:color w:val="auto"/>
        </w:rPr>
      </w:pPr>
    </w:p>
    <w:p>
      <w:pPr>
        <w:ind w:right="20" w:firstLine="410"/>
        <w:spacing w:after="0" w:line="252" w:lineRule="auto"/>
        <w:rPr>
          <w:sz w:val="20"/>
          <w:szCs w:val="20"/>
          <w:color w:val="auto"/>
        </w:rPr>
      </w:pPr>
      <w:r>
        <w:rPr>
          <w:rFonts w:ascii="Arial" w:cs="Arial" w:eastAsia="Arial" w:hAnsi="Arial"/>
          <w:sz w:val="17"/>
          <w:szCs w:val="17"/>
          <w:color w:val="auto"/>
        </w:rPr>
        <w:t>The biopharmaceutical industry and the markets in which we operate are intensely competitive. Many of our competitors are working to develop or have commercialized products similar to those we market or are developing and have considerable experience in undertaking clinical trials and in obtaining regulatory approval to market pharmaceutical products. In addition, the commercialization of certain of our own approved MS products, products of our collaborators and pipeline product candidates may negatively impact future sales of our existing MS products. Our products may also face increased competitive pressures from the introduction of generic versions, prodrugs of existing therapies or biosimilars of existing products and other technologies.</w:t>
      </w:r>
    </w:p>
    <w:p>
      <w:pPr>
        <w:spacing w:after="0" w:line="99"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Sales of our products are dependent, in large part, on the availability and extent of coverage, pricing and reimbursement from government health administration authorities, private health insurers and other organizations. Drug prices are under significant scrutiny in the markets in which our products are prescribed. Drug pricing and other health care costs continue to be subject to intense political and societal pressures on a global basis.</w:t>
      </w:r>
    </w:p>
    <w:p>
      <w:pPr>
        <w:spacing w:after="0" w:line="146" w:lineRule="exact"/>
        <w:rPr>
          <w:sz w:val="20"/>
          <w:szCs w:val="20"/>
          <w:color w:val="auto"/>
        </w:rPr>
      </w:pPr>
    </w:p>
    <w:p>
      <w:pPr>
        <w:ind w:right="40" w:firstLine="410"/>
        <w:spacing w:after="0" w:line="253" w:lineRule="auto"/>
        <w:rPr>
          <w:sz w:val="20"/>
          <w:szCs w:val="20"/>
          <w:color w:val="auto"/>
        </w:rPr>
      </w:pPr>
      <w:r>
        <w:rPr>
          <w:rFonts w:ascii="Arial" w:cs="Arial" w:eastAsia="Arial" w:hAnsi="Arial"/>
          <w:sz w:val="17"/>
          <w:szCs w:val="17"/>
          <w:color w:val="auto"/>
        </w:rPr>
        <w:t>In addition, our sales and operations are subject to the risks of doing business internationally. For example, the effects of the implementation of the U.K.’s decision to voluntarily depart from the E.U., known as Brexit, remain unclear; compliance with any resulting regulatory mandates may prove challenging and the macroeconomic impact on our sales and consolidated results of operations from these developments remains unknown.</w:t>
      </w:r>
    </w:p>
    <w:p>
      <w:pPr>
        <w:spacing w:after="0" w:line="146" w:lineRule="exact"/>
        <w:rPr>
          <w:sz w:val="20"/>
          <w:szCs w:val="20"/>
          <w:color w:val="auto"/>
        </w:rPr>
      </w:pPr>
    </w:p>
    <w:p>
      <w:pPr>
        <w:ind w:right="80" w:firstLine="410"/>
        <w:spacing w:after="0" w:line="255" w:lineRule="auto"/>
        <w:rPr>
          <w:sz w:val="20"/>
          <w:szCs w:val="20"/>
          <w:color w:val="auto"/>
        </w:rPr>
      </w:pPr>
      <w:r>
        <w:rPr>
          <w:rFonts w:ascii="Arial" w:cs="Arial" w:eastAsia="Arial" w:hAnsi="Arial"/>
          <w:sz w:val="17"/>
          <w:szCs w:val="17"/>
          <w:color w:val="auto"/>
        </w:rPr>
        <w:t xml:space="preserve">For additional information on our competition and pricing risks that could negatively impact our product sales, please read Item 1A. </w:t>
      </w:r>
      <w:r>
        <w:rPr>
          <w:rFonts w:ascii="Arial" w:cs="Arial" w:eastAsia="Arial" w:hAnsi="Arial"/>
          <w:sz w:val="17"/>
          <w:szCs w:val="17"/>
          <w:i w:val="1"/>
          <w:iCs w:val="1"/>
          <w:color w:val="auto"/>
        </w:rPr>
        <w:t>Risk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Factors </w:t>
      </w:r>
      <w:r>
        <w:rPr>
          <w:rFonts w:ascii="Arial" w:cs="Arial" w:eastAsia="Arial" w:hAnsi="Arial"/>
          <w:sz w:val="17"/>
          <w:szCs w:val="17"/>
          <w:color w:val="auto"/>
        </w:rPr>
        <w:t>and Item 7A.</w:t>
      </w:r>
      <w:r>
        <w:rPr>
          <w:rFonts w:ascii="Arial" w:cs="Arial" w:eastAsia="Arial" w:hAnsi="Arial"/>
          <w:sz w:val="17"/>
          <w:szCs w:val="17"/>
          <w:i w:val="1"/>
          <w:iCs w:val="1"/>
          <w:color w:val="auto"/>
        </w:rPr>
        <w:t xml:space="preserve"> Quantitative and Qualitative Disclosures About Market Risk </w:t>
      </w:r>
      <w:r>
        <w:rPr>
          <w:rFonts w:ascii="Arial" w:cs="Arial" w:eastAsia="Arial" w:hAnsi="Arial"/>
          <w:sz w:val="17"/>
          <w:szCs w:val="17"/>
          <w:color w:val="auto"/>
        </w:rPr>
        <w:t>included in this report.</w:t>
      </w:r>
    </w:p>
    <w:p>
      <w:pPr>
        <w:spacing w:after="0" w:line="200" w:lineRule="exact"/>
        <w:rPr>
          <w:sz w:val="20"/>
          <w:szCs w:val="20"/>
          <w:color w:val="auto"/>
        </w:rPr>
      </w:pPr>
    </w:p>
    <w:p>
      <w:pPr>
        <w:sectPr>
          <w:pgSz w:w="11900" w:h="16838" w:orient="portrait"/>
          <w:cols w:equalWidth="0" w:num="2">
            <w:col w:w="5480" w:space="460"/>
            <w:col w:w="5480"/>
          </w:cols>
          <w:pgMar w:left="240" w:top="144" w:right="239" w:bottom="1440" w:gutter="0" w:footer="0" w:header="0"/>
          <w:type w:val="continuous"/>
        </w:sectPr>
      </w:pP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44" w:right="239" w:bottom="1440" w:gutter="0" w:footer="0" w:header="0"/>
          <w:type w:val="continuous"/>
        </w:sectPr>
      </w:pPr>
    </w:p>
    <w:bookmarkStart w:id="60" w:name="page61"/>
    <w:bookmarkEnd w:id="6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Results of Operations</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Revenues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Revenues are summarized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6"/>
              </w:rPr>
              <w:t>For the Years Ended</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10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8"/>
        </w:trPr>
        <w:tc>
          <w:tcPr>
            <w:tcW w:w="38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December 31,</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Borders>
              <w:bottom w:val="single" w:sz="8" w:color="DDDDDD"/>
            </w:tcBorders>
            <w:gridSpan w:val="2"/>
            <w:vMerge w:val="restart"/>
            <w:shd w:val="clear" w:color="auto" w:fill="DDDDDD"/>
          </w:tcPr>
          <w:p>
            <w:pPr>
              <w:jc w:val="right"/>
              <w:ind w:right="15"/>
              <w:spacing w:after="0"/>
              <w:rPr>
                <w:sz w:val="20"/>
                <w:szCs w:val="20"/>
                <w:color w:val="auto"/>
              </w:rPr>
            </w:pPr>
            <w:r>
              <w:rPr>
                <w:rFonts w:ascii="Arial" w:cs="Arial" w:eastAsia="Arial" w:hAnsi="Arial"/>
                <w:sz w:val="14"/>
                <w:szCs w:val="14"/>
                <w:b w:val="1"/>
                <w:bCs w:val="1"/>
                <w:color w:val="2573BA"/>
              </w:rPr>
              <w:t>2017 compared to</w:t>
            </w:r>
          </w:p>
        </w:tc>
        <w:tc>
          <w:tcPr>
            <w:tcW w:w="100" w:type="dxa"/>
            <w:vAlign w:val="bottom"/>
          </w:tcPr>
          <w:p>
            <w:pPr>
              <w:spacing w:after="0"/>
              <w:rPr>
                <w:sz w:val="15"/>
                <w:szCs w:val="15"/>
                <w:color w:val="auto"/>
              </w:rPr>
            </w:pPr>
          </w:p>
        </w:tc>
        <w:tc>
          <w:tcPr>
            <w:tcW w:w="138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rPr>
              <w:t>2016 compared to</w:t>
            </w:r>
          </w:p>
        </w:tc>
        <w:tc>
          <w:tcPr>
            <w:tcW w:w="0" w:type="dxa"/>
            <w:vAlign w:val="bottom"/>
          </w:tcPr>
          <w:p>
            <w:pPr>
              <w:spacing w:after="0"/>
              <w:rPr>
                <w:sz w:val="1"/>
                <w:szCs w:val="1"/>
                <w:color w:val="auto"/>
              </w:rPr>
            </w:pPr>
          </w:p>
        </w:tc>
      </w:tr>
      <w:tr>
        <w:trPr>
          <w:trHeight w:val="65"/>
        </w:trPr>
        <w:tc>
          <w:tcPr>
            <w:tcW w:w="3860" w:type="dxa"/>
            <w:vAlign w:val="bottom"/>
          </w:tcPr>
          <w:p>
            <w:pPr>
              <w:spacing w:after="0"/>
              <w:rPr>
                <w:sz w:val="5"/>
                <w:szCs w:val="5"/>
                <w:color w:val="auto"/>
              </w:rPr>
            </w:pPr>
          </w:p>
        </w:tc>
        <w:tc>
          <w:tcPr>
            <w:tcW w:w="360" w:type="dxa"/>
            <w:vAlign w:val="bottom"/>
            <w:shd w:val="clear" w:color="auto" w:fill="DDDDDD"/>
          </w:tcPr>
          <w:p>
            <w:pPr>
              <w:spacing w:after="0"/>
              <w:rPr>
                <w:sz w:val="5"/>
                <w:szCs w:val="5"/>
                <w:color w:val="auto"/>
              </w:rPr>
            </w:pPr>
          </w:p>
        </w:tc>
        <w:tc>
          <w:tcPr>
            <w:tcW w:w="1100" w:type="dxa"/>
            <w:vAlign w:val="bottom"/>
            <w:shd w:val="clear" w:color="auto" w:fill="DDDDDD"/>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gridSpan w:val="2"/>
            <w:vMerge w:val="continue"/>
            <w:shd w:val="clear" w:color="auto" w:fill="DDDDDD"/>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3860" w:type="dxa"/>
            <w:vAlign w:val="bottom"/>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360" w:type="dxa"/>
            <w:vAlign w:val="bottom"/>
            <w:shd w:val="clear" w:color="auto" w:fill="DDDDDD"/>
          </w:tcPr>
          <w:p>
            <w:pPr>
              <w:spacing w:after="0"/>
              <w:rPr>
                <w:sz w:val="16"/>
                <w:szCs w:val="16"/>
                <w:color w:val="auto"/>
              </w:rPr>
            </w:pPr>
          </w:p>
        </w:tc>
        <w:tc>
          <w:tcPr>
            <w:tcW w:w="1100" w:type="dxa"/>
            <w:vAlign w:val="bottom"/>
            <w:shd w:val="clear" w:color="auto" w:fill="DDDDDD"/>
          </w:tcPr>
          <w:p>
            <w:pPr>
              <w:jc w:val="right"/>
              <w:ind w:right="477"/>
              <w:spacing w:after="0"/>
              <w:rPr>
                <w:sz w:val="20"/>
                <w:szCs w:val="20"/>
                <w:color w:val="auto"/>
              </w:rPr>
            </w:pPr>
            <w:r>
              <w:rPr>
                <w:rFonts w:ascii="Arial" w:cs="Arial" w:eastAsia="Arial" w:hAnsi="Arial"/>
                <w:sz w:val="14"/>
                <w:szCs w:val="14"/>
                <w:b w:val="1"/>
                <w:bCs w:val="1"/>
                <w:color w:val="2573BA"/>
              </w:rPr>
              <w:t>2017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center"/>
              <w:ind w:right="119"/>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120" w:type="dxa"/>
            <w:vAlign w:val="bottom"/>
            <w:shd w:val="clear" w:color="auto" w:fill="DDDDDD"/>
          </w:tcPr>
          <w:p>
            <w:pPr>
              <w:jc w:val="right"/>
              <w:ind w:right="200"/>
              <w:spacing w:after="0"/>
              <w:rPr>
                <w:sz w:val="20"/>
                <w:szCs w:val="20"/>
                <w:color w:val="auto"/>
              </w:rPr>
            </w:pPr>
            <w:r>
              <w:rPr>
                <w:rFonts w:ascii="Arial" w:cs="Arial" w:eastAsia="Arial" w:hAnsi="Arial"/>
                <w:sz w:val="14"/>
                <w:szCs w:val="14"/>
                <w:b w:val="1"/>
                <w:bCs w:val="1"/>
                <w:color w:val="2573BA"/>
              </w:rPr>
              <w:t>2016</w:t>
            </w:r>
          </w:p>
        </w:tc>
        <w:tc>
          <w:tcPr>
            <w:tcW w:w="240" w:type="dxa"/>
            <w:vAlign w:val="bottom"/>
            <w:shd w:val="clear" w:color="auto" w:fill="DDDDDD"/>
          </w:tcPr>
          <w:p>
            <w:pPr>
              <w:spacing w:after="0"/>
              <w:rPr>
                <w:sz w:val="16"/>
                <w:szCs w:val="16"/>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28"/>
        </w:trPr>
        <w:tc>
          <w:tcPr>
            <w:tcW w:w="38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Product Revenues:</w:t>
            </w:r>
          </w:p>
        </w:tc>
        <w:tc>
          <w:tcPr>
            <w:tcW w:w="360" w:type="dxa"/>
            <w:vAlign w:val="bottom"/>
            <w:tcBorders>
              <w:top w:val="single" w:sz="8" w:color="auto"/>
            </w:tcBorders>
            <w:shd w:val="clear" w:color="auto" w:fill="DDDDDD"/>
          </w:tcPr>
          <w:p>
            <w:pPr>
              <w:spacing w:after="0"/>
              <w:rPr>
                <w:sz w:val="19"/>
                <w:szCs w:val="19"/>
                <w:color w:val="auto"/>
              </w:rPr>
            </w:pPr>
          </w:p>
        </w:tc>
        <w:tc>
          <w:tcPr>
            <w:tcW w:w="1100" w:type="dxa"/>
            <w:vAlign w:val="bottom"/>
            <w:tcBorders>
              <w:top w:val="single" w:sz="8" w:color="auto"/>
            </w:tcBorders>
            <w:shd w:val="clear" w:color="auto" w:fill="DDDDDD"/>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top w:val="single" w:sz="8" w:color="auto"/>
            </w:tcBorders>
            <w:shd w:val="clear" w:color="auto" w:fill="DDDDDD"/>
          </w:tcPr>
          <w:p>
            <w:pPr>
              <w:spacing w:after="0"/>
              <w:rPr>
                <w:sz w:val="19"/>
                <w:szCs w:val="19"/>
                <w:color w:val="auto"/>
              </w:rPr>
            </w:pPr>
          </w:p>
        </w:tc>
        <w:tc>
          <w:tcPr>
            <w:tcW w:w="240" w:type="dxa"/>
            <w:vAlign w:val="bottom"/>
            <w:tcBorders>
              <w:top w:val="single" w:sz="8" w:color="auto"/>
            </w:tcBorders>
            <w:shd w:val="clear" w:color="auto" w:fill="DDDDDD"/>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860" w:type="dxa"/>
            <w:vAlign w:val="bottom"/>
          </w:tcPr>
          <w:p>
            <w:pPr>
              <w:ind w:left="160"/>
              <w:spacing w:after="0"/>
              <w:rPr>
                <w:sz w:val="20"/>
                <w:szCs w:val="20"/>
                <w:color w:val="auto"/>
              </w:rPr>
            </w:pPr>
            <w:r>
              <w:rPr>
                <w:rFonts w:ascii="Arial" w:cs="Arial" w:eastAsia="Arial" w:hAnsi="Arial"/>
                <w:sz w:val="17"/>
                <w:szCs w:val="17"/>
                <w:color w:val="auto"/>
              </w:rPr>
              <w:t>United States</w:t>
            </w:r>
          </w:p>
        </w:tc>
        <w:tc>
          <w:tcPr>
            <w:tcW w:w="360" w:type="dxa"/>
            <w:vAlign w:val="bottom"/>
            <w:shd w:val="clear" w:color="auto" w:fill="DDDDDD"/>
          </w:tcPr>
          <w:p>
            <w:pPr>
              <w:jc w:val="right"/>
              <w:ind w:right="135"/>
              <w:spacing w:after="0"/>
              <w:rPr>
                <w:sz w:val="20"/>
                <w:szCs w:val="20"/>
                <w:color w:val="auto"/>
              </w:rPr>
            </w:pPr>
            <w:r>
              <w:rPr>
                <w:rFonts w:ascii="Arial" w:cs="Arial" w:eastAsia="Arial" w:hAnsi="Arial"/>
                <w:sz w:val="17"/>
                <w:szCs w:val="17"/>
                <w:color w:val="2573BA"/>
              </w:rPr>
              <w:t>$</w:t>
            </w:r>
          </w:p>
        </w:tc>
        <w:tc>
          <w:tcPr>
            <w:tcW w:w="11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7,017.1</w:t>
            </w:r>
          </w:p>
        </w:tc>
        <w:tc>
          <w:tcPr>
            <w:tcW w:w="320" w:type="dxa"/>
            <w:vAlign w:val="bottom"/>
            <w:gridSpan w:val="2"/>
          </w:tcPr>
          <w:p>
            <w:pPr>
              <w:jc w:val="right"/>
              <w:ind w:right="12"/>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39"/>
              <w:spacing w:after="0"/>
              <w:rPr>
                <w:sz w:val="20"/>
                <w:szCs w:val="20"/>
                <w:color w:val="auto"/>
              </w:rPr>
            </w:pPr>
            <w:r>
              <w:rPr>
                <w:rFonts w:ascii="Arial" w:cs="Arial" w:eastAsia="Arial" w:hAnsi="Arial"/>
                <w:sz w:val="17"/>
                <w:szCs w:val="17"/>
                <w:color w:val="auto"/>
              </w:rPr>
              <w:t>7,050.4</w:t>
            </w:r>
          </w:p>
        </w:tc>
        <w:tc>
          <w:tcPr>
            <w:tcW w:w="100" w:type="dxa"/>
            <w:vAlign w:val="bottom"/>
          </w:tcPr>
          <w:p>
            <w:pPr>
              <w:spacing w:after="0"/>
              <w:rPr>
                <w:sz w:val="24"/>
                <w:szCs w:val="24"/>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7"/>
              <w:spacing w:after="0"/>
              <w:rPr>
                <w:sz w:val="20"/>
                <w:szCs w:val="20"/>
                <w:color w:val="auto"/>
              </w:rPr>
            </w:pPr>
            <w:r>
              <w:rPr>
                <w:rFonts w:ascii="Arial" w:cs="Arial" w:eastAsia="Arial" w:hAnsi="Arial"/>
                <w:sz w:val="17"/>
                <w:szCs w:val="17"/>
                <w:color w:val="auto"/>
              </w:rPr>
              <w:t>6,545.8</w:t>
            </w:r>
          </w:p>
        </w:tc>
        <w:tc>
          <w:tcPr>
            <w:tcW w:w="100" w:type="dxa"/>
            <w:vAlign w:val="bottom"/>
          </w:tcPr>
          <w:p>
            <w:pPr>
              <w:spacing w:after="0"/>
              <w:rPr>
                <w:sz w:val="24"/>
                <w:szCs w:val="24"/>
                <w:color w:val="auto"/>
              </w:rPr>
            </w:pPr>
          </w:p>
        </w:tc>
        <w:tc>
          <w:tcPr>
            <w:tcW w:w="1360" w:type="dxa"/>
            <w:vAlign w:val="bottom"/>
            <w:gridSpan w:val="2"/>
            <w:shd w:val="clear" w:color="auto" w:fill="DDDDDD"/>
          </w:tcPr>
          <w:p>
            <w:pPr>
              <w:jc w:val="right"/>
              <w:spacing w:after="0"/>
              <w:rPr>
                <w:sz w:val="20"/>
                <w:szCs w:val="20"/>
                <w:color w:val="auto"/>
              </w:rPr>
            </w:pPr>
            <w:r>
              <w:rPr>
                <w:rFonts w:ascii="Arial" w:cs="Arial" w:eastAsia="Arial" w:hAnsi="Arial"/>
                <w:sz w:val="17"/>
                <w:szCs w:val="17"/>
                <w:color w:val="2573BA"/>
              </w:rPr>
              <w:t>(0.5)%</w:t>
            </w:r>
          </w:p>
        </w:tc>
        <w:tc>
          <w:tcPr>
            <w:tcW w:w="1480" w:type="dxa"/>
            <w:vAlign w:val="bottom"/>
            <w:gridSpan w:val="2"/>
          </w:tcPr>
          <w:p>
            <w:pPr>
              <w:jc w:val="right"/>
              <w:spacing w:after="0"/>
              <w:rPr>
                <w:sz w:val="20"/>
                <w:szCs w:val="20"/>
                <w:color w:val="auto"/>
              </w:rPr>
            </w:pPr>
            <w:r>
              <w:rPr>
                <w:rFonts w:ascii="Arial" w:cs="Arial" w:eastAsia="Arial" w:hAnsi="Arial"/>
                <w:sz w:val="17"/>
                <w:szCs w:val="17"/>
                <w:color w:val="auto"/>
              </w:rPr>
              <w:t>7.7 %</w:t>
            </w:r>
          </w:p>
        </w:tc>
        <w:tc>
          <w:tcPr>
            <w:tcW w:w="0" w:type="dxa"/>
            <w:vAlign w:val="bottom"/>
          </w:tcPr>
          <w:p>
            <w:pPr>
              <w:spacing w:after="0"/>
              <w:rPr>
                <w:sz w:val="1"/>
                <w:szCs w:val="1"/>
                <w:color w:val="auto"/>
              </w:rPr>
            </w:pPr>
          </w:p>
        </w:tc>
      </w:tr>
      <w:tr>
        <w:trPr>
          <w:trHeight w:val="249"/>
        </w:trPr>
        <w:tc>
          <w:tcPr>
            <w:tcW w:w="3860" w:type="dxa"/>
            <w:vAlign w:val="bottom"/>
          </w:tcPr>
          <w:p>
            <w:pPr>
              <w:ind w:left="160"/>
              <w:spacing w:after="0"/>
              <w:rPr>
                <w:sz w:val="20"/>
                <w:szCs w:val="20"/>
                <w:color w:val="auto"/>
              </w:rPr>
            </w:pPr>
            <w:r>
              <w:rPr>
                <w:rFonts w:ascii="Arial" w:cs="Arial" w:eastAsia="Arial" w:hAnsi="Arial"/>
                <w:sz w:val="17"/>
                <w:szCs w:val="17"/>
                <w:color w:val="auto"/>
              </w:rPr>
              <w:t>Rest of world</w:t>
            </w:r>
          </w:p>
        </w:tc>
        <w:tc>
          <w:tcPr>
            <w:tcW w:w="360" w:type="dxa"/>
            <w:vAlign w:val="bottom"/>
            <w:tcBorders>
              <w:bottom w:val="single" w:sz="8" w:color="auto"/>
            </w:tcBorders>
            <w:shd w:val="clear" w:color="auto" w:fill="DDDDDD"/>
          </w:tcPr>
          <w:p>
            <w:pPr>
              <w:spacing w:after="0"/>
              <w:rPr>
                <w:sz w:val="21"/>
                <w:szCs w:val="21"/>
                <w:color w:val="auto"/>
              </w:rPr>
            </w:pPr>
          </w:p>
        </w:tc>
        <w:tc>
          <w:tcPr>
            <w:tcW w:w="1100" w:type="dxa"/>
            <w:vAlign w:val="bottom"/>
            <w:tcBorders>
              <w:bottom w:val="single" w:sz="8" w:color="auto"/>
            </w:tcBorders>
            <w:shd w:val="clear" w:color="auto" w:fill="DDDDDD"/>
          </w:tcPr>
          <w:p>
            <w:pPr>
              <w:jc w:val="right"/>
              <w:ind w:right="17"/>
              <w:spacing w:after="0"/>
              <w:rPr>
                <w:sz w:val="20"/>
                <w:szCs w:val="20"/>
                <w:color w:val="auto"/>
              </w:rPr>
            </w:pPr>
            <w:r>
              <w:rPr>
                <w:rFonts w:ascii="Arial" w:cs="Arial" w:eastAsia="Arial" w:hAnsi="Arial"/>
                <w:sz w:val="17"/>
                <w:szCs w:val="17"/>
                <w:color w:val="2573BA"/>
              </w:rPr>
              <w:t>3,337.6</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2,767.5</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2,642.7</w:t>
            </w: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20.6</w:t>
            </w:r>
          </w:p>
        </w:tc>
        <w:tc>
          <w:tcPr>
            <w:tcW w:w="2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0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4.7 %</w:t>
            </w:r>
          </w:p>
        </w:tc>
        <w:tc>
          <w:tcPr>
            <w:tcW w:w="0" w:type="dxa"/>
            <w:vAlign w:val="bottom"/>
          </w:tcPr>
          <w:p>
            <w:pPr>
              <w:spacing w:after="0"/>
              <w:rPr>
                <w:sz w:val="1"/>
                <w:szCs w:val="1"/>
                <w:color w:val="auto"/>
              </w:rPr>
            </w:pPr>
          </w:p>
        </w:tc>
      </w:tr>
      <w:tr>
        <w:trPr>
          <w:trHeight w:val="229"/>
        </w:trPr>
        <w:tc>
          <w:tcPr>
            <w:tcW w:w="3860" w:type="dxa"/>
            <w:vAlign w:val="bottom"/>
          </w:tcPr>
          <w:p>
            <w:pPr>
              <w:ind w:left="360"/>
              <w:spacing w:after="0"/>
              <w:rPr>
                <w:sz w:val="20"/>
                <w:szCs w:val="20"/>
                <w:color w:val="auto"/>
              </w:rPr>
            </w:pPr>
            <w:r>
              <w:rPr>
                <w:rFonts w:ascii="Arial" w:cs="Arial" w:eastAsia="Arial" w:hAnsi="Arial"/>
                <w:sz w:val="17"/>
                <w:szCs w:val="17"/>
                <w:color w:val="auto"/>
              </w:rPr>
              <w:t>Total product revenues</w:t>
            </w:r>
          </w:p>
        </w:tc>
        <w:tc>
          <w:tcPr>
            <w:tcW w:w="360" w:type="dxa"/>
            <w:vAlign w:val="bottom"/>
            <w:shd w:val="clear" w:color="auto" w:fill="DDDDDD"/>
          </w:tcPr>
          <w:p>
            <w:pPr>
              <w:spacing w:after="0"/>
              <w:rPr>
                <w:sz w:val="19"/>
                <w:szCs w:val="19"/>
                <w:color w:val="auto"/>
              </w:rPr>
            </w:pPr>
          </w:p>
        </w:tc>
        <w:tc>
          <w:tcPr>
            <w:tcW w:w="11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10,354.7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Arial" w:cs="Arial" w:eastAsia="Arial" w:hAnsi="Arial"/>
                <w:sz w:val="17"/>
                <w:szCs w:val="17"/>
                <w:color w:val="auto"/>
              </w:rPr>
              <w:t>9,817.9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7"/>
              <w:spacing w:after="0"/>
              <w:rPr>
                <w:sz w:val="20"/>
                <w:szCs w:val="20"/>
                <w:color w:val="auto"/>
              </w:rPr>
            </w:pPr>
            <w:r>
              <w:rPr>
                <w:rFonts w:ascii="Arial" w:cs="Arial" w:eastAsia="Arial" w:hAnsi="Arial"/>
                <w:sz w:val="17"/>
                <w:szCs w:val="17"/>
                <w:color w:val="auto"/>
              </w:rPr>
              <w:t>9,188.5</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2573BA"/>
              </w:rPr>
              <w:t>5.5</w:t>
            </w:r>
          </w:p>
        </w:tc>
        <w:tc>
          <w:tcPr>
            <w:tcW w:w="2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80" w:type="dxa"/>
            <w:vAlign w:val="bottom"/>
            <w:gridSpan w:val="2"/>
          </w:tcPr>
          <w:p>
            <w:pPr>
              <w:jc w:val="right"/>
              <w:spacing w:after="0"/>
              <w:rPr>
                <w:sz w:val="20"/>
                <w:szCs w:val="20"/>
                <w:color w:val="auto"/>
              </w:rPr>
            </w:pPr>
            <w:r>
              <w:rPr>
                <w:rFonts w:ascii="Arial" w:cs="Arial" w:eastAsia="Arial" w:hAnsi="Arial"/>
                <w:sz w:val="17"/>
                <w:szCs w:val="17"/>
                <w:color w:val="auto"/>
              </w:rPr>
              <w:t>6.8 %</w:t>
            </w:r>
          </w:p>
        </w:tc>
        <w:tc>
          <w:tcPr>
            <w:tcW w:w="0" w:type="dxa"/>
            <w:vAlign w:val="bottom"/>
          </w:tcPr>
          <w:p>
            <w:pPr>
              <w:spacing w:after="0"/>
              <w:rPr>
                <w:sz w:val="1"/>
                <w:szCs w:val="1"/>
                <w:color w:val="auto"/>
              </w:rPr>
            </w:pPr>
          </w:p>
        </w:tc>
      </w:tr>
      <w:tr>
        <w:trPr>
          <w:trHeight w:val="256"/>
        </w:trPr>
        <w:tc>
          <w:tcPr>
            <w:tcW w:w="3860" w:type="dxa"/>
            <w:vAlign w:val="bottom"/>
          </w:tcPr>
          <w:p>
            <w:pPr>
              <w:ind w:left="20"/>
              <w:spacing w:after="0"/>
              <w:rPr>
                <w:sz w:val="20"/>
                <w:szCs w:val="20"/>
                <w:color w:val="auto"/>
              </w:rPr>
            </w:pPr>
            <w:r>
              <w:rPr>
                <w:rFonts w:ascii="Arial" w:cs="Arial" w:eastAsia="Arial" w:hAnsi="Arial"/>
                <w:sz w:val="17"/>
                <w:szCs w:val="17"/>
                <w:color w:val="auto"/>
              </w:rPr>
              <w:t>Revenues from anti-CD20 therapeutic programs</w:t>
            </w:r>
          </w:p>
        </w:tc>
        <w:tc>
          <w:tcPr>
            <w:tcW w:w="360" w:type="dxa"/>
            <w:vAlign w:val="bottom"/>
            <w:shd w:val="clear" w:color="auto" w:fill="DDDDDD"/>
          </w:tcPr>
          <w:p>
            <w:pPr>
              <w:spacing w:after="0"/>
              <w:rPr>
                <w:sz w:val="22"/>
                <w:szCs w:val="22"/>
                <w:color w:val="auto"/>
              </w:rPr>
            </w:pPr>
          </w:p>
        </w:tc>
        <w:tc>
          <w:tcPr>
            <w:tcW w:w="11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1,559.2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7"/>
                <w:szCs w:val="17"/>
                <w:color w:val="auto"/>
              </w:rPr>
              <w:t>1,314.5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7"/>
              <w:spacing w:after="0"/>
              <w:rPr>
                <w:sz w:val="20"/>
                <w:szCs w:val="20"/>
                <w:color w:val="auto"/>
              </w:rPr>
            </w:pPr>
            <w:r>
              <w:rPr>
                <w:rFonts w:ascii="Arial" w:cs="Arial" w:eastAsia="Arial" w:hAnsi="Arial"/>
                <w:sz w:val="17"/>
                <w:szCs w:val="17"/>
                <w:color w:val="auto"/>
              </w:rPr>
              <w:t>1,339.2</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2573BA"/>
              </w:rPr>
              <w:t>18.6</w:t>
            </w:r>
          </w:p>
        </w:tc>
        <w:tc>
          <w:tcPr>
            <w:tcW w:w="2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80" w:type="dxa"/>
            <w:vAlign w:val="bottom"/>
            <w:gridSpan w:val="2"/>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63"/>
        </w:trPr>
        <w:tc>
          <w:tcPr>
            <w:tcW w:w="3860" w:type="dxa"/>
            <w:vAlign w:val="bottom"/>
          </w:tcPr>
          <w:p>
            <w:pPr>
              <w:ind w:left="20"/>
              <w:spacing w:after="0"/>
              <w:rPr>
                <w:sz w:val="20"/>
                <w:szCs w:val="20"/>
                <w:color w:val="auto"/>
              </w:rPr>
            </w:pPr>
            <w:r>
              <w:rPr>
                <w:rFonts w:ascii="Arial" w:cs="Arial" w:eastAsia="Arial" w:hAnsi="Arial"/>
                <w:sz w:val="17"/>
                <w:szCs w:val="17"/>
                <w:color w:val="auto"/>
              </w:rPr>
              <w:t>Other revenues</w:t>
            </w:r>
          </w:p>
        </w:tc>
        <w:tc>
          <w:tcPr>
            <w:tcW w:w="360" w:type="dxa"/>
            <w:vAlign w:val="bottom"/>
            <w:tcBorders>
              <w:bottom w:val="single" w:sz="8" w:color="auto"/>
            </w:tcBorders>
            <w:shd w:val="clear" w:color="auto" w:fill="DDDDDD"/>
          </w:tcPr>
          <w:p>
            <w:pPr>
              <w:spacing w:after="0"/>
              <w:rPr>
                <w:sz w:val="22"/>
                <w:szCs w:val="22"/>
                <w:color w:val="auto"/>
              </w:rPr>
            </w:pPr>
          </w:p>
        </w:tc>
        <w:tc>
          <w:tcPr>
            <w:tcW w:w="1100" w:type="dxa"/>
            <w:vAlign w:val="bottom"/>
            <w:tcBorders>
              <w:bottom w:val="single" w:sz="8" w:color="auto"/>
            </w:tcBorders>
            <w:shd w:val="clear" w:color="auto" w:fill="DDDDDD"/>
          </w:tcPr>
          <w:p>
            <w:pPr>
              <w:jc w:val="right"/>
              <w:ind w:right="17"/>
              <w:spacing w:after="0"/>
              <w:rPr>
                <w:sz w:val="20"/>
                <w:szCs w:val="20"/>
                <w:color w:val="auto"/>
              </w:rPr>
            </w:pPr>
            <w:r>
              <w:rPr>
                <w:rFonts w:ascii="Arial" w:cs="Arial" w:eastAsia="Arial" w:hAnsi="Arial"/>
                <w:sz w:val="17"/>
                <w:szCs w:val="17"/>
                <w:color w:val="2573BA"/>
              </w:rPr>
              <w:t>360.0</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316.4</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236.1</w:t>
            </w:r>
          </w:p>
        </w:tc>
        <w:tc>
          <w:tcPr>
            <w:tcW w:w="10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13.8</w:t>
            </w:r>
          </w:p>
        </w:tc>
        <w:tc>
          <w:tcPr>
            <w:tcW w:w="2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00" w:type="dxa"/>
            <w:vAlign w:val="bottom"/>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34.0 %</w:t>
            </w:r>
          </w:p>
        </w:tc>
        <w:tc>
          <w:tcPr>
            <w:tcW w:w="0" w:type="dxa"/>
            <w:vAlign w:val="bottom"/>
          </w:tcPr>
          <w:p>
            <w:pPr>
              <w:spacing w:after="0"/>
              <w:rPr>
                <w:sz w:val="1"/>
                <w:szCs w:val="1"/>
                <w:color w:val="auto"/>
              </w:rPr>
            </w:pPr>
          </w:p>
        </w:tc>
      </w:tr>
      <w:tr>
        <w:trPr>
          <w:trHeight w:val="236"/>
        </w:trPr>
        <w:tc>
          <w:tcPr>
            <w:tcW w:w="3860" w:type="dxa"/>
            <w:vAlign w:val="bottom"/>
          </w:tcPr>
          <w:p>
            <w:pPr>
              <w:ind w:left="360"/>
              <w:spacing w:after="0"/>
              <w:rPr>
                <w:sz w:val="20"/>
                <w:szCs w:val="20"/>
                <w:color w:val="auto"/>
              </w:rPr>
            </w:pPr>
            <w:r>
              <w:rPr>
                <w:rFonts w:ascii="Arial" w:cs="Arial" w:eastAsia="Arial" w:hAnsi="Arial"/>
                <w:sz w:val="17"/>
                <w:szCs w:val="17"/>
                <w:color w:val="auto"/>
              </w:rPr>
              <w:t>Total revenues</w:t>
            </w:r>
          </w:p>
        </w:tc>
        <w:tc>
          <w:tcPr>
            <w:tcW w:w="360" w:type="dxa"/>
            <w:vAlign w:val="bottom"/>
            <w:shd w:val="clear" w:color="auto" w:fill="DDDDDD"/>
          </w:tcPr>
          <w:p>
            <w:pPr>
              <w:jc w:val="right"/>
              <w:ind w:right="135"/>
              <w:spacing w:after="0"/>
              <w:rPr>
                <w:sz w:val="20"/>
                <w:szCs w:val="20"/>
                <w:color w:val="auto"/>
              </w:rPr>
            </w:pPr>
            <w:r>
              <w:rPr>
                <w:rFonts w:ascii="Arial" w:cs="Arial" w:eastAsia="Arial" w:hAnsi="Arial"/>
                <w:sz w:val="17"/>
                <w:szCs w:val="17"/>
                <w:color w:val="2573BA"/>
              </w:rPr>
              <w:t>$</w:t>
            </w:r>
          </w:p>
        </w:tc>
        <w:tc>
          <w:tcPr>
            <w:tcW w:w="11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12,273.9</w:t>
            </w:r>
          </w:p>
        </w:tc>
        <w:tc>
          <w:tcPr>
            <w:tcW w:w="320" w:type="dxa"/>
            <w:vAlign w:val="bottom"/>
            <w:gridSpan w:val="2"/>
          </w:tcPr>
          <w:p>
            <w:pPr>
              <w:jc w:val="right"/>
              <w:ind w:right="12"/>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39"/>
              <w:spacing w:after="0"/>
              <w:rPr>
                <w:sz w:val="20"/>
                <w:szCs w:val="20"/>
                <w:color w:val="auto"/>
              </w:rPr>
            </w:pPr>
            <w:r>
              <w:rPr>
                <w:rFonts w:ascii="Arial" w:cs="Arial" w:eastAsia="Arial" w:hAnsi="Arial"/>
                <w:sz w:val="17"/>
                <w:szCs w:val="17"/>
                <w:color w:val="auto"/>
              </w:rPr>
              <w:t>11,448.8</w:t>
            </w:r>
          </w:p>
        </w:tc>
        <w:tc>
          <w:tcPr>
            <w:tcW w:w="100" w:type="dxa"/>
            <w:vAlign w:val="bottom"/>
          </w:tcPr>
          <w:p>
            <w:pPr>
              <w:spacing w:after="0"/>
              <w:rPr>
                <w:sz w:val="20"/>
                <w:szCs w:val="20"/>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7"/>
              <w:spacing w:after="0"/>
              <w:rPr>
                <w:sz w:val="20"/>
                <w:szCs w:val="20"/>
                <w:color w:val="auto"/>
              </w:rPr>
            </w:pPr>
            <w:r>
              <w:rPr>
                <w:rFonts w:ascii="Arial" w:cs="Arial" w:eastAsia="Arial" w:hAnsi="Arial"/>
                <w:sz w:val="17"/>
                <w:szCs w:val="17"/>
                <w:color w:val="auto"/>
              </w:rPr>
              <w:t>10,763.8</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2573BA"/>
              </w:rPr>
              <w:t>7.2</w:t>
            </w:r>
          </w:p>
        </w:tc>
        <w:tc>
          <w:tcPr>
            <w:tcW w:w="2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80" w:type="dxa"/>
            <w:vAlign w:val="bottom"/>
            <w:gridSpan w:val="2"/>
          </w:tcPr>
          <w:p>
            <w:pPr>
              <w:jc w:val="right"/>
              <w:spacing w:after="0"/>
              <w:rPr>
                <w:sz w:val="20"/>
                <w:szCs w:val="20"/>
                <w:color w:val="auto"/>
              </w:rPr>
            </w:pPr>
            <w:r>
              <w:rPr>
                <w:rFonts w:ascii="Arial" w:cs="Arial" w:eastAsia="Arial" w:hAnsi="Arial"/>
                <w:sz w:val="17"/>
                <w:szCs w:val="17"/>
                <w:color w:val="auto"/>
              </w:rPr>
              <w:t>6.4 %</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-999490</wp:posOffset>
            </wp:positionV>
            <wp:extent cx="715645" cy="9842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645" cy="98425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Product Revenues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Product revenues are summarized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6"/>
              </w:rPr>
              <w:t>For the Years Ended</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100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8"/>
        </w:trPr>
        <w:tc>
          <w:tcPr>
            <w:tcW w:w="38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December 31,</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Borders>
              <w:bottom w:val="single" w:sz="8" w:color="DDDDDD"/>
            </w:tcBorders>
            <w:gridSpan w:val="2"/>
            <w:vMerge w:val="restart"/>
            <w:shd w:val="clear" w:color="auto" w:fill="DDDDDD"/>
          </w:tcPr>
          <w:p>
            <w:pPr>
              <w:jc w:val="right"/>
              <w:ind w:right="15"/>
              <w:spacing w:after="0"/>
              <w:rPr>
                <w:sz w:val="20"/>
                <w:szCs w:val="20"/>
                <w:color w:val="auto"/>
              </w:rPr>
            </w:pPr>
            <w:r>
              <w:rPr>
                <w:rFonts w:ascii="Arial" w:cs="Arial" w:eastAsia="Arial" w:hAnsi="Arial"/>
                <w:sz w:val="14"/>
                <w:szCs w:val="14"/>
                <w:b w:val="1"/>
                <w:bCs w:val="1"/>
                <w:color w:val="2573BA"/>
              </w:rPr>
              <w:t>2017 compared to</w:t>
            </w:r>
          </w:p>
        </w:tc>
        <w:tc>
          <w:tcPr>
            <w:tcW w:w="100" w:type="dxa"/>
            <w:vAlign w:val="bottom"/>
          </w:tcPr>
          <w:p>
            <w:pPr>
              <w:spacing w:after="0"/>
              <w:rPr>
                <w:sz w:val="15"/>
                <w:szCs w:val="15"/>
                <w:color w:val="auto"/>
              </w:rPr>
            </w:pPr>
          </w:p>
        </w:tc>
        <w:tc>
          <w:tcPr>
            <w:tcW w:w="1360" w:type="dxa"/>
            <w:vAlign w:val="bottom"/>
            <w:vMerge w:val="restart"/>
          </w:tcPr>
          <w:p>
            <w:pPr>
              <w:jc w:val="right"/>
              <w:ind w:right="23"/>
              <w:spacing w:after="0"/>
              <w:rPr>
                <w:sz w:val="20"/>
                <w:szCs w:val="20"/>
                <w:color w:val="auto"/>
              </w:rPr>
            </w:pPr>
            <w:r>
              <w:rPr>
                <w:rFonts w:ascii="Arial" w:cs="Arial" w:eastAsia="Arial" w:hAnsi="Arial"/>
                <w:sz w:val="14"/>
                <w:szCs w:val="14"/>
                <w:b w:val="1"/>
                <w:bCs w:val="1"/>
                <w:color w:val="auto"/>
              </w:rPr>
              <w:t>2016 compared to</w:t>
            </w:r>
          </w:p>
        </w:tc>
        <w:tc>
          <w:tcPr>
            <w:tcW w:w="0" w:type="dxa"/>
            <w:vAlign w:val="bottom"/>
          </w:tcPr>
          <w:p>
            <w:pPr>
              <w:spacing w:after="0"/>
              <w:rPr>
                <w:sz w:val="1"/>
                <w:szCs w:val="1"/>
                <w:color w:val="auto"/>
              </w:rPr>
            </w:pPr>
          </w:p>
        </w:tc>
      </w:tr>
      <w:tr>
        <w:trPr>
          <w:trHeight w:val="65"/>
        </w:trPr>
        <w:tc>
          <w:tcPr>
            <w:tcW w:w="3860" w:type="dxa"/>
            <w:vAlign w:val="bottom"/>
          </w:tcPr>
          <w:p>
            <w:pPr>
              <w:spacing w:after="0"/>
              <w:rPr>
                <w:sz w:val="5"/>
                <w:szCs w:val="5"/>
                <w:color w:val="auto"/>
              </w:rPr>
            </w:pPr>
          </w:p>
        </w:tc>
        <w:tc>
          <w:tcPr>
            <w:tcW w:w="360" w:type="dxa"/>
            <w:vAlign w:val="bottom"/>
            <w:shd w:val="clear" w:color="auto" w:fill="DDDDDD"/>
          </w:tcPr>
          <w:p>
            <w:pPr>
              <w:spacing w:after="0"/>
              <w:rPr>
                <w:sz w:val="5"/>
                <w:szCs w:val="5"/>
                <w:color w:val="auto"/>
              </w:rPr>
            </w:pPr>
          </w:p>
        </w:tc>
        <w:tc>
          <w:tcPr>
            <w:tcW w:w="1100" w:type="dxa"/>
            <w:vAlign w:val="bottom"/>
            <w:shd w:val="clear" w:color="auto" w:fill="DDDDDD"/>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gridSpan w:val="2"/>
            <w:vMerge w:val="continue"/>
            <w:shd w:val="clear" w:color="auto" w:fill="DDDDDD"/>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3860" w:type="dxa"/>
            <w:vAlign w:val="bottom"/>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360" w:type="dxa"/>
            <w:vAlign w:val="bottom"/>
            <w:shd w:val="clear" w:color="auto" w:fill="DDDDDD"/>
          </w:tcPr>
          <w:p>
            <w:pPr>
              <w:spacing w:after="0"/>
              <w:rPr>
                <w:sz w:val="16"/>
                <w:szCs w:val="16"/>
                <w:color w:val="auto"/>
              </w:rPr>
            </w:pPr>
          </w:p>
        </w:tc>
        <w:tc>
          <w:tcPr>
            <w:tcW w:w="1100" w:type="dxa"/>
            <w:vAlign w:val="bottom"/>
            <w:shd w:val="clear" w:color="auto" w:fill="DDDDDD"/>
          </w:tcPr>
          <w:p>
            <w:pPr>
              <w:jc w:val="right"/>
              <w:ind w:right="476"/>
              <w:spacing w:after="0"/>
              <w:rPr>
                <w:sz w:val="20"/>
                <w:szCs w:val="20"/>
                <w:color w:val="auto"/>
              </w:rPr>
            </w:pPr>
            <w:r>
              <w:rPr>
                <w:rFonts w:ascii="Arial" w:cs="Arial" w:eastAsia="Arial" w:hAnsi="Arial"/>
                <w:sz w:val="14"/>
                <w:szCs w:val="14"/>
                <w:b w:val="1"/>
                <w:bCs w:val="1"/>
                <w:color w:val="2573BA"/>
              </w:rPr>
              <w:t>2017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center"/>
              <w:ind w:right="117"/>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120" w:type="dxa"/>
            <w:vAlign w:val="bottom"/>
            <w:shd w:val="clear" w:color="auto" w:fill="DDDDDD"/>
          </w:tcPr>
          <w:p>
            <w:pPr>
              <w:jc w:val="right"/>
              <w:ind w:right="218"/>
              <w:spacing w:after="0"/>
              <w:rPr>
                <w:sz w:val="20"/>
                <w:szCs w:val="20"/>
                <w:color w:val="auto"/>
              </w:rPr>
            </w:pPr>
            <w:r>
              <w:rPr>
                <w:rFonts w:ascii="Arial" w:cs="Arial" w:eastAsia="Arial" w:hAnsi="Arial"/>
                <w:sz w:val="14"/>
                <w:szCs w:val="14"/>
                <w:b w:val="1"/>
                <w:bCs w:val="1"/>
                <w:color w:val="2573BA"/>
              </w:rPr>
              <w:t>2016</w:t>
            </w:r>
          </w:p>
        </w:tc>
        <w:tc>
          <w:tcPr>
            <w:tcW w:w="240" w:type="dxa"/>
            <w:vAlign w:val="bottom"/>
            <w:shd w:val="clear" w:color="auto" w:fill="DDDDDD"/>
          </w:tcPr>
          <w:p>
            <w:pPr>
              <w:spacing w:after="0"/>
              <w:rPr>
                <w:sz w:val="16"/>
                <w:szCs w:val="16"/>
                <w:color w:val="auto"/>
              </w:rPr>
            </w:pPr>
          </w:p>
        </w:tc>
        <w:tc>
          <w:tcPr>
            <w:tcW w:w="1460" w:type="dxa"/>
            <w:vAlign w:val="bottom"/>
            <w:gridSpan w:val="2"/>
          </w:tcPr>
          <w:p>
            <w:pPr>
              <w:jc w:val="right"/>
              <w:ind w:right="46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28"/>
        </w:trPr>
        <w:tc>
          <w:tcPr>
            <w:tcW w:w="38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Multiple Sclerosis:</w:t>
            </w:r>
          </w:p>
        </w:tc>
        <w:tc>
          <w:tcPr>
            <w:tcW w:w="360" w:type="dxa"/>
            <w:vAlign w:val="bottom"/>
            <w:tcBorders>
              <w:top w:val="single" w:sz="8" w:color="auto"/>
            </w:tcBorders>
            <w:shd w:val="clear" w:color="auto" w:fill="DDDDDD"/>
          </w:tcPr>
          <w:p>
            <w:pPr>
              <w:spacing w:after="0"/>
              <w:rPr>
                <w:sz w:val="19"/>
                <w:szCs w:val="19"/>
                <w:color w:val="auto"/>
              </w:rPr>
            </w:pPr>
          </w:p>
        </w:tc>
        <w:tc>
          <w:tcPr>
            <w:tcW w:w="1100" w:type="dxa"/>
            <w:vAlign w:val="bottom"/>
            <w:tcBorders>
              <w:top w:val="single" w:sz="8" w:color="auto"/>
            </w:tcBorders>
            <w:shd w:val="clear" w:color="auto" w:fill="DDDDDD"/>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top w:val="single" w:sz="8" w:color="auto"/>
            </w:tcBorders>
            <w:shd w:val="clear" w:color="auto" w:fill="DDDDDD"/>
          </w:tcPr>
          <w:p>
            <w:pPr>
              <w:spacing w:after="0"/>
              <w:rPr>
                <w:sz w:val="19"/>
                <w:szCs w:val="19"/>
                <w:color w:val="auto"/>
              </w:rPr>
            </w:pPr>
          </w:p>
        </w:tc>
        <w:tc>
          <w:tcPr>
            <w:tcW w:w="240" w:type="dxa"/>
            <w:vAlign w:val="bottom"/>
            <w:tcBorders>
              <w:top w:val="single" w:sz="8" w:color="auto"/>
            </w:tcBorders>
            <w:shd w:val="clear" w:color="auto" w:fill="DDDDDD"/>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860" w:type="dxa"/>
            <w:vAlign w:val="bottom"/>
          </w:tcPr>
          <w:p>
            <w:pPr>
              <w:ind w:left="160"/>
              <w:spacing w:after="0"/>
              <w:rPr>
                <w:sz w:val="20"/>
                <w:szCs w:val="20"/>
                <w:color w:val="auto"/>
              </w:rPr>
            </w:pPr>
            <w:r>
              <w:rPr>
                <w:rFonts w:ascii="Arial" w:cs="Arial" w:eastAsia="Arial" w:hAnsi="Arial"/>
                <w:sz w:val="17"/>
                <w:szCs w:val="17"/>
                <w:color w:val="auto"/>
              </w:rPr>
              <w:t>TECFIDERA</w:t>
            </w:r>
          </w:p>
        </w:tc>
        <w:tc>
          <w:tcPr>
            <w:tcW w:w="360" w:type="dxa"/>
            <w:vAlign w:val="bottom"/>
            <w:shd w:val="clear" w:color="auto" w:fill="DDDDDD"/>
          </w:tcPr>
          <w:p>
            <w:pPr>
              <w:jc w:val="right"/>
              <w:ind w:right="135"/>
              <w:spacing w:after="0"/>
              <w:rPr>
                <w:sz w:val="20"/>
                <w:szCs w:val="20"/>
                <w:color w:val="auto"/>
              </w:rPr>
            </w:pPr>
            <w:r>
              <w:rPr>
                <w:rFonts w:ascii="Arial" w:cs="Arial" w:eastAsia="Arial" w:hAnsi="Arial"/>
                <w:sz w:val="17"/>
                <w:szCs w:val="17"/>
                <w:color w:val="2573BA"/>
              </w:rPr>
              <w:t>$</w:t>
            </w:r>
          </w:p>
        </w:tc>
        <w:tc>
          <w:tcPr>
            <w:tcW w:w="11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4,214.0</w:t>
            </w:r>
          </w:p>
        </w:tc>
        <w:tc>
          <w:tcPr>
            <w:tcW w:w="320" w:type="dxa"/>
            <w:vAlign w:val="bottom"/>
            <w:gridSpan w:val="2"/>
          </w:tcPr>
          <w:p>
            <w:pPr>
              <w:jc w:val="right"/>
              <w:ind w:right="12"/>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3,968.1</w:t>
            </w:r>
          </w:p>
        </w:tc>
        <w:tc>
          <w:tcPr>
            <w:tcW w:w="100" w:type="dxa"/>
            <w:vAlign w:val="bottom"/>
          </w:tcPr>
          <w:p>
            <w:pPr>
              <w:spacing w:after="0"/>
              <w:rPr>
                <w:sz w:val="24"/>
                <w:szCs w:val="24"/>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3,638.4</w:t>
            </w:r>
          </w:p>
        </w:tc>
        <w:tc>
          <w:tcPr>
            <w:tcW w:w="100" w:type="dxa"/>
            <w:vAlign w:val="bottom"/>
          </w:tcPr>
          <w:p>
            <w:pPr>
              <w:spacing w:after="0"/>
              <w:rPr>
                <w:sz w:val="24"/>
                <w:szCs w:val="24"/>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6.2</w:t>
            </w:r>
          </w:p>
        </w:tc>
        <w:tc>
          <w:tcPr>
            <w:tcW w:w="2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9.1 %</w:t>
            </w:r>
          </w:p>
        </w:tc>
        <w:tc>
          <w:tcPr>
            <w:tcW w:w="0" w:type="dxa"/>
            <w:vAlign w:val="bottom"/>
          </w:tcPr>
          <w:p>
            <w:pPr>
              <w:spacing w:after="0"/>
              <w:rPr>
                <w:sz w:val="1"/>
                <w:szCs w:val="1"/>
                <w:color w:val="auto"/>
              </w:rPr>
            </w:pPr>
          </w:p>
        </w:tc>
      </w:tr>
      <w:tr>
        <w:trPr>
          <w:trHeight w:val="242"/>
        </w:trPr>
        <w:tc>
          <w:tcPr>
            <w:tcW w:w="3860" w:type="dxa"/>
            <w:vAlign w:val="bottom"/>
          </w:tcPr>
          <w:p>
            <w:pPr>
              <w:ind w:left="160"/>
              <w:spacing w:after="0"/>
              <w:rPr>
                <w:sz w:val="20"/>
                <w:szCs w:val="20"/>
                <w:color w:val="auto"/>
              </w:rPr>
            </w:pPr>
            <w:r>
              <w:rPr>
                <w:rFonts w:ascii="Arial" w:cs="Arial" w:eastAsia="Arial" w:hAnsi="Arial"/>
                <w:sz w:val="17"/>
                <w:szCs w:val="17"/>
                <w:color w:val="auto"/>
              </w:rPr>
              <w:t>Interferon*</w:t>
            </w:r>
          </w:p>
        </w:tc>
        <w:tc>
          <w:tcPr>
            <w:tcW w:w="360" w:type="dxa"/>
            <w:vAlign w:val="bottom"/>
            <w:shd w:val="clear" w:color="auto" w:fill="DDDDDD"/>
          </w:tcPr>
          <w:p>
            <w:pPr>
              <w:spacing w:after="0"/>
              <w:rPr>
                <w:sz w:val="21"/>
                <w:szCs w:val="21"/>
                <w:color w:val="auto"/>
              </w:rPr>
            </w:pPr>
          </w:p>
        </w:tc>
        <w:tc>
          <w:tcPr>
            <w:tcW w:w="11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2,645.8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2,795.2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2,968.7</w:t>
            </w:r>
          </w:p>
        </w:tc>
        <w:tc>
          <w:tcPr>
            <w:tcW w:w="10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2573BA"/>
              </w:rPr>
              <w:t>(5.3)%</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56"/>
        </w:trPr>
        <w:tc>
          <w:tcPr>
            <w:tcW w:w="3860" w:type="dxa"/>
            <w:vAlign w:val="bottom"/>
          </w:tcPr>
          <w:p>
            <w:pPr>
              <w:ind w:left="160"/>
              <w:spacing w:after="0"/>
              <w:rPr>
                <w:sz w:val="20"/>
                <w:szCs w:val="20"/>
                <w:color w:val="auto"/>
              </w:rPr>
            </w:pPr>
            <w:r>
              <w:rPr>
                <w:rFonts w:ascii="Arial" w:cs="Arial" w:eastAsia="Arial" w:hAnsi="Arial"/>
                <w:sz w:val="17"/>
                <w:szCs w:val="17"/>
                <w:color w:val="auto"/>
              </w:rPr>
              <w:t>TYSABRI</w:t>
            </w:r>
          </w:p>
        </w:tc>
        <w:tc>
          <w:tcPr>
            <w:tcW w:w="360" w:type="dxa"/>
            <w:vAlign w:val="bottom"/>
            <w:shd w:val="clear" w:color="auto" w:fill="DDDDDD"/>
          </w:tcPr>
          <w:p>
            <w:pPr>
              <w:spacing w:after="0"/>
              <w:rPr>
                <w:sz w:val="22"/>
                <w:szCs w:val="22"/>
                <w:color w:val="auto"/>
              </w:rPr>
            </w:pPr>
          </w:p>
        </w:tc>
        <w:tc>
          <w:tcPr>
            <w:tcW w:w="11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1,973.1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1,963.8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1,886.1</w:t>
            </w:r>
          </w:p>
        </w:tc>
        <w:tc>
          <w:tcPr>
            <w:tcW w:w="100" w:type="dxa"/>
            <w:vAlign w:val="bottom"/>
          </w:tcPr>
          <w:p>
            <w:pPr>
              <w:spacing w:after="0"/>
              <w:rPr>
                <w:sz w:val="22"/>
                <w:szCs w:val="22"/>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2573BA"/>
              </w:rPr>
              <w:t>0.5 %</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4.1 %</w:t>
            </w:r>
          </w:p>
        </w:tc>
        <w:tc>
          <w:tcPr>
            <w:tcW w:w="0" w:type="dxa"/>
            <w:vAlign w:val="bottom"/>
          </w:tcPr>
          <w:p>
            <w:pPr>
              <w:spacing w:after="0"/>
              <w:rPr>
                <w:sz w:val="1"/>
                <w:szCs w:val="1"/>
                <w:color w:val="auto"/>
              </w:rPr>
            </w:pPr>
          </w:p>
        </w:tc>
      </w:tr>
      <w:tr>
        <w:trPr>
          <w:trHeight w:val="256"/>
        </w:trPr>
        <w:tc>
          <w:tcPr>
            <w:tcW w:w="3860" w:type="dxa"/>
            <w:vAlign w:val="bottom"/>
          </w:tcPr>
          <w:p>
            <w:pPr>
              <w:ind w:left="160"/>
              <w:spacing w:after="0"/>
              <w:rPr>
                <w:sz w:val="20"/>
                <w:szCs w:val="20"/>
                <w:color w:val="auto"/>
              </w:rPr>
            </w:pPr>
            <w:r>
              <w:rPr>
                <w:rFonts w:ascii="Arial" w:cs="Arial" w:eastAsia="Arial" w:hAnsi="Arial"/>
                <w:sz w:val="17"/>
                <w:szCs w:val="17"/>
                <w:color w:val="auto"/>
              </w:rPr>
              <w:t>FAMPYRA</w:t>
            </w:r>
          </w:p>
        </w:tc>
        <w:tc>
          <w:tcPr>
            <w:tcW w:w="360" w:type="dxa"/>
            <w:vAlign w:val="bottom"/>
            <w:shd w:val="clear" w:color="auto" w:fill="DDDDDD"/>
          </w:tcPr>
          <w:p>
            <w:pPr>
              <w:spacing w:after="0"/>
              <w:rPr>
                <w:sz w:val="22"/>
                <w:szCs w:val="22"/>
                <w:color w:val="auto"/>
              </w:rPr>
            </w:pPr>
          </w:p>
        </w:tc>
        <w:tc>
          <w:tcPr>
            <w:tcW w:w="11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91.6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84.9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89.7</w:t>
            </w:r>
          </w:p>
        </w:tc>
        <w:tc>
          <w:tcPr>
            <w:tcW w:w="100" w:type="dxa"/>
            <w:vAlign w:val="bottom"/>
          </w:tcPr>
          <w:p>
            <w:pPr>
              <w:spacing w:after="0"/>
              <w:rPr>
                <w:sz w:val="22"/>
                <w:szCs w:val="22"/>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2573BA"/>
              </w:rPr>
              <w:t>7.9 %</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56"/>
        </w:trPr>
        <w:tc>
          <w:tcPr>
            <w:tcW w:w="3860" w:type="dxa"/>
            <w:vAlign w:val="bottom"/>
          </w:tcPr>
          <w:p>
            <w:pPr>
              <w:ind w:left="160"/>
              <w:spacing w:after="0"/>
              <w:rPr>
                <w:sz w:val="20"/>
                <w:szCs w:val="20"/>
                <w:color w:val="auto"/>
              </w:rPr>
            </w:pPr>
            <w:r>
              <w:rPr>
                <w:rFonts w:ascii="Arial" w:cs="Arial" w:eastAsia="Arial" w:hAnsi="Arial"/>
                <w:sz w:val="17"/>
                <w:szCs w:val="17"/>
                <w:color w:val="auto"/>
              </w:rPr>
              <w:t>ZINBRYTA</w:t>
            </w:r>
          </w:p>
        </w:tc>
        <w:tc>
          <w:tcPr>
            <w:tcW w:w="360" w:type="dxa"/>
            <w:vAlign w:val="bottom"/>
            <w:shd w:val="clear" w:color="auto" w:fill="DDDDDD"/>
          </w:tcPr>
          <w:p>
            <w:pPr>
              <w:spacing w:after="0"/>
              <w:rPr>
                <w:sz w:val="22"/>
                <w:szCs w:val="22"/>
                <w:color w:val="auto"/>
              </w:rPr>
            </w:pPr>
          </w:p>
        </w:tc>
        <w:tc>
          <w:tcPr>
            <w:tcW w:w="11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52.7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7.8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155"/>
              <w:spacing w:after="0"/>
              <w:rPr>
                <w:sz w:val="20"/>
                <w:szCs w:val="20"/>
                <w:color w:val="auto"/>
              </w:rPr>
            </w:pPr>
            <w:r>
              <w:rPr>
                <w:rFonts w:ascii="Arial" w:cs="Arial" w:eastAsia="Arial" w:hAnsi="Arial"/>
                <w:sz w:val="17"/>
                <w:szCs w:val="17"/>
                <w:color w:val="2573BA"/>
              </w:rPr>
              <w:t>**</w:t>
            </w:r>
          </w:p>
        </w:tc>
        <w:tc>
          <w:tcPr>
            <w:tcW w:w="1460" w:type="dxa"/>
            <w:vAlign w:val="bottom"/>
            <w:gridSpan w:val="2"/>
          </w:tcPr>
          <w:p>
            <w:pPr>
              <w:jc w:val="right"/>
              <w:ind w:right="16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7"/>
                <w:szCs w:val="17"/>
                <w:color w:val="auto"/>
              </w:rPr>
              <w:t>Spinal Muscular Atrophy:</w:t>
            </w:r>
          </w:p>
        </w:tc>
        <w:tc>
          <w:tcPr>
            <w:tcW w:w="360" w:type="dxa"/>
            <w:vAlign w:val="bottom"/>
            <w:shd w:val="clear" w:color="auto" w:fill="DDDDDD"/>
          </w:tcPr>
          <w:p>
            <w:pPr>
              <w:spacing w:after="0"/>
              <w:rPr>
                <w:sz w:val="21"/>
                <w:szCs w:val="21"/>
                <w:color w:val="auto"/>
              </w:rPr>
            </w:pPr>
          </w:p>
        </w:tc>
        <w:tc>
          <w:tcPr>
            <w:tcW w:w="1100" w:type="dxa"/>
            <w:vAlign w:val="bottom"/>
            <w:shd w:val="clear" w:color="auto" w:fill="DDDDDD"/>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shd w:val="clear" w:color="auto" w:fill="DDDDDD"/>
          </w:tcPr>
          <w:p>
            <w:pPr>
              <w:spacing w:after="0"/>
              <w:rPr>
                <w:sz w:val="21"/>
                <w:szCs w:val="21"/>
                <w:color w:val="auto"/>
              </w:rPr>
            </w:pPr>
          </w:p>
        </w:tc>
        <w:tc>
          <w:tcPr>
            <w:tcW w:w="240" w:type="dxa"/>
            <w:vAlign w:val="bottom"/>
            <w:shd w:val="clear" w:color="auto" w:fill="DDDDDD"/>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860" w:type="dxa"/>
            <w:vAlign w:val="bottom"/>
          </w:tcPr>
          <w:p>
            <w:pPr>
              <w:ind w:left="160"/>
              <w:spacing w:after="0"/>
              <w:rPr>
                <w:sz w:val="20"/>
                <w:szCs w:val="20"/>
                <w:color w:val="auto"/>
              </w:rPr>
            </w:pPr>
            <w:r>
              <w:rPr>
                <w:rFonts w:ascii="Arial" w:cs="Arial" w:eastAsia="Arial" w:hAnsi="Arial"/>
                <w:sz w:val="17"/>
                <w:szCs w:val="17"/>
                <w:color w:val="auto"/>
              </w:rPr>
              <w:t>SPINRAZA</w:t>
            </w:r>
          </w:p>
        </w:tc>
        <w:tc>
          <w:tcPr>
            <w:tcW w:w="360" w:type="dxa"/>
            <w:vAlign w:val="bottom"/>
            <w:shd w:val="clear" w:color="auto" w:fill="DDDDDD"/>
          </w:tcPr>
          <w:p>
            <w:pPr>
              <w:spacing w:after="0"/>
              <w:rPr>
                <w:sz w:val="23"/>
                <w:szCs w:val="23"/>
                <w:color w:val="auto"/>
              </w:rPr>
            </w:pPr>
          </w:p>
        </w:tc>
        <w:tc>
          <w:tcPr>
            <w:tcW w:w="11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883.7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DDDDDD"/>
          </w:tcPr>
          <w:p>
            <w:pPr>
              <w:jc w:val="right"/>
              <w:ind w:right="155"/>
              <w:spacing w:after="0"/>
              <w:rPr>
                <w:sz w:val="20"/>
                <w:szCs w:val="20"/>
                <w:color w:val="auto"/>
              </w:rPr>
            </w:pPr>
            <w:r>
              <w:rPr>
                <w:rFonts w:ascii="Arial" w:cs="Arial" w:eastAsia="Arial" w:hAnsi="Arial"/>
                <w:sz w:val="17"/>
                <w:szCs w:val="17"/>
                <w:color w:val="2573BA"/>
              </w:rPr>
              <w:t>**</w:t>
            </w:r>
          </w:p>
        </w:tc>
        <w:tc>
          <w:tcPr>
            <w:tcW w:w="1460" w:type="dxa"/>
            <w:vAlign w:val="bottom"/>
            <w:gridSpan w:val="2"/>
          </w:tcPr>
          <w:p>
            <w:pPr>
              <w:jc w:val="right"/>
              <w:ind w:right="16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7"/>
                <w:szCs w:val="17"/>
                <w:color w:val="auto"/>
              </w:rPr>
              <w:t>Hemophilia:</w:t>
            </w:r>
          </w:p>
        </w:tc>
        <w:tc>
          <w:tcPr>
            <w:tcW w:w="360" w:type="dxa"/>
            <w:vAlign w:val="bottom"/>
            <w:shd w:val="clear" w:color="auto" w:fill="DDDDDD"/>
          </w:tcPr>
          <w:p>
            <w:pPr>
              <w:spacing w:after="0"/>
              <w:rPr>
                <w:sz w:val="21"/>
                <w:szCs w:val="21"/>
                <w:color w:val="auto"/>
              </w:rPr>
            </w:pPr>
          </w:p>
        </w:tc>
        <w:tc>
          <w:tcPr>
            <w:tcW w:w="1100" w:type="dxa"/>
            <w:vAlign w:val="bottom"/>
            <w:shd w:val="clear" w:color="auto" w:fill="DDDDDD"/>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shd w:val="clear" w:color="auto" w:fill="DDDDDD"/>
          </w:tcPr>
          <w:p>
            <w:pPr>
              <w:spacing w:after="0"/>
              <w:rPr>
                <w:sz w:val="21"/>
                <w:szCs w:val="21"/>
                <w:color w:val="auto"/>
              </w:rPr>
            </w:pPr>
          </w:p>
        </w:tc>
        <w:tc>
          <w:tcPr>
            <w:tcW w:w="240" w:type="dxa"/>
            <w:vAlign w:val="bottom"/>
            <w:shd w:val="clear" w:color="auto" w:fill="DDDDDD"/>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3860" w:type="dxa"/>
            <w:vAlign w:val="bottom"/>
          </w:tcPr>
          <w:p>
            <w:pPr>
              <w:ind w:left="160"/>
              <w:spacing w:after="0"/>
              <w:rPr>
                <w:sz w:val="20"/>
                <w:szCs w:val="20"/>
                <w:color w:val="auto"/>
              </w:rPr>
            </w:pPr>
            <w:r>
              <w:rPr>
                <w:rFonts w:ascii="Arial" w:cs="Arial" w:eastAsia="Arial" w:hAnsi="Arial"/>
                <w:sz w:val="17"/>
                <w:szCs w:val="17"/>
                <w:color w:val="auto"/>
              </w:rPr>
              <w:t>ELOCTATE</w:t>
            </w:r>
          </w:p>
        </w:tc>
        <w:tc>
          <w:tcPr>
            <w:tcW w:w="360" w:type="dxa"/>
            <w:vAlign w:val="bottom"/>
            <w:shd w:val="clear" w:color="auto" w:fill="DDDDDD"/>
          </w:tcPr>
          <w:p>
            <w:pPr>
              <w:spacing w:after="0"/>
              <w:rPr>
                <w:sz w:val="24"/>
                <w:szCs w:val="24"/>
                <w:color w:val="auto"/>
              </w:rPr>
            </w:pPr>
          </w:p>
        </w:tc>
        <w:tc>
          <w:tcPr>
            <w:tcW w:w="11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48.4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513.2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319.7</w:t>
            </w:r>
          </w:p>
        </w:tc>
        <w:tc>
          <w:tcPr>
            <w:tcW w:w="100" w:type="dxa"/>
            <w:vAlign w:val="bottom"/>
          </w:tcPr>
          <w:p>
            <w:pPr>
              <w:spacing w:after="0"/>
              <w:rPr>
                <w:sz w:val="24"/>
                <w:szCs w:val="24"/>
                <w:color w:val="auto"/>
              </w:rPr>
            </w:pPr>
          </w:p>
        </w:tc>
        <w:tc>
          <w:tcPr>
            <w:tcW w:w="1360" w:type="dxa"/>
            <w:vAlign w:val="bottom"/>
            <w:gridSpan w:val="2"/>
            <w:shd w:val="clear" w:color="auto" w:fill="DDDDDD"/>
          </w:tcPr>
          <w:p>
            <w:pPr>
              <w:jc w:val="right"/>
              <w:spacing w:after="0"/>
              <w:rPr>
                <w:sz w:val="20"/>
                <w:szCs w:val="20"/>
                <w:color w:val="auto"/>
              </w:rPr>
            </w:pPr>
            <w:r>
              <w:rPr>
                <w:rFonts w:ascii="Arial" w:cs="Arial" w:eastAsia="Arial" w:hAnsi="Arial"/>
                <w:sz w:val="17"/>
                <w:szCs w:val="17"/>
                <w:color w:val="2573BA"/>
              </w:rPr>
              <w:t>(90.6)%</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60.5 %</w:t>
            </w:r>
          </w:p>
        </w:tc>
        <w:tc>
          <w:tcPr>
            <w:tcW w:w="0" w:type="dxa"/>
            <w:vAlign w:val="bottom"/>
          </w:tcPr>
          <w:p>
            <w:pPr>
              <w:spacing w:after="0"/>
              <w:rPr>
                <w:sz w:val="1"/>
                <w:szCs w:val="1"/>
                <w:color w:val="auto"/>
              </w:rPr>
            </w:pPr>
          </w:p>
        </w:tc>
      </w:tr>
      <w:tr>
        <w:trPr>
          <w:trHeight w:val="242"/>
        </w:trPr>
        <w:tc>
          <w:tcPr>
            <w:tcW w:w="3860" w:type="dxa"/>
            <w:vAlign w:val="bottom"/>
          </w:tcPr>
          <w:p>
            <w:pPr>
              <w:ind w:left="160"/>
              <w:spacing w:after="0"/>
              <w:rPr>
                <w:sz w:val="20"/>
                <w:szCs w:val="20"/>
                <w:color w:val="auto"/>
              </w:rPr>
            </w:pPr>
            <w:r>
              <w:rPr>
                <w:rFonts w:ascii="Arial" w:cs="Arial" w:eastAsia="Arial" w:hAnsi="Arial"/>
                <w:sz w:val="17"/>
                <w:szCs w:val="17"/>
                <w:color w:val="auto"/>
              </w:rPr>
              <w:t>ALPROLIX</w:t>
            </w:r>
          </w:p>
        </w:tc>
        <w:tc>
          <w:tcPr>
            <w:tcW w:w="360" w:type="dxa"/>
            <w:vAlign w:val="bottom"/>
            <w:shd w:val="clear" w:color="auto" w:fill="DDDDDD"/>
          </w:tcPr>
          <w:p>
            <w:pPr>
              <w:spacing w:after="0"/>
              <w:rPr>
                <w:sz w:val="21"/>
                <w:szCs w:val="21"/>
                <w:color w:val="auto"/>
              </w:rPr>
            </w:pPr>
          </w:p>
        </w:tc>
        <w:tc>
          <w:tcPr>
            <w:tcW w:w="11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26.0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333.7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234.5</w:t>
            </w:r>
          </w:p>
        </w:tc>
        <w:tc>
          <w:tcPr>
            <w:tcW w:w="10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2573BA"/>
              </w:rPr>
              <w:t>(92.2)%</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42.3 %</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7"/>
                <w:szCs w:val="17"/>
                <w:color w:val="auto"/>
              </w:rPr>
              <w:t>Other product revenues:</w:t>
            </w:r>
          </w:p>
        </w:tc>
        <w:tc>
          <w:tcPr>
            <w:tcW w:w="360" w:type="dxa"/>
            <w:vAlign w:val="bottom"/>
            <w:shd w:val="clear" w:color="auto" w:fill="DDDDDD"/>
          </w:tcPr>
          <w:p>
            <w:pPr>
              <w:spacing w:after="0"/>
              <w:rPr>
                <w:sz w:val="21"/>
                <w:szCs w:val="21"/>
                <w:color w:val="auto"/>
              </w:rPr>
            </w:pPr>
          </w:p>
        </w:tc>
        <w:tc>
          <w:tcPr>
            <w:tcW w:w="1100" w:type="dxa"/>
            <w:vAlign w:val="bottom"/>
            <w:shd w:val="clear" w:color="auto" w:fill="DDDDDD"/>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shd w:val="clear" w:color="auto" w:fill="DDDDDD"/>
          </w:tcPr>
          <w:p>
            <w:pPr>
              <w:spacing w:after="0"/>
              <w:rPr>
                <w:sz w:val="21"/>
                <w:szCs w:val="21"/>
                <w:color w:val="auto"/>
              </w:rPr>
            </w:pPr>
          </w:p>
        </w:tc>
        <w:tc>
          <w:tcPr>
            <w:tcW w:w="240" w:type="dxa"/>
            <w:vAlign w:val="bottom"/>
            <w:shd w:val="clear" w:color="auto" w:fill="DDDDDD"/>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3860" w:type="dxa"/>
            <w:vAlign w:val="bottom"/>
          </w:tcPr>
          <w:p>
            <w:pPr>
              <w:ind w:left="160"/>
              <w:spacing w:after="0"/>
              <w:rPr>
                <w:sz w:val="20"/>
                <w:szCs w:val="20"/>
                <w:color w:val="auto"/>
              </w:rPr>
            </w:pPr>
            <w:r>
              <w:rPr>
                <w:rFonts w:ascii="Arial" w:cs="Arial" w:eastAsia="Arial" w:hAnsi="Arial"/>
                <w:sz w:val="17"/>
                <w:szCs w:val="17"/>
                <w:color w:val="auto"/>
              </w:rPr>
              <w:t>FUMADERM</w:t>
            </w:r>
          </w:p>
        </w:tc>
        <w:tc>
          <w:tcPr>
            <w:tcW w:w="360" w:type="dxa"/>
            <w:vAlign w:val="bottom"/>
            <w:shd w:val="clear" w:color="auto" w:fill="DDDDDD"/>
          </w:tcPr>
          <w:p>
            <w:pPr>
              <w:spacing w:after="0"/>
              <w:rPr>
                <w:sz w:val="24"/>
                <w:szCs w:val="24"/>
                <w:color w:val="auto"/>
              </w:rPr>
            </w:pPr>
          </w:p>
        </w:tc>
        <w:tc>
          <w:tcPr>
            <w:tcW w:w="11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39.6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45.9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51.4</w:t>
            </w:r>
          </w:p>
        </w:tc>
        <w:tc>
          <w:tcPr>
            <w:tcW w:w="100" w:type="dxa"/>
            <w:vAlign w:val="bottom"/>
          </w:tcPr>
          <w:p>
            <w:pPr>
              <w:spacing w:after="0"/>
              <w:rPr>
                <w:sz w:val="24"/>
                <w:szCs w:val="24"/>
                <w:color w:val="auto"/>
              </w:rPr>
            </w:pPr>
          </w:p>
        </w:tc>
        <w:tc>
          <w:tcPr>
            <w:tcW w:w="1360" w:type="dxa"/>
            <w:vAlign w:val="bottom"/>
            <w:gridSpan w:val="2"/>
            <w:shd w:val="clear" w:color="auto" w:fill="DDDDDD"/>
          </w:tcPr>
          <w:p>
            <w:pPr>
              <w:jc w:val="right"/>
              <w:spacing w:after="0"/>
              <w:rPr>
                <w:sz w:val="20"/>
                <w:szCs w:val="20"/>
                <w:color w:val="auto"/>
              </w:rPr>
            </w:pPr>
            <w:r>
              <w:rPr>
                <w:rFonts w:ascii="Arial" w:cs="Arial" w:eastAsia="Arial" w:hAnsi="Arial"/>
                <w:sz w:val="17"/>
                <w:szCs w:val="17"/>
                <w:color w:val="2573BA"/>
              </w:rPr>
              <w:t>(13.7)%</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242"/>
        </w:trPr>
        <w:tc>
          <w:tcPr>
            <w:tcW w:w="3860" w:type="dxa"/>
            <w:vAlign w:val="bottom"/>
          </w:tcPr>
          <w:p>
            <w:pPr>
              <w:ind w:left="160"/>
              <w:spacing w:after="0"/>
              <w:rPr>
                <w:sz w:val="20"/>
                <w:szCs w:val="20"/>
                <w:color w:val="auto"/>
              </w:rPr>
            </w:pPr>
            <w:r>
              <w:rPr>
                <w:rFonts w:ascii="Arial" w:cs="Arial" w:eastAsia="Arial" w:hAnsi="Arial"/>
                <w:sz w:val="17"/>
                <w:szCs w:val="17"/>
                <w:color w:val="auto"/>
              </w:rPr>
              <w:t>BENEPALI</w:t>
            </w:r>
          </w:p>
        </w:tc>
        <w:tc>
          <w:tcPr>
            <w:tcW w:w="360" w:type="dxa"/>
            <w:vAlign w:val="bottom"/>
            <w:shd w:val="clear" w:color="auto" w:fill="DDDDDD"/>
          </w:tcPr>
          <w:p>
            <w:pPr>
              <w:spacing w:after="0"/>
              <w:rPr>
                <w:sz w:val="21"/>
                <w:szCs w:val="21"/>
                <w:color w:val="auto"/>
              </w:rPr>
            </w:pPr>
          </w:p>
        </w:tc>
        <w:tc>
          <w:tcPr>
            <w:tcW w:w="11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370.8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100.6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2573BA"/>
              </w:rPr>
              <w:t>**</w:t>
            </w:r>
          </w:p>
        </w:tc>
        <w:tc>
          <w:tcPr>
            <w:tcW w:w="240" w:type="dxa"/>
            <w:vAlign w:val="bottom"/>
            <w:shd w:val="clear" w:color="auto" w:fill="DDDDDD"/>
          </w:tcPr>
          <w:p>
            <w:pPr>
              <w:spacing w:after="0"/>
              <w:rPr>
                <w:sz w:val="21"/>
                <w:szCs w:val="21"/>
                <w:color w:val="auto"/>
              </w:rPr>
            </w:pPr>
          </w:p>
        </w:tc>
        <w:tc>
          <w:tcPr>
            <w:tcW w:w="1460" w:type="dxa"/>
            <w:vAlign w:val="bottom"/>
            <w:gridSpan w:val="2"/>
          </w:tcPr>
          <w:p>
            <w:pPr>
              <w:jc w:val="right"/>
              <w:ind w:right="16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3"/>
        </w:trPr>
        <w:tc>
          <w:tcPr>
            <w:tcW w:w="3860" w:type="dxa"/>
            <w:vAlign w:val="bottom"/>
          </w:tcPr>
          <w:p>
            <w:pPr>
              <w:ind w:left="160"/>
              <w:spacing w:after="0"/>
              <w:rPr>
                <w:sz w:val="20"/>
                <w:szCs w:val="20"/>
                <w:color w:val="auto"/>
              </w:rPr>
            </w:pPr>
            <w:r>
              <w:rPr>
                <w:rFonts w:ascii="Arial" w:cs="Arial" w:eastAsia="Arial" w:hAnsi="Arial"/>
                <w:sz w:val="17"/>
                <w:szCs w:val="17"/>
                <w:color w:val="auto"/>
              </w:rPr>
              <w:t>FLIXABI</w:t>
            </w:r>
          </w:p>
        </w:tc>
        <w:tc>
          <w:tcPr>
            <w:tcW w:w="360" w:type="dxa"/>
            <w:vAlign w:val="bottom"/>
            <w:tcBorders>
              <w:bottom w:val="single" w:sz="8" w:color="auto"/>
            </w:tcBorders>
            <w:shd w:val="clear" w:color="auto" w:fill="DDDDDD"/>
          </w:tcPr>
          <w:p>
            <w:pPr>
              <w:spacing w:after="0"/>
              <w:rPr>
                <w:sz w:val="22"/>
                <w:szCs w:val="22"/>
                <w:color w:val="auto"/>
              </w:rPr>
            </w:pPr>
          </w:p>
        </w:tc>
        <w:tc>
          <w:tcPr>
            <w:tcW w:w="1100" w:type="dxa"/>
            <w:vAlign w:val="bottom"/>
            <w:tcBorders>
              <w:bottom w:val="single" w:sz="8" w:color="auto"/>
            </w:tcBorders>
            <w:shd w:val="clear" w:color="auto" w:fill="DDDDDD"/>
          </w:tcPr>
          <w:p>
            <w:pPr>
              <w:jc w:val="right"/>
              <w:ind w:right="16"/>
              <w:spacing w:after="0"/>
              <w:rPr>
                <w:sz w:val="20"/>
                <w:szCs w:val="20"/>
                <w:color w:val="auto"/>
              </w:rPr>
            </w:pPr>
            <w:r>
              <w:rPr>
                <w:rFonts w:ascii="Arial" w:cs="Arial" w:eastAsia="Arial" w:hAnsi="Arial"/>
                <w:sz w:val="17"/>
                <w:szCs w:val="17"/>
                <w:color w:val="2573BA"/>
              </w:rPr>
              <w:t>9.0</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w:t>
            </w:r>
          </w:p>
        </w:tc>
        <w:tc>
          <w:tcPr>
            <w:tcW w:w="240" w:type="dxa"/>
            <w:vAlign w:val="bottom"/>
            <w:tcBorders>
              <w:bottom w:val="single" w:sz="8" w:color="auto"/>
            </w:tcBorders>
            <w:shd w:val="clear" w:color="auto" w:fill="DDDDDD"/>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Borders>
              <w:bottom w:val="single" w:sz="8" w:color="auto"/>
            </w:tcBorders>
          </w:tcPr>
          <w:p>
            <w:pPr>
              <w:jc w:val="right"/>
              <w:ind w:right="16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3860" w:type="dxa"/>
            <w:vAlign w:val="bottom"/>
          </w:tcPr>
          <w:p>
            <w:pPr>
              <w:ind w:left="260"/>
              <w:spacing w:after="0"/>
              <w:rPr>
                <w:sz w:val="20"/>
                <w:szCs w:val="20"/>
                <w:color w:val="auto"/>
              </w:rPr>
            </w:pPr>
            <w:r>
              <w:rPr>
                <w:rFonts w:ascii="Arial" w:cs="Arial" w:eastAsia="Arial" w:hAnsi="Arial"/>
                <w:sz w:val="17"/>
                <w:szCs w:val="17"/>
                <w:color w:val="auto"/>
              </w:rPr>
              <w:t>Total product revenues</w:t>
            </w:r>
          </w:p>
        </w:tc>
        <w:tc>
          <w:tcPr>
            <w:tcW w:w="360" w:type="dxa"/>
            <w:vAlign w:val="bottom"/>
            <w:shd w:val="clear" w:color="auto" w:fill="DDDDDD"/>
          </w:tcPr>
          <w:p>
            <w:pPr>
              <w:jc w:val="right"/>
              <w:ind w:right="135"/>
              <w:spacing w:after="0"/>
              <w:rPr>
                <w:sz w:val="20"/>
                <w:szCs w:val="20"/>
                <w:color w:val="auto"/>
              </w:rPr>
            </w:pPr>
            <w:r>
              <w:rPr>
                <w:rFonts w:ascii="Arial" w:cs="Arial" w:eastAsia="Arial" w:hAnsi="Arial"/>
                <w:sz w:val="17"/>
                <w:szCs w:val="17"/>
                <w:color w:val="2573BA"/>
              </w:rPr>
              <w:t>$</w:t>
            </w:r>
          </w:p>
        </w:tc>
        <w:tc>
          <w:tcPr>
            <w:tcW w:w="11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10,354.7</w:t>
            </w:r>
          </w:p>
        </w:tc>
        <w:tc>
          <w:tcPr>
            <w:tcW w:w="320" w:type="dxa"/>
            <w:vAlign w:val="bottom"/>
            <w:gridSpan w:val="2"/>
          </w:tcPr>
          <w:p>
            <w:pPr>
              <w:jc w:val="right"/>
              <w:ind w:right="12"/>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9,817.9</w:t>
            </w:r>
          </w:p>
        </w:tc>
        <w:tc>
          <w:tcPr>
            <w:tcW w:w="100" w:type="dxa"/>
            <w:vAlign w:val="bottom"/>
          </w:tcPr>
          <w:p>
            <w:pPr>
              <w:spacing w:after="0"/>
              <w:rPr>
                <w:sz w:val="20"/>
                <w:szCs w:val="20"/>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9,188.5</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2573BA"/>
              </w:rPr>
              <w:t>5.5</w:t>
            </w:r>
          </w:p>
        </w:tc>
        <w:tc>
          <w:tcPr>
            <w:tcW w:w="2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6.8 %</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-2463165</wp:posOffset>
            </wp:positionV>
            <wp:extent cx="861695" cy="8134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61695" cy="813435"/>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-1162050</wp:posOffset>
            </wp:positionV>
            <wp:extent cx="707390" cy="3251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7390" cy="325120"/>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-674370</wp:posOffset>
            </wp:positionV>
            <wp:extent cx="707390" cy="6584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7390" cy="65849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4"/>
          <w:szCs w:val="14"/>
          <w:color w:val="auto"/>
        </w:rPr>
        <w:t>* Interferon includes AVONEX and PLEGRIDY.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Percentage not meaningful.</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400"/>
          </w:cols>
          <w:pgMar w:left="240" w:top="144" w:right="25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61"/>
        </w:trPr>
        <w:tc>
          <w:tcPr>
            <w:tcW w:w="412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4000" w:type="dxa"/>
            <w:vAlign w:val="bottom"/>
          </w:tcPr>
          <w:p>
            <w:pPr>
              <w:spacing w:after="0"/>
              <w:rPr>
                <w:sz w:val="14"/>
                <w:szCs w:val="14"/>
                <w:color w:val="auto"/>
              </w:rPr>
            </w:pPr>
          </w:p>
        </w:tc>
      </w:tr>
      <w:tr>
        <w:trPr>
          <w:trHeight w:val="20"/>
        </w:trPr>
        <w:tc>
          <w:tcPr>
            <w:tcW w:w="1060" w:type="dxa"/>
            <w:vAlign w:val="bottom"/>
            <w:shd w:val="clear" w:color="auto" w:fill="0000EE"/>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581"/>
        </w:trPr>
        <w:tc>
          <w:tcPr>
            <w:tcW w:w="4120" w:type="dxa"/>
            <w:vAlign w:val="bottom"/>
            <w:gridSpan w:val="2"/>
          </w:tcPr>
          <w:p>
            <w:pPr>
              <w:ind w:left="200"/>
              <w:spacing w:after="0"/>
              <w:rPr>
                <w:sz w:val="20"/>
                <w:szCs w:val="20"/>
                <w:color w:val="auto"/>
              </w:rPr>
            </w:pPr>
            <w:r>
              <w:rPr>
                <w:rFonts w:ascii="Arial" w:cs="Arial" w:eastAsia="Arial" w:hAnsi="Arial"/>
                <w:sz w:val="17"/>
                <w:szCs w:val="17"/>
                <w:b w:val="1"/>
                <w:bCs w:val="1"/>
                <w:i w:val="1"/>
                <w:iCs w:val="1"/>
                <w:color w:val="2573BA"/>
              </w:rPr>
              <w:t>Multiple Sclerosis (MS)</w:t>
            </w:r>
          </w:p>
        </w:tc>
        <w:tc>
          <w:tcPr>
            <w:tcW w:w="4000" w:type="dxa"/>
            <w:vAlign w:val="bottom"/>
          </w:tcPr>
          <w:p>
            <w:pPr>
              <w:ind w:left="2060"/>
              <w:spacing w:after="0"/>
              <w:rPr>
                <w:sz w:val="20"/>
                <w:szCs w:val="20"/>
                <w:color w:val="auto"/>
              </w:rPr>
            </w:pPr>
            <w:r>
              <w:rPr>
                <w:rFonts w:ascii="Arial" w:cs="Arial" w:eastAsia="Arial" w:hAnsi="Arial"/>
                <w:sz w:val="17"/>
                <w:szCs w:val="17"/>
                <w:i w:val="1"/>
                <w:iCs w:val="1"/>
                <w:color w:val="538235"/>
              </w:rPr>
              <w:t>Interferon</w:t>
            </w:r>
          </w:p>
        </w:tc>
      </w:tr>
      <w:tr>
        <w:trPr>
          <w:trHeight w:val="359"/>
        </w:trPr>
        <w:tc>
          <w:tcPr>
            <w:tcW w:w="4120" w:type="dxa"/>
            <w:vAlign w:val="bottom"/>
            <w:gridSpan w:val="2"/>
          </w:tcPr>
          <w:p>
            <w:pPr>
              <w:ind w:left="240"/>
              <w:spacing w:after="0"/>
              <w:rPr>
                <w:sz w:val="20"/>
                <w:szCs w:val="20"/>
                <w:color w:val="auto"/>
              </w:rPr>
            </w:pPr>
            <w:r>
              <w:rPr>
                <w:rFonts w:ascii="Arial" w:cs="Arial" w:eastAsia="Arial" w:hAnsi="Arial"/>
                <w:sz w:val="17"/>
                <w:szCs w:val="17"/>
                <w:i w:val="1"/>
                <w:iCs w:val="1"/>
                <w:color w:val="538235"/>
              </w:rPr>
              <w:t>TECFIDERA</w:t>
            </w:r>
          </w:p>
        </w:tc>
        <w:tc>
          <w:tcPr>
            <w:tcW w:w="4000" w:type="dxa"/>
            <w:vAlign w:val="bottom"/>
          </w:tcPr>
          <w:p>
            <w:pPr>
              <w:ind w:left="2060"/>
              <w:spacing w:after="0"/>
              <w:rPr>
                <w:sz w:val="20"/>
                <w:szCs w:val="20"/>
                <w:color w:val="auto"/>
              </w:rPr>
            </w:pPr>
            <w:r>
              <w:rPr>
                <w:rFonts w:ascii="Arial" w:cs="Arial" w:eastAsia="Arial" w:hAnsi="Arial"/>
                <w:sz w:val="17"/>
                <w:szCs w:val="17"/>
                <w:i w:val="1"/>
                <w:iCs w:val="1"/>
                <w:color w:val="auto"/>
                <w:w w:val="98"/>
              </w:rPr>
              <w:t>AVONEX and PLEGRIDY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6351270" cy="24885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351270" cy="248856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100" w:firstLine="371"/>
        <w:spacing w:after="0" w:line="257" w:lineRule="auto"/>
        <w:rPr>
          <w:sz w:val="20"/>
          <w:szCs w:val="20"/>
          <w:color w:val="auto"/>
        </w:rPr>
      </w:pPr>
      <w:r>
        <w:rPr>
          <w:rFonts w:ascii="Arial" w:cs="Arial" w:eastAsia="Arial" w:hAnsi="Arial"/>
          <w:sz w:val="17"/>
          <w:szCs w:val="17"/>
          <w:color w:val="auto"/>
        </w:rPr>
        <w:t>For 2017 compared to 2016, the increase in U.S. TECFIDERA revenues was primarily due to price increases, partially offset by higher discounts and allowances and a decrease in unit sales volume of 3%.</w:t>
      </w:r>
    </w:p>
    <w:p>
      <w:pPr>
        <w:spacing w:after="0" w:line="140" w:lineRule="exact"/>
        <w:rPr>
          <w:sz w:val="20"/>
          <w:szCs w:val="20"/>
          <w:color w:val="auto"/>
        </w:rPr>
      </w:pPr>
    </w:p>
    <w:p>
      <w:pPr>
        <w:ind w:right="100" w:firstLine="371"/>
        <w:spacing w:after="0" w:line="257" w:lineRule="auto"/>
        <w:rPr>
          <w:sz w:val="20"/>
          <w:szCs w:val="20"/>
          <w:color w:val="auto"/>
        </w:rPr>
      </w:pPr>
      <w:r>
        <w:rPr>
          <w:rFonts w:ascii="Arial" w:cs="Arial" w:eastAsia="Arial" w:hAnsi="Arial"/>
          <w:sz w:val="17"/>
          <w:szCs w:val="17"/>
          <w:color w:val="auto"/>
        </w:rPr>
        <w:t>For 2016 compared to 2015, the increase in U.S. TECFIDERA revenues was primarily due to price increases, partially offset by higher discounts and allowances and a decrease in unit sales volume of 1%.</w:t>
      </w:r>
    </w:p>
    <w:p>
      <w:pPr>
        <w:spacing w:after="0" w:line="140" w:lineRule="exact"/>
        <w:rPr>
          <w:sz w:val="20"/>
          <w:szCs w:val="20"/>
          <w:color w:val="auto"/>
        </w:rPr>
      </w:pPr>
    </w:p>
    <w:p>
      <w:pPr>
        <w:ind w:right="40" w:firstLine="371"/>
        <w:spacing w:after="0" w:line="255" w:lineRule="auto"/>
        <w:rPr>
          <w:sz w:val="20"/>
          <w:szCs w:val="20"/>
          <w:color w:val="auto"/>
        </w:rPr>
      </w:pPr>
      <w:r>
        <w:rPr>
          <w:rFonts w:ascii="Arial" w:cs="Arial" w:eastAsia="Arial" w:hAnsi="Arial"/>
          <w:sz w:val="17"/>
          <w:szCs w:val="17"/>
          <w:color w:val="auto"/>
        </w:rPr>
        <w:t>For 2017 compared to 2016, the increase in rest of world TECFIDERA revenues was primarily due to increases in unit sales volume of 19% primarily in the E.U., partially offset by pricing reductions in certain European countries.</w:t>
      </w:r>
    </w:p>
    <w:p>
      <w:pPr>
        <w:spacing w:after="0" w:line="143" w:lineRule="exact"/>
        <w:rPr>
          <w:sz w:val="20"/>
          <w:szCs w:val="20"/>
          <w:color w:val="auto"/>
        </w:rPr>
      </w:pPr>
    </w:p>
    <w:p>
      <w:pPr>
        <w:ind w:firstLine="371"/>
        <w:spacing w:after="0" w:line="252" w:lineRule="auto"/>
        <w:rPr>
          <w:sz w:val="20"/>
          <w:szCs w:val="20"/>
          <w:color w:val="auto"/>
        </w:rPr>
      </w:pPr>
      <w:r>
        <w:rPr>
          <w:rFonts w:ascii="Arial" w:cs="Arial" w:eastAsia="Arial" w:hAnsi="Arial"/>
          <w:sz w:val="17"/>
          <w:szCs w:val="17"/>
          <w:color w:val="auto"/>
        </w:rPr>
        <w:t>For 2016 compared to 2015, the increase in rest of world TECFIDERA revenues was primarily due to increases in unit sales volume of 32% in existing markets and new markets where we continue to launch the product and expand our presence around the world. These increases were partially offset by pricing reductions in certain European countries. Rest of world TECFIDERA revenues for 2016, compared to 2015, were also negatively impacted by a $50.2 million decrease in hedge gains recognized under our foreign currency hedging program in the comparative period.</w:t>
      </w:r>
    </w:p>
    <w:p>
      <w:pPr>
        <w:spacing w:after="0" w:line="151" w:lineRule="exact"/>
        <w:rPr>
          <w:sz w:val="20"/>
          <w:szCs w:val="20"/>
          <w:color w:val="auto"/>
        </w:rPr>
      </w:pPr>
    </w:p>
    <w:p>
      <w:pPr>
        <w:ind w:firstLine="371"/>
        <w:spacing w:after="0" w:line="254" w:lineRule="auto"/>
        <w:rPr>
          <w:sz w:val="20"/>
          <w:szCs w:val="20"/>
          <w:color w:val="auto"/>
        </w:rPr>
      </w:pPr>
      <w:r>
        <w:rPr>
          <w:rFonts w:ascii="Arial" w:cs="Arial" w:eastAsia="Arial" w:hAnsi="Arial"/>
          <w:sz w:val="17"/>
          <w:szCs w:val="17"/>
          <w:color w:val="auto"/>
        </w:rPr>
        <w:t>We anticipate a modest increase in TECFIDERA demand on a global basis in 2018, compared to 2017, with expected volume growth in our international markets partially offset by declines in the U.S., due to increased competition from additional treatments for MS, including OCREVUS.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20" w:right="260" w:firstLine="410"/>
        <w:spacing w:after="0" w:line="255" w:lineRule="auto"/>
        <w:rPr>
          <w:sz w:val="20"/>
          <w:szCs w:val="20"/>
          <w:color w:val="auto"/>
        </w:rPr>
      </w:pPr>
      <w:r>
        <w:rPr>
          <w:rFonts w:ascii="Arial" w:cs="Arial" w:eastAsia="Arial" w:hAnsi="Arial"/>
          <w:sz w:val="17"/>
          <w:szCs w:val="17"/>
          <w:color w:val="auto"/>
        </w:rPr>
        <w:t>For 2017 compared to 2016, the decrease in U.S. Interferon revenues was primarily due to an overall decrease in Interferon unit sales volumes of 12%, which was primarily attributable to patients transitioning to other MS therapies, partially offset by price increases.</w:t>
      </w:r>
    </w:p>
    <w:p>
      <w:pPr>
        <w:spacing w:after="0" w:line="143" w:lineRule="exact"/>
        <w:rPr>
          <w:sz w:val="20"/>
          <w:szCs w:val="20"/>
          <w:color w:val="auto"/>
        </w:rPr>
      </w:pPr>
    </w:p>
    <w:p>
      <w:pPr>
        <w:ind w:left="320" w:right="20" w:firstLine="410"/>
        <w:spacing w:after="0" w:line="253" w:lineRule="auto"/>
        <w:rPr>
          <w:sz w:val="20"/>
          <w:szCs w:val="20"/>
          <w:color w:val="auto"/>
        </w:rPr>
      </w:pPr>
      <w:r>
        <w:rPr>
          <w:rFonts w:ascii="Arial" w:cs="Arial" w:eastAsia="Arial" w:hAnsi="Arial"/>
          <w:sz w:val="17"/>
          <w:szCs w:val="17"/>
          <w:color w:val="auto"/>
        </w:rPr>
        <w:t>For 2016 compared to 2015, the decrease in U.S. Interferon revenues was primarily due to an overall decrease in Interferon unit sales volume of 10%, which was attributable to a decrease in AVONEX unit sales volume primarily due to patients transitioning to other oral MS therapies, as well as higher discounts and allowances. These decreases were partially offset by price increases.</w:t>
      </w:r>
    </w:p>
    <w:p>
      <w:pPr>
        <w:spacing w:after="0" w:line="147" w:lineRule="exact"/>
        <w:rPr>
          <w:sz w:val="20"/>
          <w:szCs w:val="20"/>
          <w:color w:val="auto"/>
        </w:rPr>
      </w:pPr>
    </w:p>
    <w:p>
      <w:pPr>
        <w:ind w:left="320" w:firstLine="410"/>
        <w:spacing w:after="0" w:line="255" w:lineRule="auto"/>
        <w:rPr>
          <w:sz w:val="20"/>
          <w:szCs w:val="20"/>
          <w:color w:val="auto"/>
        </w:rPr>
      </w:pPr>
      <w:r>
        <w:rPr>
          <w:rFonts w:ascii="Arial" w:cs="Arial" w:eastAsia="Arial" w:hAnsi="Arial"/>
          <w:sz w:val="17"/>
          <w:szCs w:val="17"/>
          <w:color w:val="auto"/>
        </w:rPr>
        <w:t>For 2017 compared to 2016, the decrease in rest of world Interferon revenues was primarily due to an overall decrease in AVONEX unit sales volume of 14% primarily due to patients transitioning to other MS therapies in the E.U.</w:t>
      </w:r>
    </w:p>
    <w:p>
      <w:pPr>
        <w:spacing w:after="0" w:line="143" w:lineRule="exact"/>
        <w:rPr>
          <w:sz w:val="20"/>
          <w:szCs w:val="20"/>
          <w:color w:val="auto"/>
        </w:rPr>
      </w:pPr>
    </w:p>
    <w:p>
      <w:pPr>
        <w:ind w:left="320" w:right="80" w:firstLine="410"/>
        <w:spacing w:after="0" w:line="253" w:lineRule="auto"/>
        <w:rPr>
          <w:sz w:val="20"/>
          <w:szCs w:val="20"/>
          <w:color w:val="auto"/>
        </w:rPr>
      </w:pPr>
      <w:r>
        <w:rPr>
          <w:rFonts w:ascii="Arial" w:cs="Arial" w:eastAsia="Arial" w:hAnsi="Arial"/>
          <w:sz w:val="17"/>
          <w:szCs w:val="17"/>
          <w:color w:val="auto"/>
        </w:rPr>
        <w:t>For 2016 compared to 2015, the decrease in rest of world Interferon revenues was primarily due to pricing reductions in certain European countries and an overall decrease in AVONEX unit sales volume of 10% due primarily to patients transitioning to other oral MS therapies, including TECFIDERA. Rest of world Interferon revenues for 2016, compared to 2015, were also negatively impacted by a $66.1 million decrease in hedge gains recognized under our hedging program in the comparative period.</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color w:val="auto"/>
        </w:rPr>
        <w:t>58</w:t>
      </w:r>
    </w:p>
    <w:p>
      <w:pPr>
        <w:sectPr>
          <w:pgSz w:w="11900" w:h="16838" w:orient="portrait"/>
          <w:cols w:equalWidth="0" w:num="2">
            <w:col w:w="5460" w:space="160"/>
            <w:col w:w="5800"/>
          </w:cols>
          <w:pgMar w:left="240" w:top="119" w:right="239" w:bottom="1440" w:gutter="0" w:footer="0" w:header="0"/>
          <w:type w:val="continuous"/>
        </w:sectPr>
      </w:pPr>
    </w:p>
    <w:bookmarkStart w:id="62" w:name="page63"/>
    <w:bookmarkEnd w:id="6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383" w:lineRule="exact"/>
        <w:rPr>
          <w:sz w:val="20"/>
          <w:szCs w:val="20"/>
          <w:color w:val="auto"/>
        </w:rPr>
      </w:pPr>
    </w:p>
    <w:p>
      <w:pPr>
        <w:ind w:firstLine="410"/>
        <w:spacing w:after="0" w:line="255" w:lineRule="auto"/>
        <w:rPr>
          <w:sz w:val="20"/>
          <w:szCs w:val="20"/>
          <w:color w:val="auto"/>
        </w:rPr>
      </w:pPr>
      <w:r>
        <w:rPr>
          <w:rFonts w:ascii="Arial" w:cs="Arial" w:eastAsia="Arial" w:hAnsi="Arial"/>
          <w:sz w:val="17"/>
          <w:szCs w:val="17"/>
          <w:color w:val="auto"/>
        </w:rPr>
        <w:t>We expect that overall Interferon revenues will continue to decline compared to prior year periods as a result of increasing competition from our other products as well as other treatments for MS, including biosimilars.</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AVONEX</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For 2017, 2016 and 2015, U.S. AVONEX revenues totaled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$1,593.6 million, $1,675.3 million and $1,790.2 million, respectively.</w:t>
      </w:r>
    </w:p>
    <w:p>
      <w:pPr>
        <w:spacing w:after="0" w:line="163" w:lineRule="exact"/>
        <w:rPr>
          <w:sz w:val="20"/>
          <w:szCs w:val="20"/>
          <w:color w:val="auto"/>
        </w:rPr>
      </w:pPr>
    </w:p>
    <w:p>
      <w:pPr>
        <w:ind w:right="120" w:firstLine="410"/>
        <w:spacing w:after="0" w:line="262" w:lineRule="auto"/>
        <w:rPr>
          <w:sz w:val="20"/>
          <w:szCs w:val="20"/>
          <w:color w:val="auto"/>
        </w:rPr>
      </w:pPr>
      <w:r>
        <w:rPr>
          <w:rFonts w:ascii="Arial" w:cs="Arial" w:eastAsia="Arial" w:hAnsi="Arial"/>
          <w:sz w:val="17"/>
          <w:szCs w:val="17"/>
          <w:color w:val="auto"/>
        </w:rPr>
        <w:t>For 2017, 2016 and 2015 rest of world AVONEX revenues totaled $557.9 million, $638.2 million and $840.0 million, respectively.</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PLEGRIDY</w:t>
      </w:r>
    </w:p>
    <w:p>
      <w:pPr>
        <w:spacing w:after="0" w:line="181" w:lineRule="exact"/>
        <w:rPr>
          <w:sz w:val="20"/>
          <w:szCs w:val="20"/>
          <w:color w:val="auto"/>
        </w:rPr>
      </w:pPr>
    </w:p>
    <w:p>
      <w:pPr>
        <w:ind w:right="500" w:firstLine="410"/>
        <w:spacing w:after="0" w:line="262" w:lineRule="auto"/>
        <w:rPr>
          <w:sz w:val="20"/>
          <w:szCs w:val="20"/>
          <w:color w:val="auto"/>
        </w:rPr>
      </w:pPr>
      <w:r>
        <w:rPr>
          <w:rFonts w:ascii="Arial" w:cs="Arial" w:eastAsia="Arial" w:hAnsi="Arial"/>
          <w:sz w:val="17"/>
          <w:szCs w:val="17"/>
          <w:color w:val="auto"/>
        </w:rPr>
        <w:t>For 2017, 2016 and 2015, U.S. PLEGRIDY revenues totaled $295.5 million, $305.0 million and $227.1 million, respectively.</w:t>
      </w:r>
    </w:p>
    <w:p>
      <w:pPr>
        <w:spacing w:after="0" w:line="137" w:lineRule="exact"/>
        <w:rPr>
          <w:sz w:val="20"/>
          <w:szCs w:val="20"/>
          <w:color w:val="auto"/>
        </w:rPr>
      </w:pPr>
    </w:p>
    <w:p>
      <w:pPr>
        <w:ind w:right="260" w:firstLine="410"/>
        <w:spacing w:after="0" w:line="262" w:lineRule="auto"/>
        <w:rPr>
          <w:sz w:val="20"/>
          <w:szCs w:val="20"/>
          <w:color w:val="auto"/>
        </w:rPr>
      </w:pPr>
      <w:r>
        <w:rPr>
          <w:rFonts w:ascii="Arial" w:cs="Arial" w:eastAsia="Arial" w:hAnsi="Arial"/>
          <w:sz w:val="17"/>
          <w:szCs w:val="17"/>
          <w:color w:val="auto"/>
        </w:rPr>
        <w:t>For 2017, 2016 and 2015, rest of world PLEGRIDY revenues totaled $198.8 million, $176.7 million and $111.4 million, respectively.</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TYSABRI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wp:posOffset>
            </wp:positionV>
            <wp:extent cx="2578100" cy="24885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78100" cy="2488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20" w:firstLine="410"/>
        <w:spacing w:after="0" w:line="257" w:lineRule="auto"/>
        <w:rPr>
          <w:sz w:val="20"/>
          <w:szCs w:val="20"/>
          <w:color w:val="auto"/>
        </w:rPr>
      </w:pPr>
      <w:r>
        <w:rPr>
          <w:rFonts w:ascii="Arial" w:cs="Arial" w:eastAsia="Arial" w:hAnsi="Arial"/>
          <w:sz w:val="17"/>
          <w:szCs w:val="17"/>
          <w:color w:val="auto"/>
        </w:rPr>
        <w:t>For 2017 compared to 2016, the decrease in U.S. TYSABRI revenues was primarily due to higher discounts and allowances and a decrease in unit sales volume of 4%, partially offset by price increases.</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 xml:space="preserve">For 2017 compared to 2016, the increase in rest of world TYSABRI revenues was primarily due to the recognition of approximately $45.0 million of previously deferred revenue in Italy relating to the pricing agreement with AIFA and a 12% increase in unit sales volume primarily in our international partner markets, partially offset by a prior year favorable adjustment of approximately $20.0 million to previous reserves estimates related to a government price reimbursement program included in our discounts and allowances. For information on our agreement with AIFA relating to sales of TYSABRI in Italy, please read Note 18, </w:t>
      </w:r>
      <w:r>
        <w:rPr>
          <w:rFonts w:ascii="Arial" w:cs="Arial" w:eastAsia="Arial" w:hAnsi="Arial"/>
          <w:sz w:val="17"/>
          <w:szCs w:val="17"/>
          <w:i w:val="1"/>
          <w:iCs w:val="1"/>
          <w:color w:val="auto"/>
        </w:rPr>
        <w:t>Other Consolidated Financial Statement Detail</w:t>
      </w:r>
      <w:r>
        <w:rPr>
          <w:rFonts w:ascii="Arial" w:cs="Arial" w:eastAsia="Arial" w:hAnsi="Arial"/>
          <w:sz w:val="17"/>
          <w:szCs w:val="17"/>
          <w:color w:val="auto"/>
        </w:rPr>
        <w:t>, to our consolidated financial statements included in this report.</w:t>
      </w:r>
    </w:p>
    <w:p>
      <w:pPr>
        <w:spacing w:after="0" w:line="150" w:lineRule="exact"/>
        <w:rPr>
          <w:sz w:val="20"/>
          <w:szCs w:val="20"/>
          <w:color w:val="auto"/>
        </w:rPr>
      </w:pPr>
    </w:p>
    <w:p>
      <w:pPr>
        <w:ind w:right="80" w:firstLine="410"/>
        <w:spacing w:after="0" w:line="254" w:lineRule="auto"/>
        <w:rPr>
          <w:sz w:val="20"/>
          <w:szCs w:val="20"/>
          <w:color w:val="auto"/>
        </w:rPr>
      </w:pPr>
      <w:r>
        <w:rPr>
          <w:rFonts w:ascii="Arial" w:cs="Arial" w:eastAsia="Arial" w:hAnsi="Arial"/>
          <w:sz w:val="17"/>
          <w:szCs w:val="17"/>
          <w:color w:val="auto"/>
        </w:rPr>
        <w:t>For 2016 compared to 2015, the decrease in rest of world TYSABRI revenues was primarily due to the impact of a $46.1 million decrease in hedge gains recognized under our hedging program in the comparative period. This decrease was partially offset by an increase in unit sales volume of 8%, primarily in Europe.</w:t>
      </w:r>
    </w:p>
    <w:p>
      <w:pPr>
        <w:spacing w:after="0" w:line="144" w:lineRule="exact"/>
        <w:rPr>
          <w:sz w:val="20"/>
          <w:szCs w:val="20"/>
          <w:color w:val="auto"/>
        </w:rPr>
      </w:pPr>
    </w:p>
    <w:p>
      <w:pPr>
        <w:ind w:right="180" w:firstLine="410"/>
        <w:spacing w:after="0" w:line="254" w:lineRule="auto"/>
        <w:rPr>
          <w:sz w:val="20"/>
          <w:szCs w:val="20"/>
          <w:color w:val="auto"/>
        </w:rPr>
      </w:pPr>
      <w:r>
        <w:rPr>
          <w:rFonts w:ascii="Arial" w:cs="Arial" w:eastAsia="Arial" w:hAnsi="Arial"/>
          <w:sz w:val="17"/>
          <w:szCs w:val="17"/>
          <w:color w:val="auto"/>
        </w:rPr>
        <w:t>We anticipate a decline in TYSABRI demand on a global basis in 2018, compared to 2017, with expected volume declines in the U.S., due to increased competition from additional treatments for MS, including OCREVUS, offsetting volume growth in our international markets.</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ZINBRYTA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2578100" cy="24885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78100" cy="2488565"/>
                    </a:xfrm>
                    <a:prstGeom prst="rect">
                      <a:avLst/>
                    </a:prstGeom>
                    <a:noFill/>
                  </pic:spPr>
                </pic:pic>
              </a:graphicData>
            </a:graphic>
          </wp:anchor>
        </w:drawing>
      </w:r>
    </w:p>
    <w:p>
      <w:pPr>
        <w:spacing w:after="0" w:line="3894" w:lineRule="exact"/>
        <w:rPr>
          <w:sz w:val="20"/>
          <w:szCs w:val="20"/>
          <w:color w:val="auto"/>
        </w:rPr>
      </w:pPr>
    </w:p>
    <w:p>
      <w:pPr>
        <w:sectPr>
          <w:pgSz w:w="11900" w:h="16838" w:orient="portrait"/>
          <w:cols w:equalWidth="0" w:num="2">
            <w:col w:w="5480" w:space="460"/>
            <w:col w:w="5480"/>
          </w:cols>
          <w:pgMar w:left="240" w:top="144" w:right="239" w:bottom="1440" w:gutter="0" w:footer="0" w:header="0"/>
          <w:type w:val="continuous"/>
        </w:sectPr>
      </w:pPr>
    </w:p>
    <w:p>
      <w:pPr>
        <w:ind w:firstLine="410"/>
        <w:spacing w:after="0" w:line="255" w:lineRule="auto"/>
        <w:rPr>
          <w:sz w:val="20"/>
          <w:szCs w:val="20"/>
          <w:color w:val="auto"/>
        </w:rPr>
      </w:pPr>
      <w:r>
        <w:rPr>
          <w:rFonts w:ascii="Arial" w:cs="Arial" w:eastAsia="Arial" w:hAnsi="Arial"/>
          <w:sz w:val="17"/>
          <w:szCs w:val="17"/>
          <w:color w:val="auto"/>
        </w:rPr>
        <w:t>For 2016 compared to 2015, the increase in U.S. TYSABRI revenues was primarily due to an increase in unit sales volume of 4% and increases in price, partially offset by higher discounts and allowances.</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left="320" w:right="80" w:firstLine="384"/>
        <w:spacing w:after="0" w:line="257" w:lineRule="auto"/>
        <w:rPr>
          <w:sz w:val="20"/>
          <w:szCs w:val="20"/>
          <w:color w:val="auto"/>
        </w:rPr>
      </w:pPr>
      <w:r>
        <w:rPr>
          <w:rFonts w:ascii="Arial" w:cs="Arial" w:eastAsia="Arial" w:hAnsi="Arial"/>
          <w:sz w:val="17"/>
          <w:szCs w:val="17"/>
          <w:color w:val="auto"/>
        </w:rPr>
        <w:t>Under our collaboration agreement with AbbVie, we began to recognize revenues on sales of ZINBRYTA to third parties in the E.U. in the third quarter of 2016.</w:t>
      </w:r>
    </w:p>
    <w:p>
      <w:pPr>
        <w:spacing w:after="0" w:line="140" w:lineRule="exact"/>
        <w:rPr>
          <w:sz w:val="20"/>
          <w:szCs w:val="20"/>
          <w:color w:val="auto"/>
        </w:rPr>
      </w:pPr>
    </w:p>
    <w:p>
      <w:pPr>
        <w:ind w:left="320" w:right="160" w:firstLine="384"/>
        <w:spacing w:after="0" w:line="262" w:lineRule="auto"/>
        <w:rPr>
          <w:sz w:val="20"/>
          <w:szCs w:val="20"/>
          <w:color w:val="auto"/>
        </w:rPr>
      </w:pPr>
      <w:r>
        <w:rPr>
          <w:rFonts w:ascii="Arial" w:cs="Arial" w:eastAsia="Arial" w:hAnsi="Arial"/>
          <w:sz w:val="17"/>
          <w:szCs w:val="17"/>
          <w:color w:val="auto"/>
        </w:rPr>
        <w:t>For 2017 compared to 2016, the increase in ZINBRYTA revenues was primarily due to an increase in unit sales volume.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59</w:t>
      </w:r>
    </w:p>
    <w:p>
      <w:pPr>
        <w:sectPr>
          <w:pgSz w:w="11900" w:h="16838" w:orient="portrait"/>
          <w:cols w:equalWidth="0" w:num="2">
            <w:col w:w="5220" w:space="400"/>
            <w:col w:w="5800"/>
          </w:cols>
          <w:pgMar w:left="240" w:top="144" w:right="239" w:bottom="1440" w:gutter="0" w:footer="0" w:header="0"/>
          <w:type w:val="continuous"/>
        </w:sectPr>
      </w:pPr>
    </w:p>
    <w:bookmarkStart w:id="63" w:name="page64"/>
    <w:bookmarkEnd w:id="6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340"/>
          </w:cols>
          <w:pgMar w:left="240" w:top="144" w:right="319" w:bottom="1440" w:gutter="0" w:footer="0" w:header="0"/>
        </w:sectPr>
      </w:pPr>
    </w:p>
    <w:p>
      <w:pPr>
        <w:spacing w:after="0" w:line="383" w:lineRule="exact"/>
        <w:rPr>
          <w:sz w:val="20"/>
          <w:szCs w:val="20"/>
          <w:color w:val="auto"/>
        </w:rPr>
      </w:pPr>
    </w:p>
    <w:p>
      <w:pPr>
        <w:ind w:right="220" w:firstLine="384"/>
        <w:spacing w:after="0" w:line="257" w:lineRule="auto"/>
        <w:rPr>
          <w:sz w:val="20"/>
          <w:szCs w:val="20"/>
          <w:color w:val="auto"/>
        </w:rPr>
      </w:pPr>
      <w:r>
        <w:rPr>
          <w:rFonts w:ascii="Arial" w:cs="Arial" w:eastAsia="Arial" w:hAnsi="Arial"/>
          <w:sz w:val="17"/>
          <w:szCs w:val="17"/>
          <w:color w:val="auto"/>
        </w:rPr>
        <w:t>We expect that the future sales growth of ZINBRYTA will be negatively impacted as a result of the EC approved restrictions on the use of ZINBRYTA.</w:t>
      </w:r>
    </w:p>
    <w:p>
      <w:pPr>
        <w:spacing w:after="0" w:line="140" w:lineRule="exact"/>
        <w:rPr>
          <w:sz w:val="20"/>
          <w:szCs w:val="20"/>
          <w:color w:val="auto"/>
        </w:rPr>
      </w:pPr>
    </w:p>
    <w:p>
      <w:pPr>
        <w:ind w:firstLine="384"/>
        <w:spacing w:after="0" w:line="254" w:lineRule="auto"/>
        <w:rPr>
          <w:sz w:val="20"/>
          <w:szCs w:val="20"/>
          <w:color w:val="auto"/>
        </w:rPr>
      </w:pPr>
      <w:r>
        <w:rPr>
          <w:rFonts w:ascii="Arial" w:cs="Arial" w:eastAsia="Arial" w:hAnsi="Arial"/>
          <w:sz w:val="17"/>
          <w:szCs w:val="17"/>
          <w:color w:val="auto"/>
        </w:rPr>
        <w:t xml:space="preserve">For additional information on our relationship with AbbVie, including information on the Article 20 Procedure of ZINBRYTA and resulting impairment of ZINBRYTA related assets, please read Note 20, </w:t>
      </w:r>
      <w:r>
        <w:rPr>
          <w:rFonts w:ascii="Arial" w:cs="Arial" w:eastAsia="Arial" w:hAnsi="Arial"/>
          <w:sz w:val="17"/>
          <w:szCs w:val="17"/>
          <w:i w:val="1"/>
          <w:iCs w:val="1"/>
          <w:color w:val="auto"/>
        </w:rPr>
        <w:t xml:space="preserve">Collaborative and Other Relationships, </w:t>
      </w:r>
      <w:r>
        <w:rPr>
          <w:rFonts w:ascii="Arial" w:cs="Arial" w:eastAsia="Arial" w:hAnsi="Arial"/>
          <w:sz w:val="17"/>
          <w:szCs w:val="17"/>
          <w:color w:val="auto"/>
        </w:rPr>
        <w:t>to our consolidated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 included in this report.</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Spinal Muscular Atrophy (SMA)</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SPINRAZA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17780</wp:posOffset>
            </wp:positionV>
            <wp:extent cx="2578100" cy="24885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78100" cy="2488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0" w:firstLine="384"/>
        <w:spacing w:after="0" w:line="257" w:lineRule="auto"/>
        <w:rPr>
          <w:sz w:val="20"/>
          <w:szCs w:val="20"/>
          <w:color w:val="auto"/>
        </w:rPr>
      </w:pPr>
      <w:r>
        <w:rPr>
          <w:rFonts w:ascii="Arial" w:cs="Arial" w:eastAsia="Arial" w:hAnsi="Arial"/>
          <w:sz w:val="17"/>
          <w:szCs w:val="17"/>
          <w:color w:val="auto"/>
        </w:rPr>
        <w:t>We began to recognize revenues on sales of SPINRAZA in the U.S. in the fourth quarter of 2016 and the rest of world in the first quarter of 2017.</w:t>
      </w:r>
    </w:p>
    <w:p>
      <w:pPr>
        <w:spacing w:after="0" w:line="140" w:lineRule="exact"/>
        <w:rPr>
          <w:sz w:val="20"/>
          <w:szCs w:val="20"/>
          <w:color w:val="auto"/>
        </w:rPr>
      </w:pPr>
    </w:p>
    <w:p>
      <w:pPr>
        <w:jc w:val="both"/>
        <w:ind w:right="20" w:firstLine="384"/>
        <w:spacing w:after="0" w:line="257" w:lineRule="auto"/>
        <w:rPr>
          <w:sz w:val="20"/>
          <w:szCs w:val="20"/>
          <w:color w:val="auto"/>
        </w:rPr>
      </w:pPr>
      <w:r>
        <w:rPr>
          <w:rFonts w:ascii="Arial" w:cs="Arial" w:eastAsia="Arial" w:hAnsi="Arial"/>
          <w:sz w:val="17"/>
          <w:szCs w:val="17"/>
          <w:color w:val="auto"/>
        </w:rPr>
        <w:t>We expect that the rate at which SPINRAZA revenues will grow will moderate over time due to the loading dynamics as patients transition to dosing once every four months.</w:t>
      </w:r>
    </w:p>
    <w:p>
      <w:pPr>
        <w:spacing w:after="0" w:line="140" w:lineRule="exact"/>
        <w:rPr>
          <w:sz w:val="20"/>
          <w:szCs w:val="20"/>
          <w:color w:val="auto"/>
        </w:rPr>
      </w:pPr>
    </w:p>
    <w:p>
      <w:pPr>
        <w:ind w:right="360" w:firstLine="384"/>
        <w:spacing w:after="0" w:line="257" w:lineRule="auto"/>
        <w:rPr>
          <w:sz w:val="20"/>
          <w:szCs w:val="20"/>
          <w:color w:val="auto"/>
        </w:rPr>
      </w:pPr>
      <w:r>
        <w:rPr>
          <w:rFonts w:ascii="Arial" w:cs="Arial" w:eastAsia="Arial" w:hAnsi="Arial"/>
          <w:sz w:val="17"/>
          <w:szCs w:val="17"/>
          <w:color w:val="auto"/>
        </w:rPr>
        <w:t xml:space="preserve">For additional information on our relationship with Ionis, please read Note 20, </w:t>
      </w:r>
      <w:r>
        <w:rPr>
          <w:rFonts w:ascii="Arial" w:cs="Arial" w:eastAsia="Arial" w:hAnsi="Arial"/>
          <w:sz w:val="17"/>
          <w:szCs w:val="17"/>
          <w:i w:val="1"/>
          <w:iCs w:val="1"/>
          <w:color w:val="auto"/>
        </w:rPr>
        <w:t>Collaborative and Other Relationships,</w:t>
      </w:r>
      <w:r>
        <w:rPr>
          <w:rFonts w:ascii="Arial" w:cs="Arial" w:eastAsia="Arial" w:hAnsi="Arial"/>
          <w:sz w:val="17"/>
          <w:szCs w:val="17"/>
          <w:color w:val="auto"/>
        </w:rPr>
        <w:t xml:space="preserve"> to our consolidated financial statements included in this report.</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2573BA"/>
        </w:rPr>
        <w:t>Biosimilars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BENEPALI and FLIXABI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17780</wp:posOffset>
            </wp:positionV>
            <wp:extent cx="2578100" cy="24885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78100" cy="2488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20" w:right="240" w:firstLine="384"/>
        <w:spacing w:after="0" w:line="255" w:lineRule="auto"/>
        <w:rPr>
          <w:sz w:val="20"/>
          <w:szCs w:val="20"/>
          <w:color w:val="auto"/>
        </w:rPr>
      </w:pPr>
      <w:r>
        <w:rPr>
          <w:rFonts w:ascii="Arial" w:cs="Arial" w:eastAsia="Arial" w:hAnsi="Arial"/>
          <w:sz w:val="17"/>
          <w:szCs w:val="17"/>
          <w:color w:val="auto"/>
        </w:rPr>
        <w:t>Under our commercial agreement with Samsung Bioepis, we began to recognize revenues on sales of BENEPALI and FLIXABI to third parties in the E.U. in the first and third quarters of 2016, respectively.</w:t>
      </w:r>
    </w:p>
    <w:p>
      <w:pPr>
        <w:spacing w:after="0" w:line="143" w:lineRule="exact"/>
        <w:rPr>
          <w:sz w:val="20"/>
          <w:szCs w:val="20"/>
          <w:color w:val="auto"/>
        </w:rPr>
      </w:pPr>
    </w:p>
    <w:p>
      <w:pPr>
        <w:ind w:left="320" w:firstLine="384"/>
        <w:spacing w:after="0" w:line="257" w:lineRule="auto"/>
        <w:rPr>
          <w:sz w:val="20"/>
          <w:szCs w:val="20"/>
          <w:color w:val="auto"/>
        </w:rPr>
      </w:pPr>
      <w:r>
        <w:rPr>
          <w:rFonts w:ascii="Arial" w:cs="Arial" w:eastAsia="Arial" w:hAnsi="Arial"/>
          <w:sz w:val="17"/>
          <w:szCs w:val="17"/>
          <w:color w:val="auto"/>
        </w:rPr>
        <w:t>For 2017 compared to 2016, the increase in biosimilar revenues was primarily due to an increase in BENEPALI unit sales volume in new and existing markets.</w:t>
      </w:r>
    </w:p>
    <w:p>
      <w:pPr>
        <w:spacing w:after="0" w:line="140" w:lineRule="exact"/>
        <w:rPr>
          <w:sz w:val="20"/>
          <w:szCs w:val="20"/>
          <w:color w:val="auto"/>
        </w:rPr>
      </w:pPr>
    </w:p>
    <w:p>
      <w:pPr>
        <w:ind w:left="320" w:firstLine="410"/>
        <w:spacing w:after="0" w:line="257" w:lineRule="auto"/>
        <w:rPr>
          <w:sz w:val="20"/>
          <w:szCs w:val="20"/>
          <w:color w:val="auto"/>
        </w:rPr>
      </w:pPr>
      <w:r>
        <w:rPr>
          <w:rFonts w:ascii="Arial" w:cs="Arial" w:eastAsia="Arial" w:hAnsi="Arial"/>
          <w:sz w:val="17"/>
          <w:szCs w:val="17"/>
          <w:color w:val="auto"/>
        </w:rPr>
        <w:t xml:space="preserve">For additional information on our relationship with Samsung Bioepis, please read Note 20, </w:t>
      </w:r>
      <w:r>
        <w:rPr>
          <w:rFonts w:ascii="Arial" w:cs="Arial" w:eastAsia="Arial" w:hAnsi="Arial"/>
          <w:sz w:val="17"/>
          <w:szCs w:val="17"/>
          <w:i w:val="1"/>
          <w:iCs w:val="1"/>
          <w:color w:val="auto"/>
        </w:rPr>
        <w:t>Collaborative and Other Relationships,</w:t>
      </w:r>
      <w:r>
        <w:rPr>
          <w:rFonts w:ascii="Arial" w:cs="Arial" w:eastAsia="Arial" w:hAnsi="Arial"/>
          <w:sz w:val="17"/>
          <w:szCs w:val="17"/>
          <w:color w:val="auto"/>
        </w:rPr>
        <w:t xml:space="preserve"> to our consolidated financial statements included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color w:val="auto"/>
        </w:rPr>
        <w:t>60</w:t>
      </w:r>
    </w:p>
    <w:p>
      <w:pPr>
        <w:sectPr>
          <w:pgSz w:w="11900" w:h="16838" w:orient="portrait"/>
          <w:cols w:equalWidth="0" w:num="2">
            <w:col w:w="5480" w:space="140"/>
            <w:col w:w="5720"/>
          </w:cols>
          <w:pgMar w:left="240" w:top="144" w:right="319" w:bottom="1440" w:gutter="0" w:footer="0" w:header="0"/>
          <w:type w:val="continuous"/>
        </w:sectPr>
      </w:pPr>
    </w:p>
    <w:bookmarkStart w:id="64" w:name="page65"/>
    <w:bookmarkEnd w:id="6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Revenues from Anti-CD20 Therapeutic Programs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Genentech (Roche Group)</w:t>
      </w:r>
    </w:p>
    <w:p>
      <w:pPr>
        <w:spacing w:after="0" w:line="106" w:lineRule="exact"/>
        <w:rPr>
          <w:sz w:val="20"/>
          <w:szCs w:val="20"/>
          <w:color w:val="auto"/>
        </w:rPr>
      </w:pPr>
    </w:p>
    <w:p>
      <w:pPr>
        <w:ind w:right="480" w:firstLine="410"/>
        <w:spacing w:after="0" w:line="257" w:lineRule="auto"/>
        <w:rPr>
          <w:sz w:val="20"/>
          <w:szCs w:val="20"/>
          <w:color w:val="auto"/>
        </w:rPr>
      </w:pPr>
      <w:r>
        <w:rPr>
          <w:rFonts w:ascii="Arial" w:cs="Arial" w:eastAsia="Arial" w:hAnsi="Arial"/>
          <w:sz w:val="17"/>
          <w:szCs w:val="17"/>
          <w:color w:val="auto"/>
        </w:rPr>
        <w:t>Our share of RITUXAN and GAZYVA collaboration operating profits in the U.S. and other revenues on anti-CD20 therapeutic programs are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2578100" cy="29762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78100" cy="2976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580" w:firstLine="205"/>
        <w:spacing w:after="0" w:line="284" w:lineRule="auto"/>
        <w:rPr>
          <w:sz w:val="20"/>
          <w:szCs w:val="20"/>
          <w:color w:val="auto"/>
        </w:rPr>
      </w:pPr>
      <w:r>
        <w:rPr>
          <w:rFonts w:ascii="Arial" w:cs="Arial" w:eastAsia="Arial" w:hAnsi="Arial"/>
          <w:sz w:val="17"/>
          <w:szCs w:val="17"/>
          <w:i w:val="1"/>
          <w:iCs w:val="1"/>
          <w:color w:val="538235"/>
        </w:rPr>
        <w:t>Biogen’s Share of Pre-tax Profits in the U.S. for RITUXAN and GAZYVA</w:t>
      </w:r>
    </w:p>
    <w:p>
      <w:pPr>
        <w:spacing w:after="0" w:line="42" w:lineRule="exact"/>
        <w:rPr>
          <w:sz w:val="20"/>
          <w:szCs w:val="20"/>
          <w:color w:val="auto"/>
        </w:rPr>
      </w:pPr>
    </w:p>
    <w:p>
      <w:pPr>
        <w:ind w:firstLine="410"/>
        <w:spacing w:after="0" w:line="262" w:lineRule="auto"/>
        <w:rPr>
          <w:sz w:val="20"/>
          <w:szCs w:val="20"/>
          <w:color w:val="auto"/>
        </w:rPr>
      </w:pPr>
      <w:r>
        <w:rPr>
          <w:rFonts w:ascii="Arial" w:cs="Arial" w:eastAsia="Arial" w:hAnsi="Arial"/>
          <w:sz w:val="17"/>
          <w:szCs w:val="17"/>
          <w:color w:val="auto"/>
        </w:rPr>
        <w:t>The following table provides a summary of amounts comprising our share of pre-tax profits on RITUXAN and GAZYVA in the U.S.: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For the Years Ended</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7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6"/>
              </w:rPr>
              <w:t>December 31,</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auto"/>
            </w:tcBorders>
            <w:shd w:val="clear" w:color="auto" w:fill="DDDDDD"/>
          </w:tcPr>
          <w:p>
            <w:pPr>
              <w:spacing w:after="0"/>
              <w:rPr>
                <w:sz w:val="21"/>
                <w:szCs w:val="21"/>
                <w:color w:val="auto"/>
              </w:rPr>
            </w:pPr>
          </w:p>
        </w:tc>
        <w:tc>
          <w:tcPr>
            <w:tcW w:w="1060" w:type="dxa"/>
            <w:vAlign w:val="bottom"/>
            <w:tcBorders>
              <w:bottom w:val="single" w:sz="8" w:color="auto"/>
              <w:right w:val="single" w:sz="8" w:color="DDDDDD"/>
            </w:tcBorders>
            <w:shd w:val="clear" w:color="auto" w:fill="DDDDDD"/>
          </w:tcPr>
          <w:p>
            <w:pPr>
              <w:jc w:val="right"/>
              <w:ind w:right="358"/>
              <w:spacing w:after="0"/>
              <w:rPr>
                <w:sz w:val="20"/>
                <w:szCs w:val="20"/>
                <w:color w:val="auto"/>
              </w:rPr>
            </w:pPr>
            <w:r>
              <w:rPr>
                <w:rFonts w:ascii="Arial" w:cs="Arial" w:eastAsia="Arial" w:hAnsi="Arial"/>
                <w:sz w:val="14"/>
                <w:szCs w:val="14"/>
                <w:b w:val="1"/>
                <w:bCs w:val="1"/>
                <w:color w:val="2573BA"/>
              </w:rPr>
              <w:t>2017</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5"/>
        </w:trPr>
        <w:tc>
          <w:tcPr>
            <w:tcW w:w="1720" w:type="dxa"/>
            <w:vAlign w:val="bottom"/>
          </w:tcPr>
          <w:p>
            <w:pPr>
              <w:ind w:left="20"/>
              <w:spacing w:after="0"/>
              <w:rPr>
                <w:sz w:val="20"/>
                <w:szCs w:val="20"/>
                <w:color w:val="auto"/>
              </w:rPr>
            </w:pPr>
            <w:r>
              <w:rPr>
                <w:rFonts w:ascii="Arial" w:cs="Arial" w:eastAsia="Arial" w:hAnsi="Arial"/>
                <w:sz w:val="17"/>
                <w:szCs w:val="17"/>
                <w:color w:val="auto"/>
              </w:rPr>
              <w:t>Product revenues,</w:t>
            </w:r>
          </w:p>
        </w:tc>
        <w:tc>
          <w:tcPr>
            <w:tcW w:w="120" w:type="dxa"/>
            <w:vAlign w:val="bottom"/>
            <w:shd w:val="clear" w:color="auto" w:fill="DDDDDD"/>
          </w:tcPr>
          <w:p>
            <w:pPr>
              <w:spacing w:after="0"/>
              <w:rPr>
                <w:sz w:val="18"/>
                <w:szCs w:val="18"/>
                <w:color w:val="auto"/>
              </w:rPr>
            </w:pPr>
          </w:p>
        </w:tc>
        <w:tc>
          <w:tcPr>
            <w:tcW w:w="1060" w:type="dxa"/>
            <w:vAlign w:val="bottom"/>
            <w:tcBorders>
              <w:right w:val="single" w:sz="8" w:color="DDDDDD"/>
            </w:tcBorders>
            <w:shd w:val="clear" w:color="auto" w:fill="DDDDDD"/>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720" w:type="dxa"/>
            <w:vAlign w:val="bottom"/>
          </w:tcPr>
          <w:p>
            <w:pPr>
              <w:ind w:left="20"/>
              <w:spacing w:after="0"/>
              <w:rPr>
                <w:sz w:val="20"/>
                <w:szCs w:val="20"/>
                <w:color w:val="auto"/>
              </w:rPr>
            </w:pPr>
            <w:r>
              <w:rPr>
                <w:rFonts w:ascii="Arial" w:cs="Arial" w:eastAsia="Arial" w:hAnsi="Arial"/>
                <w:sz w:val="17"/>
                <w:szCs w:val="17"/>
                <w:color w:val="auto"/>
              </w:rPr>
              <w:t>net</w:t>
            </w:r>
          </w:p>
        </w:tc>
        <w:tc>
          <w:tcPr>
            <w:tcW w:w="1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06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7"/>
                <w:szCs w:val="17"/>
                <w:color w:val="2573BA"/>
              </w:rPr>
              <w:t>4,206.9</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3,941.8</w:t>
            </w:r>
          </w:p>
        </w:tc>
        <w:tc>
          <w:tcPr>
            <w:tcW w:w="100" w:type="dxa"/>
            <w:vAlign w:val="bottom"/>
          </w:tcPr>
          <w:p>
            <w:pPr>
              <w:spacing w:after="0"/>
              <w:rPr>
                <w:sz w:val="17"/>
                <w:szCs w:val="17"/>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3,847.9</w:t>
            </w:r>
          </w:p>
        </w:tc>
        <w:tc>
          <w:tcPr>
            <w:tcW w:w="0" w:type="dxa"/>
            <w:vAlign w:val="bottom"/>
          </w:tcPr>
          <w:p>
            <w:pPr>
              <w:spacing w:after="0"/>
              <w:rPr>
                <w:sz w:val="1"/>
                <w:szCs w:val="1"/>
                <w:color w:val="auto"/>
              </w:rPr>
            </w:pPr>
          </w:p>
        </w:tc>
      </w:tr>
      <w:tr>
        <w:trPr>
          <w:trHeight w:val="263"/>
        </w:trPr>
        <w:tc>
          <w:tcPr>
            <w:tcW w:w="1720" w:type="dxa"/>
            <w:vAlign w:val="bottom"/>
          </w:tcPr>
          <w:p>
            <w:pPr>
              <w:ind w:left="20"/>
              <w:spacing w:after="0"/>
              <w:rPr>
                <w:sz w:val="20"/>
                <w:szCs w:val="20"/>
                <w:color w:val="auto"/>
              </w:rPr>
            </w:pPr>
            <w:r>
              <w:rPr>
                <w:rFonts w:ascii="Arial" w:cs="Arial" w:eastAsia="Arial" w:hAnsi="Arial"/>
                <w:sz w:val="17"/>
                <w:szCs w:val="17"/>
                <w:color w:val="auto"/>
              </w:rPr>
              <w:t>Cost and expenses</w:t>
            </w:r>
          </w:p>
        </w:tc>
        <w:tc>
          <w:tcPr>
            <w:tcW w:w="120" w:type="dxa"/>
            <w:vAlign w:val="bottom"/>
            <w:tcBorders>
              <w:bottom w:val="single" w:sz="8" w:color="auto"/>
            </w:tcBorders>
            <w:shd w:val="clear" w:color="auto" w:fill="DDDDDD"/>
          </w:tcPr>
          <w:p>
            <w:pPr>
              <w:spacing w:after="0"/>
              <w:rPr>
                <w:sz w:val="22"/>
                <w:szCs w:val="22"/>
                <w:color w:val="auto"/>
              </w:rPr>
            </w:pPr>
          </w:p>
        </w:tc>
        <w:tc>
          <w:tcPr>
            <w:tcW w:w="1060" w:type="dxa"/>
            <w:vAlign w:val="bottom"/>
            <w:tcBorders>
              <w:bottom w:val="single" w:sz="8" w:color="auto"/>
              <w:right w:val="single" w:sz="8" w:color="DDDDDD"/>
            </w:tcBorders>
            <w:shd w:val="clear" w:color="auto" w:fill="DDDDDD"/>
          </w:tcPr>
          <w:p>
            <w:pPr>
              <w:jc w:val="right"/>
              <w:spacing w:after="0"/>
              <w:rPr>
                <w:sz w:val="20"/>
                <w:szCs w:val="20"/>
                <w:color w:val="auto"/>
              </w:rPr>
            </w:pPr>
            <w:r>
              <w:rPr>
                <w:rFonts w:ascii="Arial" w:cs="Arial" w:eastAsia="Arial" w:hAnsi="Arial"/>
                <w:sz w:val="17"/>
                <w:szCs w:val="17"/>
                <w:color w:val="2573BA"/>
              </w:rPr>
              <w:t>755.2</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744.5</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673.7</w:t>
            </w:r>
          </w:p>
        </w:tc>
        <w:tc>
          <w:tcPr>
            <w:tcW w:w="0" w:type="dxa"/>
            <w:vAlign w:val="bottom"/>
          </w:tcPr>
          <w:p>
            <w:pPr>
              <w:spacing w:after="0"/>
              <w:rPr>
                <w:sz w:val="1"/>
                <w:szCs w:val="1"/>
                <w:color w:val="auto"/>
              </w:rPr>
            </w:pPr>
          </w:p>
        </w:tc>
      </w:tr>
      <w:tr>
        <w:trPr>
          <w:trHeight w:val="204"/>
        </w:trPr>
        <w:tc>
          <w:tcPr>
            <w:tcW w:w="1720" w:type="dxa"/>
            <w:vAlign w:val="bottom"/>
          </w:tcPr>
          <w:p>
            <w:pPr>
              <w:ind w:left="20"/>
              <w:spacing w:after="0"/>
              <w:rPr>
                <w:sz w:val="20"/>
                <w:szCs w:val="20"/>
                <w:color w:val="auto"/>
              </w:rPr>
            </w:pPr>
            <w:r>
              <w:rPr>
                <w:rFonts w:ascii="Arial" w:cs="Arial" w:eastAsia="Arial" w:hAnsi="Arial"/>
                <w:sz w:val="17"/>
                <w:szCs w:val="17"/>
                <w:color w:val="auto"/>
              </w:rPr>
              <w:t>Pre-tax profits in the</w:t>
            </w:r>
          </w:p>
        </w:tc>
        <w:tc>
          <w:tcPr>
            <w:tcW w:w="120" w:type="dxa"/>
            <w:vAlign w:val="bottom"/>
            <w:vMerge w:val="restart"/>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060" w:type="dxa"/>
            <w:vAlign w:val="bottom"/>
            <w:tcBorders>
              <w:right w:val="single" w:sz="8" w:color="DDDDDD"/>
            </w:tcBorders>
            <w:vMerge w:val="restart"/>
            <w:shd w:val="clear" w:color="auto" w:fill="DDDDDD"/>
          </w:tcPr>
          <w:p>
            <w:pPr>
              <w:jc w:val="right"/>
              <w:spacing w:after="0"/>
              <w:rPr>
                <w:sz w:val="20"/>
                <w:szCs w:val="20"/>
                <w:color w:val="auto"/>
              </w:rPr>
            </w:pPr>
            <w:r>
              <w:rPr>
                <w:rFonts w:ascii="Arial" w:cs="Arial" w:eastAsia="Arial" w:hAnsi="Arial"/>
                <w:sz w:val="17"/>
                <w:szCs w:val="17"/>
                <w:color w:val="2573BA"/>
              </w:rPr>
              <w:t>3,451.7</w:t>
            </w:r>
          </w:p>
        </w:tc>
        <w:tc>
          <w:tcPr>
            <w:tcW w:w="100" w:type="dxa"/>
            <w:vAlign w:val="bottom"/>
            <w:vMerge w:val="restart"/>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3,197.3</w:t>
            </w:r>
          </w:p>
        </w:tc>
        <w:tc>
          <w:tcPr>
            <w:tcW w:w="100" w:type="dxa"/>
            <w:vAlign w:val="bottom"/>
          </w:tcPr>
          <w:p>
            <w:pPr>
              <w:spacing w:after="0"/>
              <w:rPr>
                <w:sz w:val="17"/>
                <w:szCs w:val="17"/>
                <w:color w:val="auto"/>
              </w:rPr>
            </w:pPr>
          </w:p>
        </w:tc>
        <w:tc>
          <w:tcPr>
            <w:tcW w:w="280" w:type="dxa"/>
            <w:vAlign w:val="bottom"/>
            <w:vMerge w:val="restart"/>
          </w:tcPr>
          <w:p>
            <w:pPr>
              <w:jc w:val="right"/>
              <w:ind w:right="75"/>
              <w:spacing w:after="0"/>
              <w:rPr>
                <w:sz w:val="20"/>
                <w:szCs w:val="20"/>
                <w:color w:val="auto"/>
              </w:rPr>
            </w:pPr>
            <w:r>
              <w:rPr>
                <w:rFonts w:ascii="Arial" w:cs="Arial" w:eastAsia="Arial" w:hAnsi="Arial"/>
                <w:sz w:val="17"/>
                <w:szCs w:val="17"/>
                <w:color w:val="auto"/>
              </w:rPr>
              <w:t>$</w:t>
            </w: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3,174.2</w:t>
            </w:r>
          </w:p>
        </w:tc>
        <w:tc>
          <w:tcPr>
            <w:tcW w:w="0" w:type="dxa"/>
            <w:vAlign w:val="bottom"/>
          </w:tcPr>
          <w:p>
            <w:pPr>
              <w:spacing w:after="0"/>
              <w:rPr>
                <w:sz w:val="1"/>
                <w:szCs w:val="1"/>
                <w:color w:val="auto"/>
              </w:rPr>
            </w:pPr>
          </w:p>
        </w:tc>
      </w:tr>
      <w:tr>
        <w:trPr>
          <w:trHeight w:val="249"/>
        </w:trPr>
        <w:tc>
          <w:tcPr>
            <w:tcW w:w="1720" w:type="dxa"/>
            <w:vAlign w:val="bottom"/>
          </w:tcPr>
          <w:p>
            <w:pPr>
              <w:ind w:left="20"/>
              <w:spacing w:after="0"/>
              <w:rPr>
                <w:sz w:val="20"/>
                <w:szCs w:val="20"/>
                <w:color w:val="auto"/>
              </w:rPr>
            </w:pPr>
            <w:r>
              <w:rPr>
                <w:rFonts w:ascii="Arial" w:cs="Arial" w:eastAsia="Arial" w:hAnsi="Arial"/>
                <w:sz w:val="17"/>
                <w:szCs w:val="17"/>
                <w:color w:val="auto"/>
              </w:rPr>
              <w:t>U.S.</w:t>
            </w:r>
          </w:p>
        </w:tc>
        <w:tc>
          <w:tcPr>
            <w:tcW w:w="120" w:type="dxa"/>
            <w:vAlign w:val="bottom"/>
            <w:tcBorders>
              <w:bottom w:val="single" w:sz="8" w:color="auto"/>
            </w:tcBorders>
            <w:vMerge w:val="continue"/>
            <w:shd w:val="clear" w:color="auto" w:fill="DDDDDD"/>
          </w:tcPr>
          <w:p>
            <w:pPr>
              <w:spacing w:after="0"/>
              <w:rPr>
                <w:sz w:val="21"/>
                <w:szCs w:val="21"/>
                <w:color w:val="auto"/>
              </w:rPr>
            </w:pPr>
          </w:p>
        </w:tc>
        <w:tc>
          <w:tcPr>
            <w:tcW w:w="1060" w:type="dxa"/>
            <w:vAlign w:val="bottom"/>
            <w:tcBorders>
              <w:bottom w:val="single" w:sz="8" w:color="auto"/>
              <w:right w:val="single" w:sz="8" w:color="DDDDDD"/>
            </w:tcBorders>
            <w:vMerge w:val="continue"/>
            <w:shd w:val="clear" w:color="auto" w:fill="DDDDDD"/>
          </w:tcPr>
          <w:p>
            <w:pPr>
              <w:spacing w:after="0"/>
              <w:rPr>
                <w:sz w:val="21"/>
                <w:szCs w:val="21"/>
                <w:color w:val="auto"/>
              </w:rPr>
            </w:pPr>
          </w:p>
        </w:tc>
        <w:tc>
          <w:tcPr>
            <w:tcW w:w="100" w:type="dxa"/>
            <w:vAlign w:val="bottom"/>
            <w:vMerge w:val="continue"/>
          </w:tcPr>
          <w:p>
            <w:pPr>
              <w:spacing w:after="0"/>
              <w:rPr>
                <w:sz w:val="21"/>
                <w:szCs w:val="21"/>
                <w:color w:val="auto"/>
              </w:rPr>
            </w:pPr>
          </w:p>
        </w:tc>
        <w:tc>
          <w:tcPr>
            <w:tcW w:w="140" w:type="dxa"/>
            <w:vAlign w:val="bottom"/>
            <w:tcBorders>
              <w:bottom w:val="single" w:sz="8" w:color="auto"/>
            </w:tcBorders>
            <w:vMerge w:val="continue"/>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vMerge w:val="continue"/>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1720" w:type="dxa"/>
            <w:vAlign w:val="bottom"/>
          </w:tcPr>
          <w:p>
            <w:pPr>
              <w:ind w:left="20"/>
              <w:spacing w:after="0" w:line="171" w:lineRule="exact"/>
              <w:rPr>
                <w:sz w:val="20"/>
                <w:szCs w:val="20"/>
                <w:color w:val="auto"/>
              </w:rPr>
            </w:pPr>
            <w:r>
              <w:rPr>
                <w:rFonts w:ascii="Arial" w:cs="Arial" w:eastAsia="Arial" w:hAnsi="Arial"/>
                <w:sz w:val="17"/>
                <w:szCs w:val="17"/>
                <w:color w:val="auto"/>
              </w:rPr>
              <w:t>Biogen's share of pre-</w:t>
            </w:r>
          </w:p>
        </w:tc>
        <w:tc>
          <w:tcPr>
            <w:tcW w:w="120" w:type="dxa"/>
            <w:vAlign w:val="bottom"/>
            <w:vMerge w:val="restart"/>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060" w:type="dxa"/>
            <w:vAlign w:val="bottom"/>
            <w:tcBorders>
              <w:right w:val="single" w:sz="8" w:color="DDDDDD"/>
            </w:tcBorders>
            <w:vMerge w:val="restart"/>
            <w:shd w:val="clear" w:color="auto" w:fill="DDDDDD"/>
          </w:tcPr>
          <w:p>
            <w:pPr>
              <w:jc w:val="right"/>
              <w:spacing w:after="0"/>
              <w:rPr>
                <w:sz w:val="20"/>
                <w:szCs w:val="20"/>
                <w:color w:val="auto"/>
              </w:rPr>
            </w:pPr>
            <w:r>
              <w:rPr>
                <w:rFonts w:ascii="Arial" w:cs="Arial" w:eastAsia="Arial" w:hAnsi="Arial"/>
                <w:sz w:val="17"/>
                <w:szCs w:val="17"/>
                <w:color w:val="2573BA"/>
              </w:rPr>
              <w:t>1,316.4</w:t>
            </w:r>
          </w:p>
        </w:tc>
        <w:tc>
          <w:tcPr>
            <w:tcW w:w="24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1,249.5</w:t>
            </w:r>
          </w:p>
        </w:tc>
        <w:tc>
          <w:tcPr>
            <w:tcW w:w="100" w:type="dxa"/>
            <w:vAlign w:val="bottom"/>
          </w:tcPr>
          <w:p>
            <w:pPr>
              <w:spacing w:after="0"/>
              <w:rPr>
                <w:sz w:val="14"/>
                <w:szCs w:val="14"/>
                <w:color w:val="auto"/>
              </w:rPr>
            </w:pPr>
          </w:p>
        </w:tc>
        <w:tc>
          <w:tcPr>
            <w:tcW w:w="280" w:type="dxa"/>
            <w:vAlign w:val="bottom"/>
            <w:vMerge w:val="restart"/>
          </w:tcPr>
          <w:p>
            <w:pPr>
              <w:jc w:val="right"/>
              <w:ind w:right="75"/>
              <w:spacing w:after="0"/>
              <w:rPr>
                <w:sz w:val="20"/>
                <w:szCs w:val="20"/>
                <w:color w:val="auto"/>
              </w:rPr>
            </w:pPr>
            <w:r>
              <w:rPr>
                <w:rFonts w:ascii="Arial" w:cs="Arial" w:eastAsia="Arial" w:hAnsi="Arial"/>
                <w:sz w:val="17"/>
                <w:szCs w:val="17"/>
                <w:color w:val="auto"/>
              </w:rPr>
              <w:t>$</w:t>
            </w: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1,269.8</w:t>
            </w:r>
          </w:p>
        </w:tc>
        <w:tc>
          <w:tcPr>
            <w:tcW w:w="0" w:type="dxa"/>
            <w:vAlign w:val="bottom"/>
          </w:tcPr>
          <w:p>
            <w:pPr>
              <w:spacing w:after="0"/>
              <w:rPr>
                <w:sz w:val="1"/>
                <w:szCs w:val="1"/>
                <w:color w:val="auto"/>
              </w:rPr>
            </w:pPr>
          </w:p>
        </w:tc>
      </w:tr>
      <w:tr>
        <w:trPr>
          <w:trHeight w:val="205"/>
        </w:trPr>
        <w:tc>
          <w:tcPr>
            <w:tcW w:w="1720" w:type="dxa"/>
            <w:vAlign w:val="bottom"/>
          </w:tcPr>
          <w:p>
            <w:pPr>
              <w:ind w:left="20"/>
              <w:spacing w:after="0"/>
              <w:rPr>
                <w:sz w:val="20"/>
                <w:szCs w:val="20"/>
                <w:color w:val="auto"/>
              </w:rPr>
            </w:pPr>
            <w:r>
              <w:rPr>
                <w:rFonts w:ascii="Arial" w:cs="Arial" w:eastAsia="Arial" w:hAnsi="Arial"/>
                <w:sz w:val="17"/>
                <w:szCs w:val="17"/>
                <w:color w:val="auto"/>
              </w:rPr>
              <w:t>tax profits</w:t>
            </w:r>
          </w:p>
        </w:tc>
        <w:tc>
          <w:tcPr>
            <w:tcW w:w="120" w:type="dxa"/>
            <w:vAlign w:val="bottom"/>
            <w:vMerge w:val="continue"/>
            <w:shd w:val="clear" w:color="auto" w:fill="DDDDDD"/>
          </w:tcPr>
          <w:p>
            <w:pPr>
              <w:spacing w:after="0"/>
              <w:rPr>
                <w:sz w:val="17"/>
                <w:szCs w:val="17"/>
                <w:color w:val="auto"/>
              </w:rPr>
            </w:pPr>
          </w:p>
        </w:tc>
        <w:tc>
          <w:tcPr>
            <w:tcW w:w="1060" w:type="dxa"/>
            <w:vAlign w:val="bottom"/>
            <w:tcBorders>
              <w:right w:val="single" w:sz="8" w:color="DDDDDD"/>
            </w:tcBorders>
            <w:vMerge w:val="continue"/>
            <w:shd w:val="clear" w:color="auto" w:fill="DDDDDD"/>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ind w:firstLine="410"/>
        <w:spacing w:after="0" w:line="257" w:lineRule="auto"/>
        <w:rPr>
          <w:sz w:val="20"/>
          <w:szCs w:val="20"/>
          <w:color w:val="auto"/>
        </w:rPr>
      </w:pPr>
      <w:r>
        <w:rPr>
          <w:rFonts w:ascii="Arial" w:cs="Arial" w:eastAsia="Arial" w:hAnsi="Arial"/>
          <w:sz w:val="17"/>
          <w:szCs w:val="17"/>
          <w:color w:val="auto"/>
        </w:rPr>
        <w:t>In November 2017 the FDA approved GAZYVA in combination with chemotherapy, followed by GAZYVA alone, for people with previously untreated advanced follicular lymphoma.</w:t>
      </w:r>
    </w:p>
    <w:p>
      <w:pPr>
        <w:spacing w:after="0" w:line="140" w:lineRule="exact"/>
        <w:rPr>
          <w:sz w:val="20"/>
          <w:szCs w:val="20"/>
          <w:color w:val="auto"/>
        </w:rPr>
      </w:pPr>
    </w:p>
    <w:p>
      <w:pPr>
        <w:ind w:right="60" w:firstLine="410"/>
        <w:spacing w:after="0" w:line="253" w:lineRule="auto"/>
        <w:rPr>
          <w:sz w:val="20"/>
          <w:szCs w:val="20"/>
          <w:color w:val="auto"/>
        </w:rPr>
      </w:pPr>
      <w:r>
        <w:rPr>
          <w:rFonts w:ascii="Arial" w:cs="Arial" w:eastAsia="Arial" w:hAnsi="Arial"/>
          <w:sz w:val="17"/>
          <w:szCs w:val="17"/>
          <w:color w:val="auto"/>
        </w:rPr>
        <w:t>In June 2017 the FDA approved RITUXAN HYCELA for subcutaneous injection for the treatment of adults with previously untreated and relapsed or refractory follicular lymphoma, previously untreated diffuse large B-cell lymphoma and CLL. This new treatment includes the same monoclonal antibody as intravenous RITUXAN in combination with hyaluronidase human, an enzyme that helps to deliver rituximab under the skin.</w:t>
      </w:r>
    </w:p>
    <w:p>
      <w:pPr>
        <w:spacing w:after="0" w:line="146" w:lineRule="exact"/>
        <w:rPr>
          <w:sz w:val="20"/>
          <w:szCs w:val="20"/>
          <w:color w:val="auto"/>
        </w:rPr>
      </w:pPr>
    </w:p>
    <w:p>
      <w:pPr>
        <w:ind w:firstLine="384"/>
        <w:spacing w:after="0" w:line="255" w:lineRule="auto"/>
        <w:rPr>
          <w:sz w:val="20"/>
          <w:szCs w:val="20"/>
          <w:color w:val="auto"/>
        </w:rPr>
      </w:pPr>
      <w:r>
        <w:rPr>
          <w:rFonts w:ascii="Arial" w:cs="Arial" w:eastAsia="Arial" w:hAnsi="Arial"/>
          <w:sz w:val="17"/>
          <w:szCs w:val="17"/>
          <w:color w:val="auto"/>
        </w:rPr>
        <w:t>For 2017 compared to 2016, the increase in U.S. product revenues was primarily due to selling price increases and an increase in RITUXAN and GAZYA unit sales volume of 2% and 6%, respectively, partially offset by higher discounts and allowances.</w:t>
      </w:r>
    </w:p>
    <w:p>
      <w:pPr>
        <w:spacing w:after="0" w:line="143" w:lineRule="exact"/>
        <w:rPr>
          <w:sz w:val="20"/>
          <w:szCs w:val="20"/>
          <w:color w:val="auto"/>
        </w:rPr>
      </w:pPr>
    </w:p>
    <w:p>
      <w:pPr>
        <w:ind w:right="40" w:firstLine="384"/>
        <w:spacing w:after="0" w:line="255" w:lineRule="auto"/>
        <w:rPr>
          <w:sz w:val="20"/>
          <w:szCs w:val="20"/>
          <w:color w:val="auto"/>
        </w:rPr>
      </w:pPr>
      <w:r>
        <w:rPr>
          <w:rFonts w:ascii="Arial" w:cs="Arial" w:eastAsia="Arial" w:hAnsi="Arial"/>
          <w:sz w:val="17"/>
          <w:szCs w:val="17"/>
          <w:color w:val="auto"/>
        </w:rPr>
        <w:t>For 2016 compared to 2015, the increase in U.S. product revenues was primarily due to an increase in GAZYVA unit sales volume of 41%, an increase in RITUXAN unit sales of 1% and selling price increases, partially offset by higher RITUXAN discounts and allowances.</w:t>
      </w:r>
    </w:p>
    <w:p>
      <w:pPr>
        <w:spacing w:after="0" w:line="143" w:lineRule="exact"/>
        <w:rPr>
          <w:sz w:val="20"/>
          <w:szCs w:val="20"/>
          <w:color w:val="auto"/>
        </w:rPr>
      </w:pPr>
    </w:p>
    <w:p>
      <w:pPr>
        <w:ind w:firstLine="384"/>
        <w:spacing w:after="0" w:line="252" w:lineRule="auto"/>
        <w:rPr>
          <w:sz w:val="20"/>
          <w:szCs w:val="20"/>
          <w:color w:val="auto"/>
        </w:rPr>
      </w:pPr>
      <w:r>
        <w:rPr>
          <w:rFonts w:ascii="Arial" w:cs="Arial" w:eastAsia="Arial" w:hAnsi="Arial"/>
          <w:sz w:val="17"/>
          <w:szCs w:val="17"/>
          <w:color w:val="auto"/>
        </w:rPr>
        <w:t>Collaboration costs and expenses for 2017, as depicted in the table above, excludes certain expenses charged to the collaboration by Genentech that we believe remain the responsibility of Genentech and that we are not obligated to pay under the terms of the collaboration agreement. Accordingly, we did not recognize the effect of those expenses in the determination of our share of pre-tax collaboration profits and Genentech has withheld approximately $120 million from amounts due to us in relation to collaboration activity for 2017, representing Genentech’s estimate of our share of these expenses. We remain in discussions with Genentech about a resolution relating to these amounts.</w:t>
      </w:r>
    </w:p>
    <w:p>
      <w:pPr>
        <w:spacing w:after="0" w:line="150" w:lineRule="exact"/>
        <w:rPr>
          <w:sz w:val="20"/>
          <w:szCs w:val="20"/>
          <w:color w:val="auto"/>
        </w:rPr>
      </w:pPr>
    </w:p>
    <w:p>
      <w:pPr>
        <w:ind w:right="60" w:firstLine="384"/>
        <w:spacing w:after="0" w:line="254" w:lineRule="auto"/>
        <w:rPr>
          <w:sz w:val="20"/>
          <w:szCs w:val="20"/>
          <w:color w:val="auto"/>
        </w:rPr>
      </w:pPr>
      <w:r>
        <w:rPr>
          <w:rFonts w:ascii="Arial" w:cs="Arial" w:eastAsia="Arial" w:hAnsi="Arial"/>
          <w:sz w:val="17"/>
          <w:szCs w:val="17"/>
          <w:color w:val="auto"/>
        </w:rPr>
        <w:t>Excluding amounts under dispute, collaboration costs and expenses for 2017 compared to 2016 increased primarily due to higher branded pharmaceutical drug fees and an increase in RITUXAN selling and marketing costs, partially offset by a decrease in GAZYVA research and development costs.</w:t>
      </w:r>
    </w:p>
    <w:p>
      <w:pPr>
        <w:spacing w:after="0" w:line="144" w:lineRule="exact"/>
        <w:rPr>
          <w:sz w:val="20"/>
          <w:szCs w:val="20"/>
          <w:color w:val="auto"/>
        </w:rPr>
      </w:pPr>
    </w:p>
    <w:p>
      <w:pPr>
        <w:jc w:val="both"/>
        <w:ind w:right="400" w:firstLine="410"/>
        <w:spacing w:after="0" w:line="257" w:lineRule="auto"/>
        <w:rPr>
          <w:sz w:val="20"/>
          <w:szCs w:val="20"/>
          <w:color w:val="auto"/>
        </w:rPr>
      </w:pPr>
      <w:r>
        <w:rPr>
          <w:rFonts w:ascii="Arial" w:cs="Arial" w:eastAsia="Arial" w:hAnsi="Arial"/>
          <w:sz w:val="17"/>
          <w:szCs w:val="17"/>
          <w:color w:val="auto"/>
        </w:rPr>
        <w:t>Collaboration costs and expenses for 2016 compared to 2015 increased primarily due to an increase in RITUXAN product cost of sales.</w:t>
      </w:r>
    </w:p>
    <w:p>
      <w:pPr>
        <w:spacing w:after="0" w:line="1152" w:lineRule="exact"/>
        <w:rPr>
          <w:sz w:val="20"/>
          <w:szCs w:val="20"/>
          <w:color w:val="auto"/>
        </w:rPr>
      </w:pPr>
    </w:p>
    <w:p>
      <w:pPr>
        <w:sectPr>
          <w:pgSz w:w="11900" w:h="16838" w:orient="portrait"/>
          <w:cols w:equalWidth="0" w:num="2">
            <w:col w:w="5480" w:space="460"/>
            <w:col w:w="5480"/>
          </w:cols>
          <w:pgMar w:left="240" w:top="144" w:right="239" w:bottom="1440" w:gutter="0" w:footer="0" w:header="0"/>
        </w:sectPr>
      </w:pPr>
    </w:p>
    <w:p>
      <w:pPr>
        <w:ind w:left="420"/>
        <w:spacing w:after="0"/>
        <w:rPr>
          <w:sz w:val="20"/>
          <w:szCs w:val="20"/>
          <w:color w:val="auto"/>
        </w:rPr>
      </w:pPr>
      <w:r>
        <w:rPr>
          <w:rFonts w:ascii="Arial" w:cs="Arial" w:eastAsia="Arial" w:hAnsi="Arial"/>
          <w:sz w:val="17"/>
          <w:szCs w:val="17"/>
          <w:color w:val="auto"/>
        </w:rPr>
        <w:t>Our share of RITUXAN annual pre-tax co-promotion profits in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U.S. in excess of $50.0 million decreased to 39% from 40% in February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2016 when GAZYVA was approved by the FDA as a new treatment for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follicular lymphoma and further decreased to 37.5% in the third quarter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of 2017 as gross sales of GAZYVA in the U.S. for the preceding 12-</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month period exceeded $150.0 million.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144" w:right="239" w:bottom="1440" w:gutter="0" w:footer="0" w:header="0"/>
          <w:type w:val="continuous"/>
        </w:sectPr>
      </w:pPr>
    </w:p>
    <w:bookmarkStart w:id="65" w:name="page66"/>
    <w:bookmarkEnd w:id="6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4"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538235"/>
        </w:rPr>
        <w:t>Other Revenues from Anti-CD20 Therapeutic Programs</w:t>
      </w:r>
    </w:p>
    <w:p>
      <w:pPr>
        <w:spacing w:after="0" w:line="104" w:lineRule="exact"/>
        <w:rPr>
          <w:sz w:val="20"/>
          <w:szCs w:val="20"/>
          <w:color w:val="auto"/>
        </w:rPr>
      </w:pPr>
    </w:p>
    <w:p>
      <w:pPr>
        <w:ind w:right="40" w:firstLine="410"/>
        <w:spacing w:after="0" w:line="257" w:lineRule="auto"/>
        <w:rPr>
          <w:sz w:val="20"/>
          <w:szCs w:val="20"/>
          <w:color w:val="auto"/>
        </w:rPr>
      </w:pPr>
      <w:r>
        <w:rPr>
          <w:rFonts w:ascii="Arial" w:cs="Arial" w:eastAsia="Arial" w:hAnsi="Arial"/>
          <w:sz w:val="17"/>
          <w:szCs w:val="17"/>
          <w:color w:val="auto"/>
        </w:rPr>
        <w:t>Other revenues from anti-CD20 therapeutic programs primarily consist of royalty revenues on sales of OCREVUS and our share of pre-tax co-promotion profits on RITUXAN in Canada.</w:t>
      </w:r>
    </w:p>
    <w:p>
      <w:pPr>
        <w:spacing w:after="0" w:line="140" w:lineRule="exact"/>
        <w:rPr>
          <w:sz w:val="20"/>
          <w:szCs w:val="20"/>
          <w:color w:val="auto"/>
        </w:rPr>
      </w:pPr>
    </w:p>
    <w:p>
      <w:pPr>
        <w:ind w:right="500" w:firstLine="410"/>
        <w:spacing w:after="0" w:line="257" w:lineRule="auto"/>
        <w:rPr>
          <w:sz w:val="20"/>
          <w:szCs w:val="20"/>
          <w:color w:val="auto"/>
        </w:rPr>
      </w:pPr>
      <w:r>
        <w:rPr>
          <w:rFonts w:ascii="Arial" w:cs="Arial" w:eastAsia="Arial" w:hAnsi="Arial"/>
          <w:sz w:val="17"/>
          <w:szCs w:val="17"/>
          <w:color w:val="auto"/>
        </w:rPr>
        <w:t>For 2017 compared to 2016, other revenues from anti-CD20 therapeutic programs increased primarily due to the launch of OCREVUS in the second quarter of 2017.</w:t>
      </w:r>
    </w:p>
    <w:p>
      <w:pPr>
        <w:spacing w:after="0" w:line="140" w:lineRule="exact"/>
        <w:rPr>
          <w:sz w:val="20"/>
          <w:szCs w:val="20"/>
          <w:color w:val="auto"/>
        </w:rPr>
      </w:pPr>
    </w:p>
    <w:p>
      <w:pPr>
        <w:ind w:right="500" w:firstLine="410"/>
        <w:spacing w:after="0" w:line="257" w:lineRule="auto"/>
        <w:rPr>
          <w:sz w:val="20"/>
          <w:szCs w:val="20"/>
          <w:color w:val="auto"/>
        </w:rPr>
      </w:pPr>
      <w:r>
        <w:rPr>
          <w:rFonts w:ascii="Arial" w:cs="Arial" w:eastAsia="Arial" w:hAnsi="Arial"/>
          <w:sz w:val="17"/>
          <w:szCs w:val="17"/>
          <w:color w:val="auto"/>
        </w:rPr>
        <w:t>For 2016 compared to 2015, other revenues from anti-CD20 therapeutic programs decreased as a result of lower pre-tax co-promotion profits on RITUXAN in Canada.</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OCREVUS</w:t>
      </w:r>
    </w:p>
    <w:p>
      <w:pPr>
        <w:spacing w:after="0" w:line="104"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In March 2017 the FDA approved OCREVUS, a humanized anti-CD20 monoclonal antibody, for the treatment of RMS and PPMS. Under our agreement with Genentech, we will receive a tiered royalty on U.S. net sales from 13.5% and increasing up to 24% if annual net sales exceed $900.0 million. There will be a 50% reduction to these royalties if a biosimilar to OCREVUS is approved in the 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In addition, we will receive a 3% royalty on net sales of OCREVUS outside the U.S., with the royalty period lasting 11 years from the first commercial sale of OCREVUS on a country-by-country basis. OCREVUS was approved for treatment of RMS and PPMS in Australia, Switzerland and the E.U. in July 2017, September 2017 and January 2018, respectively. Marketing applications for OCREVUS are currently under review in numerous markets worldwide, including in Latin America and the Middle East.</w:t>
      </w:r>
    </w:p>
    <w:p>
      <w:pPr>
        <w:spacing w:after="0" w:line="144" w:lineRule="exact"/>
        <w:rPr>
          <w:sz w:val="20"/>
          <w:szCs w:val="20"/>
          <w:color w:val="auto"/>
        </w:rPr>
      </w:pPr>
    </w:p>
    <w:p>
      <w:pPr>
        <w:ind w:right="60" w:firstLine="410"/>
        <w:spacing w:after="0" w:line="252" w:lineRule="auto"/>
        <w:rPr>
          <w:sz w:val="20"/>
          <w:szCs w:val="20"/>
          <w:color w:val="auto"/>
        </w:rPr>
      </w:pPr>
      <w:r>
        <w:rPr>
          <w:rFonts w:ascii="Arial" w:cs="Arial" w:eastAsia="Arial" w:hAnsi="Arial"/>
          <w:sz w:val="17"/>
          <w:szCs w:val="17"/>
          <w:color w:val="auto"/>
        </w:rPr>
        <w:t>The commercialization of OCREVUS does not impact the percentage of the co-promotion profits we receive for RITUXAN or GAZYVA. Genentech is solely responsible for development and commercialization of OCREVUS and funding future costs. OCREVUS royalty revenues were based on our estimates from third party and market research data of OCREVUS sales occurring during the corresponding period. Differences between actual and estimated royalty revenues will be adjusted for in the period in which they become known, which is expected to be the following quarter.</w:t>
      </w:r>
    </w:p>
    <w:p>
      <w:pPr>
        <w:spacing w:after="0" w:line="151" w:lineRule="exact"/>
        <w:rPr>
          <w:sz w:val="20"/>
          <w:szCs w:val="20"/>
          <w:color w:val="auto"/>
        </w:rPr>
      </w:pPr>
    </w:p>
    <w:p>
      <w:pPr>
        <w:ind w:right="40" w:firstLine="410"/>
        <w:spacing w:after="0" w:line="254" w:lineRule="auto"/>
        <w:rPr>
          <w:sz w:val="20"/>
          <w:szCs w:val="20"/>
          <w:color w:val="auto"/>
        </w:rPr>
      </w:pPr>
      <w:r>
        <w:rPr>
          <w:rFonts w:ascii="Arial" w:cs="Arial" w:eastAsia="Arial" w:hAnsi="Arial"/>
          <w:sz w:val="17"/>
          <w:szCs w:val="17"/>
          <w:color w:val="auto"/>
        </w:rPr>
        <w:t xml:space="preserve">For additional information on our collaboration with Genentech, including information regarding the pre-tax profit sharing formula and its impact on future revenues from anti-CD20 therapeutic programs, please read Note 20, </w:t>
      </w:r>
      <w:r>
        <w:rPr>
          <w:rFonts w:ascii="Arial" w:cs="Arial" w:eastAsia="Arial" w:hAnsi="Arial"/>
          <w:sz w:val="17"/>
          <w:szCs w:val="17"/>
          <w:i w:val="1"/>
          <w:iCs w:val="1"/>
          <w:color w:val="auto"/>
        </w:rPr>
        <w:t>Collaborative and Other Relationships,</w:t>
      </w:r>
      <w:r>
        <w:rPr>
          <w:rFonts w:ascii="Arial" w:cs="Arial" w:eastAsia="Arial" w:hAnsi="Arial"/>
          <w:sz w:val="17"/>
          <w:szCs w:val="17"/>
          <w:color w:val="auto"/>
        </w:rPr>
        <w:t xml:space="preserve"> to our consolidated financial statements included in this report.</w:t>
      </w:r>
    </w:p>
    <w:p>
      <w:pPr>
        <w:spacing w:after="0" w:line="200" w:lineRule="exact"/>
        <w:rPr>
          <w:sz w:val="20"/>
          <w:szCs w:val="20"/>
          <w:color w:val="auto"/>
        </w:rPr>
      </w:pPr>
    </w:p>
    <w:p>
      <w:pPr>
        <w:sectPr>
          <w:pgSz w:w="11900" w:h="16838" w:orient="portrait"/>
          <w:cols w:equalWidth="0" w:num="2">
            <w:col w:w="5460" w:space="480"/>
            <w:col w:w="5480"/>
          </w:cols>
          <w:pgMar w:left="240" w:top="144"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Other Revenues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Other revenues are summarized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For The Years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60" w:type="dxa"/>
            <w:vAlign w:val="bottom"/>
            <w:tcBorders>
              <w:bottom w:val="single" w:sz="8" w:color="auto"/>
            </w:tcBorders>
            <w:gridSpan w:val="4"/>
          </w:tcPr>
          <w:p>
            <w:pPr>
              <w:jc w:val="right"/>
              <w:ind w:right="110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39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Borders>
              <w:top w:val="single" w:sz="8" w:color="DDDDDD"/>
              <w:bottom w:val="single" w:sz="8" w:color="DDDDDD"/>
            </w:tcBorders>
            <w:gridSpan w:val="2"/>
            <w:vMerge w:val="restart"/>
            <w:shd w:val="clear" w:color="auto" w:fill="DDDDDD"/>
          </w:tcPr>
          <w:p>
            <w:pPr>
              <w:jc w:val="right"/>
              <w:ind w:right="75"/>
              <w:spacing w:after="0"/>
              <w:rPr>
                <w:sz w:val="20"/>
                <w:szCs w:val="20"/>
                <w:color w:val="auto"/>
              </w:rPr>
            </w:pPr>
            <w:r>
              <w:rPr>
                <w:rFonts w:ascii="Arial" w:cs="Arial" w:eastAsia="Arial" w:hAnsi="Arial"/>
                <w:sz w:val="14"/>
                <w:szCs w:val="14"/>
                <w:b w:val="1"/>
                <w:bCs w:val="1"/>
                <w:color w:val="257ACB"/>
              </w:rPr>
              <w:t>2017 compared to</w:t>
            </w:r>
          </w:p>
        </w:tc>
        <w:tc>
          <w:tcPr>
            <w:tcW w:w="100" w:type="dxa"/>
            <w:vAlign w:val="bottom"/>
          </w:tcPr>
          <w:p>
            <w:pPr>
              <w:spacing w:after="0"/>
              <w:rPr>
                <w:sz w:val="15"/>
                <w:szCs w:val="15"/>
                <w:color w:val="auto"/>
              </w:rPr>
            </w:pPr>
          </w:p>
        </w:tc>
        <w:tc>
          <w:tcPr>
            <w:tcW w:w="148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rPr>
              <w:t>2016 compared to</w:t>
            </w:r>
          </w:p>
        </w:tc>
        <w:tc>
          <w:tcPr>
            <w:tcW w:w="0" w:type="dxa"/>
            <w:vAlign w:val="bottom"/>
          </w:tcPr>
          <w:p>
            <w:pPr>
              <w:spacing w:after="0"/>
              <w:rPr>
                <w:sz w:val="1"/>
                <w:szCs w:val="1"/>
                <w:color w:val="auto"/>
              </w:rPr>
            </w:pPr>
          </w:p>
        </w:tc>
      </w:tr>
      <w:tr>
        <w:trPr>
          <w:trHeight w:val="65"/>
        </w:trPr>
        <w:tc>
          <w:tcPr>
            <w:tcW w:w="3980" w:type="dxa"/>
            <w:vAlign w:val="bottom"/>
          </w:tcPr>
          <w:p>
            <w:pPr>
              <w:spacing w:after="0"/>
              <w:rPr>
                <w:sz w:val="5"/>
                <w:szCs w:val="5"/>
                <w:color w:val="auto"/>
              </w:rPr>
            </w:pPr>
          </w:p>
        </w:tc>
        <w:tc>
          <w:tcPr>
            <w:tcW w:w="320" w:type="dxa"/>
            <w:vAlign w:val="bottom"/>
            <w:shd w:val="clear" w:color="auto" w:fill="DDDDDD"/>
          </w:tcPr>
          <w:p>
            <w:pPr>
              <w:spacing w:after="0"/>
              <w:rPr>
                <w:sz w:val="5"/>
                <w:szCs w:val="5"/>
                <w:color w:val="auto"/>
              </w:rPr>
            </w:pPr>
          </w:p>
        </w:tc>
        <w:tc>
          <w:tcPr>
            <w:tcW w:w="1020" w:type="dxa"/>
            <w:vAlign w:val="bottom"/>
            <w:shd w:val="clear" w:color="auto" w:fill="DDDDDD"/>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80" w:type="dxa"/>
            <w:vAlign w:val="bottom"/>
            <w:gridSpan w:val="2"/>
            <w:vMerge w:val="continue"/>
            <w:shd w:val="clear" w:color="auto" w:fill="DDDDDD"/>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3980" w:type="dxa"/>
            <w:vAlign w:val="bottom"/>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320" w:type="dxa"/>
            <w:vAlign w:val="bottom"/>
            <w:shd w:val="clear" w:color="auto" w:fill="DDDDDD"/>
          </w:tcPr>
          <w:p>
            <w:pPr>
              <w:spacing w:after="0"/>
              <w:rPr>
                <w:sz w:val="16"/>
                <w:szCs w:val="16"/>
                <w:color w:val="auto"/>
              </w:rPr>
            </w:pPr>
          </w:p>
        </w:tc>
        <w:tc>
          <w:tcPr>
            <w:tcW w:w="1020" w:type="dxa"/>
            <w:vAlign w:val="bottom"/>
            <w:shd w:val="clear" w:color="auto" w:fill="DDDDDD"/>
          </w:tcPr>
          <w:p>
            <w:pPr>
              <w:jc w:val="right"/>
              <w:ind w:right="439"/>
              <w:spacing w:after="0"/>
              <w:rPr>
                <w:sz w:val="20"/>
                <w:szCs w:val="20"/>
                <w:color w:val="auto"/>
              </w:rPr>
            </w:pPr>
            <w:r>
              <w:rPr>
                <w:rFonts w:ascii="Arial" w:cs="Arial" w:eastAsia="Arial" w:hAnsi="Arial"/>
                <w:sz w:val="14"/>
                <w:szCs w:val="14"/>
                <w:b w:val="1"/>
                <w:bCs w:val="1"/>
                <w:color w:val="257ACB"/>
              </w:rPr>
              <w:t>2017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44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9"/>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1240" w:type="dxa"/>
            <w:vAlign w:val="bottom"/>
            <w:shd w:val="clear" w:color="auto" w:fill="DDDDDD"/>
          </w:tcPr>
          <w:p>
            <w:pPr>
              <w:jc w:val="right"/>
              <w:ind w:right="283"/>
              <w:spacing w:after="0"/>
              <w:rPr>
                <w:sz w:val="20"/>
                <w:szCs w:val="20"/>
                <w:color w:val="auto"/>
              </w:rPr>
            </w:pPr>
            <w:r>
              <w:rPr>
                <w:rFonts w:ascii="Arial" w:cs="Arial" w:eastAsia="Arial" w:hAnsi="Arial"/>
                <w:sz w:val="14"/>
                <w:szCs w:val="14"/>
                <w:b w:val="1"/>
                <w:bCs w:val="1"/>
                <w:color w:val="257ACB"/>
              </w:rPr>
              <w:t>2016</w:t>
            </w:r>
          </w:p>
        </w:tc>
        <w:tc>
          <w:tcPr>
            <w:tcW w:w="240" w:type="dxa"/>
            <w:vAlign w:val="bottom"/>
            <w:shd w:val="clear" w:color="auto" w:fill="DDDDDD"/>
          </w:tcPr>
          <w:p>
            <w:pPr>
              <w:spacing w:after="0"/>
              <w:rPr>
                <w:sz w:val="16"/>
                <w:szCs w:val="16"/>
                <w:color w:val="auto"/>
              </w:rPr>
            </w:pPr>
          </w:p>
        </w:tc>
        <w:tc>
          <w:tcPr>
            <w:tcW w:w="1580" w:type="dxa"/>
            <w:vAlign w:val="bottom"/>
            <w:gridSpan w:val="2"/>
          </w:tcPr>
          <w:p>
            <w:pPr>
              <w:jc w:val="right"/>
              <w:ind w:right="50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5"/>
        </w:trPr>
        <w:tc>
          <w:tcPr>
            <w:tcW w:w="39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Revenues from collaborative and other</w:t>
            </w:r>
          </w:p>
        </w:tc>
        <w:tc>
          <w:tcPr>
            <w:tcW w:w="320" w:type="dxa"/>
            <w:vAlign w:val="bottom"/>
            <w:tcBorders>
              <w:top w:val="single" w:sz="8" w:color="auto"/>
            </w:tcBorders>
            <w:shd w:val="clear" w:color="auto" w:fill="DDDDDD"/>
          </w:tcPr>
          <w:p>
            <w:pPr>
              <w:spacing w:after="0"/>
              <w:rPr>
                <w:sz w:val="18"/>
                <w:szCs w:val="18"/>
                <w:color w:val="auto"/>
              </w:rPr>
            </w:pPr>
          </w:p>
        </w:tc>
        <w:tc>
          <w:tcPr>
            <w:tcW w:w="1020" w:type="dxa"/>
            <w:vAlign w:val="bottom"/>
            <w:tcBorders>
              <w:top w:val="single" w:sz="8" w:color="auto"/>
            </w:tcBorders>
            <w:shd w:val="clear" w:color="auto" w:fill="DDDDDD"/>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tcBorders>
            <w:shd w:val="clear" w:color="auto" w:fill="DDDDDD"/>
          </w:tcPr>
          <w:p>
            <w:pPr>
              <w:spacing w:after="0"/>
              <w:rPr>
                <w:sz w:val="18"/>
                <w:szCs w:val="18"/>
                <w:color w:val="auto"/>
              </w:rPr>
            </w:pPr>
          </w:p>
        </w:tc>
        <w:tc>
          <w:tcPr>
            <w:tcW w:w="240" w:type="dxa"/>
            <w:vAlign w:val="bottom"/>
            <w:tcBorders>
              <w:top w:val="single" w:sz="8" w:color="auto"/>
            </w:tcBorders>
            <w:shd w:val="clear" w:color="auto" w:fill="DDDDDD"/>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80" w:type="dxa"/>
            <w:vAlign w:val="bottom"/>
          </w:tcPr>
          <w:p>
            <w:pPr>
              <w:ind w:left="20"/>
              <w:spacing w:after="0"/>
              <w:rPr>
                <w:sz w:val="20"/>
                <w:szCs w:val="20"/>
                <w:color w:val="auto"/>
              </w:rPr>
            </w:pPr>
            <w:r>
              <w:rPr>
                <w:rFonts w:ascii="Arial" w:cs="Arial" w:eastAsia="Arial" w:hAnsi="Arial"/>
                <w:sz w:val="17"/>
                <w:szCs w:val="17"/>
                <w:color w:val="auto"/>
              </w:rPr>
              <w:t>relationships</w:t>
            </w:r>
          </w:p>
        </w:tc>
        <w:tc>
          <w:tcPr>
            <w:tcW w:w="320" w:type="dxa"/>
            <w:vAlign w:val="bottom"/>
            <w:shd w:val="clear" w:color="auto" w:fill="DDDDDD"/>
          </w:tcPr>
          <w:p>
            <w:pPr>
              <w:jc w:val="right"/>
              <w:ind w:right="115"/>
              <w:spacing w:after="0"/>
              <w:rPr>
                <w:sz w:val="20"/>
                <w:szCs w:val="20"/>
                <w:color w:val="auto"/>
              </w:rPr>
            </w:pPr>
            <w:r>
              <w:rPr>
                <w:rFonts w:ascii="Arial" w:cs="Arial" w:eastAsia="Arial" w:hAnsi="Arial"/>
                <w:sz w:val="17"/>
                <w:szCs w:val="17"/>
                <w:color w:val="257ACB"/>
              </w:rPr>
              <w:t>$</w:t>
            </w:r>
          </w:p>
        </w:tc>
        <w:tc>
          <w:tcPr>
            <w:tcW w:w="102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ACB"/>
              </w:rPr>
              <w:t>36.5</w:t>
            </w:r>
          </w:p>
        </w:tc>
        <w:tc>
          <w:tcPr>
            <w:tcW w:w="26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20"/>
              <w:spacing w:after="0"/>
              <w:rPr>
                <w:sz w:val="20"/>
                <w:szCs w:val="20"/>
                <w:color w:val="auto"/>
              </w:rPr>
            </w:pPr>
            <w:r>
              <w:rPr>
                <w:rFonts w:ascii="Arial" w:cs="Arial" w:eastAsia="Arial" w:hAnsi="Arial"/>
                <w:sz w:val="17"/>
                <w:szCs w:val="17"/>
                <w:color w:val="auto"/>
              </w:rPr>
              <w:t>39.3</w:t>
            </w:r>
          </w:p>
        </w:tc>
        <w:tc>
          <w:tcPr>
            <w:tcW w:w="120" w:type="dxa"/>
            <w:vAlign w:val="bottom"/>
          </w:tcPr>
          <w:p>
            <w:pPr>
              <w:spacing w:after="0"/>
              <w:rPr>
                <w:sz w:val="19"/>
                <w:szCs w:val="19"/>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9"/>
              <w:spacing w:after="0"/>
              <w:rPr>
                <w:sz w:val="20"/>
                <w:szCs w:val="20"/>
                <w:color w:val="auto"/>
              </w:rPr>
            </w:pPr>
            <w:r>
              <w:rPr>
                <w:rFonts w:ascii="Arial" w:cs="Arial" w:eastAsia="Arial" w:hAnsi="Arial"/>
                <w:sz w:val="17"/>
                <w:szCs w:val="17"/>
                <w:color w:val="auto"/>
              </w:rPr>
              <w:t>69.1</w:t>
            </w:r>
          </w:p>
        </w:tc>
        <w:tc>
          <w:tcPr>
            <w:tcW w:w="120" w:type="dxa"/>
            <w:vAlign w:val="bottom"/>
          </w:tcPr>
          <w:p>
            <w:pPr>
              <w:spacing w:after="0"/>
              <w:rPr>
                <w:sz w:val="19"/>
                <w:szCs w:val="19"/>
                <w:color w:val="auto"/>
              </w:rPr>
            </w:pPr>
          </w:p>
        </w:tc>
        <w:tc>
          <w:tcPr>
            <w:tcW w:w="1480" w:type="dxa"/>
            <w:vAlign w:val="bottom"/>
            <w:gridSpan w:val="2"/>
            <w:shd w:val="clear" w:color="auto" w:fill="DDDDDD"/>
          </w:tcPr>
          <w:p>
            <w:pPr>
              <w:jc w:val="right"/>
              <w:spacing w:after="0"/>
              <w:rPr>
                <w:sz w:val="20"/>
                <w:szCs w:val="20"/>
                <w:color w:val="auto"/>
              </w:rPr>
            </w:pPr>
            <w:r>
              <w:rPr>
                <w:rFonts w:ascii="Arial" w:cs="Arial" w:eastAsia="Arial" w:hAnsi="Arial"/>
                <w:sz w:val="17"/>
                <w:szCs w:val="17"/>
                <w:color w:val="257ACB"/>
              </w:rPr>
              <w:t>(7.1)%</w:t>
            </w:r>
          </w:p>
        </w:tc>
        <w:tc>
          <w:tcPr>
            <w:tcW w:w="1580" w:type="dxa"/>
            <w:vAlign w:val="bottom"/>
            <w:gridSpan w:val="2"/>
          </w:tcPr>
          <w:p>
            <w:pPr>
              <w:jc w:val="right"/>
              <w:spacing w:after="0"/>
              <w:rPr>
                <w:sz w:val="20"/>
                <w:szCs w:val="20"/>
                <w:color w:val="auto"/>
              </w:rPr>
            </w:pPr>
            <w:r>
              <w:rPr>
                <w:rFonts w:ascii="Arial" w:cs="Arial" w:eastAsia="Arial" w:hAnsi="Arial"/>
                <w:sz w:val="17"/>
                <w:szCs w:val="17"/>
                <w:color w:val="auto"/>
              </w:rPr>
              <w:t>(43.1)%</w:t>
            </w:r>
          </w:p>
        </w:tc>
        <w:tc>
          <w:tcPr>
            <w:tcW w:w="0" w:type="dxa"/>
            <w:vAlign w:val="bottom"/>
          </w:tcPr>
          <w:p>
            <w:pPr>
              <w:spacing w:after="0"/>
              <w:rPr>
                <w:sz w:val="1"/>
                <w:szCs w:val="1"/>
                <w:color w:val="auto"/>
              </w:rPr>
            </w:pPr>
          </w:p>
        </w:tc>
      </w:tr>
      <w:tr>
        <w:trPr>
          <w:trHeight w:val="249"/>
        </w:trPr>
        <w:tc>
          <w:tcPr>
            <w:tcW w:w="3980" w:type="dxa"/>
            <w:vAlign w:val="bottom"/>
          </w:tcPr>
          <w:p>
            <w:pPr>
              <w:ind w:left="20"/>
              <w:spacing w:after="0"/>
              <w:rPr>
                <w:sz w:val="20"/>
                <w:szCs w:val="20"/>
                <w:color w:val="auto"/>
              </w:rPr>
            </w:pPr>
            <w:r>
              <w:rPr>
                <w:rFonts w:ascii="Arial" w:cs="Arial" w:eastAsia="Arial" w:hAnsi="Arial"/>
                <w:sz w:val="17"/>
                <w:szCs w:val="17"/>
                <w:color w:val="auto"/>
              </w:rPr>
              <w:t>Other royalty and corporate revenues</w:t>
            </w:r>
          </w:p>
        </w:tc>
        <w:tc>
          <w:tcPr>
            <w:tcW w:w="320" w:type="dxa"/>
            <w:vAlign w:val="bottom"/>
            <w:tcBorders>
              <w:bottom w:val="single" w:sz="8" w:color="auto"/>
            </w:tcBorders>
            <w:shd w:val="clear" w:color="auto" w:fill="DDDDDD"/>
          </w:tcPr>
          <w:p>
            <w:pPr>
              <w:spacing w:after="0"/>
              <w:rPr>
                <w:sz w:val="21"/>
                <w:szCs w:val="21"/>
                <w:color w:val="auto"/>
              </w:rPr>
            </w:pPr>
          </w:p>
        </w:tc>
        <w:tc>
          <w:tcPr>
            <w:tcW w:w="1020" w:type="dxa"/>
            <w:vAlign w:val="bottom"/>
            <w:tcBorders>
              <w:bottom w:val="single" w:sz="8" w:color="auto"/>
            </w:tcBorders>
            <w:shd w:val="clear" w:color="auto" w:fill="DDDDDD"/>
          </w:tcPr>
          <w:p>
            <w:pPr>
              <w:jc w:val="right"/>
              <w:ind w:right="19"/>
              <w:spacing w:after="0"/>
              <w:rPr>
                <w:sz w:val="20"/>
                <w:szCs w:val="20"/>
                <w:color w:val="auto"/>
              </w:rPr>
            </w:pPr>
            <w:r>
              <w:rPr>
                <w:rFonts w:ascii="Arial" w:cs="Arial" w:eastAsia="Arial" w:hAnsi="Arial"/>
                <w:sz w:val="17"/>
                <w:szCs w:val="17"/>
                <w:color w:val="257ACB"/>
              </w:rPr>
              <w:t>323.5</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277.1</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167.0</w:t>
            </w: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ACB"/>
              </w:rPr>
              <w:t>16.7</w:t>
            </w:r>
          </w:p>
        </w:tc>
        <w:tc>
          <w:tcPr>
            <w:tcW w:w="2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ACB"/>
              </w:rPr>
              <w:t>%</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65.9 %</w:t>
            </w:r>
          </w:p>
        </w:tc>
        <w:tc>
          <w:tcPr>
            <w:tcW w:w="0" w:type="dxa"/>
            <w:vAlign w:val="bottom"/>
          </w:tcPr>
          <w:p>
            <w:pPr>
              <w:spacing w:after="0"/>
              <w:rPr>
                <w:sz w:val="1"/>
                <w:szCs w:val="1"/>
                <w:color w:val="auto"/>
              </w:rPr>
            </w:pPr>
          </w:p>
        </w:tc>
      </w:tr>
      <w:tr>
        <w:trPr>
          <w:trHeight w:val="243"/>
        </w:trPr>
        <w:tc>
          <w:tcPr>
            <w:tcW w:w="3980" w:type="dxa"/>
            <w:vAlign w:val="bottom"/>
          </w:tcPr>
          <w:p>
            <w:pPr>
              <w:ind w:left="20"/>
              <w:spacing w:after="0"/>
              <w:rPr>
                <w:sz w:val="20"/>
                <w:szCs w:val="20"/>
                <w:color w:val="auto"/>
              </w:rPr>
            </w:pPr>
            <w:r>
              <w:rPr>
                <w:rFonts w:ascii="Arial" w:cs="Arial" w:eastAsia="Arial" w:hAnsi="Arial"/>
                <w:sz w:val="17"/>
                <w:szCs w:val="17"/>
                <w:color w:val="auto"/>
              </w:rPr>
              <w:t>Total other revenues</w:t>
            </w:r>
          </w:p>
        </w:tc>
        <w:tc>
          <w:tcPr>
            <w:tcW w:w="320" w:type="dxa"/>
            <w:vAlign w:val="bottom"/>
            <w:shd w:val="clear" w:color="auto" w:fill="DDDDDD"/>
          </w:tcPr>
          <w:p>
            <w:pPr>
              <w:jc w:val="right"/>
              <w:ind w:right="115"/>
              <w:spacing w:after="0"/>
              <w:rPr>
                <w:sz w:val="20"/>
                <w:szCs w:val="20"/>
                <w:color w:val="auto"/>
              </w:rPr>
            </w:pPr>
            <w:r>
              <w:rPr>
                <w:rFonts w:ascii="Arial" w:cs="Arial" w:eastAsia="Arial" w:hAnsi="Arial"/>
                <w:sz w:val="17"/>
                <w:szCs w:val="17"/>
                <w:color w:val="257ACB"/>
              </w:rPr>
              <w:t>$</w:t>
            </w:r>
          </w:p>
        </w:tc>
        <w:tc>
          <w:tcPr>
            <w:tcW w:w="102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ACB"/>
              </w:rPr>
              <w:t>360.0</w:t>
            </w:r>
          </w:p>
        </w:tc>
        <w:tc>
          <w:tcPr>
            <w:tcW w:w="26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20"/>
              <w:spacing w:after="0"/>
              <w:rPr>
                <w:sz w:val="20"/>
                <w:szCs w:val="20"/>
                <w:color w:val="auto"/>
              </w:rPr>
            </w:pPr>
            <w:r>
              <w:rPr>
                <w:rFonts w:ascii="Arial" w:cs="Arial" w:eastAsia="Arial" w:hAnsi="Arial"/>
                <w:sz w:val="17"/>
                <w:szCs w:val="17"/>
                <w:color w:val="auto"/>
              </w:rPr>
              <w:t>316.4</w:t>
            </w:r>
          </w:p>
        </w:tc>
        <w:tc>
          <w:tcPr>
            <w:tcW w:w="120" w:type="dxa"/>
            <w:vAlign w:val="bottom"/>
          </w:tcPr>
          <w:p>
            <w:pPr>
              <w:spacing w:after="0"/>
              <w:rPr>
                <w:sz w:val="21"/>
                <w:szCs w:val="21"/>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9"/>
              <w:spacing w:after="0"/>
              <w:rPr>
                <w:sz w:val="20"/>
                <w:szCs w:val="20"/>
                <w:color w:val="auto"/>
              </w:rPr>
            </w:pPr>
            <w:r>
              <w:rPr>
                <w:rFonts w:ascii="Arial" w:cs="Arial" w:eastAsia="Arial" w:hAnsi="Arial"/>
                <w:sz w:val="17"/>
                <w:szCs w:val="17"/>
                <w:color w:val="auto"/>
              </w:rPr>
              <w:t>236.1</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257ACB"/>
              </w:rPr>
              <w:t>13.8</w:t>
            </w:r>
          </w:p>
        </w:tc>
        <w:tc>
          <w:tcPr>
            <w:tcW w:w="240" w:type="dxa"/>
            <w:vAlign w:val="bottom"/>
            <w:shd w:val="clear" w:color="auto" w:fill="DDDDDD"/>
          </w:tcPr>
          <w:p>
            <w:pPr>
              <w:jc w:val="right"/>
              <w:spacing w:after="0"/>
              <w:rPr>
                <w:sz w:val="20"/>
                <w:szCs w:val="20"/>
                <w:color w:val="auto"/>
              </w:rPr>
            </w:pPr>
            <w:r>
              <w:rPr>
                <w:rFonts w:ascii="Arial" w:cs="Arial" w:eastAsia="Arial" w:hAnsi="Arial"/>
                <w:sz w:val="17"/>
                <w:szCs w:val="17"/>
                <w:color w:val="257ACB"/>
              </w:rPr>
              <w:t>%</w:t>
            </w:r>
          </w:p>
        </w:tc>
        <w:tc>
          <w:tcPr>
            <w:tcW w:w="1580" w:type="dxa"/>
            <w:vAlign w:val="bottom"/>
            <w:gridSpan w:val="2"/>
          </w:tcPr>
          <w:p>
            <w:pPr>
              <w:jc w:val="right"/>
              <w:spacing w:after="0"/>
              <w:rPr>
                <w:sz w:val="20"/>
                <w:szCs w:val="20"/>
                <w:color w:val="auto"/>
              </w:rPr>
            </w:pPr>
            <w:r>
              <w:rPr>
                <w:rFonts w:ascii="Arial" w:cs="Arial" w:eastAsia="Arial" w:hAnsi="Arial"/>
                <w:sz w:val="17"/>
                <w:szCs w:val="17"/>
                <w:color w:val="auto"/>
              </w:rPr>
              <w:t>34.0 %</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ind w:right="900"/>
              <w:spacing w:after="0"/>
              <w:rPr>
                <w:sz w:val="20"/>
                <w:szCs w:val="20"/>
                <w:color w:val="auto"/>
              </w:rPr>
            </w:pPr>
            <w:r>
              <w:rPr>
                <w:rFonts w:ascii="Arial" w:cs="Arial" w:eastAsia="Arial" w:hAnsi="Arial"/>
                <w:sz w:val="17"/>
                <w:szCs w:val="17"/>
                <w:color w:val="auto"/>
              </w:rPr>
              <w:t>62</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5303520</wp:posOffset>
            </wp:positionH>
            <wp:positionV relativeFrom="paragraph">
              <wp:posOffset>-909320</wp:posOffset>
            </wp:positionV>
            <wp:extent cx="788670" cy="6178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88670" cy="6178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66" w:name="page67"/>
    <w:bookmarkEnd w:id="6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left="200"/>
        <w:spacing w:after="0"/>
        <w:tabs>
          <w:tab w:leader="none" w:pos="6120" w:val="left"/>
        </w:tabs>
        <w:rPr>
          <w:sz w:val="20"/>
          <w:szCs w:val="20"/>
          <w:color w:val="auto"/>
        </w:rPr>
      </w:pPr>
      <w:r>
        <w:rPr>
          <w:rFonts w:ascii="Arial" w:cs="Arial" w:eastAsia="Arial" w:hAnsi="Arial"/>
          <w:sz w:val="17"/>
          <w:szCs w:val="17"/>
          <w:b w:val="1"/>
          <w:bCs w:val="1"/>
          <w:i w:val="1"/>
          <w:iCs w:val="1"/>
          <w:color w:val="2573BA"/>
        </w:rPr>
        <w:t>Revenues from Collaborative and Other Relationships</w:t>
      </w:r>
      <w:r>
        <w:rPr>
          <w:sz w:val="20"/>
          <w:szCs w:val="20"/>
          <w:color w:val="auto"/>
        </w:rPr>
        <w:tab/>
      </w:r>
      <w:r>
        <w:rPr>
          <w:rFonts w:ascii="Arial" w:cs="Arial" w:eastAsia="Arial" w:hAnsi="Arial"/>
          <w:sz w:val="17"/>
          <w:szCs w:val="17"/>
          <w:b w:val="1"/>
          <w:bCs w:val="1"/>
          <w:i w:val="1"/>
          <w:iCs w:val="1"/>
          <w:color w:val="2573BA"/>
        </w:rPr>
        <w:t>Other Royalty and Corporate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3775075</wp:posOffset>
            </wp:positionH>
            <wp:positionV relativeFrom="paragraph">
              <wp:posOffset>19050</wp:posOffset>
            </wp:positionV>
            <wp:extent cx="2578100" cy="24885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78100" cy="2488565"/>
                    </a:xfrm>
                    <a:prstGeom prst="rect">
                      <a:avLst/>
                    </a:prstGeom>
                    <a:noFill/>
                  </pic:spPr>
                </pic:pic>
              </a:graphicData>
            </a:graphic>
          </wp:anchor>
        </w:drawing>
      </w:r>
    </w:p>
    <w:p>
      <w:pPr>
        <w:sectPr>
          <w:pgSz w:w="11900" w:h="16838" w:orient="portrait"/>
          <w:cols w:equalWidth="0" w:num="1">
            <w:col w:w="11360"/>
          </w:cols>
          <w:pgMar w:left="240" w:top="144" w:right="299" w:bottom="1440" w:gutter="0" w:footer="0" w:header="0"/>
        </w:sectPr>
      </w:pPr>
    </w:p>
    <w:p>
      <w:pPr>
        <w:spacing w:after="0" w:line="106"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Other revenues from collaborative and other relationships include revenues earned under our 50% share of the co-promotion profits or losses of ZINBRYTA in the U.S. with AbbVie and revenues from our technical development and manufacturing services agreements with Samsung Bioepis. Prior to the spin-off of our hemophilia business, other revenues from collaborative and other relationships also included revenues earned under our manufacturing services agreement with Sobi on shipments of ELOCTA and ALPROLIX to Sobi and royalties from Sobi on sales of ELOCTA and ALPROLIX in their territory, which included substantially all of Europe, Russia and certain markets in Northern Africa and the Middle East. Bioverativ assumed all of our rights and obligations under our agreement with Sobi on February 1, 2017.</w:t>
      </w:r>
    </w:p>
    <w:p>
      <w:pPr>
        <w:spacing w:after="0" w:line="149" w:lineRule="exact"/>
        <w:rPr>
          <w:sz w:val="20"/>
          <w:szCs w:val="20"/>
          <w:color w:val="auto"/>
        </w:rPr>
      </w:pPr>
    </w:p>
    <w:p>
      <w:pPr>
        <w:ind w:right="100" w:firstLine="410"/>
        <w:spacing w:after="0" w:line="254" w:lineRule="auto"/>
        <w:rPr>
          <w:sz w:val="20"/>
          <w:szCs w:val="20"/>
          <w:color w:val="auto"/>
        </w:rPr>
      </w:pPr>
      <w:r>
        <w:rPr>
          <w:rFonts w:ascii="Arial" w:cs="Arial" w:eastAsia="Arial" w:hAnsi="Arial"/>
          <w:sz w:val="17"/>
          <w:szCs w:val="17"/>
          <w:color w:val="auto"/>
        </w:rPr>
        <w:t>For 2017 compared to 2016, the decrease in other revenues from collaborative and other relationships was primarily due to the impact of the spin-off of our hemophilia business on February 1, 2017, partially offset by higher revenues earned under our manufacturing services agreement with Samsung Bioepis.</w:t>
      </w:r>
    </w:p>
    <w:p>
      <w:pPr>
        <w:spacing w:after="0" w:line="144" w:lineRule="exact"/>
        <w:rPr>
          <w:sz w:val="20"/>
          <w:szCs w:val="20"/>
          <w:color w:val="auto"/>
        </w:rPr>
      </w:pPr>
    </w:p>
    <w:p>
      <w:pPr>
        <w:ind w:right="60" w:firstLine="410"/>
        <w:spacing w:after="0" w:line="253" w:lineRule="auto"/>
        <w:rPr>
          <w:sz w:val="20"/>
          <w:szCs w:val="20"/>
          <w:color w:val="auto"/>
        </w:rPr>
      </w:pPr>
      <w:r>
        <w:rPr>
          <w:rFonts w:ascii="Arial" w:cs="Arial" w:eastAsia="Arial" w:hAnsi="Arial"/>
          <w:sz w:val="17"/>
          <w:szCs w:val="17"/>
          <w:color w:val="auto"/>
        </w:rPr>
        <w:t>For 2016 compared to 2015, the decrease in other revenues from collaborative and other relationships was primarily due to a net overall loss in the collaboration with AbbVie of $21.9 million within the U.S. and lower revenues earned under our manufacturing services agreement with Samsung Bioepis, partially offset by an increase in ELOCTA shipments made under our manufacturing services agreement with Sobi.</w:t>
      </w:r>
    </w:p>
    <w:p>
      <w:pPr>
        <w:spacing w:after="0" w:line="146" w:lineRule="exact"/>
        <w:rPr>
          <w:sz w:val="20"/>
          <w:szCs w:val="20"/>
          <w:color w:val="auto"/>
        </w:rPr>
      </w:pPr>
    </w:p>
    <w:p>
      <w:pPr>
        <w:ind w:right="160" w:firstLine="410"/>
        <w:spacing w:after="0" w:line="255" w:lineRule="auto"/>
        <w:rPr>
          <w:sz w:val="20"/>
          <w:szCs w:val="20"/>
          <w:color w:val="auto"/>
        </w:rPr>
      </w:pPr>
      <w:r>
        <w:rPr>
          <w:rFonts w:ascii="Arial" w:cs="Arial" w:eastAsia="Arial" w:hAnsi="Arial"/>
          <w:sz w:val="17"/>
          <w:szCs w:val="17"/>
          <w:color w:val="auto"/>
        </w:rPr>
        <w:t xml:space="preserve">For additional information on our collaborative and other relationships, please read Note 20, </w:t>
      </w:r>
      <w:r>
        <w:rPr>
          <w:rFonts w:ascii="Arial" w:cs="Arial" w:eastAsia="Arial" w:hAnsi="Arial"/>
          <w:sz w:val="17"/>
          <w:szCs w:val="17"/>
          <w:i w:val="1"/>
          <w:iCs w:val="1"/>
          <w:color w:val="auto"/>
        </w:rPr>
        <w:t>Collaborative and Other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Relationships, </w:t>
      </w:r>
      <w:r>
        <w:rPr>
          <w:rFonts w:ascii="Arial" w:cs="Arial" w:eastAsia="Arial" w:hAnsi="Arial"/>
          <w:sz w:val="17"/>
          <w:szCs w:val="17"/>
          <w:color w:val="auto"/>
        </w:rPr>
        <w:t>to our consolidated financial statements included in this</w:t>
      </w:r>
      <w:r>
        <w:rPr>
          <w:rFonts w:ascii="Arial" w:cs="Arial" w:eastAsia="Arial" w:hAnsi="Arial"/>
          <w:sz w:val="17"/>
          <w:szCs w:val="17"/>
          <w:i w:val="1"/>
          <w:iCs w:val="1"/>
          <w:color w:val="auto"/>
        </w:rPr>
        <w:t xml:space="preserve"> </w:t>
      </w:r>
      <w:r>
        <w:rPr>
          <w:rFonts w:ascii="Arial" w:cs="Arial" w:eastAsia="Arial" w:hAnsi="Arial"/>
          <w:sz w:val="17"/>
          <w:szCs w:val="17"/>
          <w:color w:val="auto"/>
        </w:rPr>
        <w:t>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20" w:right="40" w:firstLine="410"/>
        <w:spacing w:after="0" w:line="255" w:lineRule="auto"/>
        <w:rPr>
          <w:sz w:val="20"/>
          <w:szCs w:val="20"/>
          <w:color w:val="auto"/>
        </w:rPr>
      </w:pPr>
      <w:r>
        <w:rPr>
          <w:rFonts w:ascii="Arial" w:cs="Arial" w:eastAsia="Arial" w:hAnsi="Arial"/>
          <w:sz w:val="17"/>
          <w:szCs w:val="17"/>
          <w:color w:val="auto"/>
        </w:rPr>
        <w:t>We receive royalties from net sales on products related to patents that we have out-licensed and we record other corporate revenues primarily from amounts earned under contract manufacturing agreements.</w:t>
      </w:r>
    </w:p>
    <w:p>
      <w:pPr>
        <w:spacing w:after="0" w:line="143" w:lineRule="exact"/>
        <w:rPr>
          <w:sz w:val="20"/>
          <w:szCs w:val="20"/>
          <w:color w:val="auto"/>
        </w:rPr>
      </w:pPr>
    </w:p>
    <w:p>
      <w:pPr>
        <w:ind w:left="320" w:firstLine="410"/>
        <w:spacing w:after="0" w:line="253" w:lineRule="auto"/>
        <w:rPr>
          <w:sz w:val="20"/>
          <w:szCs w:val="20"/>
          <w:color w:val="auto"/>
        </w:rPr>
      </w:pPr>
      <w:r>
        <w:rPr>
          <w:rFonts w:ascii="Arial" w:cs="Arial" w:eastAsia="Arial" w:hAnsi="Arial"/>
          <w:sz w:val="17"/>
          <w:szCs w:val="17"/>
          <w:color w:val="auto"/>
        </w:rPr>
        <w:t>For 2017 compared to 2016, the increase in royalty and other corporate revenues was primarily due to an increase in sales of the underlying products from which we receive royalties and higher contract manufacturing revenues related to the volume of shipments of drug substance production provided to our strategic partners, including Bioverativ.</w:t>
      </w:r>
    </w:p>
    <w:p>
      <w:pPr>
        <w:spacing w:after="0" w:line="147" w:lineRule="exact"/>
        <w:rPr>
          <w:sz w:val="20"/>
          <w:szCs w:val="20"/>
          <w:color w:val="auto"/>
        </w:rPr>
      </w:pPr>
    </w:p>
    <w:p>
      <w:pPr>
        <w:ind w:left="320" w:right="80" w:firstLine="410"/>
        <w:spacing w:after="0" w:line="255" w:lineRule="auto"/>
        <w:rPr>
          <w:sz w:val="20"/>
          <w:szCs w:val="20"/>
          <w:color w:val="auto"/>
        </w:rPr>
      </w:pPr>
      <w:r>
        <w:rPr>
          <w:rFonts w:ascii="Arial" w:cs="Arial" w:eastAsia="Arial" w:hAnsi="Arial"/>
          <w:sz w:val="17"/>
          <w:szCs w:val="17"/>
          <w:color w:val="auto"/>
        </w:rPr>
        <w:t>For 2016 compared to 2015, the increase in royalty and other corporate revenues was primarily due to higher contract manufacturing revenues related to drug substance manufacturing provided to a strategic partner.</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63</w:t>
      </w:r>
    </w:p>
    <w:p>
      <w:pPr>
        <w:sectPr>
          <w:pgSz w:w="11900" w:h="16838" w:orient="portrait"/>
          <w:cols w:equalWidth="0" w:num="2">
            <w:col w:w="5460" w:space="160"/>
            <w:col w:w="5740"/>
          </w:cols>
          <w:pgMar w:left="240" w:top="144" w:right="299" w:bottom="1440" w:gutter="0" w:footer="0" w:header="0"/>
          <w:type w:val="continuous"/>
        </w:sectPr>
      </w:pPr>
    </w:p>
    <w:bookmarkStart w:id="67" w:name="page68"/>
    <w:bookmarkEnd w:id="6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380"/>
          </w:cols>
          <w:pgMar w:left="240" w:top="144" w:right="27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Reserves for Discounts and Allowances</w:t>
      </w:r>
    </w:p>
    <w:p>
      <w:pPr>
        <w:spacing w:after="0" w:line="109" w:lineRule="exact"/>
        <w:rPr>
          <w:sz w:val="20"/>
          <w:szCs w:val="20"/>
          <w:color w:val="auto"/>
        </w:rPr>
      </w:pPr>
    </w:p>
    <w:p>
      <w:pPr>
        <w:ind w:right="320" w:firstLine="410"/>
        <w:spacing w:after="0" w:line="255" w:lineRule="auto"/>
        <w:rPr>
          <w:sz w:val="20"/>
          <w:szCs w:val="20"/>
          <w:color w:val="auto"/>
        </w:rPr>
      </w:pPr>
      <w:r>
        <w:rPr>
          <w:rFonts w:ascii="Arial" w:cs="Arial" w:eastAsia="Arial" w:hAnsi="Arial"/>
          <w:sz w:val="17"/>
          <w:szCs w:val="17"/>
          <w:color w:val="auto"/>
        </w:rPr>
        <w:t>Revenues from product sales are recorded net of reserves established for applicable discounts and allowances, including those associated with the implementation of pricing actions in certain international markets where we operate.</w:t>
      </w:r>
    </w:p>
    <w:p>
      <w:pPr>
        <w:spacing w:after="0" w:line="66"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These reserves are based on estimates of the amounts earned or to be claimed on the related sales and are classified as reductions of accounts receivable (if the amount is payable to our customer) or a liability (if the amount is payable to a party other than our customer). Our estimates take into consideration our historical experience, current contractual and statutory requirements, specific known market events and trends, industry data and forecasted customer buying and payment patterns. Actual amounts may ultimately differ from our estimates. If actual results vary, we adjust these estimates, which will have an effect on earnings in the period of adjustment.</w:t>
      </w:r>
    </w:p>
    <w:p>
      <w:pPr>
        <w:spacing w:after="0" w:line="73" w:lineRule="exact"/>
        <w:rPr>
          <w:sz w:val="20"/>
          <w:szCs w:val="20"/>
          <w:color w:val="auto"/>
        </w:rPr>
      </w:pPr>
    </w:p>
    <w:p>
      <w:pPr>
        <w:ind w:right="200" w:firstLine="410"/>
        <w:spacing w:after="0" w:line="262" w:lineRule="auto"/>
        <w:rPr>
          <w:sz w:val="20"/>
          <w:szCs w:val="20"/>
          <w:color w:val="auto"/>
        </w:rPr>
      </w:pPr>
      <w:r>
        <w:rPr>
          <w:rFonts w:ascii="Arial" w:cs="Arial" w:eastAsia="Arial" w:hAnsi="Arial"/>
          <w:sz w:val="17"/>
          <w:szCs w:val="17"/>
          <w:color w:val="auto"/>
        </w:rPr>
        <w:t>Reserves for discounts, contractual adjustments and returns that reduced gross product revenues are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-9525</wp:posOffset>
            </wp:positionV>
            <wp:extent cx="2578100" cy="26670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78100" cy="266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20" w:firstLine="410"/>
        <w:spacing w:after="0" w:line="257" w:lineRule="auto"/>
        <w:rPr>
          <w:sz w:val="20"/>
          <w:szCs w:val="20"/>
          <w:color w:val="auto"/>
        </w:rPr>
      </w:pPr>
      <w:r>
        <w:rPr>
          <w:rFonts w:ascii="Arial" w:cs="Arial" w:eastAsia="Arial" w:hAnsi="Arial"/>
          <w:sz w:val="17"/>
          <w:szCs w:val="17"/>
          <w:color w:val="auto"/>
        </w:rPr>
        <w:t>For the years ended December 31, 2017, 2016 and 2015, reserves for discounts and allowances as a percentage of gross product revenues were 22.0%, 21.3% and 19.3%, respectively.</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Discounts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Discounts include trade term discounts and wholesaler incentives.</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320" w:right="180" w:firstLine="410"/>
        <w:spacing w:after="0" w:line="254" w:lineRule="auto"/>
        <w:rPr>
          <w:sz w:val="20"/>
          <w:szCs w:val="20"/>
          <w:color w:val="auto"/>
        </w:rPr>
      </w:pPr>
      <w:r>
        <w:rPr>
          <w:rFonts w:ascii="Arial" w:cs="Arial" w:eastAsia="Arial" w:hAnsi="Arial"/>
          <w:sz w:val="17"/>
          <w:szCs w:val="17"/>
          <w:color w:val="auto"/>
        </w:rPr>
        <w:t>For 2017 compared to 2016, the decrease in discounts was primarily driven by the impact from the spin-off of our hemophilia business on February 1, 2017, partially offset by an increase in rest of world product revenues, due in part to an increase in biosimilar revenues, as well as an increase in gross selling prices.</w:t>
      </w:r>
    </w:p>
    <w:p>
      <w:pPr>
        <w:spacing w:after="0" w:line="144" w:lineRule="exact"/>
        <w:rPr>
          <w:sz w:val="20"/>
          <w:szCs w:val="20"/>
          <w:color w:val="auto"/>
        </w:rPr>
      </w:pPr>
    </w:p>
    <w:p>
      <w:pPr>
        <w:ind w:left="320" w:right="60" w:firstLine="410"/>
        <w:spacing w:after="0" w:line="257" w:lineRule="auto"/>
        <w:rPr>
          <w:sz w:val="20"/>
          <w:szCs w:val="20"/>
          <w:color w:val="auto"/>
        </w:rPr>
      </w:pPr>
      <w:r>
        <w:rPr>
          <w:rFonts w:ascii="Arial" w:cs="Arial" w:eastAsia="Arial" w:hAnsi="Arial"/>
          <w:sz w:val="17"/>
          <w:szCs w:val="17"/>
          <w:color w:val="auto"/>
        </w:rPr>
        <w:t>For 2016 compared to 2015, the increase in discounts was primarily driven by increases in gross selling price, contractual discount rates and volume related to our hemophilia products.</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2573BA"/>
        </w:rPr>
        <w:t>Contractual Adjustments</w:t>
      </w:r>
    </w:p>
    <w:p>
      <w:pPr>
        <w:spacing w:after="0" w:line="106" w:lineRule="exact"/>
        <w:rPr>
          <w:sz w:val="20"/>
          <w:szCs w:val="20"/>
          <w:color w:val="auto"/>
        </w:rPr>
      </w:pPr>
    </w:p>
    <w:p>
      <w:pPr>
        <w:ind w:left="320" w:firstLine="410"/>
        <w:spacing w:after="0" w:line="255" w:lineRule="auto"/>
        <w:rPr>
          <w:sz w:val="20"/>
          <w:szCs w:val="20"/>
          <w:color w:val="auto"/>
        </w:rPr>
      </w:pPr>
      <w:r>
        <w:rPr>
          <w:rFonts w:ascii="Arial" w:cs="Arial" w:eastAsia="Arial" w:hAnsi="Arial"/>
          <w:sz w:val="17"/>
          <w:szCs w:val="17"/>
          <w:color w:val="auto"/>
        </w:rPr>
        <w:t>Contractual adjustments primarily relate to Medicaid and managed care rebates, co-payment assistance (copay), VA and PHS discounts, specialty pharmacy program fees and other government rebates or applicable allowances.</w:t>
      </w:r>
    </w:p>
    <w:p>
      <w:pPr>
        <w:spacing w:after="0" w:line="143" w:lineRule="exact"/>
        <w:rPr>
          <w:sz w:val="20"/>
          <w:szCs w:val="20"/>
          <w:color w:val="auto"/>
        </w:rPr>
      </w:pPr>
    </w:p>
    <w:p>
      <w:pPr>
        <w:ind w:left="320" w:right="140" w:firstLine="410"/>
        <w:spacing w:after="0" w:line="253" w:lineRule="auto"/>
        <w:rPr>
          <w:sz w:val="20"/>
          <w:szCs w:val="20"/>
          <w:color w:val="auto"/>
        </w:rPr>
      </w:pPr>
      <w:r>
        <w:rPr>
          <w:rFonts w:ascii="Arial" w:cs="Arial" w:eastAsia="Arial" w:hAnsi="Arial"/>
          <w:sz w:val="17"/>
          <w:szCs w:val="17"/>
          <w:color w:val="auto"/>
        </w:rPr>
        <w:t>For 2017 compared to 2016, the increase in contractual adjustments was primarily due to higher managed care rebates and Medicaid and other governmental rebates and allowances in the U.S., due in part to an increase in gross selling prices and the launch of SPINRAZA in the U.S. in the fourth quarter of 2016, partially offset by the impact from the spin-off of our hemophilia business on February 1, 2017.</w:t>
      </w:r>
    </w:p>
    <w:p>
      <w:pPr>
        <w:spacing w:after="0" w:line="146" w:lineRule="exact"/>
        <w:rPr>
          <w:sz w:val="20"/>
          <w:szCs w:val="20"/>
          <w:color w:val="auto"/>
        </w:rPr>
      </w:pPr>
    </w:p>
    <w:p>
      <w:pPr>
        <w:ind w:left="320" w:right="240" w:firstLine="410"/>
        <w:spacing w:after="0" w:line="255" w:lineRule="auto"/>
        <w:rPr>
          <w:sz w:val="20"/>
          <w:szCs w:val="20"/>
          <w:color w:val="auto"/>
        </w:rPr>
      </w:pPr>
      <w:r>
        <w:rPr>
          <w:rFonts w:ascii="Arial" w:cs="Arial" w:eastAsia="Arial" w:hAnsi="Arial"/>
          <w:sz w:val="17"/>
          <w:szCs w:val="17"/>
          <w:color w:val="auto"/>
        </w:rPr>
        <w:t>For 2016 compared to 2015, the increase in contractual adjustments was primarily due to higher Medicaid and other governmental rebates and allowances in the U.S. and managed care rebates, due in part to an increase in gross selling prices.</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2573BA"/>
        </w:rPr>
        <w:t>Returns</w:t>
      </w:r>
    </w:p>
    <w:p>
      <w:pPr>
        <w:spacing w:after="0" w:line="106" w:lineRule="exact"/>
        <w:rPr>
          <w:sz w:val="20"/>
          <w:szCs w:val="20"/>
          <w:color w:val="auto"/>
        </w:rPr>
      </w:pPr>
    </w:p>
    <w:p>
      <w:pPr>
        <w:ind w:left="320" w:right="80" w:firstLine="410"/>
        <w:spacing w:after="0" w:line="253" w:lineRule="auto"/>
        <w:rPr>
          <w:sz w:val="20"/>
          <w:szCs w:val="20"/>
          <w:color w:val="auto"/>
        </w:rPr>
      </w:pPr>
      <w:r>
        <w:rPr>
          <w:rFonts w:ascii="Arial" w:cs="Arial" w:eastAsia="Arial" w:hAnsi="Arial"/>
          <w:sz w:val="17"/>
          <w:szCs w:val="17"/>
          <w:color w:val="auto"/>
        </w:rPr>
        <w:t>Product return reserves are established for returns made by wholesalers. In accordance with contractual terms, wholesalers are permitted to return product for reasons such as damaged or expired product. The majority of wholesaler returns are due to product expiration. Provisions for product returns are recorded in the period the related revenue is recognized, resulting in a reduction to product sales.</w:t>
      </w:r>
    </w:p>
    <w:p>
      <w:pPr>
        <w:spacing w:after="0" w:line="147" w:lineRule="exact"/>
        <w:rPr>
          <w:sz w:val="20"/>
          <w:szCs w:val="20"/>
          <w:color w:val="auto"/>
        </w:rPr>
      </w:pPr>
    </w:p>
    <w:p>
      <w:pPr>
        <w:ind w:left="320" w:right="420" w:firstLine="410"/>
        <w:spacing w:after="0" w:line="262" w:lineRule="auto"/>
        <w:rPr>
          <w:sz w:val="20"/>
          <w:szCs w:val="20"/>
          <w:color w:val="auto"/>
        </w:rPr>
      </w:pPr>
      <w:r>
        <w:rPr>
          <w:rFonts w:ascii="Arial" w:cs="Arial" w:eastAsia="Arial" w:hAnsi="Arial"/>
          <w:sz w:val="17"/>
          <w:szCs w:val="17"/>
          <w:color w:val="auto"/>
        </w:rPr>
        <w:t>For 2017 compared to 2016, return provisions were relatively consistent.</w:t>
      </w:r>
    </w:p>
    <w:p>
      <w:pPr>
        <w:spacing w:after="0" w:line="137" w:lineRule="exact"/>
        <w:rPr>
          <w:sz w:val="20"/>
          <w:szCs w:val="20"/>
          <w:color w:val="auto"/>
        </w:rPr>
      </w:pPr>
    </w:p>
    <w:p>
      <w:pPr>
        <w:ind w:left="320" w:right="140" w:firstLine="410"/>
        <w:spacing w:after="0" w:line="257" w:lineRule="auto"/>
        <w:rPr>
          <w:sz w:val="20"/>
          <w:szCs w:val="20"/>
          <w:color w:val="auto"/>
        </w:rPr>
      </w:pPr>
      <w:r>
        <w:rPr>
          <w:rFonts w:ascii="Arial" w:cs="Arial" w:eastAsia="Arial" w:hAnsi="Arial"/>
          <w:sz w:val="17"/>
          <w:szCs w:val="17"/>
          <w:color w:val="auto"/>
        </w:rPr>
        <w:t>For 2016 compared to 2015, return reserves decreased primarily due to a reduction in return rates based on recent experiences of returned products.</w:t>
      </w:r>
    </w:p>
    <w:p>
      <w:pPr>
        <w:spacing w:after="0" w:line="140" w:lineRule="exact"/>
        <w:rPr>
          <w:sz w:val="20"/>
          <w:szCs w:val="20"/>
          <w:color w:val="auto"/>
        </w:rPr>
      </w:pPr>
    </w:p>
    <w:p>
      <w:pPr>
        <w:jc w:val="both"/>
        <w:ind w:left="320" w:right="220" w:firstLine="410"/>
        <w:spacing w:after="0" w:line="257" w:lineRule="auto"/>
        <w:rPr>
          <w:sz w:val="20"/>
          <w:szCs w:val="20"/>
          <w:color w:val="auto"/>
        </w:rPr>
      </w:pPr>
      <w:r>
        <w:rPr>
          <w:rFonts w:ascii="Arial" w:cs="Arial" w:eastAsia="Arial" w:hAnsi="Arial"/>
          <w:sz w:val="17"/>
          <w:szCs w:val="17"/>
          <w:color w:val="auto"/>
        </w:rPr>
        <w:t xml:space="preserve">For additional information on our reserves, please read Note 5, </w:t>
      </w:r>
      <w:r>
        <w:rPr>
          <w:rFonts w:ascii="Arial" w:cs="Arial" w:eastAsia="Arial" w:hAnsi="Arial"/>
          <w:sz w:val="17"/>
          <w:szCs w:val="17"/>
          <w:i w:val="1"/>
          <w:iCs w:val="1"/>
          <w:color w:val="auto"/>
        </w:rPr>
        <w:t xml:space="preserve">Reserves for Discounts and Allowances, </w:t>
      </w:r>
      <w:r>
        <w:rPr>
          <w:rFonts w:ascii="Arial" w:cs="Arial" w:eastAsia="Arial" w:hAnsi="Arial"/>
          <w:sz w:val="17"/>
          <w:szCs w:val="17"/>
          <w:color w:val="auto"/>
        </w:rPr>
        <w:t>to our consolidated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 included in this report.</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64</w:t>
      </w:r>
    </w:p>
    <w:p>
      <w:pPr>
        <w:sectPr>
          <w:pgSz w:w="11900" w:h="16838" w:orient="portrait"/>
          <w:cols w:equalWidth="0" w:num="2">
            <w:col w:w="5480" w:space="140"/>
            <w:col w:w="5760"/>
          </w:cols>
          <w:pgMar w:left="240" w:top="144" w:right="279" w:bottom="1440" w:gutter="0" w:footer="0" w:header="0"/>
          <w:type w:val="continuous"/>
        </w:sectPr>
      </w:pPr>
    </w:p>
    <w:bookmarkStart w:id="68" w:name="page69"/>
    <w:bookmarkEnd w:id="6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Cost and Expenses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 summary of total cost and expenses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6"/>
              </w:rPr>
              <w:t>For the Years Ended</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100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8"/>
        </w:trPr>
        <w:tc>
          <w:tcPr>
            <w:tcW w:w="38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December 31,</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bottom w:val="single" w:sz="8" w:color="DDDDDD"/>
            </w:tcBorders>
            <w:gridSpan w:val="2"/>
            <w:vMerge w:val="restart"/>
            <w:shd w:val="clear" w:color="auto" w:fill="DDDDDD"/>
          </w:tcPr>
          <w:p>
            <w:pPr>
              <w:jc w:val="right"/>
              <w:ind w:right="35"/>
              <w:spacing w:after="0"/>
              <w:rPr>
                <w:sz w:val="20"/>
                <w:szCs w:val="20"/>
                <w:color w:val="auto"/>
              </w:rPr>
            </w:pPr>
            <w:r>
              <w:rPr>
                <w:rFonts w:ascii="Arial" w:cs="Arial" w:eastAsia="Arial" w:hAnsi="Arial"/>
                <w:sz w:val="14"/>
                <w:szCs w:val="14"/>
                <w:b w:val="1"/>
                <w:bCs w:val="1"/>
                <w:color w:val="2573BA"/>
              </w:rPr>
              <w:t>2017 compared to</w:t>
            </w:r>
          </w:p>
        </w:tc>
        <w:tc>
          <w:tcPr>
            <w:tcW w:w="100" w:type="dxa"/>
            <w:vAlign w:val="bottom"/>
          </w:tcPr>
          <w:p>
            <w:pPr>
              <w:spacing w:after="0"/>
              <w:rPr>
                <w:sz w:val="15"/>
                <w:szCs w:val="15"/>
                <w:color w:val="auto"/>
              </w:rPr>
            </w:pPr>
          </w:p>
        </w:tc>
        <w:tc>
          <w:tcPr>
            <w:tcW w:w="1360" w:type="dxa"/>
            <w:vAlign w:val="bottom"/>
            <w:vMerge w:val="restart"/>
          </w:tcPr>
          <w:p>
            <w:pPr>
              <w:jc w:val="right"/>
              <w:ind w:right="23"/>
              <w:spacing w:after="0"/>
              <w:rPr>
                <w:sz w:val="20"/>
                <w:szCs w:val="20"/>
                <w:color w:val="auto"/>
              </w:rPr>
            </w:pPr>
            <w:r>
              <w:rPr>
                <w:rFonts w:ascii="Arial" w:cs="Arial" w:eastAsia="Arial" w:hAnsi="Arial"/>
                <w:sz w:val="14"/>
                <w:szCs w:val="14"/>
                <w:b w:val="1"/>
                <w:bCs w:val="1"/>
                <w:color w:val="auto"/>
              </w:rPr>
              <w:t>2016 compared to</w:t>
            </w:r>
          </w:p>
        </w:tc>
        <w:tc>
          <w:tcPr>
            <w:tcW w:w="0" w:type="dxa"/>
            <w:vAlign w:val="bottom"/>
          </w:tcPr>
          <w:p>
            <w:pPr>
              <w:spacing w:after="0"/>
              <w:rPr>
                <w:sz w:val="1"/>
                <w:szCs w:val="1"/>
                <w:color w:val="auto"/>
              </w:rPr>
            </w:pPr>
          </w:p>
        </w:tc>
      </w:tr>
      <w:tr>
        <w:trPr>
          <w:trHeight w:val="65"/>
        </w:trPr>
        <w:tc>
          <w:tcPr>
            <w:tcW w:w="3880" w:type="dxa"/>
            <w:vAlign w:val="bottom"/>
          </w:tcPr>
          <w:p>
            <w:pPr>
              <w:spacing w:after="0"/>
              <w:rPr>
                <w:sz w:val="5"/>
                <w:szCs w:val="5"/>
                <w:color w:val="auto"/>
              </w:rPr>
            </w:pPr>
          </w:p>
        </w:tc>
        <w:tc>
          <w:tcPr>
            <w:tcW w:w="360" w:type="dxa"/>
            <w:vAlign w:val="bottom"/>
            <w:shd w:val="clear" w:color="auto" w:fill="DDDDDD"/>
          </w:tcPr>
          <w:p>
            <w:pPr>
              <w:spacing w:after="0"/>
              <w:rPr>
                <w:sz w:val="5"/>
                <w:szCs w:val="5"/>
                <w:color w:val="auto"/>
              </w:rPr>
            </w:pPr>
          </w:p>
        </w:tc>
        <w:tc>
          <w:tcPr>
            <w:tcW w:w="1100" w:type="dxa"/>
            <w:vAlign w:val="bottom"/>
            <w:shd w:val="clear" w:color="auto" w:fill="DDDDDD"/>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2"/>
            <w:vMerge w:val="continue"/>
            <w:shd w:val="clear" w:color="auto" w:fill="DDDDDD"/>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360" w:type="dxa"/>
            <w:vAlign w:val="bottom"/>
            <w:shd w:val="clear" w:color="auto" w:fill="DDDDDD"/>
          </w:tcPr>
          <w:p>
            <w:pPr>
              <w:spacing w:after="0"/>
              <w:rPr>
                <w:sz w:val="16"/>
                <w:szCs w:val="16"/>
                <w:color w:val="auto"/>
              </w:rPr>
            </w:pPr>
          </w:p>
        </w:tc>
        <w:tc>
          <w:tcPr>
            <w:tcW w:w="1100" w:type="dxa"/>
            <w:vAlign w:val="bottom"/>
            <w:shd w:val="clear" w:color="auto" w:fill="DDDDDD"/>
          </w:tcPr>
          <w:p>
            <w:pPr>
              <w:jc w:val="right"/>
              <w:ind w:right="496"/>
              <w:spacing w:after="0"/>
              <w:rPr>
                <w:sz w:val="20"/>
                <w:szCs w:val="20"/>
                <w:color w:val="auto"/>
              </w:rPr>
            </w:pPr>
            <w:r>
              <w:rPr>
                <w:rFonts w:ascii="Arial" w:cs="Arial" w:eastAsia="Arial" w:hAnsi="Arial"/>
                <w:sz w:val="14"/>
                <w:szCs w:val="14"/>
                <w:b w:val="1"/>
                <w:bCs w:val="1"/>
                <w:color w:val="2573BA"/>
              </w:rPr>
              <w:t>2017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center"/>
              <w:ind w:right="137"/>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120" w:type="dxa"/>
            <w:vAlign w:val="bottom"/>
            <w:shd w:val="clear" w:color="auto" w:fill="DDDDDD"/>
          </w:tcPr>
          <w:p>
            <w:pPr>
              <w:jc w:val="right"/>
              <w:ind w:right="199"/>
              <w:spacing w:after="0"/>
              <w:rPr>
                <w:sz w:val="20"/>
                <w:szCs w:val="20"/>
                <w:color w:val="auto"/>
              </w:rPr>
            </w:pPr>
            <w:r>
              <w:rPr>
                <w:rFonts w:ascii="Arial" w:cs="Arial" w:eastAsia="Arial" w:hAnsi="Arial"/>
                <w:sz w:val="14"/>
                <w:szCs w:val="14"/>
                <w:b w:val="1"/>
                <w:bCs w:val="1"/>
                <w:color w:val="2573BA"/>
              </w:rPr>
              <w:t>2016</w:t>
            </w:r>
          </w:p>
        </w:tc>
        <w:tc>
          <w:tcPr>
            <w:tcW w:w="260" w:type="dxa"/>
            <w:vAlign w:val="bottom"/>
            <w:shd w:val="clear" w:color="auto" w:fill="DDDDDD"/>
          </w:tcPr>
          <w:p>
            <w:pPr>
              <w:spacing w:after="0"/>
              <w:rPr>
                <w:sz w:val="16"/>
                <w:szCs w:val="16"/>
                <w:color w:val="auto"/>
              </w:rPr>
            </w:pPr>
          </w:p>
        </w:tc>
        <w:tc>
          <w:tcPr>
            <w:tcW w:w="1460" w:type="dxa"/>
            <w:vAlign w:val="bottom"/>
            <w:gridSpan w:val="2"/>
          </w:tcPr>
          <w:p>
            <w:pPr>
              <w:jc w:val="right"/>
              <w:ind w:right="44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5"/>
        </w:trPr>
        <w:tc>
          <w:tcPr>
            <w:tcW w:w="38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Cost of sales, excluding amortization of acquired</w:t>
            </w:r>
          </w:p>
        </w:tc>
        <w:tc>
          <w:tcPr>
            <w:tcW w:w="360" w:type="dxa"/>
            <w:vAlign w:val="bottom"/>
            <w:tcBorders>
              <w:top w:val="single" w:sz="8" w:color="auto"/>
            </w:tcBorders>
            <w:shd w:val="clear" w:color="auto" w:fill="DDDDDD"/>
          </w:tcPr>
          <w:p>
            <w:pPr>
              <w:spacing w:after="0"/>
              <w:rPr>
                <w:sz w:val="18"/>
                <w:szCs w:val="18"/>
                <w:color w:val="auto"/>
              </w:rPr>
            </w:pPr>
          </w:p>
        </w:tc>
        <w:tc>
          <w:tcPr>
            <w:tcW w:w="1100" w:type="dxa"/>
            <w:vAlign w:val="bottom"/>
            <w:tcBorders>
              <w:top w:val="single" w:sz="8" w:color="auto"/>
            </w:tcBorders>
            <w:shd w:val="clear" w:color="auto" w:fill="DDDDDD"/>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shd w:val="clear" w:color="auto" w:fill="DDDDDD"/>
          </w:tcPr>
          <w:p>
            <w:pPr>
              <w:spacing w:after="0"/>
              <w:rPr>
                <w:sz w:val="18"/>
                <w:szCs w:val="18"/>
                <w:color w:val="auto"/>
              </w:rPr>
            </w:pPr>
          </w:p>
        </w:tc>
        <w:tc>
          <w:tcPr>
            <w:tcW w:w="260" w:type="dxa"/>
            <w:vAlign w:val="bottom"/>
            <w:tcBorders>
              <w:top w:val="single" w:sz="8" w:color="auto"/>
            </w:tcBorders>
            <w:shd w:val="clear" w:color="auto" w:fill="DDDDDD"/>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80" w:type="dxa"/>
            <w:vAlign w:val="bottom"/>
          </w:tcPr>
          <w:p>
            <w:pPr>
              <w:ind w:left="20"/>
              <w:spacing w:after="0"/>
              <w:rPr>
                <w:sz w:val="20"/>
                <w:szCs w:val="20"/>
                <w:color w:val="auto"/>
              </w:rPr>
            </w:pPr>
            <w:r>
              <w:rPr>
                <w:rFonts w:ascii="Arial" w:cs="Arial" w:eastAsia="Arial" w:hAnsi="Arial"/>
                <w:sz w:val="17"/>
                <w:szCs w:val="17"/>
                <w:color w:val="auto"/>
              </w:rPr>
              <w:t>intangible assets</w:t>
            </w:r>
          </w:p>
        </w:tc>
        <w:tc>
          <w:tcPr>
            <w:tcW w:w="360" w:type="dxa"/>
            <w:vAlign w:val="bottom"/>
            <w:shd w:val="clear" w:color="auto" w:fill="DDDDDD"/>
          </w:tcPr>
          <w:p>
            <w:pPr>
              <w:jc w:val="right"/>
              <w:ind w:right="155"/>
              <w:spacing w:after="0"/>
              <w:rPr>
                <w:sz w:val="20"/>
                <w:szCs w:val="20"/>
                <w:color w:val="auto"/>
              </w:rPr>
            </w:pPr>
            <w:r>
              <w:rPr>
                <w:rFonts w:ascii="Arial" w:cs="Arial" w:eastAsia="Arial" w:hAnsi="Arial"/>
                <w:sz w:val="17"/>
                <w:szCs w:val="17"/>
                <w:color w:val="2573BA"/>
              </w:rPr>
              <w:t>$</w:t>
            </w:r>
          </w:p>
        </w:tc>
        <w:tc>
          <w:tcPr>
            <w:tcW w:w="11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1,630.0</w:t>
            </w:r>
          </w:p>
        </w:tc>
        <w:tc>
          <w:tcPr>
            <w:tcW w:w="320" w:type="dxa"/>
            <w:vAlign w:val="bottom"/>
            <w:gridSpan w:val="2"/>
          </w:tcPr>
          <w:p>
            <w:pPr>
              <w:jc w:val="right"/>
              <w:ind w:right="32"/>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1,478.7</w:t>
            </w:r>
          </w:p>
        </w:tc>
        <w:tc>
          <w:tcPr>
            <w:tcW w:w="100" w:type="dxa"/>
            <w:vAlign w:val="bottom"/>
          </w:tcPr>
          <w:p>
            <w:pPr>
              <w:spacing w:after="0"/>
              <w:rPr>
                <w:sz w:val="19"/>
                <w:szCs w:val="19"/>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1,240.4</w:t>
            </w:r>
          </w:p>
        </w:tc>
        <w:tc>
          <w:tcPr>
            <w:tcW w:w="100" w:type="dxa"/>
            <w:vAlign w:val="bottom"/>
          </w:tcPr>
          <w:p>
            <w:pPr>
              <w:spacing w:after="0"/>
              <w:rPr>
                <w:sz w:val="19"/>
                <w:szCs w:val="19"/>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10.2</w:t>
            </w:r>
          </w:p>
        </w:tc>
        <w:tc>
          <w:tcPr>
            <w:tcW w:w="2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19.2 %</w:t>
            </w:r>
          </w:p>
        </w:tc>
        <w:tc>
          <w:tcPr>
            <w:tcW w:w="0" w:type="dxa"/>
            <w:vAlign w:val="bottom"/>
          </w:tcPr>
          <w:p>
            <w:pPr>
              <w:spacing w:after="0"/>
              <w:rPr>
                <w:sz w:val="1"/>
                <w:szCs w:val="1"/>
                <w:color w:val="auto"/>
              </w:rPr>
            </w:pPr>
          </w:p>
        </w:tc>
      </w:tr>
      <w:tr>
        <w:trPr>
          <w:trHeight w:val="242"/>
        </w:trPr>
        <w:tc>
          <w:tcPr>
            <w:tcW w:w="3880" w:type="dxa"/>
            <w:vAlign w:val="bottom"/>
          </w:tcPr>
          <w:p>
            <w:pPr>
              <w:ind w:left="20"/>
              <w:spacing w:after="0"/>
              <w:rPr>
                <w:sz w:val="20"/>
                <w:szCs w:val="20"/>
                <w:color w:val="auto"/>
              </w:rPr>
            </w:pPr>
            <w:r>
              <w:rPr>
                <w:rFonts w:ascii="Arial" w:cs="Arial" w:eastAsia="Arial" w:hAnsi="Arial"/>
                <w:sz w:val="17"/>
                <w:szCs w:val="17"/>
                <w:color w:val="auto"/>
              </w:rPr>
              <w:t>Research and development</w:t>
            </w:r>
          </w:p>
        </w:tc>
        <w:tc>
          <w:tcPr>
            <w:tcW w:w="360" w:type="dxa"/>
            <w:vAlign w:val="bottom"/>
            <w:shd w:val="clear" w:color="auto" w:fill="DDDDDD"/>
          </w:tcPr>
          <w:p>
            <w:pPr>
              <w:spacing w:after="0"/>
              <w:rPr>
                <w:sz w:val="21"/>
                <w:szCs w:val="21"/>
                <w:color w:val="auto"/>
              </w:rPr>
            </w:pPr>
          </w:p>
        </w:tc>
        <w:tc>
          <w:tcPr>
            <w:tcW w:w="11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2,253.6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1,973.3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2,012.8</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2573BA"/>
              </w:rPr>
              <w:t>14.2</w:t>
            </w:r>
          </w:p>
        </w:tc>
        <w:tc>
          <w:tcPr>
            <w:tcW w:w="260" w:type="dxa"/>
            <w:vAlign w:val="bottom"/>
          </w:tcPr>
          <w:p>
            <w:pPr>
              <w:jc w:val="right"/>
              <w:spacing w:after="0"/>
              <w:rPr>
                <w:sz w:val="20"/>
                <w:szCs w:val="20"/>
                <w:color w:val="auto"/>
              </w:rPr>
            </w:pPr>
            <w:r>
              <w:rPr>
                <w:rFonts w:ascii="Arial" w:cs="Arial" w:eastAsia="Arial" w:hAnsi="Arial"/>
                <w:sz w:val="17"/>
                <w:szCs w:val="17"/>
                <w:color w:val="2573BA"/>
              </w:rPr>
              <w:t>%</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56"/>
        </w:trPr>
        <w:tc>
          <w:tcPr>
            <w:tcW w:w="3880" w:type="dxa"/>
            <w:vAlign w:val="bottom"/>
          </w:tcPr>
          <w:p>
            <w:pPr>
              <w:ind w:left="20"/>
              <w:spacing w:after="0"/>
              <w:rPr>
                <w:sz w:val="20"/>
                <w:szCs w:val="20"/>
                <w:color w:val="auto"/>
              </w:rPr>
            </w:pPr>
            <w:r>
              <w:rPr>
                <w:rFonts w:ascii="Arial" w:cs="Arial" w:eastAsia="Arial" w:hAnsi="Arial"/>
                <w:sz w:val="17"/>
                <w:szCs w:val="17"/>
                <w:color w:val="auto"/>
              </w:rPr>
              <w:t>Selling, general and administrative</w:t>
            </w:r>
          </w:p>
        </w:tc>
        <w:tc>
          <w:tcPr>
            <w:tcW w:w="360" w:type="dxa"/>
            <w:vAlign w:val="bottom"/>
            <w:shd w:val="clear" w:color="auto" w:fill="DDDDDD"/>
          </w:tcPr>
          <w:p>
            <w:pPr>
              <w:spacing w:after="0"/>
              <w:rPr>
                <w:sz w:val="22"/>
                <w:szCs w:val="22"/>
                <w:color w:val="auto"/>
              </w:rPr>
            </w:pPr>
          </w:p>
        </w:tc>
        <w:tc>
          <w:tcPr>
            <w:tcW w:w="11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1,935.5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1,947.9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2,113.1</w:t>
            </w:r>
          </w:p>
        </w:tc>
        <w:tc>
          <w:tcPr>
            <w:tcW w:w="100" w:type="dxa"/>
            <w:vAlign w:val="bottom"/>
          </w:tcPr>
          <w:p>
            <w:pPr>
              <w:spacing w:after="0"/>
              <w:rPr>
                <w:sz w:val="22"/>
                <w:szCs w:val="22"/>
                <w:color w:val="auto"/>
              </w:rPr>
            </w:pPr>
          </w:p>
        </w:tc>
        <w:tc>
          <w:tcPr>
            <w:tcW w:w="1380" w:type="dxa"/>
            <w:vAlign w:val="bottom"/>
            <w:gridSpan w:val="2"/>
          </w:tcPr>
          <w:p>
            <w:pPr>
              <w:jc w:val="right"/>
              <w:spacing w:after="0"/>
              <w:rPr>
                <w:sz w:val="20"/>
                <w:szCs w:val="20"/>
                <w:color w:val="auto"/>
              </w:rPr>
            </w:pPr>
            <w:r>
              <w:rPr>
                <w:rFonts w:ascii="Arial" w:cs="Arial" w:eastAsia="Arial" w:hAnsi="Arial"/>
                <w:sz w:val="17"/>
                <w:szCs w:val="17"/>
                <w:color w:val="2573BA"/>
              </w:rPr>
              <w:t>(0.6)%</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56"/>
        </w:trPr>
        <w:tc>
          <w:tcPr>
            <w:tcW w:w="3880" w:type="dxa"/>
            <w:vAlign w:val="bottom"/>
          </w:tcPr>
          <w:p>
            <w:pPr>
              <w:ind w:left="20"/>
              <w:spacing w:after="0"/>
              <w:rPr>
                <w:sz w:val="20"/>
                <w:szCs w:val="20"/>
                <w:color w:val="auto"/>
              </w:rPr>
            </w:pPr>
            <w:r>
              <w:rPr>
                <w:rFonts w:ascii="Arial" w:cs="Arial" w:eastAsia="Arial" w:hAnsi="Arial"/>
                <w:sz w:val="17"/>
                <w:szCs w:val="17"/>
                <w:color w:val="auto"/>
              </w:rPr>
              <w:t>Amortization of acquired intangible assets</w:t>
            </w:r>
          </w:p>
        </w:tc>
        <w:tc>
          <w:tcPr>
            <w:tcW w:w="360" w:type="dxa"/>
            <w:vAlign w:val="bottom"/>
            <w:shd w:val="clear" w:color="auto" w:fill="DDDDDD"/>
          </w:tcPr>
          <w:p>
            <w:pPr>
              <w:spacing w:after="0"/>
              <w:rPr>
                <w:sz w:val="22"/>
                <w:szCs w:val="22"/>
                <w:color w:val="auto"/>
              </w:rPr>
            </w:pPr>
          </w:p>
        </w:tc>
        <w:tc>
          <w:tcPr>
            <w:tcW w:w="11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814.7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385.6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382.6</w:t>
            </w:r>
          </w:p>
        </w:tc>
        <w:tc>
          <w:tcPr>
            <w:tcW w:w="100" w:type="dxa"/>
            <w:vAlign w:val="bottom"/>
          </w:tcPr>
          <w:p>
            <w:pPr>
              <w:spacing w:after="0"/>
              <w:rPr>
                <w:sz w:val="22"/>
                <w:szCs w:val="22"/>
                <w:color w:val="auto"/>
              </w:rPr>
            </w:pPr>
          </w:p>
        </w:tc>
        <w:tc>
          <w:tcPr>
            <w:tcW w:w="1380" w:type="dxa"/>
            <w:vAlign w:val="bottom"/>
            <w:gridSpan w:val="2"/>
          </w:tcPr>
          <w:p>
            <w:pPr>
              <w:jc w:val="right"/>
              <w:spacing w:after="0"/>
              <w:rPr>
                <w:sz w:val="20"/>
                <w:szCs w:val="20"/>
                <w:color w:val="auto"/>
              </w:rPr>
            </w:pPr>
            <w:r>
              <w:rPr>
                <w:rFonts w:ascii="Arial" w:cs="Arial" w:eastAsia="Arial" w:hAnsi="Arial"/>
                <w:sz w:val="17"/>
                <w:szCs w:val="17"/>
                <w:color w:val="2573BA"/>
              </w:rPr>
              <w:t>111.3 %</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0.8 %</w:t>
            </w:r>
          </w:p>
        </w:tc>
        <w:tc>
          <w:tcPr>
            <w:tcW w:w="0" w:type="dxa"/>
            <w:vAlign w:val="bottom"/>
          </w:tcPr>
          <w:p>
            <w:pPr>
              <w:spacing w:after="0"/>
              <w:rPr>
                <w:sz w:val="1"/>
                <w:szCs w:val="1"/>
                <w:color w:val="auto"/>
              </w:rPr>
            </w:pPr>
          </w:p>
        </w:tc>
      </w:tr>
      <w:tr>
        <w:trPr>
          <w:trHeight w:val="256"/>
        </w:trPr>
        <w:tc>
          <w:tcPr>
            <w:tcW w:w="3880" w:type="dxa"/>
            <w:vAlign w:val="bottom"/>
          </w:tcPr>
          <w:p>
            <w:pPr>
              <w:ind w:left="20"/>
              <w:spacing w:after="0"/>
              <w:rPr>
                <w:sz w:val="20"/>
                <w:szCs w:val="20"/>
                <w:color w:val="auto"/>
              </w:rPr>
            </w:pPr>
            <w:r>
              <w:rPr>
                <w:rFonts w:ascii="Arial" w:cs="Arial" w:eastAsia="Arial" w:hAnsi="Arial"/>
                <w:sz w:val="17"/>
                <w:szCs w:val="17"/>
                <w:color w:val="auto"/>
              </w:rPr>
              <w:t>Acquired in-process research and development</w:t>
            </w:r>
          </w:p>
        </w:tc>
        <w:tc>
          <w:tcPr>
            <w:tcW w:w="360" w:type="dxa"/>
            <w:vAlign w:val="bottom"/>
            <w:shd w:val="clear" w:color="auto" w:fill="DDDDDD"/>
          </w:tcPr>
          <w:p>
            <w:pPr>
              <w:spacing w:after="0"/>
              <w:rPr>
                <w:sz w:val="22"/>
                <w:szCs w:val="22"/>
                <w:color w:val="auto"/>
              </w:rPr>
            </w:pPr>
          </w:p>
        </w:tc>
        <w:tc>
          <w:tcPr>
            <w:tcW w:w="11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120.0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175"/>
              <w:spacing w:after="0"/>
              <w:rPr>
                <w:sz w:val="20"/>
                <w:szCs w:val="20"/>
                <w:color w:val="auto"/>
              </w:rPr>
            </w:pPr>
            <w:r>
              <w:rPr>
                <w:rFonts w:ascii="Arial" w:cs="Arial" w:eastAsia="Arial" w:hAnsi="Arial"/>
                <w:sz w:val="17"/>
                <w:szCs w:val="17"/>
                <w:color w:val="2573BA"/>
              </w:rPr>
              <w:t>**</w:t>
            </w:r>
          </w:p>
        </w:tc>
        <w:tc>
          <w:tcPr>
            <w:tcW w:w="1460" w:type="dxa"/>
            <w:vAlign w:val="bottom"/>
            <w:gridSpan w:val="2"/>
          </w:tcPr>
          <w:p>
            <w:pPr>
              <w:jc w:val="right"/>
              <w:ind w:right="16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6"/>
        </w:trPr>
        <w:tc>
          <w:tcPr>
            <w:tcW w:w="3880" w:type="dxa"/>
            <w:vAlign w:val="bottom"/>
          </w:tcPr>
          <w:p>
            <w:pPr>
              <w:ind w:left="20"/>
              <w:spacing w:after="0"/>
              <w:rPr>
                <w:sz w:val="20"/>
                <w:szCs w:val="20"/>
                <w:color w:val="auto"/>
              </w:rPr>
            </w:pPr>
            <w:r>
              <w:rPr>
                <w:rFonts w:ascii="Arial" w:cs="Arial" w:eastAsia="Arial" w:hAnsi="Arial"/>
                <w:sz w:val="17"/>
                <w:szCs w:val="17"/>
                <w:color w:val="auto"/>
              </w:rPr>
              <w:t>Collaboration profit sharing</w:t>
            </w:r>
          </w:p>
        </w:tc>
        <w:tc>
          <w:tcPr>
            <w:tcW w:w="360" w:type="dxa"/>
            <w:vAlign w:val="bottom"/>
            <w:shd w:val="clear" w:color="auto" w:fill="DDDDDD"/>
          </w:tcPr>
          <w:p>
            <w:pPr>
              <w:spacing w:after="0"/>
              <w:rPr>
                <w:sz w:val="22"/>
                <w:szCs w:val="22"/>
                <w:color w:val="auto"/>
              </w:rPr>
            </w:pPr>
          </w:p>
        </w:tc>
        <w:tc>
          <w:tcPr>
            <w:tcW w:w="11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112.3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175"/>
              <w:spacing w:after="0"/>
              <w:rPr>
                <w:sz w:val="20"/>
                <w:szCs w:val="20"/>
                <w:color w:val="auto"/>
              </w:rPr>
            </w:pPr>
            <w:r>
              <w:rPr>
                <w:rFonts w:ascii="Arial" w:cs="Arial" w:eastAsia="Arial" w:hAnsi="Arial"/>
                <w:sz w:val="17"/>
                <w:szCs w:val="17"/>
                <w:color w:val="2573BA"/>
              </w:rPr>
              <w:t>**</w:t>
            </w:r>
          </w:p>
        </w:tc>
        <w:tc>
          <w:tcPr>
            <w:tcW w:w="1460" w:type="dxa"/>
            <w:vAlign w:val="bottom"/>
            <w:gridSpan w:val="2"/>
          </w:tcPr>
          <w:p>
            <w:pPr>
              <w:jc w:val="right"/>
              <w:ind w:right="16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1"/>
        </w:trPr>
        <w:tc>
          <w:tcPr>
            <w:tcW w:w="3880" w:type="dxa"/>
            <w:vAlign w:val="bottom"/>
          </w:tcPr>
          <w:p>
            <w:pPr>
              <w:ind w:left="20"/>
              <w:spacing w:after="0"/>
              <w:rPr>
                <w:sz w:val="20"/>
                <w:szCs w:val="20"/>
                <w:color w:val="auto"/>
              </w:rPr>
            </w:pPr>
            <w:r>
              <w:rPr>
                <w:rFonts w:ascii="Arial" w:cs="Arial" w:eastAsia="Arial" w:hAnsi="Arial"/>
                <w:sz w:val="17"/>
                <w:szCs w:val="17"/>
                <w:color w:val="auto"/>
              </w:rPr>
              <w:t>Loss (gain) on fair value remeasurement of</w:t>
            </w:r>
          </w:p>
        </w:tc>
        <w:tc>
          <w:tcPr>
            <w:tcW w:w="360" w:type="dxa"/>
            <w:vAlign w:val="bottom"/>
            <w:shd w:val="clear" w:color="auto" w:fill="DDDDDD"/>
          </w:tcPr>
          <w:p>
            <w:pPr>
              <w:spacing w:after="0"/>
              <w:rPr>
                <w:sz w:val="20"/>
                <w:szCs w:val="20"/>
                <w:color w:val="auto"/>
              </w:rPr>
            </w:pPr>
          </w:p>
        </w:tc>
        <w:tc>
          <w:tcPr>
            <w:tcW w:w="1100" w:type="dxa"/>
            <w:vAlign w:val="bottom"/>
            <w:shd w:val="clear" w:color="auto" w:fill="DDDDDD"/>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3880" w:type="dxa"/>
            <w:vAlign w:val="bottom"/>
          </w:tcPr>
          <w:p>
            <w:pPr>
              <w:ind w:left="20"/>
              <w:spacing w:after="0"/>
              <w:rPr>
                <w:sz w:val="20"/>
                <w:szCs w:val="20"/>
                <w:color w:val="auto"/>
              </w:rPr>
            </w:pPr>
            <w:r>
              <w:rPr>
                <w:rFonts w:ascii="Arial" w:cs="Arial" w:eastAsia="Arial" w:hAnsi="Arial"/>
                <w:sz w:val="17"/>
                <w:szCs w:val="17"/>
                <w:color w:val="auto"/>
              </w:rPr>
              <w:t>contingent consideration</w:t>
            </w:r>
          </w:p>
        </w:tc>
        <w:tc>
          <w:tcPr>
            <w:tcW w:w="360" w:type="dxa"/>
            <w:vAlign w:val="bottom"/>
            <w:shd w:val="clear" w:color="auto" w:fill="DDDDDD"/>
          </w:tcPr>
          <w:p>
            <w:pPr>
              <w:spacing w:after="0"/>
              <w:rPr>
                <w:sz w:val="17"/>
                <w:szCs w:val="17"/>
                <w:color w:val="auto"/>
              </w:rPr>
            </w:pPr>
          </w:p>
        </w:tc>
        <w:tc>
          <w:tcPr>
            <w:tcW w:w="11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62.7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14.8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30.5</w:t>
            </w:r>
          </w:p>
        </w:tc>
        <w:tc>
          <w:tcPr>
            <w:tcW w:w="10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Arial" w:cs="Arial" w:eastAsia="Arial" w:hAnsi="Arial"/>
                <w:sz w:val="17"/>
                <w:szCs w:val="17"/>
                <w:color w:val="2573BA"/>
              </w:rPr>
              <w:t>323.6 %</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(51.5)%</w:t>
            </w:r>
          </w:p>
        </w:tc>
        <w:tc>
          <w:tcPr>
            <w:tcW w:w="0" w:type="dxa"/>
            <w:vAlign w:val="bottom"/>
          </w:tcPr>
          <w:p>
            <w:pPr>
              <w:spacing w:after="0"/>
              <w:rPr>
                <w:sz w:val="1"/>
                <w:szCs w:val="1"/>
                <w:color w:val="auto"/>
              </w:rPr>
            </w:pPr>
          </w:p>
        </w:tc>
      </w:tr>
      <w:tr>
        <w:trPr>
          <w:trHeight w:val="256"/>
        </w:trPr>
        <w:tc>
          <w:tcPr>
            <w:tcW w:w="3880" w:type="dxa"/>
            <w:vAlign w:val="bottom"/>
          </w:tcPr>
          <w:p>
            <w:pPr>
              <w:ind w:left="20"/>
              <w:spacing w:after="0"/>
              <w:rPr>
                <w:sz w:val="20"/>
                <w:szCs w:val="20"/>
                <w:color w:val="auto"/>
              </w:rPr>
            </w:pPr>
            <w:r>
              <w:rPr>
                <w:rFonts w:ascii="Arial" w:cs="Arial" w:eastAsia="Arial" w:hAnsi="Arial"/>
                <w:sz w:val="17"/>
                <w:szCs w:val="17"/>
                <w:color w:val="auto"/>
              </w:rPr>
              <w:t>Restructuring charges</w:t>
            </w:r>
          </w:p>
        </w:tc>
        <w:tc>
          <w:tcPr>
            <w:tcW w:w="360" w:type="dxa"/>
            <w:vAlign w:val="bottom"/>
            <w:shd w:val="clear" w:color="auto" w:fill="DDDDDD"/>
          </w:tcPr>
          <w:p>
            <w:pPr>
              <w:spacing w:after="0"/>
              <w:rPr>
                <w:sz w:val="22"/>
                <w:szCs w:val="22"/>
                <w:color w:val="auto"/>
              </w:rPr>
            </w:pPr>
          </w:p>
        </w:tc>
        <w:tc>
          <w:tcPr>
            <w:tcW w:w="11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0.9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33.1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93.4</w:t>
            </w:r>
          </w:p>
        </w:tc>
        <w:tc>
          <w:tcPr>
            <w:tcW w:w="100" w:type="dxa"/>
            <w:vAlign w:val="bottom"/>
          </w:tcPr>
          <w:p>
            <w:pPr>
              <w:spacing w:after="0"/>
              <w:rPr>
                <w:sz w:val="22"/>
                <w:szCs w:val="22"/>
                <w:color w:val="auto"/>
              </w:rPr>
            </w:pPr>
          </w:p>
        </w:tc>
        <w:tc>
          <w:tcPr>
            <w:tcW w:w="1380" w:type="dxa"/>
            <w:vAlign w:val="bottom"/>
            <w:gridSpan w:val="2"/>
          </w:tcPr>
          <w:p>
            <w:pPr>
              <w:jc w:val="right"/>
              <w:spacing w:after="0"/>
              <w:rPr>
                <w:sz w:val="20"/>
                <w:szCs w:val="20"/>
                <w:color w:val="auto"/>
              </w:rPr>
            </w:pPr>
            <w:r>
              <w:rPr>
                <w:rFonts w:ascii="Arial" w:cs="Arial" w:eastAsia="Arial" w:hAnsi="Arial"/>
                <w:sz w:val="17"/>
                <w:szCs w:val="17"/>
                <w:color w:val="2573BA"/>
              </w:rPr>
              <w:t>(97.3)%</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(64.6)%</w:t>
            </w:r>
          </w:p>
        </w:tc>
        <w:tc>
          <w:tcPr>
            <w:tcW w:w="0" w:type="dxa"/>
            <w:vAlign w:val="bottom"/>
          </w:tcPr>
          <w:p>
            <w:pPr>
              <w:spacing w:after="0"/>
              <w:rPr>
                <w:sz w:val="1"/>
                <w:szCs w:val="1"/>
                <w:color w:val="auto"/>
              </w:rPr>
            </w:pPr>
          </w:p>
        </w:tc>
      </w:tr>
      <w:tr>
        <w:trPr>
          <w:trHeight w:val="263"/>
        </w:trPr>
        <w:tc>
          <w:tcPr>
            <w:tcW w:w="3880" w:type="dxa"/>
            <w:vAlign w:val="bottom"/>
          </w:tcPr>
          <w:p>
            <w:pPr>
              <w:ind w:left="20"/>
              <w:spacing w:after="0"/>
              <w:rPr>
                <w:sz w:val="20"/>
                <w:szCs w:val="20"/>
                <w:color w:val="auto"/>
              </w:rPr>
            </w:pPr>
            <w:r>
              <w:rPr>
                <w:rFonts w:ascii="Arial" w:cs="Arial" w:eastAsia="Arial" w:hAnsi="Arial"/>
                <w:sz w:val="17"/>
                <w:szCs w:val="17"/>
                <w:color w:val="auto"/>
              </w:rPr>
              <w:t>TECFIDERA litigation settlement charge</w:t>
            </w:r>
          </w:p>
        </w:tc>
        <w:tc>
          <w:tcPr>
            <w:tcW w:w="360" w:type="dxa"/>
            <w:vAlign w:val="bottom"/>
            <w:tcBorders>
              <w:bottom w:val="single" w:sz="8" w:color="auto"/>
            </w:tcBorders>
            <w:shd w:val="clear" w:color="auto" w:fill="DDDDDD"/>
          </w:tcPr>
          <w:p>
            <w:pPr>
              <w:spacing w:after="0"/>
              <w:rPr>
                <w:sz w:val="22"/>
                <w:szCs w:val="22"/>
                <w:color w:val="auto"/>
              </w:rPr>
            </w:pPr>
          </w:p>
        </w:tc>
        <w:tc>
          <w:tcPr>
            <w:tcW w:w="1100" w:type="dxa"/>
            <w:vAlign w:val="bottom"/>
            <w:tcBorders>
              <w:bottom w:val="single" w:sz="8" w:color="auto"/>
            </w:tcBorders>
            <w:shd w:val="clear" w:color="auto" w:fill="DDDDDD"/>
          </w:tcPr>
          <w:p>
            <w:pPr>
              <w:jc w:val="right"/>
              <w:ind w:right="16"/>
              <w:spacing w:after="0"/>
              <w:rPr>
                <w:sz w:val="20"/>
                <w:szCs w:val="20"/>
                <w:color w:val="auto"/>
              </w:rPr>
            </w:pPr>
            <w:r>
              <w:rPr>
                <w:rFonts w:ascii="Arial" w:cs="Arial" w:eastAsia="Arial" w:hAnsi="Arial"/>
                <w:sz w:val="17"/>
                <w:szCs w:val="17"/>
                <w:color w:val="2573BA"/>
              </w:rPr>
              <w:t>—</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454.8</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2573BA"/>
              </w:rPr>
              <w:t>(100.0)%</w:t>
            </w:r>
          </w:p>
        </w:tc>
        <w:tc>
          <w:tcPr>
            <w:tcW w:w="100" w:type="dxa"/>
            <w:vAlign w:val="bottom"/>
          </w:tcPr>
          <w:p>
            <w:pPr>
              <w:spacing w:after="0"/>
              <w:rPr>
                <w:sz w:val="22"/>
                <w:szCs w:val="22"/>
                <w:color w:val="auto"/>
              </w:rPr>
            </w:pPr>
          </w:p>
        </w:tc>
        <w:tc>
          <w:tcPr>
            <w:tcW w:w="1360" w:type="dxa"/>
            <w:vAlign w:val="bottom"/>
            <w:tcBorders>
              <w:bottom w:val="single" w:sz="8" w:color="auto"/>
            </w:tcBorders>
          </w:tcPr>
          <w:p>
            <w:pPr>
              <w:jc w:val="right"/>
              <w:ind w:right="16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3880" w:type="dxa"/>
            <w:vAlign w:val="bottom"/>
          </w:tcPr>
          <w:p>
            <w:pPr>
              <w:ind w:left="360"/>
              <w:spacing w:after="0"/>
              <w:rPr>
                <w:sz w:val="20"/>
                <w:szCs w:val="20"/>
                <w:color w:val="auto"/>
              </w:rPr>
            </w:pPr>
            <w:r>
              <w:rPr>
                <w:rFonts w:ascii="Arial" w:cs="Arial" w:eastAsia="Arial" w:hAnsi="Arial"/>
                <w:sz w:val="17"/>
                <w:szCs w:val="17"/>
                <w:color w:val="auto"/>
              </w:rPr>
              <w:t>Total cost and expenses</w:t>
            </w:r>
          </w:p>
        </w:tc>
        <w:tc>
          <w:tcPr>
            <w:tcW w:w="360" w:type="dxa"/>
            <w:vAlign w:val="bottom"/>
            <w:shd w:val="clear" w:color="auto" w:fill="DDDDDD"/>
          </w:tcPr>
          <w:p>
            <w:pPr>
              <w:jc w:val="right"/>
              <w:ind w:right="155"/>
              <w:spacing w:after="0"/>
              <w:rPr>
                <w:sz w:val="20"/>
                <w:szCs w:val="20"/>
                <w:color w:val="auto"/>
              </w:rPr>
            </w:pPr>
            <w:r>
              <w:rPr>
                <w:rFonts w:ascii="Arial" w:cs="Arial" w:eastAsia="Arial" w:hAnsi="Arial"/>
                <w:sz w:val="17"/>
                <w:szCs w:val="17"/>
                <w:color w:val="2573BA"/>
              </w:rPr>
              <w:t>$</w:t>
            </w:r>
          </w:p>
        </w:tc>
        <w:tc>
          <w:tcPr>
            <w:tcW w:w="11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6,929.7</w:t>
            </w:r>
          </w:p>
        </w:tc>
        <w:tc>
          <w:tcPr>
            <w:tcW w:w="320" w:type="dxa"/>
            <w:vAlign w:val="bottom"/>
            <w:gridSpan w:val="2"/>
          </w:tcPr>
          <w:p>
            <w:pPr>
              <w:jc w:val="right"/>
              <w:ind w:right="32"/>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6,298.4</w:t>
            </w:r>
          </w:p>
        </w:tc>
        <w:tc>
          <w:tcPr>
            <w:tcW w:w="100" w:type="dxa"/>
            <w:vAlign w:val="bottom"/>
          </w:tcPr>
          <w:p>
            <w:pPr>
              <w:spacing w:after="0"/>
              <w:rPr>
                <w:sz w:val="20"/>
                <w:szCs w:val="20"/>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5,872.8</w:t>
            </w:r>
          </w:p>
        </w:tc>
        <w:tc>
          <w:tcPr>
            <w:tcW w:w="10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Arial" w:cs="Arial" w:eastAsia="Arial" w:hAnsi="Arial"/>
                <w:sz w:val="17"/>
                <w:szCs w:val="17"/>
                <w:color w:val="2573BA"/>
              </w:rPr>
              <w:t>10.0 %</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7.2 %</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5450205</wp:posOffset>
            </wp:positionH>
            <wp:positionV relativeFrom="paragraph">
              <wp:posOffset>-1885950</wp:posOffset>
            </wp:positionV>
            <wp:extent cx="869950" cy="18700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69950" cy="187007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color w:val="auto"/>
        </w:rPr>
        <w:t>** Percentage not meaningful.</w:t>
      </w:r>
    </w:p>
    <w:p>
      <w:pPr>
        <w:sectPr>
          <w:pgSz w:w="11900" w:h="16838" w:orient="portrait"/>
          <w:cols w:equalWidth="0" w:num="1">
            <w:col w:w="11420"/>
          </w:cols>
          <w:pgMar w:left="240" w:top="144" w:right="239" w:bottom="1440" w:gutter="0" w:footer="0" w:header="0"/>
        </w:sectPr>
      </w:pPr>
    </w:p>
    <w:p>
      <w:pPr>
        <w:spacing w:after="0" w:line="121" w:lineRule="exact"/>
        <w:rPr>
          <w:sz w:val="20"/>
          <w:szCs w:val="20"/>
          <w:color w:val="auto"/>
        </w:rPr>
      </w:pPr>
    </w:p>
    <w:p>
      <w:pPr>
        <w:ind w:firstLine="205"/>
        <w:spacing w:after="0" w:line="287" w:lineRule="auto"/>
        <w:rPr>
          <w:sz w:val="20"/>
          <w:szCs w:val="20"/>
          <w:color w:val="auto"/>
        </w:rPr>
      </w:pPr>
      <w:r>
        <w:rPr>
          <w:rFonts w:ascii="Arial" w:cs="Arial" w:eastAsia="Arial" w:hAnsi="Arial"/>
          <w:sz w:val="17"/>
          <w:szCs w:val="17"/>
          <w:b w:val="1"/>
          <w:bCs w:val="1"/>
          <w:i w:val="1"/>
          <w:iCs w:val="1"/>
          <w:color w:val="2573BA"/>
        </w:rPr>
        <w:t>Cost of Sales, Excluding Amortization of Acquired Intangible Assets (Cost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-22860</wp:posOffset>
            </wp:positionV>
            <wp:extent cx="2578100" cy="24885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78100" cy="24885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538235"/>
        </w:rPr>
        <w:t>Product Cost of Sales</w:t>
      </w:r>
    </w:p>
    <w:p>
      <w:pPr>
        <w:spacing w:after="0" w:line="104" w:lineRule="exact"/>
        <w:rPr>
          <w:sz w:val="20"/>
          <w:szCs w:val="20"/>
          <w:color w:val="auto"/>
        </w:rPr>
      </w:pPr>
    </w:p>
    <w:p>
      <w:pPr>
        <w:ind w:left="320" w:firstLine="410"/>
        <w:spacing w:after="0" w:line="252" w:lineRule="auto"/>
        <w:rPr>
          <w:sz w:val="20"/>
          <w:szCs w:val="20"/>
          <w:color w:val="auto"/>
        </w:rPr>
      </w:pPr>
      <w:r>
        <w:rPr>
          <w:rFonts w:ascii="Arial" w:cs="Arial" w:eastAsia="Arial" w:hAnsi="Arial"/>
          <w:sz w:val="17"/>
          <w:szCs w:val="17"/>
          <w:color w:val="auto"/>
        </w:rPr>
        <w:t>For 2017 compared to 2016, the increase in product cost of sales was primarily driven by higher unit sales volume related to our biosimilar product shipments, higher contract manufacturing shipments of drug substance production provided to our strategic partners, including Bioverativ, and an increase in inventory amounts written down as a result of excess, obsolescence, unmarketability or other reasons. These increases were partially offset by the impact from the spin-off of our hemophilia business on February 1, 2017, and the accelerated depreciation recorded in the second, third and fourth quarters of 2016 as a result of our decision to cease manufacturing in Cambridge, MA.</w:t>
      </w:r>
    </w:p>
    <w:p>
      <w:pPr>
        <w:spacing w:after="0" w:line="150" w:lineRule="exact"/>
        <w:rPr>
          <w:sz w:val="20"/>
          <w:szCs w:val="20"/>
          <w:color w:val="auto"/>
        </w:rPr>
      </w:pPr>
    </w:p>
    <w:p>
      <w:pPr>
        <w:ind w:left="320" w:right="80" w:firstLine="410"/>
        <w:spacing w:after="0" w:line="254" w:lineRule="auto"/>
        <w:rPr>
          <w:sz w:val="20"/>
          <w:szCs w:val="20"/>
          <w:color w:val="auto"/>
        </w:rPr>
      </w:pPr>
      <w:r>
        <w:rPr>
          <w:rFonts w:ascii="Arial" w:cs="Arial" w:eastAsia="Arial" w:hAnsi="Arial"/>
          <w:sz w:val="17"/>
          <w:szCs w:val="17"/>
          <w:color w:val="auto"/>
        </w:rPr>
        <w:t>For 2016 compared to 2015, the increase in product cost of sales was primarily driven by costs noted below as well as increased contract manufacturing shipments and higher unit sales volume related to our biosimilars and hemophilia products, partially offset by favorable production costs and mix of products.</w:t>
      </w:r>
    </w:p>
    <w:p>
      <w:pPr>
        <w:spacing w:after="0" w:line="144" w:lineRule="exact"/>
        <w:rPr>
          <w:sz w:val="20"/>
          <w:szCs w:val="20"/>
          <w:color w:val="auto"/>
        </w:rPr>
      </w:pPr>
    </w:p>
    <w:p>
      <w:pPr>
        <w:ind w:left="320" w:right="40" w:firstLine="410"/>
        <w:spacing w:after="0" w:line="254" w:lineRule="auto"/>
        <w:rPr>
          <w:sz w:val="20"/>
          <w:szCs w:val="20"/>
          <w:color w:val="auto"/>
        </w:rPr>
      </w:pPr>
      <w:r>
        <w:rPr>
          <w:rFonts w:ascii="Arial" w:cs="Arial" w:eastAsia="Arial" w:hAnsi="Arial"/>
          <w:sz w:val="17"/>
          <w:szCs w:val="17"/>
          <w:color w:val="auto"/>
        </w:rPr>
        <w:t>Product cost of sales for 2016 reflects the recognition of $45.5 million of accelerated depreciation as a result of the determination to cease manufacturing in Cambridge, MA and vacate our small-scale biologics manufacturing facility in Cambridge, MA and warehouse space in Somerville, MA.</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65</w:t>
      </w:r>
    </w:p>
    <w:p>
      <w:pPr>
        <w:sectPr>
          <w:pgSz w:w="11900" w:h="16838" w:orient="portrait"/>
          <w:cols w:equalWidth="0" w:num="2">
            <w:col w:w="5140" w:space="480"/>
            <w:col w:w="5800"/>
          </w:cols>
          <w:pgMar w:left="240" w:top="144" w:right="239" w:bottom="1440" w:gutter="0" w:footer="0" w:header="0"/>
          <w:type w:val="continuous"/>
        </w:sectPr>
      </w:pPr>
    </w:p>
    <w:bookmarkStart w:id="69" w:name="page70"/>
    <w:bookmarkEnd w:id="69"/>
    <w:tbl>
      <w:tblPr>
        <w:tblLayout w:type="fixed"/>
        <w:tblInd w:w="0" w:type="dxa"/>
        <w:tblCellMar>
          <w:top w:w="0" w:type="dxa"/>
          <w:left w:w="0" w:type="dxa"/>
          <w:bottom w:w="0" w:type="dxa"/>
          <w:right w:w="0" w:type="dxa"/>
        </w:tblCellMar>
      </w:tblPr>
      <w:tr>
        <w:trPr>
          <w:trHeight w:val="161"/>
        </w:trPr>
        <w:tc>
          <w:tcPr>
            <w:tcW w:w="580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0000EE"/>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580" w:type="dxa"/>
            <w:vAlign w:val="bottom"/>
            <w:vMerge w:val="restart"/>
          </w:tcPr>
          <w:p>
            <w:pPr>
              <w:ind w:left="340"/>
              <w:spacing w:after="0"/>
              <w:rPr>
                <w:sz w:val="20"/>
                <w:szCs w:val="20"/>
                <w:color w:val="auto"/>
              </w:rPr>
            </w:pPr>
            <w:r>
              <w:rPr>
                <w:rFonts w:ascii="Arial" w:cs="Arial" w:eastAsia="Arial" w:hAnsi="Arial"/>
                <w:sz w:val="17"/>
                <w:szCs w:val="17"/>
                <w:b w:val="1"/>
                <w:bCs w:val="1"/>
                <w:i w:val="1"/>
                <w:iCs w:val="1"/>
                <w:color w:val="2573BA"/>
                <w:w w:val="99"/>
              </w:rPr>
              <w:t>Research and Development</w:t>
            </w:r>
          </w:p>
        </w:tc>
        <w:tc>
          <w:tcPr>
            <w:tcW w:w="0" w:type="dxa"/>
            <w:vAlign w:val="bottom"/>
          </w:tcPr>
          <w:p>
            <w:pPr>
              <w:spacing w:after="0" w:line="20" w:lineRule="exact"/>
              <w:rPr>
                <w:sz w:val="1"/>
                <w:szCs w:val="1"/>
                <w:color w:val="auto"/>
              </w:rPr>
            </w:pPr>
          </w:p>
        </w:tc>
      </w:tr>
      <w:tr>
        <w:trPr>
          <w:trHeight w:val="581"/>
        </w:trPr>
        <w:tc>
          <w:tcPr>
            <w:tcW w:w="5800" w:type="dxa"/>
            <w:vAlign w:val="bottom"/>
            <w:gridSpan w:val="2"/>
          </w:tcPr>
          <w:p>
            <w:pPr>
              <w:ind w:left="420"/>
              <w:spacing w:after="0"/>
              <w:rPr>
                <w:sz w:val="20"/>
                <w:szCs w:val="20"/>
                <w:color w:val="auto"/>
              </w:rPr>
            </w:pPr>
            <w:r>
              <w:rPr>
                <w:rFonts w:ascii="Arial" w:cs="Arial" w:eastAsia="Arial" w:hAnsi="Arial"/>
                <w:sz w:val="17"/>
                <w:szCs w:val="17"/>
                <w:color w:val="auto"/>
              </w:rPr>
              <w:t>Inventory amounts written down as a result of excess,</w:t>
            </w:r>
          </w:p>
        </w:tc>
        <w:tc>
          <w:tcPr>
            <w:tcW w:w="2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800" w:type="dxa"/>
            <w:vAlign w:val="bottom"/>
            <w:gridSpan w:val="2"/>
          </w:tcPr>
          <w:p>
            <w:pPr>
              <w:spacing w:after="0"/>
              <w:rPr>
                <w:sz w:val="20"/>
                <w:szCs w:val="20"/>
                <w:color w:val="auto"/>
              </w:rPr>
            </w:pPr>
            <w:r>
              <w:rPr>
                <w:rFonts w:ascii="Arial" w:cs="Arial" w:eastAsia="Arial" w:hAnsi="Arial"/>
                <w:sz w:val="17"/>
                <w:szCs w:val="17"/>
                <w:color w:val="auto"/>
              </w:rPr>
              <w:t>obsolescence, unmarketability or other reasons totaled $76.9 million,</w:t>
            </w: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0" w:type="dxa"/>
            <w:vAlign w:val="bottom"/>
            <w:gridSpan w:val="2"/>
          </w:tcPr>
          <w:p>
            <w:pPr>
              <w:spacing w:after="0"/>
              <w:rPr>
                <w:sz w:val="20"/>
                <w:szCs w:val="20"/>
                <w:color w:val="auto"/>
              </w:rPr>
            </w:pPr>
            <w:r>
              <w:rPr>
                <w:rFonts w:ascii="Arial" w:cs="Arial" w:eastAsia="Arial" w:hAnsi="Arial"/>
                <w:sz w:val="17"/>
                <w:szCs w:val="17"/>
                <w:color w:val="auto"/>
              </w:rPr>
              <w:t>$48.2 million and $41.9 million for the years ended December 31, 2017,</w:t>
            </w: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0" w:type="dxa"/>
            <w:vAlign w:val="bottom"/>
            <w:gridSpan w:val="2"/>
          </w:tcPr>
          <w:p>
            <w:pPr>
              <w:spacing w:after="0"/>
              <w:rPr>
                <w:sz w:val="20"/>
                <w:szCs w:val="20"/>
                <w:color w:val="auto"/>
              </w:rPr>
            </w:pPr>
            <w:r>
              <w:rPr>
                <w:rFonts w:ascii="Arial" w:cs="Arial" w:eastAsia="Arial" w:hAnsi="Arial"/>
                <w:sz w:val="17"/>
                <w:szCs w:val="17"/>
                <w:color w:val="auto"/>
              </w:rPr>
              <w:t>2016 and 2015, respectively. Amounts written down during the year</w:t>
            </w: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0" w:type="dxa"/>
            <w:vAlign w:val="bottom"/>
            <w:gridSpan w:val="2"/>
          </w:tcPr>
          <w:p>
            <w:pPr>
              <w:spacing w:after="0"/>
              <w:rPr>
                <w:sz w:val="20"/>
                <w:szCs w:val="20"/>
                <w:color w:val="auto"/>
              </w:rPr>
            </w:pPr>
            <w:r>
              <w:rPr>
                <w:rFonts w:ascii="Arial" w:cs="Arial" w:eastAsia="Arial" w:hAnsi="Arial"/>
                <w:sz w:val="17"/>
                <w:szCs w:val="17"/>
                <w:color w:val="auto"/>
              </w:rPr>
              <w:t>ended December 31, 2017, includes the impairment of $14.4 million</w:t>
            </w: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0" w:type="dxa"/>
            <w:vAlign w:val="bottom"/>
            <w:gridSpan w:val="2"/>
          </w:tcPr>
          <w:p>
            <w:pPr>
              <w:spacing w:after="0"/>
              <w:rPr>
                <w:sz w:val="20"/>
                <w:szCs w:val="20"/>
                <w:color w:val="auto"/>
              </w:rPr>
            </w:pPr>
            <w:r>
              <w:rPr>
                <w:rFonts w:ascii="Arial" w:cs="Arial" w:eastAsia="Arial" w:hAnsi="Arial"/>
                <w:sz w:val="17"/>
                <w:szCs w:val="17"/>
                <w:color w:val="auto"/>
              </w:rPr>
              <w:t>related to the EC approved restrictions on the use of ZINBRYTA.</w:t>
            </w: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9"/>
        </w:trPr>
        <w:tc>
          <w:tcPr>
            <w:tcW w:w="5800" w:type="dxa"/>
            <w:vAlign w:val="bottom"/>
            <w:gridSpan w:val="2"/>
          </w:tcPr>
          <w:p>
            <w:pPr>
              <w:ind w:left="420"/>
              <w:spacing w:after="0"/>
              <w:rPr>
                <w:sz w:val="20"/>
                <w:szCs w:val="20"/>
                <w:color w:val="auto"/>
              </w:rPr>
            </w:pPr>
            <w:r>
              <w:rPr>
                <w:rFonts w:ascii="Arial" w:cs="Arial" w:eastAsia="Arial" w:hAnsi="Arial"/>
                <w:sz w:val="17"/>
                <w:szCs w:val="17"/>
                <w:color w:val="auto"/>
              </w:rPr>
              <w:t>For additional information on the Article 20 Procedure of</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800" w:type="dxa"/>
            <w:vAlign w:val="bottom"/>
            <w:gridSpan w:val="2"/>
          </w:tcPr>
          <w:p>
            <w:pPr>
              <w:spacing w:after="0" w:line="187" w:lineRule="exact"/>
              <w:rPr>
                <w:sz w:val="20"/>
                <w:szCs w:val="20"/>
                <w:color w:val="auto"/>
              </w:rPr>
            </w:pPr>
            <w:r>
              <w:rPr>
                <w:rFonts w:ascii="Arial" w:cs="Arial" w:eastAsia="Arial" w:hAnsi="Arial"/>
                <w:sz w:val="17"/>
                <w:szCs w:val="17"/>
                <w:color w:val="auto"/>
              </w:rPr>
              <w:t>ZINBRYTA and resulting impairment of ZINBRYTA related assets,</w:t>
            </w:r>
          </w:p>
        </w:tc>
        <w:tc>
          <w:tcPr>
            <w:tcW w:w="2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800" w:type="dxa"/>
            <w:vAlign w:val="bottom"/>
            <w:gridSpan w:val="2"/>
          </w:tcPr>
          <w:p>
            <w:pPr>
              <w:spacing w:after="0"/>
              <w:rPr>
                <w:sz w:val="20"/>
                <w:szCs w:val="20"/>
                <w:color w:val="auto"/>
              </w:rPr>
            </w:pPr>
            <w:r>
              <w:rPr>
                <w:rFonts w:ascii="Arial" w:cs="Arial" w:eastAsia="Arial" w:hAnsi="Arial"/>
                <w:sz w:val="17"/>
                <w:szCs w:val="17"/>
                <w:color w:val="auto"/>
              </w:rPr>
              <w:t xml:space="preserve">please read Note 20, </w:t>
            </w:r>
            <w:r>
              <w:rPr>
                <w:rFonts w:ascii="Arial" w:cs="Arial" w:eastAsia="Arial" w:hAnsi="Arial"/>
                <w:sz w:val="17"/>
                <w:szCs w:val="17"/>
                <w:i w:val="1"/>
                <w:iCs w:val="1"/>
                <w:color w:val="auto"/>
              </w:rPr>
              <w:t>Collaborative and Other Relationships</w:t>
            </w:r>
            <w:r>
              <w:rPr>
                <w:rFonts w:ascii="Arial" w:cs="Arial" w:eastAsia="Arial" w:hAnsi="Arial"/>
                <w:sz w:val="17"/>
                <w:szCs w:val="17"/>
                <w:color w:val="auto"/>
              </w:rPr>
              <w:t>, to our</w:t>
            </w:r>
          </w:p>
        </w:tc>
        <w:tc>
          <w:tcPr>
            <w:tcW w:w="2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800" w:type="dxa"/>
            <w:vAlign w:val="bottom"/>
            <w:gridSpan w:val="2"/>
          </w:tcPr>
          <w:p>
            <w:pPr>
              <w:spacing w:after="0"/>
              <w:rPr>
                <w:sz w:val="20"/>
                <w:szCs w:val="20"/>
                <w:color w:val="auto"/>
              </w:rPr>
            </w:pPr>
            <w:r>
              <w:rPr>
                <w:rFonts w:ascii="Arial" w:cs="Arial" w:eastAsia="Arial" w:hAnsi="Arial"/>
                <w:sz w:val="17"/>
                <w:szCs w:val="17"/>
                <w:color w:val="auto"/>
              </w:rPr>
              <w:t>consolidated financial statements included in this report.</w:t>
            </w: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9"/>
        </w:trPr>
        <w:tc>
          <w:tcPr>
            <w:tcW w:w="5800" w:type="dxa"/>
            <w:vAlign w:val="bottom"/>
            <w:gridSpan w:val="2"/>
          </w:tcPr>
          <w:p>
            <w:pPr>
              <w:ind w:left="240"/>
              <w:spacing w:after="0"/>
              <w:rPr>
                <w:sz w:val="20"/>
                <w:szCs w:val="20"/>
                <w:color w:val="auto"/>
              </w:rPr>
            </w:pPr>
            <w:r>
              <w:rPr>
                <w:rFonts w:ascii="Arial" w:cs="Arial" w:eastAsia="Arial" w:hAnsi="Arial"/>
                <w:sz w:val="17"/>
                <w:szCs w:val="17"/>
                <w:i w:val="1"/>
                <w:iCs w:val="1"/>
                <w:color w:val="538235"/>
              </w:rPr>
              <w:t>Royalty Cost of Sales</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800" w:type="dxa"/>
            <w:vAlign w:val="bottom"/>
            <w:gridSpan w:val="2"/>
          </w:tcPr>
          <w:p>
            <w:pPr>
              <w:ind w:left="420"/>
              <w:spacing w:after="0"/>
              <w:rPr>
                <w:sz w:val="20"/>
                <w:szCs w:val="20"/>
                <w:color w:val="auto"/>
              </w:rPr>
            </w:pPr>
            <w:r>
              <w:rPr>
                <w:rFonts w:ascii="Arial" w:cs="Arial" w:eastAsia="Arial" w:hAnsi="Arial"/>
                <w:sz w:val="17"/>
                <w:szCs w:val="17"/>
                <w:color w:val="auto"/>
              </w:rPr>
              <w:t>For 2017 compared to 2016, the increase in royalty cost of sales</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800" w:type="dxa"/>
            <w:vAlign w:val="bottom"/>
            <w:gridSpan w:val="2"/>
          </w:tcPr>
          <w:p>
            <w:pPr>
              <w:spacing w:after="0"/>
              <w:rPr>
                <w:sz w:val="20"/>
                <w:szCs w:val="20"/>
                <w:color w:val="auto"/>
              </w:rPr>
            </w:pPr>
            <w:r>
              <w:rPr>
                <w:rFonts w:ascii="Arial" w:cs="Arial" w:eastAsia="Arial" w:hAnsi="Arial"/>
                <w:sz w:val="17"/>
                <w:szCs w:val="17"/>
                <w:color w:val="auto"/>
              </w:rPr>
              <w:t>was primarily driven by the recognition of royalties payable to Ionis on</w:t>
            </w: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0" w:type="dxa"/>
            <w:vAlign w:val="bottom"/>
            <w:gridSpan w:val="2"/>
          </w:tcPr>
          <w:p>
            <w:pPr>
              <w:spacing w:after="0"/>
              <w:rPr>
                <w:sz w:val="20"/>
                <w:szCs w:val="20"/>
                <w:color w:val="auto"/>
              </w:rPr>
            </w:pPr>
            <w:r>
              <w:rPr>
                <w:rFonts w:ascii="Arial" w:cs="Arial" w:eastAsia="Arial" w:hAnsi="Arial"/>
                <w:sz w:val="17"/>
                <w:szCs w:val="17"/>
                <w:color w:val="auto"/>
              </w:rPr>
              <w:t>sales of SPINRAZA and higher royalties on sales of AVONEX and</w:t>
            </w: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0" w:type="dxa"/>
            <w:vAlign w:val="bottom"/>
            <w:gridSpan w:val="2"/>
          </w:tcPr>
          <w:p>
            <w:pPr>
              <w:spacing w:after="0"/>
              <w:rPr>
                <w:sz w:val="20"/>
                <w:szCs w:val="20"/>
                <w:color w:val="auto"/>
              </w:rPr>
            </w:pPr>
            <w:r>
              <w:rPr>
                <w:rFonts w:ascii="Arial" w:cs="Arial" w:eastAsia="Arial" w:hAnsi="Arial"/>
                <w:sz w:val="17"/>
                <w:szCs w:val="17"/>
                <w:color w:val="auto"/>
              </w:rPr>
              <w:t>PLEGRIDY in the U.S., as described below. These increases were</w:t>
            </w: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0" w:type="dxa"/>
            <w:vAlign w:val="bottom"/>
            <w:gridSpan w:val="2"/>
          </w:tcPr>
          <w:p>
            <w:pPr>
              <w:spacing w:after="0"/>
              <w:rPr>
                <w:sz w:val="20"/>
                <w:szCs w:val="20"/>
                <w:color w:val="auto"/>
              </w:rPr>
            </w:pPr>
            <w:r>
              <w:rPr>
                <w:rFonts w:ascii="Arial" w:cs="Arial" w:eastAsia="Arial" w:hAnsi="Arial"/>
                <w:sz w:val="17"/>
                <w:szCs w:val="17"/>
                <w:color w:val="auto"/>
              </w:rPr>
              <w:t>partially offset by the elimination of royalties payable on sales of</w:t>
            </w: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0" w:type="dxa"/>
            <w:vAlign w:val="bottom"/>
            <w:gridSpan w:val="2"/>
          </w:tcPr>
          <w:p>
            <w:pPr>
              <w:spacing w:after="0"/>
              <w:rPr>
                <w:sz w:val="20"/>
                <w:szCs w:val="20"/>
                <w:color w:val="auto"/>
              </w:rPr>
            </w:pPr>
            <w:r>
              <w:rPr>
                <w:rFonts w:ascii="Arial" w:cs="Arial" w:eastAsia="Arial" w:hAnsi="Arial"/>
                <w:sz w:val="17"/>
                <w:szCs w:val="17"/>
                <w:color w:val="auto"/>
              </w:rPr>
              <w:t>hemophilia product resulting from the spin-off of our hemophilia</w:t>
            </w: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0" w:type="dxa"/>
            <w:vAlign w:val="bottom"/>
            <w:gridSpan w:val="2"/>
          </w:tcPr>
          <w:p>
            <w:pPr>
              <w:spacing w:after="0"/>
              <w:rPr>
                <w:sz w:val="20"/>
                <w:szCs w:val="20"/>
                <w:color w:val="auto"/>
              </w:rPr>
            </w:pPr>
            <w:r>
              <w:rPr>
                <w:rFonts w:ascii="Arial" w:cs="Arial" w:eastAsia="Arial" w:hAnsi="Arial"/>
                <w:sz w:val="17"/>
                <w:szCs w:val="17"/>
                <w:color w:val="auto"/>
              </w:rPr>
              <w:t>business on February 1, 2017 and lower royalties on sales of TYSABRI</w:t>
            </w: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0" w:type="dxa"/>
            <w:vAlign w:val="bottom"/>
            <w:gridSpan w:val="2"/>
          </w:tcPr>
          <w:p>
            <w:pPr>
              <w:spacing w:after="0"/>
              <w:rPr>
                <w:sz w:val="20"/>
                <w:szCs w:val="20"/>
                <w:color w:val="auto"/>
              </w:rPr>
            </w:pPr>
            <w:r>
              <w:rPr>
                <w:rFonts w:ascii="Arial" w:cs="Arial" w:eastAsia="Arial" w:hAnsi="Arial"/>
                <w:sz w:val="17"/>
                <w:szCs w:val="17"/>
                <w:color w:val="auto"/>
              </w:rPr>
              <w:t>resulting from the expiration of certain third-party royalties.</w:t>
            </w: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5800" w:type="dxa"/>
            <w:vAlign w:val="bottom"/>
            <w:gridSpan w:val="2"/>
          </w:tcPr>
          <w:p>
            <w:pPr>
              <w:ind w:left="420"/>
              <w:spacing w:after="0"/>
              <w:rPr>
                <w:sz w:val="20"/>
                <w:szCs w:val="20"/>
                <w:color w:val="auto"/>
              </w:rPr>
            </w:pPr>
            <w:r>
              <w:rPr>
                <w:rFonts w:ascii="Arial" w:cs="Arial" w:eastAsia="Arial" w:hAnsi="Arial"/>
                <w:sz w:val="17"/>
                <w:szCs w:val="17"/>
                <w:color w:val="auto"/>
              </w:rPr>
              <w:t>For 2016 compared to 2015, the increase in royalty cost of sales</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800" w:type="dxa"/>
            <w:vAlign w:val="bottom"/>
            <w:gridSpan w:val="2"/>
          </w:tcPr>
          <w:p>
            <w:pPr>
              <w:spacing w:after="0"/>
              <w:rPr>
                <w:sz w:val="20"/>
                <w:szCs w:val="20"/>
                <w:color w:val="auto"/>
              </w:rPr>
            </w:pPr>
            <w:r>
              <w:rPr>
                <w:rFonts w:ascii="Arial" w:cs="Arial" w:eastAsia="Arial" w:hAnsi="Arial"/>
                <w:sz w:val="17"/>
                <w:szCs w:val="17"/>
                <w:color w:val="auto"/>
              </w:rPr>
              <w:t>was primarily driven by the increase in royalty rates payable to Sobi,</w:t>
            </w: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0" w:type="dxa"/>
            <w:vAlign w:val="bottom"/>
            <w:gridSpan w:val="2"/>
          </w:tcPr>
          <w:p>
            <w:pPr>
              <w:spacing w:after="0"/>
              <w:rPr>
                <w:sz w:val="20"/>
                <w:szCs w:val="20"/>
                <w:color w:val="auto"/>
              </w:rPr>
            </w:pPr>
            <w:r>
              <w:rPr>
                <w:rFonts w:ascii="Arial" w:cs="Arial" w:eastAsia="Arial" w:hAnsi="Arial"/>
                <w:sz w:val="17"/>
                <w:szCs w:val="17"/>
                <w:color w:val="auto"/>
              </w:rPr>
              <w:t>increased sales of our hemophilia products and higher royalties on sales</w:t>
            </w: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0" w:type="dxa"/>
            <w:vAlign w:val="bottom"/>
            <w:gridSpan w:val="2"/>
          </w:tcPr>
          <w:p>
            <w:pPr>
              <w:spacing w:after="0"/>
              <w:rPr>
                <w:sz w:val="20"/>
                <w:szCs w:val="20"/>
                <w:color w:val="auto"/>
              </w:rPr>
            </w:pPr>
            <w:r>
              <w:rPr>
                <w:rFonts w:ascii="Arial" w:cs="Arial" w:eastAsia="Arial" w:hAnsi="Arial"/>
                <w:sz w:val="17"/>
                <w:szCs w:val="17"/>
                <w:color w:val="auto"/>
              </w:rPr>
              <w:t>of AVONEX and PLEGRIDY in the U.S., partially offset by a decrease in</w:t>
            </w: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0" w:type="dxa"/>
            <w:vAlign w:val="bottom"/>
            <w:gridSpan w:val="2"/>
          </w:tcPr>
          <w:p>
            <w:pPr>
              <w:spacing w:after="0"/>
              <w:rPr>
                <w:sz w:val="20"/>
                <w:szCs w:val="20"/>
                <w:color w:val="auto"/>
              </w:rPr>
            </w:pPr>
            <w:r>
              <w:rPr>
                <w:rFonts w:ascii="Arial" w:cs="Arial" w:eastAsia="Arial" w:hAnsi="Arial"/>
                <w:sz w:val="17"/>
                <w:szCs w:val="17"/>
                <w:color w:val="auto"/>
              </w:rPr>
              <w:t>TYSABRI royalties due to the expiration of certain third-party royalties.</w:t>
            </w: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3"/>
        </w:trPr>
        <w:tc>
          <w:tcPr>
            <w:tcW w:w="5800" w:type="dxa"/>
            <w:vAlign w:val="bottom"/>
            <w:gridSpan w:val="2"/>
          </w:tcPr>
          <w:p>
            <w:pPr>
              <w:ind w:left="420"/>
              <w:spacing w:after="0"/>
              <w:rPr>
                <w:sz w:val="20"/>
                <w:szCs w:val="20"/>
                <w:color w:val="auto"/>
              </w:rPr>
            </w:pPr>
            <w:r>
              <w:rPr>
                <w:rFonts w:ascii="Arial" w:cs="Arial" w:eastAsia="Arial" w:hAnsi="Arial"/>
                <w:sz w:val="17"/>
                <w:szCs w:val="17"/>
                <w:color w:val="auto"/>
              </w:rPr>
              <w:t>On June 28, 2016, the U.S. Patent and Trademark Office issued to</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800" w:type="dxa"/>
            <w:vAlign w:val="bottom"/>
            <w:gridSpan w:val="2"/>
          </w:tcPr>
          <w:p>
            <w:pPr>
              <w:spacing w:after="0"/>
              <w:rPr>
                <w:sz w:val="20"/>
                <w:szCs w:val="20"/>
                <w:color w:val="auto"/>
              </w:rPr>
            </w:pPr>
            <w:r>
              <w:rPr>
                <w:rFonts w:ascii="Arial" w:cs="Arial" w:eastAsia="Arial" w:hAnsi="Arial"/>
                <w:sz w:val="17"/>
                <w:szCs w:val="17"/>
                <w:color w:val="auto"/>
              </w:rPr>
              <w:t>the Japanese Foundation for Cancer Research (JFCR) a patent related</w:t>
            </w: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0" w:type="dxa"/>
            <w:vAlign w:val="bottom"/>
            <w:gridSpan w:val="2"/>
          </w:tcPr>
          <w:p>
            <w:pPr>
              <w:spacing w:after="0"/>
              <w:rPr>
                <w:sz w:val="20"/>
                <w:szCs w:val="20"/>
                <w:color w:val="auto"/>
              </w:rPr>
            </w:pPr>
            <w:r>
              <w:rPr>
                <w:rFonts w:ascii="Arial" w:cs="Arial" w:eastAsia="Arial" w:hAnsi="Arial"/>
                <w:sz w:val="17"/>
                <w:szCs w:val="17"/>
                <w:color w:val="auto"/>
              </w:rPr>
              <w:t>to recombinant interferon-beta protein. This patent, U.S. Patent No.</w:t>
            </w: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0" w:type="dxa"/>
            <w:vAlign w:val="bottom"/>
            <w:gridSpan w:val="2"/>
          </w:tcPr>
          <w:p>
            <w:pPr>
              <w:spacing w:after="0"/>
              <w:rPr>
                <w:sz w:val="20"/>
                <w:szCs w:val="20"/>
                <w:color w:val="auto"/>
              </w:rPr>
            </w:pPr>
            <w:r>
              <w:rPr>
                <w:rFonts w:ascii="Arial" w:cs="Arial" w:eastAsia="Arial" w:hAnsi="Arial"/>
                <w:sz w:val="17"/>
                <w:szCs w:val="17"/>
                <w:color w:val="auto"/>
              </w:rPr>
              <w:t>9,376,478, expires in June 2033. This patent was issued following an</w:t>
            </w: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0" w:type="dxa"/>
            <w:vAlign w:val="bottom"/>
            <w:gridSpan w:val="2"/>
          </w:tcPr>
          <w:p>
            <w:pPr>
              <w:spacing w:after="0"/>
              <w:rPr>
                <w:sz w:val="20"/>
                <w:szCs w:val="20"/>
                <w:color w:val="auto"/>
              </w:rPr>
            </w:pPr>
            <w:r>
              <w:rPr>
                <w:rFonts w:ascii="Arial" w:cs="Arial" w:eastAsia="Arial" w:hAnsi="Arial"/>
                <w:sz w:val="17"/>
                <w:szCs w:val="17"/>
                <w:color w:val="auto"/>
              </w:rPr>
              <w:t>interference proceeding between JFCR and us. This patent is relevant</w:t>
            </w: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0" w:type="dxa"/>
            <w:vAlign w:val="bottom"/>
            <w:gridSpan w:val="2"/>
          </w:tcPr>
          <w:p>
            <w:pPr>
              <w:spacing w:after="0"/>
              <w:rPr>
                <w:sz w:val="20"/>
                <w:szCs w:val="20"/>
                <w:color w:val="auto"/>
              </w:rPr>
            </w:pPr>
            <w:r>
              <w:rPr>
                <w:rFonts w:ascii="Arial" w:cs="Arial" w:eastAsia="Arial" w:hAnsi="Arial"/>
                <w:sz w:val="17"/>
                <w:szCs w:val="17"/>
                <w:color w:val="auto"/>
              </w:rPr>
              <w:t>to AVONEX and PLEGRIDY, and we will pay royalties in the mid-single</w:t>
            </w: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0" w:type="dxa"/>
            <w:vAlign w:val="bottom"/>
            <w:gridSpan w:val="2"/>
          </w:tcPr>
          <w:p>
            <w:pPr>
              <w:spacing w:after="0"/>
              <w:rPr>
                <w:sz w:val="20"/>
                <w:szCs w:val="20"/>
                <w:color w:val="auto"/>
              </w:rPr>
            </w:pPr>
            <w:r>
              <w:rPr>
                <w:rFonts w:ascii="Arial" w:cs="Arial" w:eastAsia="Arial" w:hAnsi="Arial"/>
                <w:sz w:val="17"/>
                <w:szCs w:val="17"/>
                <w:color w:val="auto"/>
              </w:rPr>
              <w:t>digits in relation to this patent during the life of the patent.</w:t>
            </w: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3775075</wp:posOffset>
            </wp:positionH>
            <wp:positionV relativeFrom="paragraph">
              <wp:posOffset>-4300220</wp:posOffset>
            </wp:positionV>
            <wp:extent cx="2578100" cy="59607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78100" cy="5960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0219"/>
          </w:cols>
          <w:pgMar w:left="240" w:top="119" w:right="1440"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8" w:lineRule="exact"/>
        <w:rPr>
          <w:sz w:val="20"/>
          <w:szCs w:val="20"/>
          <w:color w:val="auto"/>
        </w:rPr>
      </w:pPr>
    </w:p>
    <w:p>
      <w:pPr>
        <w:ind w:left="5940" w:right="240" w:firstLine="410"/>
        <w:spacing w:after="0" w:line="255" w:lineRule="auto"/>
        <w:rPr>
          <w:sz w:val="20"/>
          <w:szCs w:val="20"/>
          <w:color w:val="auto"/>
        </w:rPr>
      </w:pPr>
      <w:r>
        <w:rPr>
          <w:rFonts w:ascii="Arial" w:cs="Arial" w:eastAsia="Arial" w:hAnsi="Arial"/>
          <w:sz w:val="17"/>
          <w:szCs w:val="17"/>
          <w:color w:val="auto"/>
        </w:rPr>
        <w:t>We support our drug discovery and development efforts through the commitment of significant resources to discovery, research and development programs and business development opportunities, particularly within our core and emerging growth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-526415</wp:posOffset>
            </wp:positionV>
            <wp:extent cx="2578100" cy="68554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78100" cy="6855460"/>
                    </a:xfrm>
                    <a:prstGeom prst="rect">
                      <a:avLst/>
                    </a:prstGeom>
                    <a:noFill/>
                  </pic:spPr>
                </pic:pic>
              </a:graphicData>
            </a:graphic>
          </wp:anchor>
        </w:drawing>
      </w:r>
    </w:p>
    <w:p>
      <w:pPr>
        <w:spacing w:after="0" w:line="123" w:lineRule="exact"/>
        <w:rPr>
          <w:sz w:val="20"/>
          <w:szCs w:val="20"/>
          <w:color w:val="auto"/>
        </w:rPr>
      </w:pPr>
    </w:p>
    <w:p>
      <w:pPr>
        <w:ind w:left="5940" w:right="20" w:firstLine="384"/>
        <w:spacing w:after="0" w:line="253" w:lineRule="auto"/>
        <w:rPr>
          <w:sz w:val="20"/>
          <w:szCs w:val="20"/>
          <w:color w:val="auto"/>
        </w:rPr>
      </w:pPr>
      <w:r>
        <w:rPr>
          <w:rFonts w:ascii="Arial" w:cs="Arial" w:eastAsia="Arial" w:hAnsi="Arial"/>
          <w:sz w:val="17"/>
          <w:szCs w:val="17"/>
          <w:color w:val="auto"/>
        </w:rPr>
        <w:t>A significant amount of our research and development costs consist of indirect costs incurred in support of overall research and development activities and non-specific programs, including activities that benefit multiple programs, such as management costs, as well as depreciation, information technology and facility-based expenses. These costs are considered other research and development costs in the table above and are not allocated to a specific program or stage.</w:t>
      </w:r>
    </w:p>
    <w:p>
      <w:pPr>
        <w:spacing w:after="0" w:line="146" w:lineRule="exact"/>
        <w:rPr>
          <w:sz w:val="20"/>
          <w:szCs w:val="20"/>
          <w:color w:val="auto"/>
        </w:rPr>
      </w:pPr>
    </w:p>
    <w:p>
      <w:pPr>
        <w:ind w:left="5940" w:right="40" w:firstLine="410"/>
        <w:spacing w:after="0" w:line="252" w:lineRule="auto"/>
        <w:rPr>
          <w:sz w:val="20"/>
          <w:szCs w:val="20"/>
          <w:color w:val="auto"/>
        </w:rPr>
      </w:pPr>
      <w:r>
        <w:rPr>
          <w:rFonts w:ascii="Arial" w:cs="Arial" w:eastAsia="Arial" w:hAnsi="Arial"/>
          <w:sz w:val="17"/>
          <w:szCs w:val="17"/>
          <w:color w:val="auto"/>
        </w:rPr>
        <w:t>Research and development expense incurred in support of our marketed products includes costs associated with product lifecycle management activities including, if applicable, costs associated with the development of new indications for existing products. Late stage programs are programs in Phase 3 development or in registration stage. Early stage programs are programs in Phase 1 or Phase 2 development. Research and discovery represents costs incurred to support our discovery research and translational science efforts. Costs are reflected in the development stage based upon the program status when incurred. Therefore, the same program could be reflected in different development stages in the same year. For several of our programs, the research and development activities are part of our collaborative and other relationships. Our costs reflect our share of the total costs incurred.</w:t>
      </w:r>
    </w:p>
    <w:p>
      <w:pPr>
        <w:spacing w:after="0" w:line="149" w:lineRule="exact"/>
        <w:rPr>
          <w:sz w:val="20"/>
          <w:szCs w:val="20"/>
          <w:color w:val="auto"/>
        </w:rPr>
      </w:pPr>
    </w:p>
    <w:p>
      <w:pPr>
        <w:ind w:left="5940" w:right="60" w:firstLine="410"/>
        <w:spacing w:after="0" w:line="254" w:lineRule="auto"/>
        <w:rPr>
          <w:sz w:val="20"/>
          <w:szCs w:val="20"/>
          <w:color w:val="auto"/>
        </w:rPr>
      </w:pPr>
      <w:r>
        <w:rPr>
          <w:rFonts w:ascii="Arial" w:cs="Arial" w:eastAsia="Arial" w:hAnsi="Arial"/>
          <w:sz w:val="17"/>
          <w:szCs w:val="17"/>
          <w:color w:val="auto"/>
        </w:rPr>
        <w:t>For 2017 compared to 2016, the increase in research and development expense was primarily related to milestone and upfront expenses and costs incurred in connection with our early stage and late stage programs, partially offset by decreased costs incurred in connection with our marketed products.</w:t>
      </w:r>
    </w:p>
    <w:p>
      <w:pPr>
        <w:spacing w:after="0" w:line="144" w:lineRule="exact"/>
        <w:rPr>
          <w:sz w:val="20"/>
          <w:szCs w:val="20"/>
          <w:color w:val="auto"/>
        </w:rPr>
      </w:pPr>
    </w:p>
    <w:p>
      <w:pPr>
        <w:ind w:left="5940" w:firstLine="410"/>
        <w:spacing w:after="0" w:line="253" w:lineRule="auto"/>
        <w:rPr>
          <w:sz w:val="20"/>
          <w:szCs w:val="20"/>
          <w:color w:val="auto"/>
        </w:rPr>
      </w:pPr>
      <w:r>
        <w:rPr>
          <w:rFonts w:ascii="Arial" w:cs="Arial" w:eastAsia="Arial" w:hAnsi="Arial"/>
          <w:sz w:val="17"/>
          <w:szCs w:val="17"/>
          <w:color w:val="auto"/>
        </w:rPr>
        <w:t>For 2016 compared to 2015, the decrease in research and development expense was primarily related to a decrease in costs incurred in connection with our early stage programs, marketed products and other research and development costs. These decreases were partially offset by increased costs incurred in connection with our late stage and research and discovery programs.</w:t>
      </w:r>
    </w:p>
    <w:p>
      <w:pPr>
        <w:spacing w:after="0" w:line="147" w:lineRule="exact"/>
        <w:rPr>
          <w:sz w:val="20"/>
          <w:szCs w:val="20"/>
          <w:color w:val="auto"/>
        </w:rPr>
      </w:pPr>
    </w:p>
    <w:p>
      <w:pPr>
        <w:ind w:left="5940" w:right="200" w:firstLine="205"/>
        <w:spacing w:after="0" w:line="255" w:lineRule="auto"/>
        <w:rPr>
          <w:sz w:val="20"/>
          <w:szCs w:val="20"/>
          <w:color w:val="auto"/>
        </w:rPr>
      </w:pPr>
      <w:r>
        <w:rPr>
          <w:rFonts w:ascii="Arial" w:cs="Arial" w:eastAsia="Arial" w:hAnsi="Arial"/>
          <w:sz w:val="17"/>
          <w:szCs w:val="17"/>
          <w:color w:val="auto"/>
        </w:rPr>
        <w:t>We intend to continue committing significant resources to targeted research and development opportunities where there is a significant unmet need and where a drug candidate has the potential to be highly differentiated.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420"/>
          </w:cols>
          <w:pgMar w:left="240" w:top="144" w:right="239" w:bottom="1440" w:gutter="0" w:footer="0" w:header="0"/>
        </w:sectPr>
      </w:pPr>
    </w:p>
    <w:bookmarkStart w:id="71" w:name="page72"/>
    <w:bookmarkEnd w:id="7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365" w:lineRule="exact"/>
        <w:rPr>
          <w:sz w:val="20"/>
          <w:szCs w:val="20"/>
          <w:color w:val="auto"/>
        </w:rPr>
      </w:pPr>
    </w:p>
    <w:p>
      <w:pPr>
        <w:ind w:right="760" w:firstLine="231"/>
        <w:spacing w:after="0" w:line="284" w:lineRule="auto"/>
        <w:rPr>
          <w:sz w:val="20"/>
          <w:szCs w:val="20"/>
          <w:color w:val="auto"/>
        </w:rPr>
      </w:pPr>
      <w:r>
        <w:rPr>
          <w:rFonts w:ascii="Arial" w:cs="Arial" w:eastAsia="Arial" w:hAnsi="Arial"/>
          <w:sz w:val="17"/>
          <w:szCs w:val="17"/>
          <w:i w:val="1"/>
          <w:iCs w:val="1"/>
          <w:color w:val="538235"/>
        </w:rPr>
        <w:t>Milestone and Upfront Expenses included in Research and Development Expense</w:t>
      </w:r>
    </w:p>
    <w:p>
      <w:pPr>
        <w:spacing w:after="0" w:line="4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Research and development expense for 2017 includes:</w:t>
      </w:r>
    </w:p>
    <w:p>
      <w:pPr>
        <w:spacing w:after="0" w:line="86" w:lineRule="exact"/>
        <w:rPr>
          <w:sz w:val="20"/>
          <w:szCs w:val="20"/>
          <w:color w:val="auto"/>
        </w:rPr>
      </w:pPr>
    </w:p>
    <w:p>
      <w:pPr>
        <w:ind w:left="460" w:right="140" w:hanging="304"/>
        <w:spacing w:after="0" w:line="262" w:lineRule="auto"/>
        <w:tabs>
          <w:tab w:leader="none" w:pos="4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$300.0 million upfront payment made to BMS upon entering into our agreement to exclusively license BIIB092;</w:t>
      </w:r>
    </w:p>
    <w:p>
      <w:pPr>
        <w:spacing w:after="0" w:line="59" w:lineRule="exact"/>
        <w:rPr>
          <w:rFonts w:ascii="Arial" w:cs="Arial" w:eastAsia="Arial" w:hAnsi="Arial"/>
          <w:sz w:val="17"/>
          <w:szCs w:val="17"/>
          <w:color w:val="auto"/>
        </w:rPr>
      </w:pPr>
    </w:p>
    <w:p>
      <w:pPr>
        <w:ind w:left="460" w:right="40" w:hanging="304"/>
        <w:spacing w:after="0" w:line="255" w:lineRule="auto"/>
        <w:tabs>
          <w:tab w:leader="none" w:pos="4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$60.0 million developmental milestone payment due to the former shareholders of iPierian, Inc. (iPierian), which became payable upon dosing of the first patient in the Phase 2 PSP study for BIIB092;</w:t>
      </w:r>
    </w:p>
    <w:p>
      <w:pPr>
        <w:spacing w:after="0" w:line="65" w:lineRule="exact"/>
        <w:rPr>
          <w:rFonts w:ascii="Arial" w:cs="Arial" w:eastAsia="Arial" w:hAnsi="Arial"/>
          <w:sz w:val="17"/>
          <w:szCs w:val="17"/>
          <w:color w:val="auto"/>
        </w:rPr>
      </w:pPr>
    </w:p>
    <w:p>
      <w:pPr>
        <w:ind w:left="460" w:right="20" w:hanging="304"/>
        <w:spacing w:after="0" w:line="257" w:lineRule="auto"/>
        <w:tabs>
          <w:tab w:leader="none" w:pos="4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$28.0 million upfront payment made to Alkermes upon entering into our agreement to exclusively license BIIB098, representing our share of BIIB098 development costs already incurred in 2017;</w:t>
      </w:r>
    </w:p>
    <w:p>
      <w:pPr>
        <w:spacing w:after="0" w:line="63" w:lineRule="exact"/>
        <w:rPr>
          <w:rFonts w:ascii="Arial" w:cs="Arial" w:eastAsia="Arial" w:hAnsi="Arial"/>
          <w:sz w:val="17"/>
          <w:szCs w:val="17"/>
          <w:color w:val="auto"/>
        </w:rPr>
      </w:pPr>
    </w:p>
    <w:p>
      <w:pPr>
        <w:ind w:left="460" w:hanging="304"/>
        <w:spacing w:after="0" w:line="257" w:lineRule="auto"/>
        <w:tabs>
          <w:tab w:leader="none" w:pos="4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$50.0 million accrual based upon the expected continuation of our agreement with Alkermes to develop and exclusively license BIIB098; and</w:t>
      </w:r>
    </w:p>
    <w:p>
      <w:pPr>
        <w:spacing w:after="0" w:line="63" w:lineRule="exact"/>
        <w:rPr>
          <w:rFonts w:ascii="Arial" w:cs="Arial" w:eastAsia="Arial" w:hAnsi="Arial"/>
          <w:sz w:val="17"/>
          <w:szCs w:val="17"/>
          <w:color w:val="auto"/>
        </w:rPr>
      </w:pPr>
    </w:p>
    <w:p>
      <w:pPr>
        <w:ind w:left="460" w:right="100" w:hanging="304"/>
        <w:spacing w:after="0" w:line="257" w:lineRule="auto"/>
        <w:tabs>
          <w:tab w:leader="none" w:pos="4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$25.0 million upfront payment recognized upon entering into a new collaboration agreement with Ionis to identify new ASO drug candidates for the treatment of SMA.</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Research and development expense for 2016 includes:</w:t>
      </w:r>
    </w:p>
    <w:p>
      <w:pPr>
        <w:spacing w:after="0" w:line="86" w:lineRule="exact"/>
        <w:rPr>
          <w:sz w:val="20"/>
          <w:szCs w:val="20"/>
          <w:color w:val="auto"/>
        </w:rPr>
      </w:pPr>
    </w:p>
    <w:p>
      <w:pPr>
        <w:ind w:left="460" w:right="100" w:hanging="304"/>
        <w:spacing w:after="0" w:line="262" w:lineRule="auto"/>
        <w:tabs>
          <w:tab w:leader="none" w:pos="4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$75.0 million license fee paid to Ionis as we exercised our option to develop and commercialize SPINRAZA from Ionis;</w:t>
      </w:r>
    </w:p>
    <w:p>
      <w:pPr>
        <w:spacing w:after="0" w:line="59" w:lineRule="exact"/>
        <w:rPr>
          <w:rFonts w:ascii="Arial" w:cs="Arial" w:eastAsia="Arial" w:hAnsi="Arial"/>
          <w:sz w:val="17"/>
          <w:szCs w:val="17"/>
          <w:color w:val="auto"/>
        </w:rPr>
      </w:pPr>
    </w:p>
    <w:p>
      <w:pPr>
        <w:ind w:left="460" w:right="20" w:hanging="304"/>
        <w:spacing w:after="0" w:line="262" w:lineRule="auto"/>
        <w:tabs>
          <w:tab w:leader="none" w:pos="4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$50.0 million milestone payment to Eisai related to the initiation of a Phase 3 trial for E2609; and</w:t>
      </w:r>
    </w:p>
    <w:p>
      <w:pPr>
        <w:spacing w:after="0" w:line="59" w:lineRule="exact"/>
        <w:rPr>
          <w:rFonts w:ascii="Arial" w:cs="Arial" w:eastAsia="Arial" w:hAnsi="Arial"/>
          <w:sz w:val="17"/>
          <w:szCs w:val="17"/>
          <w:color w:val="auto"/>
        </w:rPr>
      </w:pPr>
    </w:p>
    <w:p>
      <w:pPr>
        <w:ind w:left="460" w:right="300" w:hanging="304"/>
        <w:spacing w:after="0" w:line="262" w:lineRule="auto"/>
        <w:tabs>
          <w:tab w:leader="none" w:pos="4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$20.0 million upfront payment recognized upon entering into a collaboration and alliance agreement with UPenn.</w:t>
      </w:r>
    </w:p>
    <w:p>
      <w:pPr>
        <w:spacing w:after="0" w:line="13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Research and development expense for 2015 includes:</w:t>
      </w:r>
    </w:p>
    <w:p>
      <w:pPr>
        <w:spacing w:after="0" w:line="86" w:lineRule="exact"/>
        <w:rPr>
          <w:sz w:val="20"/>
          <w:szCs w:val="20"/>
          <w:color w:val="auto"/>
        </w:rPr>
      </w:pPr>
    </w:p>
    <w:p>
      <w:pPr>
        <w:ind w:left="460" w:right="60" w:hanging="304"/>
        <w:spacing w:after="0" w:line="262" w:lineRule="auto"/>
        <w:tabs>
          <w:tab w:leader="none" w:pos="4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$60.0 million recognized upon entering into our collaboration with Mitsubishi Tanabe Pharma Corporation;</w:t>
      </w:r>
    </w:p>
    <w:p>
      <w:pPr>
        <w:spacing w:after="0" w:line="59" w:lineRule="exact"/>
        <w:rPr>
          <w:rFonts w:ascii="Arial" w:cs="Arial" w:eastAsia="Arial" w:hAnsi="Arial"/>
          <w:sz w:val="17"/>
          <w:szCs w:val="17"/>
          <w:color w:val="auto"/>
        </w:rPr>
      </w:pPr>
    </w:p>
    <w:p>
      <w:pPr>
        <w:ind w:left="460" w:right="60" w:hanging="304"/>
        <w:spacing w:after="0" w:line="262" w:lineRule="auto"/>
        <w:tabs>
          <w:tab w:leader="none" w:pos="4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$48.1 million recognized upon entering into our collaboration with AGTC;</w:t>
      </w:r>
    </w:p>
    <w:p>
      <w:pPr>
        <w:spacing w:after="0" w:line="59" w:lineRule="exact"/>
        <w:rPr>
          <w:rFonts w:ascii="Arial" w:cs="Arial" w:eastAsia="Arial" w:hAnsi="Arial"/>
          <w:sz w:val="17"/>
          <w:szCs w:val="17"/>
          <w:color w:val="auto"/>
        </w:rPr>
      </w:pPr>
    </w:p>
    <w:p>
      <w:pPr>
        <w:ind w:left="460" w:right="820" w:hanging="304"/>
        <w:spacing w:after="0" w:line="262" w:lineRule="auto"/>
        <w:tabs>
          <w:tab w:leader="none" w:pos="4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$30.0 million in milestones recognized in relation to our collaboration agreements with Ionis; and</w:t>
      </w:r>
    </w:p>
    <w:p>
      <w:pPr>
        <w:spacing w:after="0" w:line="59" w:lineRule="exact"/>
        <w:rPr>
          <w:rFonts w:ascii="Arial" w:cs="Arial" w:eastAsia="Arial" w:hAnsi="Arial"/>
          <w:sz w:val="17"/>
          <w:szCs w:val="17"/>
          <w:color w:val="auto"/>
        </w:rPr>
      </w:pPr>
    </w:p>
    <w:p>
      <w:pPr>
        <w:ind w:left="460" w:right="160" w:hanging="304"/>
        <w:spacing w:after="0" w:line="257" w:lineRule="auto"/>
        <w:tabs>
          <w:tab w:leader="none" w:pos="4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$16.0 million paid to AbbVie related to milestones for the development of ZINBRYTA as a result of filing with the FDA and EMA during 2015.</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320" w:right="360" w:firstLine="410"/>
        <w:spacing w:after="0" w:line="257" w:lineRule="auto"/>
        <w:rPr>
          <w:sz w:val="20"/>
          <w:szCs w:val="20"/>
          <w:color w:val="auto"/>
        </w:rPr>
      </w:pPr>
      <w:r>
        <w:rPr>
          <w:rFonts w:ascii="Arial" w:cs="Arial" w:eastAsia="Arial" w:hAnsi="Arial"/>
          <w:sz w:val="17"/>
          <w:szCs w:val="17"/>
          <w:color w:val="auto"/>
        </w:rPr>
        <w:t>These payments are classified as research and development expense as the programs they relate to had not achieved regulatory approval as of the payment date.</w:t>
      </w:r>
    </w:p>
    <w:p>
      <w:pPr>
        <w:spacing w:after="0" w:line="140" w:lineRule="exact"/>
        <w:rPr>
          <w:sz w:val="20"/>
          <w:szCs w:val="20"/>
          <w:color w:val="auto"/>
        </w:rPr>
      </w:pPr>
    </w:p>
    <w:p>
      <w:pPr>
        <w:ind w:left="320" w:right="120" w:firstLine="410"/>
        <w:spacing w:after="0" w:line="257" w:lineRule="auto"/>
        <w:rPr>
          <w:sz w:val="20"/>
          <w:szCs w:val="20"/>
          <w:color w:val="auto"/>
        </w:rPr>
      </w:pPr>
      <w:r>
        <w:rPr>
          <w:rFonts w:ascii="Arial" w:cs="Arial" w:eastAsia="Arial" w:hAnsi="Arial"/>
          <w:sz w:val="17"/>
          <w:szCs w:val="17"/>
          <w:color w:val="auto"/>
        </w:rPr>
        <w:t xml:space="preserve">For additional information about these collaborations, please read Note 20, </w:t>
      </w:r>
      <w:r>
        <w:rPr>
          <w:rFonts w:ascii="Arial" w:cs="Arial" w:eastAsia="Arial" w:hAnsi="Arial"/>
          <w:sz w:val="17"/>
          <w:szCs w:val="17"/>
          <w:i w:val="1"/>
          <w:iCs w:val="1"/>
          <w:color w:val="auto"/>
        </w:rPr>
        <w:t>Collaborative and Other Relationships,</w:t>
      </w:r>
      <w:r>
        <w:rPr>
          <w:rFonts w:ascii="Arial" w:cs="Arial" w:eastAsia="Arial" w:hAnsi="Arial"/>
          <w:sz w:val="17"/>
          <w:szCs w:val="17"/>
          <w:color w:val="auto"/>
        </w:rPr>
        <w:t xml:space="preserve"> to our consolidated financial statements included in this report.</w:t>
      </w:r>
    </w:p>
    <w:p>
      <w:pPr>
        <w:spacing w:after="0" w:line="122"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538235"/>
        </w:rPr>
        <w:t>Early Stage Programs</w:t>
      </w:r>
    </w:p>
    <w:p>
      <w:pPr>
        <w:spacing w:after="0" w:line="104" w:lineRule="exact"/>
        <w:rPr>
          <w:sz w:val="20"/>
          <w:szCs w:val="20"/>
          <w:color w:val="auto"/>
        </w:rPr>
      </w:pPr>
    </w:p>
    <w:p>
      <w:pPr>
        <w:ind w:left="320" w:firstLine="410"/>
        <w:spacing w:after="0" w:line="253" w:lineRule="auto"/>
        <w:rPr>
          <w:sz w:val="20"/>
          <w:szCs w:val="20"/>
          <w:color w:val="auto"/>
        </w:rPr>
      </w:pPr>
      <w:r>
        <w:rPr>
          <w:rFonts w:ascii="Arial" w:cs="Arial" w:eastAsia="Arial" w:hAnsi="Arial"/>
          <w:sz w:val="17"/>
          <w:szCs w:val="17"/>
          <w:color w:val="auto"/>
        </w:rPr>
        <w:t>The increase in spending associated with our early stage programs for 2017 compared to 2016 was primarily related to spending associated with the development of BIIB092 in AD and PSP pursuant to our license agreement with BMS, BIIB074 in trigeminal neuralgia (TGN) and BIIB076 in AD. These increases were partially offset by a reduction in costs resulting from our discontinuance of development of amiselimod in the third quarter of 2016.</w:t>
      </w:r>
    </w:p>
    <w:p>
      <w:pPr>
        <w:spacing w:after="0" w:line="146" w:lineRule="exact"/>
        <w:rPr>
          <w:sz w:val="20"/>
          <w:szCs w:val="20"/>
          <w:color w:val="auto"/>
        </w:rPr>
      </w:pPr>
    </w:p>
    <w:p>
      <w:pPr>
        <w:ind w:left="320" w:right="60" w:firstLine="410"/>
        <w:spacing w:after="0" w:line="252" w:lineRule="auto"/>
        <w:rPr>
          <w:sz w:val="20"/>
          <w:szCs w:val="20"/>
          <w:color w:val="auto"/>
        </w:rPr>
      </w:pPr>
      <w:r>
        <w:rPr>
          <w:rFonts w:ascii="Arial" w:cs="Arial" w:eastAsia="Arial" w:hAnsi="Arial"/>
          <w:sz w:val="17"/>
          <w:szCs w:val="17"/>
          <w:color w:val="auto"/>
        </w:rPr>
        <w:t>The decrease in spending associated with our early stage programs for 2016 compared to 2015 was primarily due to the advancement of our aducanumab program in AD to a late stage program in the third quarter of 2015, decreased costs incurred in connection with opicinumab in MS and the discontinuance of development of anti-TWEAK in lupus nephritis. These decreases were partially offset by increased costs of BIIB074 in TGN and increased costs associated with our discontinuance of development of amiselimod in the third quarter of 2016.</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538235"/>
        </w:rPr>
        <w:t>Late Stage Programs</w:t>
      </w:r>
    </w:p>
    <w:p>
      <w:pPr>
        <w:spacing w:after="0" w:line="104" w:lineRule="exact"/>
        <w:rPr>
          <w:sz w:val="20"/>
          <w:szCs w:val="20"/>
          <w:color w:val="auto"/>
        </w:rPr>
      </w:pPr>
    </w:p>
    <w:p>
      <w:pPr>
        <w:ind w:left="320" w:right="60" w:firstLine="410"/>
        <w:spacing w:after="0" w:line="253" w:lineRule="auto"/>
        <w:rPr>
          <w:sz w:val="20"/>
          <w:szCs w:val="20"/>
          <w:color w:val="auto"/>
        </w:rPr>
      </w:pPr>
      <w:r>
        <w:rPr>
          <w:rFonts w:ascii="Arial" w:cs="Arial" w:eastAsia="Arial" w:hAnsi="Arial"/>
          <w:sz w:val="17"/>
          <w:szCs w:val="17"/>
          <w:color w:val="auto"/>
        </w:rPr>
        <w:t>The increase in spending associated with our late stage programs for 2017 compared to 2016 was primarily related the increased costs associated with the development of aducanumab in AD and costs incurred associated with the development of E2609, a BACE inhibitor that was advanced to a late stage program in the fourth quarter of 2016. These increases were partially offset by advancement of SPINRAZA to marketed products following its approval in the U.S. in the fourth quarter of 2016.</w:t>
      </w:r>
    </w:p>
    <w:p>
      <w:pPr>
        <w:spacing w:after="0" w:line="144" w:lineRule="exact"/>
        <w:rPr>
          <w:sz w:val="20"/>
          <w:szCs w:val="20"/>
          <w:color w:val="auto"/>
        </w:rPr>
      </w:pPr>
    </w:p>
    <w:p>
      <w:pPr>
        <w:ind w:left="320" w:right="20" w:firstLine="410"/>
        <w:spacing w:after="0" w:line="253" w:lineRule="auto"/>
        <w:rPr>
          <w:sz w:val="20"/>
          <w:szCs w:val="20"/>
          <w:color w:val="auto"/>
        </w:rPr>
      </w:pPr>
      <w:r>
        <w:rPr>
          <w:rFonts w:ascii="Arial" w:cs="Arial" w:eastAsia="Arial" w:hAnsi="Arial"/>
          <w:sz w:val="17"/>
          <w:szCs w:val="17"/>
          <w:color w:val="auto"/>
        </w:rPr>
        <w:t>The increase in spending associated with our late stage programs for 2016 compared to 2015 was primarily driven by costs incurred to advance our aducanumab program in AD, the increased costs incurred to advance our SPINRAZA program and the advancement of E2609 to a late stage program in the fourth quarter of 2016, partially offset by the approval of ZINBRYTA in the third quarter of 2016.</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68</w:t>
      </w:r>
    </w:p>
    <w:p>
      <w:pPr>
        <w:sectPr>
          <w:pgSz w:w="11900" w:h="16838" w:orient="portrait"/>
          <w:cols w:equalWidth="0" w:num="2">
            <w:col w:w="5440" w:space="180"/>
            <w:col w:w="5800"/>
          </w:cols>
          <w:pgMar w:left="240" w:top="144" w:right="239" w:bottom="1440" w:gutter="0" w:footer="0" w:header="0"/>
          <w:type w:val="continuous"/>
        </w:sectPr>
      </w:pPr>
    </w:p>
    <w:bookmarkStart w:id="72" w:name="page73"/>
    <w:bookmarkEnd w:id="7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left="200"/>
        <w:spacing w:after="0"/>
        <w:tabs>
          <w:tab w:leader="none" w:pos="6120" w:val="left"/>
        </w:tabs>
        <w:rPr>
          <w:sz w:val="20"/>
          <w:szCs w:val="20"/>
          <w:color w:val="auto"/>
        </w:rPr>
      </w:pPr>
      <w:r>
        <w:rPr>
          <w:rFonts w:ascii="Arial" w:cs="Arial" w:eastAsia="Arial" w:hAnsi="Arial"/>
          <w:sz w:val="17"/>
          <w:szCs w:val="17"/>
          <w:i w:val="1"/>
          <w:iCs w:val="1"/>
          <w:color w:val="538235"/>
        </w:rPr>
        <w:t>Marketed Products</w:t>
      </w:r>
      <w:r>
        <w:rPr>
          <w:sz w:val="20"/>
          <w:szCs w:val="20"/>
          <w:color w:val="auto"/>
        </w:rPr>
        <w:tab/>
      </w:r>
      <w:r>
        <w:rPr>
          <w:rFonts w:ascii="Arial" w:cs="Arial" w:eastAsia="Arial" w:hAnsi="Arial"/>
          <w:sz w:val="17"/>
          <w:szCs w:val="17"/>
          <w:b w:val="1"/>
          <w:bCs w:val="1"/>
          <w:i w:val="1"/>
          <w:iCs w:val="1"/>
          <w:color w:val="2573BA"/>
        </w:rPr>
        <w:t>Amortization of Acquired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3775075</wp:posOffset>
            </wp:positionH>
            <wp:positionV relativeFrom="paragraph">
              <wp:posOffset>19050</wp:posOffset>
            </wp:positionV>
            <wp:extent cx="2578100" cy="19513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78100" cy="19513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p>
      <w:pPr>
        <w:spacing w:after="0" w:line="106" w:lineRule="exact"/>
        <w:rPr>
          <w:sz w:val="20"/>
          <w:szCs w:val="20"/>
          <w:color w:val="auto"/>
        </w:rPr>
      </w:pPr>
    </w:p>
    <w:p>
      <w:pPr>
        <w:ind w:right="40" w:firstLine="410"/>
        <w:spacing w:after="0" w:line="253" w:lineRule="auto"/>
        <w:rPr>
          <w:sz w:val="20"/>
          <w:szCs w:val="20"/>
          <w:color w:val="auto"/>
        </w:rPr>
      </w:pPr>
      <w:r>
        <w:rPr>
          <w:rFonts w:ascii="Arial" w:cs="Arial" w:eastAsia="Arial" w:hAnsi="Arial"/>
          <w:sz w:val="17"/>
          <w:szCs w:val="17"/>
          <w:color w:val="auto"/>
        </w:rPr>
        <w:t>The decrease in spending associated with our marketed products for 2017 compared to 2016 was primarily due to a reduction in spending resulting from the spin-off of our hemophilia business on February 1, 2017 and a reduction in spending related to TECFIDERA. These decreases were partially offset by increased spending related to SPINRAZA following its approval in the U.S. in the fourth quarter of 2016.</w:t>
      </w:r>
    </w:p>
    <w:p>
      <w:pPr>
        <w:spacing w:after="0" w:line="146" w:lineRule="exact"/>
        <w:rPr>
          <w:sz w:val="20"/>
          <w:szCs w:val="20"/>
          <w:color w:val="auto"/>
        </w:rPr>
      </w:pPr>
    </w:p>
    <w:p>
      <w:pPr>
        <w:ind w:right="60" w:firstLine="410"/>
        <w:spacing w:after="0" w:line="253" w:lineRule="auto"/>
        <w:rPr>
          <w:sz w:val="20"/>
          <w:szCs w:val="20"/>
          <w:color w:val="auto"/>
        </w:rPr>
      </w:pPr>
      <w:r>
        <w:rPr>
          <w:rFonts w:ascii="Arial" w:cs="Arial" w:eastAsia="Arial" w:hAnsi="Arial"/>
          <w:sz w:val="17"/>
          <w:szCs w:val="17"/>
          <w:color w:val="auto"/>
        </w:rPr>
        <w:t>The decrease in spending associated with our marketed products for 2016 compared to 2015 was primarily due to the discontinuance of development of TYSABRI and TECFIDERA in secondary primary MS in the third and fourth quarters of 2015, respectively, and decreased costs incurred in connection with our hemophilia products. These decreases were partially offset by the approvals of ZINBRYTA and SPINRAZA in the third and fourth quarters of 2016, respectively.</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Selling,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2578100" cy="19513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78100" cy="1951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For 2017 compared to 2016, the decrease in selling, general and administrative expenses was primarily due to a reduction in operational spending resulting from the spin-off of our hemophilia business on February 1, 2017, the execution of targeted cost reduction initiatives and a reduction in costs resulting from the discontinuance of our TECFIDERA television advertising campaign in the second quarter of 2016. These decreases were offset by an increase in SPINRAZA commercialization costs and an increase in corporate giving.</w:t>
      </w:r>
    </w:p>
    <w:p>
      <w:pPr>
        <w:spacing w:after="0" w:line="144" w:lineRule="exact"/>
        <w:rPr>
          <w:sz w:val="20"/>
          <w:szCs w:val="20"/>
          <w:color w:val="auto"/>
        </w:rPr>
      </w:pPr>
    </w:p>
    <w:p>
      <w:pPr>
        <w:ind w:right="160" w:firstLine="410"/>
        <w:spacing w:after="0" w:line="253" w:lineRule="auto"/>
        <w:rPr>
          <w:sz w:val="20"/>
          <w:szCs w:val="20"/>
          <w:color w:val="auto"/>
        </w:rPr>
      </w:pPr>
      <w:r>
        <w:rPr>
          <w:rFonts w:ascii="Arial" w:cs="Arial" w:eastAsia="Arial" w:hAnsi="Arial"/>
          <w:sz w:val="17"/>
          <w:szCs w:val="17"/>
          <w:color w:val="auto"/>
        </w:rPr>
        <w:t>For 2016 compared to 2015, the decrease in selling, general and administrative expenses reflect cost savings in connection with our corporate restructuring, which are described below under the heading "</w:t>
      </w:r>
      <w:r>
        <w:rPr>
          <w:rFonts w:ascii="Arial" w:cs="Arial" w:eastAsia="Arial" w:hAnsi="Arial"/>
          <w:sz w:val="17"/>
          <w:szCs w:val="17"/>
          <w:i w:val="1"/>
          <w:iCs w:val="1"/>
          <w:color w:val="auto"/>
        </w:rPr>
        <w:t>Restructuring, Business Transformation and Other Cost Savings</w:t>
      </w:r>
      <w:r>
        <w:rPr>
          <w:rFonts w:ascii="Arial" w:cs="Arial" w:eastAsia="Arial" w:hAnsi="Arial"/>
          <w:sz w:val="17"/>
          <w:szCs w:val="17"/>
          <w:color w:val="auto"/>
        </w:rPr>
        <w:t xml:space="preserve"> </w:t>
      </w:r>
      <w:r>
        <w:rPr>
          <w:rFonts w:ascii="Arial" w:cs="Arial" w:eastAsia="Arial" w:hAnsi="Arial"/>
          <w:sz w:val="17"/>
          <w:szCs w:val="17"/>
          <w:i w:val="1"/>
          <w:iCs w:val="1"/>
          <w:color w:val="auto"/>
        </w:rPr>
        <w:t>Initiatives</w:t>
      </w:r>
      <w:r>
        <w:rPr>
          <w:rFonts w:ascii="Arial" w:cs="Arial" w:eastAsia="Arial" w:hAnsi="Arial"/>
          <w:sz w:val="17"/>
          <w:szCs w:val="17"/>
          <w:color w:val="auto"/>
        </w:rPr>
        <w:t>," partially offset by an increase in costs associated with</w:t>
      </w:r>
      <w:r>
        <w:rPr>
          <w:rFonts w:ascii="Arial" w:cs="Arial" w:eastAsia="Arial" w:hAnsi="Arial"/>
          <w:sz w:val="17"/>
          <w:szCs w:val="17"/>
          <w:i w:val="1"/>
          <w:iCs w:val="1"/>
          <w:color w:val="auto"/>
        </w:rPr>
        <w:t xml:space="preserve"> </w:t>
      </w:r>
      <w:r>
        <w:rPr>
          <w:rFonts w:ascii="Arial" w:cs="Arial" w:eastAsia="Arial" w:hAnsi="Arial"/>
          <w:sz w:val="17"/>
          <w:szCs w:val="17"/>
          <w:color w:val="auto"/>
        </w:rPr>
        <w:t>developing commercial capabilities for ZINBRYTA and SPINRAZA.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20" w:firstLine="410"/>
        <w:spacing w:after="0" w:line="253" w:lineRule="auto"/>
        <w:rPr>
          <w:sz w:val="20"/>
          <w:szCs w:val="20"/>
          <w:color w:val="auto"/>
        </w:rPr>
      </w:pPr>
      <w:r>
        <w:rPr>
          <w:rFonts w:ascii="Arial" w:cs="Arial" w:eastAsia="Arial" w:hAnsi="Arial"/>
          <w:sz w:val="17"/>
          <w:szCs w:val="17"/>
          <w:color w:val="auto"/>
        </w:rPr>
        <w:t>Our amortization expense is based on the economic consumption and impairment of intangible assets. Our most significant intangible assets are related to our TECFIDERA, AVONEX and TYSABRI products. Annually, during our long-range planning cycle, we perform an analysis of anticipated lifetime revenues of TECFIDERA, AVONEX and TYSABRI. This analysis is also updated whenever events or changes in circumstances would significantly affect the anticipated lifetime revenues of any of these products.</w:t>
      </w:r>
    </w:p>
    <w:p>
      <w:pPr>
        <w:spacing w:after="0" w:line="144" w:lineRule="exact"/>
        <w:rPr>
          <w:sz w:val="20"/>
          <w:szCs w:val="20"/>
          <w:color w:val="auto"/>
        </w:rPr>
      </w:pPr>
    </w:p>
    <w:p>
      <w:pPr>
        <w:ind w:left="320" w:firstLine="410"/>
        <w:spacing w:after="0" w:line="253" w:lineRule="auto"/>
        <w:rPr>
          <w:sz w:val="20"/>
          <w:szCs w:val="20"/>
          <w:color w:val="auto"/>
        </w:rPr>
      </w:pPr>
      <w:r>
        <w:rPr>
          <w:rFonts w:ascii="Arial" w:cs="Arial" w:eastAsia="Arial" w:hAnsi="Arial"/>
          <w:sz w:val="17"/>
          <w:szCs w:val="17"/>
          <w:color w:val="auto"/>
        </w:rPr>
        <w:t>Our most recent long-range planning cycle was completed in the third quarter of 2017. The results of our TECFIDERA, AVONEX and TYSABRI analyses were impacted by changes in the estimated timing of the impact of other alternative MS formulations, including OCREVUS, which may compete with TYSABRI, TECFIDERA and AVONEX. The outcome of this most recent analysis did not result in a significant net change in our expected rate of amortization for acquired intangible assets.</w:t>
      </w:r>
    </w:p>
    <w:p>
      <w:pPr>
        <w:spacing w:after="0" w:line="144" w:lineRule="exact"/>
        <w:rPr>
          <w:sz w:val="20"/>
          <w:szCs w:val="20"/>
          <w:color w:val="auto"/>
        </w:rPr>
      </w:pPr>
    </w:p>
    <w:p>
      <w:pPr>
        <w:ind w:left="320" w:right="480" w:firstLine="410"/>
        <w:spacing w:after="0" w:line="257" w:lineRule="auto"/>
        <w:rPr>
          <w:sz w:val="20"/>
          <w:szCs w:val="20"/>
          <w:color w:val="auto"/>
        </w:rPr>
      </w:pPr>
      <w:r>
        <w:rPr>
          <w:rFonts w:ascii="Arial" w:cs="Arial" w:eastAsia="Arial" w:hAnsi="Arial"/>
          <w:sz w:val="17"/>
          <w:szCs w:val="17"/>
          <w:color w:val="auto"/>
        </w:rPr>
        <w:t>Based upon this most recent analysis, the estimated future amortization of acquired intangible assets for the next five years is expected to be as follows:</w:t>
      </w:r>
    </w:p>
    <w:p>
      <w:pPr>
        <w:spacing w:after="0" w:line="116" w:lineRule="exact"/>
        <w:rPr>
          <w:sz w:val="20"/>
          <w:szCs w:val="20"/>
          <w:color w:val="auto"/>
        </w:rPr>
      </w:pPr>
    </w:p>
    <w:tbl>
      <w:tblPr>
        <w:tblLayout w:type="fixed"/>
        <w:tblInd w:w="320" w:type="dxa"/>
        <w:tblCellMar>
          <w:top w:w="0" w:type="dxa"/>
          <w:left w:w="0" w:type="dxa"/>
          <w:bottom w:w="0" w:type="dxa"/>
          <w:right w:w="0" w:type="dxa"/>
        </w:tblCellMar>
      </w:tblPr>
      <w:tr>
        <w:trPr>
          <w:trHeight w:val="202"/>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800" w:type="dxa"/>
            <w:vAlign w:val="bottom"/>
            <w:tcBorders>
              <w:bottom w:val="single" w:sz="8" w:color="auto"/>
            </w:tcBorders>
            <w:gridSpan w:val="2"/>
            <w:shd w:val="clear" w:color="auto" w:fill="DDDDDD"/>
          </w:tcPr>
          <w:p>
            <w:pPr>
              <w:jc w:val="right"/>
              <w:ind w:right="15"/>
              <w:spacing w:after="0"/>
              <w:rPr>
                <w:sz w:val="20"/>
                <w:szCs w:val="20"/>
                <w:color w:val="auto"/>
              </w:rPr>
            </w:pPr>
            <w:r>
              <w:rPr>
                <w:rFonts w:ascii="Arial" w:cs="Arial" w:eastAsia="Arial" w:hAnsi="Arial"/>
                <w:sz w:val="14"/>
                <w:szCs w:val="14"/>
                <w:b w:val="1"/>
                <w:bCs w:val="1"/>
                <w:color w:val="2573BA"/>
              </w:rPr>
              <w:t>As of December 31, 2017</w:t>
            </w:r>
          </w:p>
        </w:tc>
      </w:tr>
      <w:tr>
        <w:trPr>
          <w:trHeight w:val="225"/>
        </w:trPr>
        <w:tc>
          <w:tcPr>
            <w:tcW w:w="3680" w:type="dxa"/>
            <w:vAlign w:val="bottom"/>
          </w:tcPr>
          <w:p>
            <w:pPr>
              <w:ind w:left="20"/>
              <w:spacing w:after="0"/>
              <w:rPr>
                <w:sz w:val="20"/>
                <w:szCs w:val="20"/>
                <w:color w:val="auto"/>
              </w:rPr>
            </w:pPr>
            <w:r>
              <w:rPr>
                <w:rFonts w:ascii="Arial" w:cs="Arial" w:eastAsia="Arial" w:hAnsi="Arial"/>
                <w:sz w:val="17"/>
                <w:szCs w:val="17"/>
                <w:color w:val="auto"/>
              </w:rPr>
              <w:t>2018</w:t>
            </w:r>
          </w:p>
        </w:tc>
        <w:tc>
          <w:tcPr>
            <w:tcW w:w="720" w:type="dxa"/>
            <w:vAlign w:val="bottom"/>
            <w:shd w:val="clear" w:color="auto" w:fill="DDDDDD"/>
          </w:tcPr>
          <w:p>
            <w:pPr>
              <w:jc w:val="right"/>
              <w:ind w:right="523"/>
              <w:spacing w:after="0"/>
              <w:rPr>
                <w:sz w:val="20"/>
                <w:szCs w:val="20"/>
                <w:color w:val="auto"/>
              </w:rPr>
            </w:pPr>
            <w:r>
              <w:rPr>
                <w:rFonts w:ascii="Arial" w:cs="Arial" w:eastAsia="Arial" w:hAnsi="Arial"/>
                <w:sz w:val="17"/>
                <w:szCs w:val="17"/>
                <w:color w:val="2573BA"/>
              </w:rPr>
              <w:t>$</w:t>
            </w:r>
          </w:p>
        </w:tc>
        <w:tc>
          <w:tcPr>
            <w:tcW w:w="108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423.5</w:t>
            </w:r>
          </w:p>
        </w:tc>
      </w:tr>
      <w:tr>
        <w:trPr>
          <w:trHeight w:val="243"/>
        </w:trPr>
        <w:tc>
          <w:tcPr>
            <w:tcW w:w="3680" w:type="dxa"/>
            <w:vAlign w:val="bottom"/>
          </w:tcPr>
          <w:p>
            <w:pPr>
              <w:ind w:left="20"/>
              <w:spacing w:after="0"/>
              <w:rPr>
                <w:sz w:val="20"/>
                <w:szCs w:val="20"/>
                <w:color w:val="auto"/>
              </w:rPr>
            </w:pPr>
            <w:r>
              <w:rPr>
                <w:rFonts w:ascii="Arial" w:cs="Arial" w:eastAsia="Arial" w:hAnsi="Arial"/>
                <w:sz w:val="17"/>
                <w:szCs w:val="17"/>
                <w:color w:val="auto"/>
              </w:rPr>
              <w:t>2019</w:t>
            </w:r>
          </w:p>
        </w:tc>
        <w:tc>
          <w:tcPr>
            <w:tcW w:w="720" w:type="dxa"/>
            <w:vAlign w:val="bottom"/>
            <w:shd w:val="clear" w:color="auto" w:fill="DDDDDD"/>
          </w:tcPr>
          <w:p>
            <w:pPr>
              <w:spacing w:after="0"/>
              <w:rPr>
                <w:sz w:val="21"/>
                <w:szCs w:val="21"/>
                <w:color w:val="auto"/>
              </w:rPr>
            </w:pPr>
          </w:p>
        </w:tc>
        <w:tc>
          <w:tcPr>
            <w:tcW w:w="108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401.8</w:t>
            </w:r>
          </w:p>
        </w:tc>
      </w:tr>
      <w:tr>
        <w:trPr>
          <w:trHeight w:val="243"/>
        </w:trPr>
        <w:tc>
          <w:tcPr>
            <w:tcW w:w="3680" w:type="dxa"/>
            <w:vAlign w:val="bottom"/>
          </w:tcPr>
          <w:p>
            <w:pPr>
              <w:ind w:left="20"/>
              <w:spacing w:after="0"/>
              <w:rPr>
                <w:sz w:val="20"/>
                <w:szCs w:val="20"/>
                <w:color w:val="auto"/>
              </w:rPr>
            </w:pPr>
            <w:r>
              <w:rPr>
                <w:rFonts w:ascii="Arial" w:cs="Arial" w:eastAsia="Arial" w:hAnsi="Arial"/>
                <w:sz w:val="17"/>
                <w:szCs w:val="17"/>
                <w:color w:val="auto"/>
              </w:rPr>
              <w:t>2020</w:t>
            </w:r>
          </w:p>
        </w:tc>
        <w:tc>
          <w:tcPr>
            <w:tcW w:w="720" w:type="dxa"/>
            <w:vAlign w:val="bottom"/>
            <w:shd w:val="clear" w:color="auto" w:fill="DDDDDD"/>
          </w:tcPr>
          <w:p>
            <w:pPr>
              <w:spacing w:after="0"/>
              <w:rPr>
                <w:sz w:val="21"/>
                <w:szCs w:val="21"/>
                <w:color w:val="auto"/>
              </w:rPr>
            </w:pPr>
          </w:p>
        </w:tc>
        <w:tc>
          <w:tcPr>
            <w:tcW w:w="108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381.6</w:t>
            </w:r>
          </w:p>
        </w:tc>
      </w:tr>
      <w:tr>
        <w:trPr>
          <w:trHeight w:val="243"/>
        </w:trPr>
        <w:tc>
          <w:tcPr>
            <w:tcW w:w="3680" w:type="dxa"/>
            <w:vAlign w:val="bottom"/>
          </w:tcPr>
          <w:p>
            <w:pPr>
              <w:ind w:left="20"/>
              <w:spacing w:after="0"/>
              <w:rPr>
                <w:sz w:val="20"/>
                <w:szCs w:val="20"/>
                <w:color w:val="auto"/>
              </w:rPr>
            </w:pPr>
            <w:r>
              <w:rPr>
                <w:rFonts w:ascii="Arial" w:cs="Arial" w:eastAsia="Arial" w:hAnsi="Arial"/>
                <w:sz w:val="17"/>
                <w:szCs w:val="17"/>
                <w:color w:val="auto"/>
              </w:rPr>
              <w:t>2021</w:t>
            </w:r>
          </w:p>
        </w:tc>
        <w:tc>
          <w:tcPr>
            <w:tcW w:w="720" w:type="dxa"/>
            <w:vAlign w:val="bottom"/>
            <w:shd w:val="clear" w:color="auto" w:fill="DDDDDD"/>
          </w:tcPr>
          <w:p>
            <w:pPr>
              <w:spacing w:after="0"/>
              <w:rPr>
                <w:sz w:val="21"/>
                <w:szCs w:val="21"/>
                <w:color w:val="auto"/>
              </w:rPr>
            </w:pPr>
          </w:p>
        </w:tc>
        <w:tc>
          <w:tcPr>
            <w:tcW w:w="108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254.3</w:t>
            </w:r>
          </w:p>
        </w:tc>
      </w:tr>
      <w:tr>
        <w:trPr>
          <w:trHeight w:val="257"/>
        </w:trPr>
        <w:tc>
          <w:tcPr>
            <w:tcW w:w="3680" w:type="dxa"/>
            <w:vAlign w:val="bottom"/>
          </w:tcPr>
          <w:p>
            <w:pPr>
              <w:ind w:left="20"/>
              <w:spacing w:after="0"/>
              <w:rPr>
                <w:sz w:val="20"/>
                <w:szCs w:val="20"/>
                <w:color w:val="auto"/>
              </w:rPr>
            </w:pPr>
            <w:r>
              <w:rPr>
                <w:rFonts w:ascii="Arial" w:cs="Arial" w:eastAsia="Arial" w:hAnsi="Arial"/>
                <w:sz w:val="17"/>
                <w:szCs w:val="17"/>
                <w:color w:val="auto"/>
              </w:rPr>
              <w:t>2022</w:t>
            </w:r>
          </w:p>
        </w:tc>
        <w:tc>
          <w:tcPr>
            <w:tcW w:w="720" w:type="dxa"/>
            <w:vAlign w:val="bottom"/>
            <w:shd w:val="clear" w:color="auto" w:fill="DDDDDD"/>
          </w:tcPr>
          <w:p>
            <w:pPr>
              <w:spacing w:after="0"/>
              <w:rPr>
                <w:sz w:val="22"/>
                <w:szCs w:val="22"/>
                <w:color w:val="auto"/>
              </w:rPr>
            </w:pPr>
          </w:p>
        </w:tc>
        <w:tc>
          <w:tcPr>
            <w:tcW w:w="108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242.3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color w:val="auto"/>
        </w:rPr>
        <w:t>69</w:t>
      </w:r>
    </w:p>
    <w:p>
      <w:pPr>
        <w:sectPr>
          <w:pgSz w:w="11900" w:h="16838" w:orient="portrait"/>
          <w:cols w:equalWidth="0" w:num="2">
            <w:col w:w="5460" w:space="160"/>
            <w:col w:w="5800"/>
          </w:cols>
          <w:pgMar w:left="240" w:top="144" w:right="239" w:bottom="1440" w:gutter="0" w:footer="0" w:header="0"/>
          <w:type w:val="continuous"/>
        </w:sectPr>
      </w:pPr>
    </w:p>
    <w:bookmarkStart w:id="73" w:name="page74"/>
    <w:bookmarkEnd w:id="7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400"/>
          </w:cols>
          <w:pgMar w:left="240" w:top="144" w:right="259" w:bottom="1440" w:gutter="0" w:footer="0" w:header="0"/>
        </w:sectPr>
      </w:pPr>
    </w:p>
    <w:p>
      <w:pPr>
        <w:spacing w:after="0" w:line="383"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We monitor events and expectations regarding product performance. If new information indicates that the assumptions underlying our most recent analysis are substantially different than those utilized in our current estimates, our analysis would be updated and may result in a significant change in the anticipated lifetime revenues of the relevant products. The occurrence of an adverse event could substantially increase the amount of amortization expense associated with our acquired intangible assets as compared to previous periods or our current expectations, which may result in a significant negative impact on our future results of operations.</w:t>
      </w:r>
    </w:p>
    <w:p>
      <w:pPr>
        <w:spacing w:after="0" w:line="150" w:lineRule="exact"/>
        <w:rPr>
          <w:sz w:val="20"/>
          <w:szCs w:val="20"/>
          <w:color w:val="auto"/>
        </w:rPr>
      </w:pPr>
    </w:p>
    <w:p>
      <w:pPr>
        <w:ind w:right="40" w:firstLine="410"/>
        <w:spacing w:after="0" w:line="252" w:lineRule="auto"/>
        <w:rPr>
          <w:sz w:val="20"/>
          <w:szCs w:val="20"/>
          <w:color w:val="auto"/>
        </w:rPr>
      </w:pPr>
      <w:r>
        <w:rPr>
          <w:rFonts w:ascii="Arial" w:cs="Arial" w:eastAsia="Arial" w:hAnsi="Arial"/>
          <w:sz w:val="17"/>
          <w:szCs w:val="17"/>
          <w:color w:val="auto"/>
        </w:rPr>
        <w:t>For 2017 compared to 2016, the increase in amortization of acquired intangible assets was primarily due to $444.2 million of amortization and impairment charges associated with our U.S. and rest of world licenses to Forward Pharma's intellectual property, including Forward Pharma's intellectual property related to TECFIDERA, acquired in the first quarter of 2017, as discussed further below. Amortization of acquired intangible assets for 2017 also reflects the $31.2 million impairment of our acquired and in-licensed rights and patents intangible asset related to the Article 20 Procedure of ZINBRYTA.</w:t>
      </w:r>
    </w:p>
    <w:p>
      <w:pPr>
        <w:spacing w:after="0" w:line="151" w:lineRule="exact"/>
        <w:rPr>
          <w:sz w:val="20"/>
          <w:szCs w:val="20"/>
          <w:color w:val="auto"/>
        </w:rPr>
      </w:pPr>
    </w:p>
    <w:p>
      <w:pPr>
        <w:ind w:right="440" w:firstLine="410"/>
        <w:spacing w:after="0" w:line="255" w:lineRule="auto"/>
        <w:rPr>
          <w:sz w:val="20"/>
          <w:szCs w:val="20"/>
          <w:color w:val="auto"/>
        </w:rPr>
      </w:pPr>
      <w:r>
        <w:rPr>
          <w:rFonts w:ascii="Arial" w:cs="Arial" w:eastAsia="Arial" w:hAnsi="Arial"/>
          <w:sz w:val="17"/>
          <w:szCs w:val="17"/>
          <w:color w:val="auto"/>
        </w:rPr>
        <w:t xml:space="preserve">For additional information on the Article 20 Procedure of ZINBRYTA and resulting impairment of ZINBRYTA related assets, please read Note 20, </w:t>
      </w:r>
      <w:r>
        <w:rPr>
          <w:rFonts w:ascii="Arial" w:cs="Arial" w:eastAsia="Arial" w:hAnsi="Arial"/>
          <w:sz w:val="17"/>
          <w:szCs w:val="17"/>
          <w:i w:val="1"/>
          <w:iCs w:val="1"/>
          <w:color w:val="auto"/>
        </w:rPr>
        <w:t>Collaborative and Other Relationships</w:t>
      </w:r>
      <w:r>
        <w:rPr>
          <w:rFonts w:ascii="Arial" w:cs="Arial" w:eastAsia="Arial" w:hAnsi="Arial"/>
          <w:sz w:val="17"/>
          <w:szCs w:val="17"/>
          <w:color w:val="auto"/>
        </w:rPr>
        <w:t>, to our consolidated financial statements included in this report.</w:t>
      </w:r>
    </w:p>
    <w:p>
      <w:pPr>
        <w:spacing w:after="0" w:line="143" w:lineRule="exact"/>
        <w:rPr>
          <w:sz w:val="20"/>
          <w:szCs w:val="20"/>
          <w:color w:val="auto"/>
        </w:rPr>
      </w:pPr>
    </w:p>
    <w:p>
      <w:pPr>
        <w:ind w:right="20" w:firstLine="410"/>
        <w:spacing w:after="0" w:line="252" w:lineRule="auto"/>
        <w:rPr>
          <w:sz w:val="20"/>
          <w:szCs w:val="20"/>
          <w:color w:val="auto"/>
        </w:rPr>
      </w:pPr>
      <w:r>
        <w:rPr>
          <w:rFonts w:ascii="Arial" w:cs="Arial" w:eastAsia="Arial" w:hAnsi="Arial"/>
          <w:sz w:val="17"/>
          <w:szCs w:val="17"/>
          <w:color w:val="auto"/>
        </w:rPr>
        <w:t>For 2016 compared to 2015, amortization of acquired intangible assets was relatively consistent as our most recent analysis completed during the third quarter of 2016 resulted in no significant net change in our expected rate of amortization for acquired intangible assets. Amortization of acquired intangible assets for 2016 also reflects impairment charges recognized upon the termination of our collaboration agreements with Rodin Therapeutics, Inc. and Ataxion Inc., which resulted in impairment losses of $8.7 million and $3.5 million, respectively, related to the IPR&amp;D assets recorded upon entering into the collaboration agreements.</w:t>
      </w:r>
    </w:p>
    <w:p>
      <w:pPr>
        <w:spacing w:after="0" w:line="150" w:lineRule="exact"/>
        <w:rPr>
          <w:sz w:val="20"/>
          <w:szCs w:val="20"/>
          <w:color w:val="auto"/>
        </w:rPr>
      </w:pPr>
    </w:p>
    <w:p>
      <w:pPr>
        <w:ind w:right="120" w:firstLine="410"/>
        <w:spacing w:after="0" w:line="262" w:lineRule="auto"/>
        <w:rPr>
          <w:sz w:val="20"/>
          <w:szCs w:val="20"/>
          <w:color w:val="auto"/>
        </w:rPr>
      </w:pPr>
      <w:r>
        <w:rPr>
          <w:rFonts w:ascii="Arial" w:cs="Arial" w:eastAsia="Arial" w:hAnsi="Arial"/>
          <w:sz w:val="17"/>
          <w:szCs w:val="17"/>
          <w:color w:val="auto"/>
        </w:rPr>
        <w:t>Impairment charges related to intangible assets during 2015 were insignificant.</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538235"/>
        </w:rPr>
        <w:t>TECFIDERA License Rights</w:t>
      </w:r>
    </w:p>
    <w:p>
      <w:pPr>
        <w:spacing w:after="0" w:line="104" w:lineRule="exact"/>
        <w:rPr>
          <w:sz w:val="20"/>
          <w:szCs w:val="20"/>
          <w:color w:val="auto"/>
        </w:rPr>
      </w:pPr>
    </w:p>
    <w:p>
      <w:pPr>
        <w:ind w:left="320" w:right="20" w:firstLine="410"/>
        <w:spacing w:after="0" w:line="252" w:lineRule="auto"/>
        <w:rPr>
          <w:sz w:val="20"/>
          <w:szCs w:val="20"/>
          <w:color w:val="auto"/>
        </w:rPr>
      </w:pPr>
      <w:r>
        <w:rPr>
          <w:rFonts w:ascii="Arial" w:cs="Arial" w:eastAsia="Arial" w:hAnsi="Arial"/>
          <w:sz w:val="17"/>
          <w:szCs w:val="17"/>
          <w:color w:val="auto"/>
        </w:rPr>
        <w:t>In January 2017 we entered into a settlement and license agreement with Forward Pharma. Pursuant to this agreement, we obtained U.S. and rest of world licenses to Forward Pharma's intellectual property, including Forward Pharma's intellectual property related to TECFIDERA. In exchange, we paid Forward Pharma $1.25 billion in cash. During the fourth quarter of 2016, we recognized a pre-tax charge of $454.8 million and in the first quarter of 2017 we recognized an intangible asset of $795.2 million related to this agreement. The pre-tax charge recognized in the fourth quarter of 2016 represented the fair value of our licenses to Forward Pharma’s intellectual property for the period April 2014, when we started selling TECFIDERA, through December 31, 2016. The intangible asset represented the fair value of the U.S. and rest of world licenses to Forward Pharma’s intellectual property related to TECFIDERA revenues for the period January 2017, the month in which we entered into this agreement, through December 2020, the last month before royalty payments could first commence pursuant to this agreement.</w:t>
      </w:r>
    </w:p>
    <w:p>
      <w:pPr>
        <w:spacing w:after="0" w:line="148" w:lineRule="exact"/>
        <w:rPr>
          <w:sz w:val="20"/>
          <w:szCs w:val="20"/>
          <w:color w:val="auto"/>
        </w:rPr>
      </w:pPr>
    </w:p>
    <w:p>
      <w:pPr>
        <w:ind w:left="320" w:right="40" w:firstLine="384"/>
        <w:spacing w:after="0" w:line="252" w:lineRule="auto"/>
        <w:rPr>
          <w:sz w:val="20"/>
          <w:szCs w:val="20"/>
          <w:color w:val="auto"/>
        </w:rPr>
      </w:pPr>
      <w:r>
        <w:rPr>
          <w:rFonts w:ascii="Arial" w:cs="Arial" w:eastAsia="Arial" w:hAnsi="Arial"/>
          <w:sz w:val="17"/>
          <w:szCs w:val="17"/>
          <w:color w:val="auto"/>
        </w:rPr>
        <w:t>We have two intellectual property disputes with Forward Pharma, one in the U.S. and one in the E.U., concerning intellectual property related to TECFIDERA. In March 2017 the U.S. intellectual property dispute was decided in our favor. Forward Pharma appealed to the U.S. Court of Appeals for the Federal Circuit and the appeal is pending. We evaluated the recoverability of the U.S. asset acquired from Forward Pharma and recorded an impairment charge in the first quarter of 2017 to adjust the carrying value of the acquired U.S. asset to fair value reflecting the impact of the developments in the U.S. legal dispute. In January 2018 the EPO announced its decision revoking Forward Pharma’s European Patent No. 2 801 355. Forward Pharma has stated that it expects to file an appeal to the Technical Board of Appeal of the EPO. Based upon our assessment of these rulings, we continue to amortize the remaining net book value of the U.S. and rest of world intangible assets in our consolidated statements of income utilizing an economic consumption model.</w:t>
      </w:r>
    </w:p>
    <w:p>
      <w:pPr>
        <w:spacing w:after="0" w:line="148" w:lineRule="exact"/>
        <w:rPr>
          <w:sz w:val="20"/>
          <w:szCs w:val="20"/>
          <w:color w:val="auto"/>
        </w:rPr>
      </w:pPr>
    </w:p>
    <w:p>
      <w:pPr>
        <w:ind w:left="320" w:firstLine="384"/>
        <w:spacing w:after="0" w:line="253" w:lineRule="auto"/>
        <w:rPr>
          <w:sz w:val="20"/>
          <w:szCs w:val="20"/>
          <w:color w:val="auto"/>
        </w:rPr>
      </w:pPr>
      <w:r>
        <w:rPr>
          <w:rFonts w:ascii="Arial" w:cs="Arial" w:eastAsia="Arial" w:hAnsi="Arial"/>
          <w:sz w:val="17"/>
          <w:szCs w:val="17"/>
          <w:color w:val="auto"/>
        </w:rPr>
        <w:t xml:space="preserve">For additional information on our settlement and license agreement with Forward Pharma and related intangible assets, please read Note 7, </w:t>
      </w:r>
      <w:r>
        <w:rPr>
          <w:rFonts w:ascii="Arial" w:cs="Arial" w:eastAsia="Arial" w:hAnsi="Arial"/>
          <w:sz w:val="17"/>
          <w:szCs w:val="17"/>
          <w:i w:val="1"/>
          <w:iCs w:val="1"/>
          <w:color w:val="auto"/>
        </w:rPr>
        <w:t>Intangible Assets and Goodwill</w:t>
      </w:r>
      <w:r>
        <w:rPr>
          <w:rFonts w:ascii="Arial" w:cs="Arial" w:eastAsia="Arial" w:hAnsi="Arial"/>
          <w:sz w:val="17"/>
          <w:szCs w:val="17"/>
          <w:color w:val="auto"/>
        </w:rPr>
        <w:t>, to our consolidated financial statements</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in this report</w:t>
      </w:r>
      <w:r>
        <w:rPr>
          <w:rFonts w:ascii="Arial" w:cs="Arial" w:eastAsia="Arial" w:hAnsi="Arial"/>
          <w:sz w:val="17"/>
          <w:szCs w:val="17"/>
          <w:i w:val="1"/>
          <w:iCs w:val="1"/>
          <w:color w:val="auto"/>
        </w:rPr>
        <w:t>.</w:t>
      </w:r>
      <w:r>
        <w:rPr>
          <w:rFonts w:ascii="Arial" w:cs="Arial" w:eastAsia="Arial" w:hAnsi="Arial"/>
          <w:sz w:val="17"/>
          <w:szCs w:val="17"/>
          <w:color w:val="auto"/>
        </w:rPr>
        <w:t xml:space="preserve"> For additional information on these disputes, please read Note 21, </w:t>
      </w:r>
      <w:r>
        <w:rPr>
          <w:rFonts w:ascii="Arial" w:cs="Arial" w:eastAsia="Arial" w:hAnsi="Arial"/>
          <w:sz w:val="17"/>
          <w:szCs w:val="17"/>
          <w:i w:val="1"/>
          <w:iCs w:val="1"/>
          <w:color w:val="auto"/>
        </w:rPr>
        <w:t>Litigation</w:t>
      </w:r>
      <w:r>
        <w:rPr>
          <w:rFonts w:ascii="Arial" w:cs="Arial" w:eastAsia="Arial" w:hAnsi="Arial"/>
          <w:sz w:val="17"/>
          <w:szCs w:val="17"/>
          <w:color w:val="auto"/>
        </w:rPr>
        <w:t>, to our consolidated financial statements included in this report.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70</w:t>
      </w:r>
    </w:p>
    <w:p>
      <w:pPr>
        <w:sectPr>
          <w:pgSz w:w="11900" w:h="16838" w:orient="portrait"/>
          <w:cols w:equalWidth="0" w:num="2">
            <w:col w:w="5480" w:space="140"/>
            <w:col w:w="5780"/>
          </w:cols>
          <w:pgMar w:left="240" w:top="144" w:right="259" w:bottom="1440" w:gutter="0" w:footer="0" w:header="0"/>
          <w:type w:val="continuous"/>
        </w:sectPr>
      </w:pPr>
    </w:p>
    <w:bookmarkStart w:id="74" w:name="page75"/>
    <w:bookmarkEnd w:id="7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4" w:lineRule="exact"/>
        <w:rPr>
          <w:sz w:val="20"/>
          <w:szCs w:val="20"/>
          <w:color w:val="auto"/>
        </w:rPr>
      </w:pPr>
    </w:p>
    <w:p>
      <w:pPr>
        <w:ind w:right="240" w:firstLine="205"/>
        <w:spacing w:after="0" w:line="284" w:lineRule="auto"/>
        <w:rPr>
          <w:sz w:val="20"/>
          <w:szCs w:val="20"/>
          <w:color w:val="auto"/>
        </w:rPr>
      </w:pPr>
      <w:r>
        <w:rPr>
          <w:rFonts w:ascii="Arial" w:cs="Arial" w:eastAsia="Arial" w:hAnsi="Arial"/>
          <w:sz w:val="17"/>
          <w:szCs w:val="17"/>
          <w:i w:val="1"/>
          <w:iCs w:val="1"/>
          <w:color w:val="538235"/>
        </w:rPr>
        <w:t>In Process Research &amp; Development (IPR&amp;D) related to Business Combinations</w:t>
      </w:r>
    </w:p>
    <w:p>
      <w:pPr>
        <w:spacing w:after="0" w:line="42" w:lineRule="exact"/>
        <w:rPr>
          <w:sz w:val="20"/>
          <w:szCs w:val="20"/>
          <w:color w:val="auto"/>
        </w:rPr>
      </w:pPr>
    </w:p>
    <w:p>
      <w:pPr>
        <w:ind w:right="40" w:firstLine="410"/>
        <w:spacing w:after="0" w:line="252" w:lineRule="auto"/>
        <w:rPr>
          <w:sz w:val="20"/>
          <w:szCs w:val="20"/>
          <w:color w:val="auto"/>
        </w:rPr>
      </w:pPr>
      <w:r>
        <w:rPr>
          <w:rFonts w:ascii="Arial" w:cs="Arial" w:eastAsia="Arial" w:hAnsi="Arial"/>
          <w:sz w:val="17"/>
          <w:szCs w:val="17"/>
          <w:color w:val="auto"/>
        </w:rPr>
        <w:t>Overall, the value of our acquired IPR&amp;D assets is dependent upon a number of variables, including estimates of future revenues and the effects of competition, the level of anticipated development costs and the probability and timing of successfully advancing a particular research program from a clinical trial phase to the next. We are continually reevaluating our estimates concerning these variables and evaluating industry data regarding the productivity of clinical research and the development process. Changes in our estimates of items may result in a significant change to our valuation of these assets.</w:t>
      </w:r>
    </w:p>
    <w:p>
      <w:pPr>
        <w:spacing w:after="0" w:line="151" w:lineRule="exact"/>
        <w:rPr>
          <w:sz w:val="20"/>
          <w:szCs w:val="20"/>
          <w:color w:val="auto"/>
        </w:rPr>
      </w:pPr>
    </w:p>
    <w:p>
      <w:pPr>
        <w:ind w:right="20" w:firstLine="410"/>
        <w:spacing w:after="0" w:line="252" w:lineRule="auto"/>
        <w:rPr>
          <w:sz w:val="20"/>
          <w:szCs w:val="20"/>
          <w:color w:val="auto"/>
        </w:rPr>
      </w:pPr>
      <w:r>
        <w:rPr>
          <w:rFonts w:ascii="Arial" w:cs="Arial" w:eastAsia="Arial" w:hAnsi="Arial"/>
          <w:sz w:val="17"/>
          <w:szCs w:val="17"/>
          <w:color w:val="auto"/>
        </w:rPr>
        <w:t>We review amounts capitalized as acquired IPR&amp;D for impairment at least annually, as of October 31, and whenever events or changes in circumstances indicate to us that the carrying value of the assets might not be recoverable. Our most recent impairment assessment as of October 31, 2017, resulted in no impairments. Changes to clinical development plans, regulatory feedback received, life cycle management strategies and changes in program economics, including foreign currency exchange rates, are evaluated regularly. The field of developing treatments for forms of neuropathic pain, such as TGN, is highly competitive and can be affected by changes to expected market candidates and changes in timing and the clinical development of our product candidates. There can be no assurance that we will be able to successfully develop BIIB074 for the treatment of TGN or other indications, including our ability to confirm safety and efficacy based on data from clinical trials, or that a successfully developed therapy will be able to secure sufficient pricing in a competitive market. Changes in events and circumstances for these programs may have a material impact on the value of our related IPR&amp;D.</w:t>
      </w:r>
    </w:p>
    <w:p>
      <w:pPr>
        <w:spacing w:after="0" w:line="147" w:lineRule="exact"/>
        <w:rPr>
          <w:sz w:val="20"/>
          <w:szCs w:val="20"/>
          <w:color w:val="auto"/>
        </w:rPr>
      </w:pPr>
    </w:p>
    <w:p>
      <w:pPr>
        <w:ind w:firstLine="410"/>
        <w:spacing w:after="0" w:line="255" w:lineRule="auto"/>
        <w:rPr>
          <w:sz w:val="20"/>
          <w:szCs w:val="20"/>
          <w:color w:val="auto"/>
        </w:rPr>
      </w:pPr>
      <w:r>
        <w:rPr>
          <w:rFonts w:ascii="Arial" w:cs="Arial" w:eastAsia="Arial" w:hAnsi="Arial"/>
          <w:sz w:val="17"/>
          <w:szCs w:val="17"/>
          <w:color w:val="auto"/>
        </w:rPr>
        <w:t xml:space="preserve">For additional information on the impairment and amortization of acquired intangible assets, including our TECFIDERA settlement and license agreement, please read Note 7, </w:t>
      </w:r>
      <w:r>
        <w:rPr>
          <w:rFonts w:ascii="Arial" w:cs="Arial" w:eastAsia="Arial" w:hAnsi="Arial"/>
          <w:sz w:val="17"/>
          <w:szCs w:val="17"/>
          <w:i w:val="1"/>
          <w:iCs w:val="1"/>
          <w:color w:val="auto"/>
        </w:rPr>
        <w:t>Intangible Assets and Goodwill,</w:t>
      </w:r>
      <w:r>
        <w:rPr>
          <w:rFonts w:ascii="Arial" w:cs="Arial" w:eastAsia="Arial" w:hAnsi="Arial"/>
          <w:sz w:val="17"/>
          <w:szCs w:val="17"/>
          <w:color w:val="auto"/>
        </w:rPr>
        <w:t xml:space="preserve"> to our consolidated financial statements included in this 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2573BA"/>
        </w:rPr>
        <w:t>Acquired In-Process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19050</wp:posOffset>
            </wp:positionV>
            <wp:extent cx="2578100" cy="23825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78100" cy="2382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20" w:firstLine="384"/>
        <w:spacing w:after="0" w:line="253" w:lineRule="auto"/>
        <w:rPr>
          <w:sz w:val="20"/>
          <w:szCs w:val="20"/>
          <w:color w:val="auto"/>
        </w:rPr>
      </w:pPr>
      <w:r>
        <w:rPr>
          <w:rFonts w:ascii="Arial" w:cs="Arial" w:eastAsia="Arial" w:hAnsi="Arial"/>
          <w:sz w:val="17"/>
          <w:szCs w:val="17"/>
          <w:color w:val="auto"/>
        </w:rPr>
        <w:t xml:space="preserve">In May 2017 we completed an asset purchase of the Phase 3-ready candidate, BIIB093, from Remedy. In connection with the closing of this transaction, we made an upfront $120.0 million payment to Remedy, which was recorded as acquired in-process research and development in our consolidated statements of income as BIIB093 had not yet reached technological feasibility. For additional information on our transaction with Remedy, please read Note 2, </w:t>
      </w:r>
      <w:r>
        <w:rPr>
          <w:rFonts w:ascii="Arial" w:cs="Arial" w:eastAsia="Arial" w:hAnsi="Arial"/>
          <w:sz w:val="17"/>
          <w:szCs w:val="17"/>
          <w:i w:val="1"/>
          <w:iCs w:val="1"/>
          <w:color w:val="auto"/>
        </w:rPr>
        <w:t>Acquisitions</w:t>
      </w:r>
      <w:r>
        <w:rPr>
          <w:rFonts w:ascii="Arial" w:cs="Arial" w:eastAsia="Arial" w:hAnsi="Arial"/>
          <w:sz w:val="17"/>
          <w:szCs w:val="17"/>
          <w:color w:val="auto"/>
        </w:rPr>
        <w:t>, to our consolidated financial statements included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color w:val="auto"/>
        </w:rPr>
        <w:t>71</w:t>
      </w:r>
    </w:p>
    <w:p>
      <w:pPr>
        <w:sectPr>
          <w:pgSz w:w="11900" w:h="16838" w:orient="portrait"/>
          <w:cols w:equalWidth="0" w:num="2">
            <w:col w:w="5420" w:space="200"/>
            <w:col w:w="5680"/>
          </w:cols>
          <w:pgMar w:left="240" w:top="144" w:right="35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61"/>
        </w:trPr>
        <w:tc>
          <w:tcPr>
            <w:tcW w:w="450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6240" w:type="dxa"/>
            <w:vAlign w:val="bottom"/>
          </w:tcPr>
          <w:p>
            <w:pPr>
              <w:spacing w:after="0"/>
              <w:rPr>
                <w:sz w:val="14"/>
                <w:szCs w:val="14"/>
                <w:color w:val="auto"/>
              </w:rPr>
            </w:pPr>
          </w:p>
        </w:tc>
      </w:tr>
      <w:tr>
        <w:trPr>
          <w:trHeight w:val="20"/>
        </w:trPr>
        <w:tc>
          <w:tcPr>
            <w:tcW w:w="1060" w:type="dxa"/>
            <w:vAlign w:val="bottom"/>
            <w:shd w:val="clear" w:color="auto" w:fill="0000EE"/>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r>
      <w:tr>
        <w:trPr>
          <w:trHeight w:val="561"/>
        </w:trPr>
        <w:tc>
          <w:tcPr>
            <w:tcW w:w="4500" w:type="dxa"/>
            <w:vAlign w:val="bottom"/>
            <w:gridSpan w:val="2"/>
          </w:tcPr>
          <w:p>
            <w:pPr>
              <w:ind w:left="200"/>
              <w:spacing w:after="0"/>
              <w:rPr>
                <w:sz w:val="20"/>
                <w:szCs w:val="20"/>
                <w:color w:val="auto"/>
              </w:rPr>
            </w:pPr>
            <w:r>
              <w:rPr>
                <w:rFonts w:ascii="Arial" w:cs="Arial" w:eastAsia="Arial" w:hAnsi="Arial"/>
                <w:sz w:val="17"/>
                <w:szCs w:val="17"/>
                <w:b w:val="1"/>
                <w:bCs w:val="1"/>
                <w:i w:val="1"/>
                <w:iCs w:val="1"/>
                <w:color w:val="2573BA"/>
              </w:rPr>
              <w:t>Collaboration Profit (Loss) Sharing</w:t>
            </w:r>
          </w:p>
        </w:tc>
        <w:tc>
          <w:tcPr>
            <w:tcW w:w="6240" w:type="dxa"/>
            <w:vAlign w:val="bottom"/>
          </w:tcPr>
          <w:p>
            <w:pPr>
              <w:ind w:left="1640"/>
              <w:spacing w:after="0"/>
              <w:rPr>
                <w:sz w:val="20"/>
                <w:szCs w:val="20"/>
                <w:color w:val="auto"/>
              </w:rPr>
            </w:pPr>
            <w:r>
              <w:rPr>
                <w:rFonts w:ascii="Arial" w:cs="Arial" w:eastAsia="Arial" w:hAnsi="Arial"/>
                <w:sz w:val="17"/>
                <w:szCs w:val="17"/>
                <w:b w:val="1"/>
                <w:bCs w:val="1"/>
                <w:i w:val="1"/>
                <w:iCs w:val="1"/>
                <w:color w:val="2573BA"/>
              </w:rPr>
              <w:t>Loss (Gain) on Fair Value Remeasurement of Contingent</w:t>
            </w:r>
          </w:p>
        </w:tc>
      </w:tr>
      <w:tr>
        <w:trPr>
          <w:trHeight w:val="224"/>
        </w:trPr>
        <w:tc>
          <w:tcPr>
            <w:tcW w:w="10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6240" w:type="dxa"/>
            <w:vAlign w:val="bottom"/>
          </w:tcPr>
          <w:p>
            <w:pPr>
              <w:ind w:left="1440"/>
              <w:spacing w:after="0"/>
              <w:rPr>
                <w:sz w:val="20"/>
                <w:szCs w:val="20"/>
                <w:color w:val="auto"/>
              </w:rPr>
            </w:pPr>
            <w:r>
              <w:rPr>
                <w:rFonts w:ascii="Arial" w:cs="Arial" w:eastAsia="Arial" w:hAnsi="Arial"/>
                <w:sz w:val="17"/>
                <w:szCs w:val="17"/>
                <w:b w:val="1"/>
                <w:bCs w:val="1"/>
                <w:i w:val="1"/>
                <w:iCs w:val="1"/>
                <w:color w:val="2573BA"/>
              </w:rPr>
              <w:t>Consideration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-128905</wp:posOffset>
            </wp:positionV>
            <wp:extent cx="6351270" cy="20815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351270" cy="2081530"/>
                    </a:xfrm>
                    <a:prstGeom prst="rect">
                      <a:avLst/>
                    </a:prstGeom>
                    <a:noFill/>
                  </pic:spPr>
                </pic:pic>
              </a:graphicData>
            </a:graphic>
          </wp:anchor>
        </w:drawing>
      </w:r>
    </w:p>
    <w:p>
      <w:pPr>
        <w:sectPr>
          <w:pgSz w:w="11900" w:h="16838" w:orient="portrait"/>
          <w:cols w:equalWidth="0" w:num="1">
            <w:col w:w="11380"/>
          </w:cols>
          <w:pgMar w:left="240" w:top="11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20" w:firstLine="410"/>
        <w:spacing w:after="0" w:line="254" w:lineRule="auto"/>
        <w:rPr>
          <w:sz w:val="20"/>
          <w:szCs w:val="20"/>
          <w:color w:val="auto"/>
        </w:rPr>
      </w:pPr>
      <w:r>
        <w:rPr>
          <w:rFonts w:ascii="Arial" w:cs="Arial" w:eastAsia="Arial" w:hAnsi="Arial"/>
          <w:sz w:val="17"/>
          <w:szCs w:val="17"/>
          <w:color w:val="auto"/>
        </w:rPr>
        <w:t>Collaboration profit (loss) sharing includes our partner's 50% share of the profit or loss related to our biosimilars commercial agreement with Samsung Bioepis and our partner's 50% share of the co-promotion profits or losses in the E.U. and Canada related to our collaboration agreement with AbbVie on the commercialization of ZINBRYTA.</w:t>
      </w:r>
    </w:p>
    <w:p>
      <w:pPr>
        <w:spacing w:after="0" w:line="144" w:lineRule="exact"/>
        <w:rPr>
          <w:sz w:val="20"/>
          <w:szCs w:val="20"/>
          <w:color w:val="auto"/>
        </w:rPr>
      </w:pPr>
    </w:p>
    <w:p>
      <w:pPr>
        <w:ind w:right="60" w:firstLine="410"/>
        <w:spacing w:after="0" w:line="253" w:lineRule="auto"/>
        <w:rPr>
          <w:sz w:val="20"/>
          <w:szCs w:val="20"/>
          <w:color w:val="auto"/>
        </w:rPr>
      </w:pPr>
      <w:r>
        <w:rPr>
          <w:rFonts w:ascii="Arial" w:cs="Arial" w:eastAsia="Arial" w:hAnsi="Arial"/>
          <w:sz w:val="17"/>
          <w:szCs w:val="17"/>
          <w:color w:val="auto"/>
        </w:rPr>
        <w:t>We began to recognize revenues on sales of biosimilars in the first quarter of 2016. For 2017 we shared collaboration profits and therefore recognized net expense of $111.0 million as compared to net expense of $15.1 million in the prior year comparative period. The increase in profit sharing expense for the comparative period was primarily due to increased collaboration profits resulting from increased biosimilar product sales.</w:t>
      </w:r>
    </w:p>
    <w:p>
      <w:pPr>
        <w:spacing w:after="0" w:line="146"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We began to recognize revenues on sales of ZINBRYTA in the E.U. in the third quarter of 2016. For 2017 we recognized net expense of $1.3 million to reflect AbbVie's 50% sharing of the net collaboration profits in the E.U. and Canada as compared to net income recognized of $4.9 million in the prior year comparative period, to reflect AbbVie's 50% sharing of the net collaboration losses in the E.U. and Canada. The increase in profit sharing expense for the comparative period was primarily due to increased collaboration profits resulting from increased ZINBRYTA product sales.</w:t>
      </w:r>
    </w:p>
    <w:p>
      <w:pPr>
        <w:spacing w:after="0" w:line="151" w:lineRule="exact"/>
        <w:rPr>
          <w:sz w:val="20"/>
          <w:szCs w:val="20"/>
          <w:color w:val="auto"/>
        </w:rPr>
      </w:pPr>
    </w:p>
    <w:p>
      <w:pPr>
        <w:ind w:right="40" w:firstLine="410"/>
        <w:spacing w:after="0" w:line="253" w:lineRule="auto"/>
        <w:rPr>
          <w:sz w:val="20"/>
          <w:szCs w:val="20"/>
          <w:color w:val="auto"/>
        </w:rPr>
      </w:pPr>
      <w:r>
        <w:rPr>
          <w:rFonts w:ascii="Arial" w:cs="Arial" w:eastAsia="Arial" w:hAnsi="Arial"/>
          <w:sz w:val="17"/>
          <w:szCs w:val="17"/>
          <w:color w:val="auto"/>
        </w:rPr>
        <w:t xml:space="preserve">We expect that the future sales growth of ZINBRYTA will be negatively impacted as a result of the EC approved restrictions on the use of ZINBRYTA. For additional information on our relationship with AbbVie, including information on the Article 20 Procedure of ZINBRYTA and resulting impairment of ZINBRYTA related assets, please read Note 20, </w:t>
      </w:r>
      <w:r>
        <w:rPr>
          <w:rFonts w:ascii="Arial" w:cs="Arial" w:eastAsia="Arial" w:hAnsi="Arial"/>
          <w:sz w:val="17"/>
          <w:szCs w:val="17"/>
          <w:i w:val="1"/>
          <w:iCs w:val="1"/>
          <w:color w:val="auto"/>
        </w:rPr>
        <w:t>Collaborative and Other Relationships</w:t>
      </w:r>
      <w:r>
        <w:rPr>
          <w:rFonts w:ascii="Arial" w:cs="Arial" w:eastAsia="Arial" w:hAnsi="Arial"/>
          <w:sz w:val="17"/>
          <w:szCs w:val="17"/>
          <w:color w:val="auto"/>
        </w:rPr>
        <w:t>, to our consolidated financial statements included in this 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20" w:firstLine="410"/>
        <w:spacing w:after="0" w:line="252" w:lineRule="auto"/>
        <w:rPr>
          <w:sz w:val="20"/>
          <w:szCs w:val="20"/>
          <w:color w:val="auto"/>
        </w:rPr>
      </w:pPr>
      <w:r>
        <w:rPr>
          <w:rFonts w:ascii="Arial" w:cs="Arial" w:eastAsia="Arial" w:hAnsi="Arial"/>
          <w:sz w:val="17"/>
          <w:szCs w:val="17"/>
          <w:color w:val="auto"/>
        </w:rPr>
        <w:t>Consideration payable for certain of our business combinations includes future payments that are contingent upon the occurrence of a particular event or events. We record an obligation for such contingent consideration payments at fair value on the acquisition date. We then revalue our contingent consideration obligations each reporting period. Changes in the fair value of our contingent consideration obligations, other than changes due to payments, are recognized as a (gain) loss on fair value remeasurement of contingent consideration in our consolidated statements of income.</w:t>
      </w:r>
    </w:p>
    <w:p>
      <w:pPr>
        <w:spacing w:after="0" w:line="151" w:lineRule="exact"/>
        <w:rPr>
          <w:sz w:val="20"/>
          <w:szCs w:val="20"/>
          <w:color w:val="auto"/>
        </w:rPr>
      </w:pPr>
    </w:p>
    <w:p>
      <w:pPr>
        <w:ind w:left="320" w:right="20" w:firstLine="410"/>
        <w:spacing w:after="0" w:line="255" w:lineRule="auto"/>
        <w:rPr>
          <w:sz w:val="20"/>
          <w:szCs w:val="20"/>
          <w:color w:val="auto"/>
        </w:rPr>
      </w:pPr>
      <w:r>
        <w:rPr>
          <w:rFonts w:ascii="Arial" w:cs="Arial" w:eastAsia="Arial" w:hAnsi="Arial"/>
          <w:sz w:val="17"/>
          <w:szCs w:val="17"/>
          <w:color w:val="auto"/>
        </w:rPr>
        <w:t>The loss on fair value remeasurement of contingent consideration for 2017 was primarily due to the increase in the probability of achieving certain developmental milestones based upon the progression of the underlying clinical programs.</w:t>
      </w:r>
    </w:p>
    <w:p>
      <w:pPr>
        <w:spacing w:after="0" w:line="143" w:lineRule="exact"/>
        <w:rPr>
          <w:sz w:val="20"/>
          <w:szCs w:val="20"/>
          <w:color w:val="auto"/>
        </w:rPr>
      </w:pPr>
    </w:p>
    <w:p>
      <w:pPr>
        <w:ind w:left="320" w:right="80" w:firstLine="410"/>
        <w:spacing w:after="0" w:line="255" w:lineRule="auto"/>
        <w:rPr>
          <w:sz w:val="20"/>
          <w:szCs w:val="20"/>
          <w:color w:val="auto"/>
        </w:rPr>
      </w:pPr>
      <w:r>
        <w:rPr>
          <w:rFonts w:ascii="Arial" w:cs="Arial" w:eastAsia="Arial" w:hAnsi="Arial"/>
          <w:sz w:val="17"/>
          <w:szCs w:val="17"/>
          <w:color w:val="auto"/>
        </w:rPr>
        <w:t>The loss on fair value remeasurement of contingent consideration for 2016 was primarily due to changes in the probability of achieving certain developmental milestones based upon the progression of the underlying clinical programs and changes in the discount rate.</w:t>
      </w:r>
    </w:p>
    <w:p>
      <w:pPr>
        <w:spacing w:after="0" w:line="143" w:lineRule="exact"/>
        <w:rPr>
          <w:sz w:val="20"/>
          <w:szCs w:val="20"/>
          <w:color w:val="auto"/>
        </w:rPr>
      </w:pPr>
    </w:p>
    <w:p>
      <w:pPr>
        <w:ind w:left="320" w:right="80" w:firstLine="410"/>
        <w:spacing w:after="0" w:line="255" w:lineRule="auto"/>
        <w:rPr>
          <w:sz w:val="20"/>
          <w:szCs w:val="20"/>
          <w:color w:val="auto"/>
        </w:rPr>
      </w:pPr>
      <w:r>
        <w:rPr>
          <w:rFonts w:ascii="Arial" w:cs="Arial" w:eastAsia="Arial" w:hAnsi="Arial"/>
          <w:sz w:val="17"/>
          <w:szCs w:val="17"/>
          <w:color w:val="auto"/>
        </w:rPr>
        <w:t>The loss on fair value remeasurement of contingent consideration for 2015 was primarily due to changes in the expected timing and probabilities of success related to the achievement of certain developmental milestones and in the discount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72</w:t>
      </w:r>
    </w:p>
    <w:p>
      <w:pPr>
        <w:sectPr>
          <w:pgSz w:w="11900" w:h="16838" w:orient="portrait"/>
          <w:cols w:equalWidth="0" w:num="2">
            <w:col w:w="5480" w:space="140"/>
            <w:col w:w="5760"/>
          </w:cols>
          <w:pgMar w:left="240" w:top="119" w:right="279" w:bottom="1440" w:gutter="0" w:footer="0" w:header="0"/>
          <w:type w:val="continuous"/>
        </w:sectPr>
      </w:pPr>
    </w:p>
    <w:bookmarkStart w:id="76" w:name="page77"/>
    <w:bookmarkEnd w:id="7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380"/>
          </w:cols>
          <w:pgMar w:left="240" w:top="144" w:right="279" w:bottom="1440" w:gutter="0" w:footer="0" w:header="0"/>
        </w:sectPr>
      </w:pPr>
    </w:p>
    <w:p>
      <w:pPr>
        <w:spacing w:after="0" w:line="363" w:lineRule="exact"/>
        <w:rPr>
          <w:sz w:val="20"/>
          <w:szCs w:val="20"/>
          <w:color w:val="auto"/>
        </w:rPr>
      </w:pPr>
    </w:p>
    <w:p>
      <w:pPr>
        <w:ind w:right="120" w:firstLine="205"/>
        <w:spacing w:after="0" w:line="287" w:lineRule="auto"/>
        <w:rPr>
          <w:sz w:val="20"/>
          <w:szCs w:val="20"/>
          <w:color w:val="auto"/>
        </w:rPr>
      </w:pPr>
      <w:r>
        <w:rPr>
          <w:rFonts w:ascii="Arial" w:cs="Arial" w:eastAsia="Arial" w:hAnsi="Arial"/>
          <w:sz w:val="17"/>
          <w:szCs w:val="17"/>
          <w:b w:val="1"/>
          <w:bCs w:val="1"/>
          <w:i w:val="1"/>
          <w:iCs w:val="1"/>
          <w:color w:val="2573BA"/>
        </w:rPr>
        <w:t>Restructuring, Business Transformation and Other Cost Saving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-22860</wp:posOffset>
            </wp:positionV>
            <wp:extent cx="2578100" cy="19513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78100" cy="1951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2017 Corporate Strategy</w:t>
      </w:r>
    </w:p>
    <w:p>
      <w:pPr>
        <w:spacing w:after="0" w:line="106" w:lineRule="exact"/>
        <w:rPr>
          <w:sz w:val="20"/>
          <w:szCs w:val="20"/>
          <w:color w:val="auto"/>
        </w:rPr>
      </w:pPr>
    </w:p>
    <w:p>
      <w:pPr>
        <w:ind w:right="20" w:firstLine="384"/>
        <w:spacing w:after="0" w:line="253" w:lineRule="auto"/>
        <w:rPr>
          <w:sz w:val="20"/>
          <w:szCs w:val="20"/>
          <w:color w:val="auto"/>
        </w:rPr>
      </w:pPr>
      <w:r>
        <w:rPr>
          <w:rFonts w:ascii="Arial" w:cs="Arial" w:eastAsia="Arial" w:hAnsi="Arial"/>
          <w:sz w:val="17"/>
          <w:szCs w:val="17"/>
          <w:color w:val="auto"/>
        </w:rPr>
        <w:t>In July 2017 we announced an updated strategic framework to optimize the value of our MS business while investing for the future across our core growth areas of MS and neuroimmunology, AD and dementia, Parkinson’s disease and movement disorders and neuromuscular diseases including SMA and ALS. We also plan to invest in emerging growth areas such as pain, ophthalmology, neuropsychiatry and acute neurology.</w:t>
      </w:r>
    </w:p>
    <w:p>
      <w:pPr>
        <w:spacing w:after="0" w:line="146" w:lineRule="exact"/>
        <w:rPr>
          <w:sz w:val="20"/>
          <w:szCs w:val="20"/>
          <w:color w:val="auto"/>
        </w:rPr>
      </w:pPr>
    </w:p>
    <w:p>
      <w:pPr>
        <w:ind w:firstLine="384"/>
        <w:spacing w:after="0" w:line="253" w:lineRule="auto"/>
        <w:rPr>
          <w:sz w:val="20"/>
          <w:szCs w:val="20"/>
          <w:color w:val="auto"/>
        </w:rPr>
      </w:pPr>
      <w:r>
        <w:rPr>
          <w:rFonts w:ascii="Arial" w:cs="Arial" w:eastAsia="Arial" w:hAnsi="Arial"/>
          <w:sz w:val="17"/>
          <w:szCs w:val="17"/>
          <w:color w:val="auto"/>
        </w:rPr>
        <w:t xml:space="preserve">We expect the continued performance of our commercial assets and the expiration of the contingent payments related to TECFIDERA, discussed further in the </w:t>
      </w:r>
      <w:r>
        <w:rPr>
          <w:rFonts w:ascii="Arial" w:cs="Arial" w:eastAsia="Arial" w:hAnsi="Arial"/>
          <w:sz w:val="17"/>
          <w:szCs w:val="17"/>
          <w:i w:val="1"/>
          <w:iCs w:val="1"/>
          <w:color w:val="auto"/>
        </w:rPr>
        <w:t>“Contractual Obligations and Off-Balance Sheet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Arrangements” </w:t>
      </w:r>
      <w:r>
        <w:rPr>
          <w:rFonts w:ascii="Arial" w:cs="Arial" w:eastAsia="Arial" w:hAnsi="Arial"/>
          <w:sz w:val="17"/>
          <w:szCs w:val="17"/>
          <w:color w:val="auto"/>
        </w:rPr>
        <w:t>section of this report, to enable us to invest in and build</w:t>
      </w:r>
      <w:r>
        <w:rPr>
          <w:rFonts w:ascii="Arial" w:cs="Arial" w:eastAsia="Arial" w:hAnsi="Arial"/>
          <w:sz w:val="17"/>
          <w:szCs w:val="17"/>
          <w:i w:val="1"/>
          <w:iCs w:val="1"/>
          <w:color w:val="auto"/>
        </w:rPr>
        <w:t xml:space="preserve"> </w:t>
      </w:r>
      <w:r>
        <w:rPr>
          <w:rFonts w:ascii="Arial" w:cs="Arial" w:eastAsia="Arial" w:hAnsi="Arial"/>
          <w:sz w:val="17"/>
          <w:szCs w:val="17"/>
          <w:color w:val="auto"/>
        </w:rPr>
        <w:t>an industry leading neuroscience pipeline. We view investment in growth as our top priority, but also recognize the value of opportunistically returning excess capital to shareholders through share repurchases.</w:t>
      </w:r>
    </w:p>
    <w:p>
      <w:pPr>
        <w:spacing w:after="0" w:line="146" w:lineRule="exact"/>
        <w:rPr>
          <w:sz w:val="20"/>
          <w:szCs w:val="20"/>
          <w:color w:val="auto"/>
        </w:rPr>
      </w:pPr>
    </w:p>
    <w:p>
      <w:pPr>
        <w:ind w:firstLine="384"/>
        <w:spacing w:after="0" w:line="257" w:lineRule="auto"/>
        <w:rPr>
          <w:sz w:val="20"/>
          <w:szCs w:val="20"/>
          <w:color w:val="auto"/>
        </w:rPr>
      </w:pPr>
      <w:r>
        <w:rPr>
          <w:rFonts w:ascii="Arial" w:cs="Arial" w:eastAsia="Arial" w:hAnsi="Arial"/>
          <w:sz w:val="17"/>
          <w:szCs w:val="17"/>
          <w:color w:val="auto"/>
        </w:rPr>
        <w:t>In order to deliver positive results in the near term while investing in the next stages of our growth, we will focus on the following strategic priorities:</w:t>
      </w:r>
    </w:p>
    <w:p>
      <w:pPr>
        <w:spacing w:after="0" w:line="140" w:lineRule="exact"/>
        <w:rPr>
          <w:sz w:val="20"/>
          <w:szCs w:val="20"/>
          <w:color w:val="auto"/>
        </w:rPr>
      </w:pPr>
    </w:p>
    <w:p>
      <w:pPr>
        <w:ind w:left="380" w:hanging="301"/>
        <w:spacing w:after="0"/>
        <w:tabs>
          <w:tab w:leader="none" w:pos="3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maximizing the resilience of our MS core business;</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accelerating efforts in SMA as a significant new growth opportunity;</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developing and expanding our neuroscience portfolio;</w:t>
      </w:r>
    </w:p>
    <w:p>
      <w:pPr>
        <w:spacing w:after="0" w:line="163" w:lineRule="exact"/>
        <w:rPr>
          <w:rFonts w:ascii="Arial" w:cs="Arial" w:eastAsia="Arial" w:hAnsi="Arial"/>
          <w:sz w:val="17"/>
          <w:szCs w:val="17"/>
          <w:color w:val="auto"/>
        </w:rPr>
      </w:pPr>
    </w:p>
    <w:p>
      <w:pPr>
        <w:ind w:left="380" w:right="120" w:hanging="301"/>
        <w:spacing w:after="0" w:line="262" w:lineRule="auto"/>
        <w:tabs>
          <w:tab w:leader="none" w:pos="3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focusing our capital allocation efforts to drive investment for future growth; and</w:t>
      </w:r>
    </w:p>
    <w:p>
      <w:pPr>
        <w:spacing w:after="0" w:line="136" w:lineRule="exact"/>
        <w:rPr>
          <w:rFonts w:ascii="Arial" w:cs="Arial" w:eastAsia="Arial" w:hAnsi="Arial"/>
          <w:sz w:val="17"/>
          <w:szCs w:val="17"/>
          <w:color w:val="auto"/>
        </w:rPr>
      </w:pPr>
    </w:p>
    <w:p>
      <w:pPr>
        <w:ind w:left="380" w:right="240" w:hanging="301"/>
        <w:spacing w:after="0" w:line="257" w:lineRule="auto"/>
        <w:tabs>
          <w:tab w:leader="none" w:pos="3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creating a leaner and simpler operating model to streamline our operations and reallocate resources towards prioritized research and development and commercial value creation opportunities.</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320" w:firstLine="410"/>
        <w:spacing w:after="0" w:line="253" w:lineRule="auto"/>
        <w:rPr>
          <w:sz w:val="20"/>
          <w:szCs w:val="20"/>
          <w:color w:val="auto"/>
        </w:rPr>
      </w:pPr>
      <w:r>
        <w:rPr>
          <w:rFonts w:ascii="Arial" w:cs="Arial" w:eastAsia="Arial" w:hAnsi="Arial"/>
          <w:sz w:val="17"/>
          <w:szCs w:val="17"/>
          <w:color w:val="auto"/>
        </w:rPr>
        <w:t>In October 2017, in connection with creating a leaner and simpler operating model, we approved a corporate restructuring program intended to streamline our operations and reallocate resources. We expect to make total non-recurring operating and capital expenditures of up to $170.0 million, primarily in 2018, and our goal is to redirect resources of up to $400.0 million annually by 2020 to prioritized research and development and other value creation opportunities.</w:t>
      </w:r>
    </w:p>
    <w:p>
      <w:pPr>
        <w:spacing w:after="0" w:line="146" w:lineRule="exact"/>
        <w:rPr>
          <w:sz w:val="20"/>
          <w:szCs w:val="20"/>
          <w:color w:val="auto"/>
        </w:rPr>
      </w:pPr>
    </w:p>
    <w:p>
      <w:pPr>
        <w:ind w:left="320" w:right="20" w:firstLine="384"/>
        <w:spacing w:after="0" w:line="253" w:lineRule="auto"/>
        <w:rPr>
          <w:sz w:val="20"/>
          <w:szCs w:val="20"/>
          <w:color w:val="auto"/>
        </w:rPr>
      </w:pPr>
      <w:r>
        <w:rPr>
          <w:rFonts w:ascii="Arial" w:cs="Arial" w:eastAsia="Arial" w:hAnsi="Arial"/>
          <w:sz w:val="17"/>
          <w:szCs w:val="17"/>
          <w:color w:val="auto"/>
        </w:rPr>
        <w:t>For the year ended December 31, 2017, we recognized charges in our consolidated statements of income totaling $19.4 million related to this effort, of which $18.5 million is included in selling, general and administrative expense and $0.9 million is reflected as restructuring charges. These restructuring charges, which were substantially incurred and paid in 2017, were primarily related to severance.</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2573BA"/>
        </w:rPr>
        <w:t>2016 Organizational Changes and Cost Saving Initiatives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538235"/>
        </w:rPr>
        <w:t>2016 Restructuring Charges</w:t>
      </w:r>
    </w:p>
    <w:p>
      <w:pPr>
        <w:spacing w:after="0" w:line="104" w:lineRule="exact"/>
        <w:rPr>
          <w:sz w:val="20"/>
          <w:szCs w:val="20"/>
          <w:color w:val="auto"/>
        </w:rPr>
      </w:pPr>
    </w:p>
    <w:p>
      <w:pPr>
        <w:ind w:left="320" w:right="80" w:firstLine="384"/>
        <w:spacing w:after="0" w:line="252" w:lineRule="auto"/>
        <w:rPr>
          <w:sz w:val="20"/>
          <w:szCs w:val="20"/>
          <w:color w:val="auto"/>
        </w:rPr>
      </w:pPr>
      <w:r>
        <w:rPr>
          <w:rFonts w:ascii="Arial" w:cs="Arial" w:eastAsia="Arial" w:hAnsi="Arial"/>
          <w:sz w:val="17"/>
          <w:szCs w:val="17"/>
          <w:color w:val="auto"/>
        </w:rPr>
        <w:t>During the third quarter of 2016 we initiated cost saving measures primarily intended to realign our organizational structure due to the changes in roles and workforce resulting from our decision to spin-off our hemophilia business, and to achieve further targeted cost reductions. For the year ended December 31, 2016, we recognized charges totaling $17.7 million related to this effort, which are in addition to, and separate from, the 2015 restructuring charges described below. These amounts, which were substantially incurred and paid by the end of 2016, were primarily related to severance and are reflected in restructuring charges in our consolidated statements of income.</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538235"/>
        </w:rPr>
        <w:t>Cambridge, MA Manufacturing Facility</w:t>
      </w:r>
    </w:p>
    <w:p>
      <w:pPr>
        <w:spacing w:after="0" w:line="104" w:lineRule="exact"/>
        <w:rPr>
          <w:sz w:val="20"/>
          <w:szCs w:val="20"/>
          <w:color w:val="auto"/>
        </w:rPr>
      </w:pPr>
    </w:p>
    <w:p>
      <w:pPr>
        <w:ind w:left="320" w:right="20" w:firstLine="384"/>
        <w:spacing w:after="0" w:line="254" w:lineRule="auto"/>
        <w:rPr>
          <w:sz w:val="20"/>
          <w:szCs w:val="20"/>
          <w:color w:val="auto"/>
        </w:rPr>
      </w:pPr>
      <w:r>
        <w:rPr>
          <w:rFonts w:ascii="Arial" w:cs="Arial" w:eastAsia="Arial" w:hAnsi="Arial"/>
          <w:sz w:val="17"/>
          <w:szCs w:val="17"/>
          <w:color w:val="auto"/>
        </w:rPr>
        <w:t>In June 2016 following an evaluation of our current and future manufacturing capabilities and capacity needs, we determined that we intended to cease manufacturing and vacate our 67,000 square foot small-scale biologics manufacturing facility in Cambridge, MA and close and vacate our 46,000 square foot warehouse space in Somerville, MA.</w:t>
      </w:r>
    </w:p>
    <w:p>
      <w:pPr>
        <w:spacing w:after="0" w:line="144" w:lineRule="exact"/>
        <w:rPr>
          <w:sz w:val="20"/>
          <w:szCs w:val="20"/>
          <w:color w:val="auto"/>
        </w:rPr>
      </w:pPr>
    </w:p>
    <w:p>
      <w:pPr>
        <w:ind w:left="320" w:firstLine="384"/>
        <w:spacing w:after="0" w:line="253" w:lineRule="auto"/>
        <w:rPr>
          <w:sz w:val="20"/>
          <w:szCs w:val="20"/>
          <w:color w:val="auto"/>
        </w:rPr>
      </w:pPr>
      <w:r>
        <w:rPr>
          <w:rFonts w:ascii="Arial" w:cs="Arial" w:eastAsia="Arial" w:hAnsi="Arial"/>
          <w:sz w:val="17"/>
          <w:szCs w:val="17"/>
          <w:color w:val="auto"/>
        </w:rPr>
        <w:t>In December 2016 we subleased our rights to the Cambridge, MA manufacturing facility to Brammer Bio MA, LLC (Brammer). Brammer also purchased from us certain manufacturing equipment, leasehold improvements and other assets in exchange for shares of Brammer common LLC interests and assumed manufacturing operations effective January 1, 2017. In December 2016 we closed and vacated our warehouse space in Somerville, 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color w:val="auto"/>
        </w:rPr>
        <w:t>73</w:t>
      </w:r>
    </w:p>
    <w:p>
      <w:pPr>
        <w:sectPr>
          <w:pgSz w:w="11900" w:h="16838" w:orient="portrait"/>
          <w:cols w:equalWidth="0" w:num="2">
            <w:col w:w="5480" w:space="140"/>
            <w:col w:w="5760"/>
          </w:cols>
          <w:pgMar w:left="240" w:top="144" w:right="279" w:bottom="1440" w:gutter="0" w:footer="0" w:header="0"/>
          <w:type w:val="continuous"/>
        </w:sectPr>
      </w:pPr>
    </w:p>
    <w:bookmarkStart w:id="77" w:name="page78"/>
    <w:bookmarkEnd w:id="7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360"/>
          </w:cols>
          <w:pgMar w:left="240" w:top="144" w:right="299" w:bottom="1440" w:gutter="0" w:footer="0" w:header="0"/>
        </w:sectPr>
      </w:pPr>
    </w:p>
    <w:p>
      <w:pPr>
        <w:spacing w:after="0" w:line="383" w:lineRule="exact"/>
        <w:rPr>
          <w:sz w:val="20"/>
          <w:szCs w:val="20"/>
          <w:color w:val="auto"/>
        </w:rPr>
      </w:pPr>
    </w:p>
    <w:p>
      <w:pPr>
        <w:ind w:right="160" w:firstLine="384"/>
        <w:spacing w:after="0" w:line="253" w:lineRule="auto"/>
        <w:rPr>
          <w:sz w:val="20"/>
          <w:szCs w:val="20"/>
          <w:color w:val="auto"/>
        </w:rPr>
      </w:pPr>
      <w:r>
        <w:rPr>
          <w:rFonts w:ascii="Arial" w:cs="Arial" w:eastAsia="Arial" w:hAnsi="Arial"/>
          <w:sz w:val="17"/>
          <w:szCs w:val="17"/>
          <w:color w:val="auto"/>
        </w:rPr>
        <w:t>Our departure from these facilities shortened the expected useful lives of certain leasehold improvements and other assets at these facilities. As a result, we recorded additional depreciation expense to reflect the assets' new shorter useful lives. For the year ended December 31, 2016, we recognized approximately $45.5 million of this additional depreciation, which was recorded as cost of sales in our consolidated statements of income.</w:t>
      </w:r>
    </w:p>
    <w:p>
      <w:pPr>
        <w:spacing w:after="0" w:line="94" w:lineRule="exact"/>
        <w:rPr>
          <w:sz w:val="20"/>
          <w:szCs w:val="20"/>
          <w:color w:val="auto"/>
        </w:rPr>
      </w:pPr>
    </w:p>
    <w:p>
      <w:pPr>
        <w:ind w:right="80" w:firstLine="384"/>
        <w:spacing w:after="0" w:line="253" w:lineRule="auto"/>
        <w:rPr>
          <w:sz w:val="20"/>
          <w:szCs w:val="20"/>
          <w:color w:val="auto"/>
        </w:rPr>
      </w:pPr>
      <w:r>
        <w:rPr>
          <w:rFonts w:ascii="Arial" w:cs="Arial" w:eastAsia="Arial" w:hAnsi="Arial"/>
          <w:sz w:val="17"/>
          <w:szCs w:val="17"/>
          <w:color w:val="auto"/>
        </w:rPr>
        <w:t>In the fourth quarter of 2016 we also recognized charges totaling $7.4 million for severance costs related to certain employees separated from Biogen in connection with this transaction. These amounts were substantially incurred and paid by the end of first quarter of 2017 and are reflected in restructuring charges in our consolidated statements of income.</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2015 Cost Saving Initiatives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2015 Restructuring Charges</w:t>
      </w:r>
    </w:p>
    <w:p>
      <w:pPr>
        <w:spacing w:after="0" w:line="104" w:lineRule="exact"/>
        <w:rPr>
          <w:sz w:val="20"/>
          <w:szCs w:val="20"/>
          <w:color w:val="auto"/>
        </w:rPr>
      </w:pPr>
    </w:p>
    <w:p>
      <w:pPr>
        <w:ind w:right="240" w:firstLine="410"/>
        <w:spacing w:after="0" w:line="253" w:lineRule="auto"/>
        <w:rPr>
          <w:sz w:val="20"/>
          <w:szCs w:val="20"/>
          <w:color w:val="auto"/>
        </w:rPr>
      </w:pPr>
      <w:r>
        <w:rPr>
          <w:rFonts w:ascii="Arial" w:cs="Arial" w:eastAsia="Arial" w:hAnsi="Arial"/>
          <w:sz w:val="17"/>
          <w:szCs w:val="17"/>
          <w:color w:val="auto"/>
        </w:rPr>
        <w:t>In October 2015 we announced a corporate restructuring, which included the termination of certain pipeline programs and an 11% reduction in workforce. Under this restructuring, cash payments were estimated to total approximately $120.0 million, of which $15.9 million were related to previously accrued 2015 incentive compensation, resulting in net restructuring charges totaling approximately $102.0 million. These amounts were substantially paid by the end of 2016.</w:t>
      </w:r>
    </w:p>
    <w:p>
      <w:pPr>
        <w:spacing w:after="0" w:line="146" w:lineRule="exact"/>
        <w:rPr>
          <w:sz w:val="20"/>
          <w:szCs w:val="20"/>
          <w:color w:val="auto"/>
        </w:rPr>
      </w:pPr>
    </w:p>
    <w:p>
      <w:pPr>
        <w:ind w:right="180" w:firstLine="384"/>
        <w:spacing w:after="0" w:line="254" w:lineRule="auto"/>
        <w:rPr>
          <w:sz w:val="20"/>
          <w:szCs w:val="20"/>
          <w:color w:val="auto"/>
        </w:rPr>
      </w:pPr>
      <w:r>
        <w:rPr>
          <w:rFonts w:ascii="Arial" w:cs="Arial" w:eastAsia="Arial" w:hAnsi="Arial"/>
          <w:sz w:val="17"/>
          <w:szCs w:val="17"/>
          <w:color w:val="auto"/>
        </w:rPr>
        <w:t>During the years ended December 31, 2016 and 2015, we recognized $8.0 million and $93.4 million, respectively, of restructuring charges related to our 2015 restructuring program in our consolidated statements of income. Our restructuring reserve is included in accrued expenses and other in our consolidated balance sheets.</w:t>
      </w:r>
    </w:p>
    <w:p>
      <w:pPr>
        <w:spacing w:after="0" w:line="144" w:lineRule="exact"/>
        <w:rPr>
          <w:sz w:val="20"/>
          <w:szCs w:val="20"/>
          <w:color w:val="auto"/>
        </w:rPr>
      </w:pPr>
    </w:p>
    <w:p>
      <w:pPr>
        <w:ind w:right="120" w:firstLine="384"/>
        <w:spacing w:after="0" w:line="262" w:lineRule="auto"/>
        <w:rPr>
          <w:sz w:val="20"/>
          <w:szCs w:val="20"/>
          <w:color w:val="auto"/>
        </w:rPr>
      </w:pPr>
      <w:r>
        <w:rPr>
          <w:rFonts w:ascii="Arial" w:cs="Arial" w:eastAsia="Arial" w:hAnsi="Arial"/>
          <w:sz w:val="17"/>
          <w:szCs w:val="17"/>
          <w:color w:val="auto"/>
        </w:rPr>
        <w:t>The following table summarizes the charges and spending related to our 2015 restructuring program:</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8"/>
              </w:rPr>
              <w:t>Workforce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Pipeline</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26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9"/>
              </w:rPr>
              <w:t>Reduction</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Programs</w:t>
            </w:r>
          </w:p>
        </w:tc>
        <w:tc>
          <w:tcPr>
            <w:tcW w:w="220" w:type="dxa"/>
            <w:vAlign w:val="bottom"/>
          </w:tcPr>
          <w:p>
            <w:pPr>
              <w:spacing w:after="0"/>
              <w:rPr>
                <w:sz w:val="16"/>
                <w:szCs w:val="16"/>
                <w:color w:val="auto"/>
              </w:rPr>
            </w:pPr>
          </w:p>
        </w:tc>
        <w:tc>
          <w:tcPr>
            <w:tcW w:w="760" w:type="dxa"/>
            <w:vAlign w:val="bottom"/>
          </w:tcPr>
          <w:p>
            <w:pPr>
              <w:jc w:val="right"/>
              <w:ind w:right="25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5"/>
        </w:trPr>
        <w:tc>
          <w:tcPr>
            <w:tcW w:w="22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Restructuring reserve as of</w:t>
            </w: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260" w:type="dxa"/>
            <w:vAlign w:val="bottom"/>
          </w:tcPr>
          <w:p>
            <w:pPr>
              <w:ind w:left="20"/>
              <w:spacing w:after="0"/>
              <w:rPr>
                <w:sz w:val="20"/>
                <w:szCs w:val="20"/>
                <w:color w:val="auto"/>
              </w:rPr>
            </w:pPr>
            <w:r>
              <w:rPr>
                <w:rFonts w:ascii="Arial" w:cs="Arial" w:eastAsia="Arial" w:hAnsi="Arial"/>
                <w:sz w:val="17"/>
                <w:szCs w:val="17"/>
                <w:color w:val="auto"/>
              </w:rPr>
              <w:t>December 31, 2015</w:t>
            </w:r>
          </w:p>
        </w:tc>
        <w:tc>
          <w:tcPr>
            <w:tcW w:w="140" w:type="dxa"/>
            <w:vAlign w:val="bottom"/>
          </w:tcPr>
          <w:p>
            <w:pPr>
              <w:jc w:val="right"/>
              <w:spacing w:after="0"/>
              <w:rPr>
                <w:sz w:val="20"/>
                <w:szCs w:val="20"/>
                <w:color w:val="auto"/>
              </w:rPr>
            </w:pPr>
            <w:r>
              <w:rPr>
                <w:rFonts w:ascii="Arial" w:cs="Arial" w:eastAsia="Arial" w:hAnsi="Arial"/>
                <w:sz w:val="17"/>
                <w:szCs w:val="17"/>
                <w:color w:val="2573BA"/>
              </w:rPr>
              <w:t>$</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2573BA"/>
              </w:rPr>
              <w:t>33.7</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color w:val="2573BA"/>
              </w:rPr>
              <w:t>$</w:t>
            </w:r>
          </w:p>
        </w:tc>
        <w:tc>
          <w:tcPr>
            <w:tcW w:w="860" w:type="dxa"/>
            <w:vAlign w:val="bottom"/>
          </w:tcPr>
          <w:p>
            <w:pPr>
              <w:jc w:val="right"/>
              <w:ind w:right="18"/>
              <w:spacing w:after="0"/>
              <w:rPr>
                <w:sz w:val="20"/>
                <w:szCs w:val="20"/>
                <w:color w:val="auto"/>
              </w:rPr>
            </w:pPr>
            <w:r>
              <w:rPr>
                <w:rFonts w:ascii="Arial" w:cs="Arial" w:eastAsia="Arial" w:hAnsi="Arial"/>
                <w:sz w:val="17"/>
                <w:szCs w:val="17"/>
                <w:color w:val="2573BA"/>
              </w:rPr>
              <w:t>3.6</w:t>
            </w:r>
          </w:p>
        </w:tc>
        <w:tc>
          <w:tcPr>
            <w:tcW w:w="100" w:type="dxa"/>
            <w:vAlign w:val="bottom"/>
          </w:tcPr>
          <w:p>
            <w:pPr>
              <w:spacing w:after="0"/>
              <w:rPr>
                <w:sz w:val="17"/>
                <w:szCs w:val="17"/>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2573BA"/>
              </w:rPr>
              <w:t>$</w:t>
            </w:r>
          </w:p>
        </w:tc>
        <w:tc>
          <w:tcPr>
            <w:tcW w:w="760" w:type="dxa"/>
            <w:vAlign w:val="bottom"/>
          </w:tcPr>
          <w:p>
            <w:pPr>
              <w:jc w:val="right"/>
              <w:spacing w:after="0"/>
              <w:rPr>
                <w:sz w:val="20"/>
                <w:szCs w:val="20"/>
                <w:color w:val="auto"/>
              </w:rPr>
            </w:pPr>
            <w:r>
              <w:rPr>
                <w:rFonts w:ascii="Arial" w:cs="Arial" w:eastAsia="Arial" w:hAnsi="Arial"/>
                <w:sz w:val="17"/>
                <w:szCs w:val="17"/>
                <w:color w:val="2573BA"/>
              </w:rPr>
              <w:t>37.3</w:t>
            </w:r>
          </w:p>
        </w:tc>
        <w:tc>
          <w:tcPr>
            <w:tcW w:w="0" w:type="dxa"/>
            <w:vAlign w:val="bottom"/>
          </w:tcPr>
          <w:p>
            <w:pPr>
              <w:spacing w:after="0"/>
              <w:rPr>
                <w:sz w:val="1"/>
                <w:szCs w:val="1"/>
                <w:color w:val="auto"/>
              </w:rPr>
            </w:pPr>
          </w:p>
        </w:tc>
      </w:tr>
      <w:tr>
        <w:trPr>
          <w:trHeight w:val="256"/>
        </w:trPr>
        <w:tc>
          <w:tcPr>
            <w:tcW w:w="2260" w:type="dxa"/>
            <w:vAlign w:val="bottom"/>
          </w:tcPr>
          <w:p>
            <w:pPr>
              <w:ind w:left="20"/>
              <w:spacing w:after="0"/>
              <w:rPr>
                <w:sz w:val="20"/>
                <w:szCs w:val="20"/>
                <w:color w:val="auto"/>
              </w:rPr>
            </w:pPr>
            <w:r>
              <w:rPr>
                <w:rFonts w:ascii="Arial" w:cs="Arial" w:eastAsia="Arial" w:hAnsi="Arial"/>
                <w:sz w:val="17"/>
                <w:szCs w:val="17"/>
                <w:color w:val="auto"/>
              </w:rPr>
              <w:t>Expense</w:t>
            </w:r>
          </w:p>
        </w:tc>
        <w:tc>
          <w:tcPr>
            <w:tcW w:w="14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2573BA"/>
              </w:rPr>
              <w:t>4.9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2573BA"/>
              </w:rPr>
              <w:t>5.4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2573BA"/>
              </w:rPr>
              <w:t>10.3</w:t>
            </w:r>
          </w:p>
        </w:tc>
        <w:tc>
          <w:tcPr>
            <w:tcW w:w="0" w:type="dxa"/>
            <w:vAlign w:val="bottom"/>
          </w:tcPr>
          <w:p>
            <w:pPr>
              <w:spacing w:after="0"/>
              <w:rPr>
                <w:sz w:val="1"/>
                <w:szCs w:val="1"/>
                <w:color w:val="auto"/>
              </w:rPr>
            </w:pPr>
          </w:p>
        </w:tc>
      </w:tr>
      <w:tr>
        <w:trPr>
          <w:trHeight w:val="256"/>
        </w:trPr>
        <w:tc>
          <w:tcPr>
            <w:tcW w:w="2260" w:type="dxa"/>
            <w:vAlign w:val="bottom"/>
          </w:tcPr>
          <w:p>
            <w:pPr>
              <w:ind w:left="20"/>
              <w:spacing w:after="0"/>
              <w:rPr>
                <w:sz w:val="20"/>
                <w:szCs w:val="20"/>
                <w:color w:val="auto"/>
              </w:rPr>
            </w:pPr>
            <w:r>
              <w:rPr>
                <w:rFonts w:ascii="Arial" w:cs="Arial" w:eastAsia="Arial" w:hAnsi="Arial"/>
                <w:sz w:val="17"/>
                <w:szCs w:val="17"/>
                <w:color w:val="auto"/>
              </w:rPr>
              <w:t>Payment</w:t>
            </w:r>
          </w:p>
        </w:tc>
        <w:tc>
          <w:tcPr>
            <w:tcW w:w="140" w:type="dxa"/>
            <w:vAlign w:val="bottom"/>
          </w:tcPr>
          <w:p>
            <w:pPr>
              <w:spacing w:after="0"/>
              <w:rPr>
                <w:sz w:val="22"/>
                <w:szCs w:val="22"/>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2573BA"/>
              </w:rPr>
              <w:t>(31.2)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2573BA"/>
              </w:rPr>
              <w:t>(9.0)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2573BA"/>
              </w:rPr>
              <w:t>(40.2)</w:t>
            </w:r>
          </w:p>
        </w:tc>
        <w:tc>
          <w:tcPr>
            <w:tcW w:w="0" w:type="dxa"/>
            <w:vAlign w:val="bottom"/>
          </w:tcPr>
          <w:p>
            <w:pPr>
              <w:spacing w:after="0"/>
              <w:rPr>
                <w:sz w:val="1"/>
                <w:szCs w:val="1"/>
                <w:color w:val="auto"/>
              </w:rPr>
            </w:pPr>
          </w:p>
        </w:tc>
      </w:tr>
      <w:tr>
        <w:trPr>
          <w:trHeight w:val="231"/>
        </w:trPr>
        <w:tc>
          <w:tcPr>
            <w:tcW w:w="2260" w:type="dxa"/>
            <w:vAlign w:val="bottom"/>
          </w:tcPr>
          <w:p>
            <w:pPr>
              <w:ind w:left="20"/>
              <w:spacing w:after="0"/>
              <w:rPr>
                <w:sz w:val="20"/>
                <w:szCs w:val="20"/>
                <w:color w:val="auto"/>
              </w:rPr>
            </w:pPr>
            <w:r>
              <w:rPr>
                <w:rFonts w:ascii="Arial" w:cs="Arial" w:eastAsia="Arial" w:hAnsi="Arial"/>
                <w:sz w:val="17"/>
                <w:szCs w:val="17"/>
                <w:color w:val="auto"/>
              </w:rPr>
              <w:t>Adjustments to previous</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260" w:type="dxa"/>
            <w:vAlign w:val="bottom"/>
          </w:tcPr>
          <w:p>
            <w:pPr>
              <w:ind w:left="20"/>
              <w:spacing w:after="0"/>
              <w:rPr>
                <w:sz w:val="20"/>
                <w:szCs w:val="20"/>
                <w:color w:val="auto"/>
              </w:rPr>
            </w:pPr>
            <w:r>
              <w:rPr>
                <w:rFonts w:ascii="Arial" w:cs="Arial" w:eastAsia="Arial" w:hAnsi="Arial"/>
                <w:sz w:val="17"/>
                <w:szCs w:val="17"/>
                <w:color w:val="auto"/>
              </w:rPr>
              <w:t>estimates, net</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2573BA"/>
              </w:rPr>
              <w:t>(5.2)</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2573BA"/>
              </w:rPr>
              <w:t>2.9</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(2.3)</w:t>
            </w:r>
          </w:p>
        </w:tc>
        <w:tc>
          <w:tcPr>
            <w:tcW w:w="0" w:type="dxa"/>
            <w:vAlign w:val="bottom"/>
          </w:tcPr>
          <w:p>
            <w:pPr>
              <w:spacing w:after="0"/>
              <w:rPr>
                <w:sz w:val="1"/>
                <w:szCs w:val="1"/>
                <w:color w:val="auto"/>
              </w:rPr>
            </w:pPr>
          </w:p>
        </w:tc>
      </w:tr>
      <w:tr>
        <w:trPr>
          <w:trHeight w:val="204"/>
        </w:trPr>
        <w:tc>
          <w:tcPr>
            <w:tcW w:w="2260" w:type="dxa"/>
            <w:vAlign w:val="bottom"/>
          </w:tcPr>
          <w:p>
            <w:pPr>
              <w:ind w:left="20"/>
              <w:spacing w:after="0"/>
              <w:rPr>
                <w:sz w:val="20"/>
                <w:szCs w:val="20"/>
                <w:color w:val="auto"/>
              </w:rPr>
            </w:pPr>
            <w:r>
              <w:rPr>
                <w:rFonts w:ascii="Arial" w:cs="Arial" w:eastAsia="Arial" w:hAnsi="Arial"/>
                <w:sz w:val="17"/>
                <w:szCs w:val="17"/>
                <w:color w:val="auto"/>
              </w:rPr>
              <w:t>Restructuring reserve as of</w:t>
            </w:r>
          </w:p>
        </w:tc>
        <w:tc>
          <w:tcPr>
            <w:tcW w:w="140" w:type="dxa"/>
            <w:vAlign w:val="bottom"/>
            <w:shd w:val="clear" w:color="auto" w:fill="DDDDDD"/>
          </w:tcPr>
          <w:p>
            <w:pPr>
              <w:spacing w:after="0"/>
              <w:rPr>
                <w:sz w:val="17"/>
                <w:szCs w:val="17"/>
                <w:color w:val="auto"/>
              </w:rPr>
            </w:pPr>
          </w:p>
        </w:tc>
        <w:tc>
          <w:tcPr>
            <w:tcW w:w="800" w:type="dxa"/>
            <w:vAlign w:val="bottom"/>
            <w:shd w:val="clear" w:color="auto" w:fill="DDDDDD"/>
          </w:tcPr>
          <w:p>
            <w:pPr>
              <w:spacing w:after="0"/>
              <w:rPr>
                <w:sz w:val="17"/>
                <w:szCs w:val="17"/>
                <w:color w:val="auto"/>
              </w:rPr>
            </w:pPr>
          </w:p>
        </w:tc>
        <w:tc>
          <w:tcPr>
            <w:tcW w:w="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86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20" w:type="dxa"/>
            <w:vAlign w:val="bottom"/>
            <w:shd w:val="clear" w:color="auto" w:fill="DDDDDD"/>
          </w:tcPr>
          <w:p>
            <w:pPr>
              <w:spacing w:after="0"/>
              <w:rPr>
                <w:sz w:val="17"/>
                <w:szCs w:val="17"/>
                <w:color w:val="auto"/>
              </w:rPr>
            </w:pPr>
          </w:p>
        </w:tc>
        <w:tc>
          <w:tcPr>
            <w:tcW w:w="760" w:type="dxa"/>
            <w:vAlign w:val="bottom"/>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260" w:type="dxa"/>
            <w:vAlign w:val="bottom"/>
          </w:tcPr>
          <w:p>
            <w:pPr>
              <w:ind w:left="20"/>
              <w:spacing w:after="0"/>
              <w:rPr>
                <w:sz w:val="20"/>
                <w:szCs w:val="20"/>
                <w:color w:val="auto"/>
              </w:rPr>
            </w:pPr>
            <w:r>
              <w:rPr>
                <w:rFonts w:ascii="Arial" w:cs="Arial" w:eastAsia="Arial" w:hAnsi="Arial"/>
                <w:sz w:val="17"/>
                <w:szCs w:val="17"/>
                <w:color w:val="auto"/>
              </w:rPr>
              <w:t>December 31, 2016</w:t>
            </w:r>
          </w:p>
        </w:tc>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8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2.2</w:t>
            </w:r>
          </w:p>
        </w:tc>
        <w:tc>
          <w:tcPr>
            <w:tcW w:w="80" w:type="dxa"/>
            <w:vAlign w:val="bottom"/>
            <w:tcBorders>
              <w:bottom w:val="single" w:sz="8" w:color="auto"/>
            </w:tcBorders>
            <w:shd w:val="clear" w:color="auto" w:fill="DDDDDD"/>
          </w:tcPr>
          <w:p>
            <w:pPr>
              <w:spacing w:after="0"/>
              <w:rPr>
                <w:sz w:val="18"/>
                <w:szCs w:val="18"/>
                <w:color w:val="auto"/>
              </w:rPr>
            </w:pPr>
          </w:p>
        </w:tc>
        <w:tc>
          <w:tcPr>
            <w:tcW w:w="260" w:type="dxa"/>
            <w:vAlign w:val="bottom"/>
            <w:tcBorders>
              <w:bottom w:val="single" w:sz="8" w:color="auto"/>
            </w:tcBorders>
            <w:gridSpan w:val="2"/>
            <w:shd w:val="clear" w:color="auto" w:fill="DDDDDD"/>
          </w:tcPr>
          <w:p>
            <w:pPr>
              <w:jc w:val="right"/>
              <w:ind w:right="40"/>
              <w:spacing w:after="0"/>
              <w:rPr>
                <w:sz w:val="20"/>
                <w:szCs w:val="20"/>
                <w:color w:val="auto"/>
              </w:rPr>
            </w:pPr>
            <w:r>
              <w:rPr>
                <w:rFonts w:ascii="Arial" w:cs="Arial" w:eastAsia="Arial" w:hAnsi="Arial"/>
                <w:sz w:val="17"/>
                <w:szCs w:val="17"/>
                <w:color w:val="2573BA"/>
              </w:rPr>
              <w:t>$</w:t>
            </w:r>
          </w:p>
        </w:tc>
        <w:tc>
          <w:tcPr>
            <w:tcW w:w="860" w:type="dxa"/>
            <w:vAlign w:val="bottom"/>
            <w:tcBorders>
              <w:bottom w:val="single" w:sz="8" w:color="auto"/>
            </w:tcBorders>
            <w:shd w:val="clear" w:color="auto" w:fill="DDDDDD"/>
          </w:tcPr>
          <w:p>
            <w:pPr>
              <w:jc w:val="right"/>
              <w:ind w:right="18"/>
              <w:spacing w:after="0"/>
              <w:rPr>
                <w:sz w:val="20"/>
                <w:szCs w:val="20"/>
                <w:color w:val="auto"/>
              </w:rPr>
            </w:pPr>
            <w:r>
              <w:rPr>
                <w:rFonts w:ascii="Arial" w:cs="Arial" w:eastAsia="Arial" w:hAnsi="Arial"/>
                <w:sz w:val="17"/>
                <w:szCs w:val="17"/>
                <w:color w:val="2573BA"/>
              </w:rPr>
              <w:t>2.9</w:t>
            </w:r>
          </w:p>
        </w:tc>
        <w:tc>
          <w:tcPr>
            <w:tcW w:w="100" w:type="dxa"/>
            <w:vAlign w:val="bottom"/>
            <w:tcBorders>
              <w:bottom w:val="single" w:sz="8" w:color="auto"/>
            </w:tcBorders>
            <w:shd w:val="clear" w:color="auto" w:fill="DDDDDD"/>
          </w:tcPr>
          <w:p>
            <w:pPr>
              <w:spacing w:after="0"/>
              <w:rPr>
                <w:sz w:val="18"/>
                <w:szCs w:val="18"/>
                <w:color w:val="auto"/>
              </w:rPr>
            </w:pPr>
          </w:p>
        </w:tc>
        <w:tc>
          <w:tcPr>
            <w:tcW w:w="220" w:type="dxa"/>
            <w:vAlign w:val="bottom"/>
            <w:tcBorders>
              <w:bottom w:val="single" w:sz="8" w:color="auto"/>
            </w:tcBorders>
            <w:shd w:val="clear" w:color="auto" w:fill="DDDDDD"/>
          </w:tcPr>
          <w:p>
            <w:pPr>
              <w:jc w:val="right"/>
              <w:ind w:right="15"/>
              <w:spacing w:after="0"/>
              <w:rPr>
                <w:sz w:val="20"/>
                <w:szCs w:val="20"/>
                <w:color w:val="auto"/>
              </w:rPr>
            </w:pPr>
            <w:r>
              <w:rPr>
                <w:rFonts w:ascii="Arial" w:cs="Arial" w:eastAsia="Arial" w:hAnsi="Arial"/>
                <w:sz w:val="17"/>
                <w:szCs w:val="17"/>
                <w:color w:val="2573BA"/>
              </w:rPr>
              <w:t>$</w:t>
            </w:r>
          </w:p>
        </w:tc>
        <w:tc>
          <w:tcPr>
            <w:tcW w:w="7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5.1</w:t>
            </w:r>
          </w:p>
        </w:tc>
        <w:tc>
          <w:tcPr>
            <w:tcW w:w="0" w:type="dxa"/>
            <w:vAlign w:val="bottom"/>
          </w:tcPr>
          <w:p>
            <w:pPr>
              <w:spacing w:after="0"/>
              <w:rPr>
                <w:sz w:val="1"/>
                <w:szCs w:val="1"/>
                <w:color w:val="auto"/>
              </w:rPr>
            </w:pPr>
          </w:p>
        </w:tc>
      </w:tr>
      <w:tr>
        <w:trPr>
          <w:trHeight w:val="249"/>
        </w:trPr>
        <w:tc>
          <w:tcPr>
            <w:tcW w:w="2260" w:type="dxa"/>
            <w:vAlign w:val="bottom"/>
          </w:tcPr>
          <w:p>
            <w:pPr>
              <w:ind w:left="20"/>
              <w:spacing w:after="0"/>
              <w:rPr>
                <w:sz w:val="20"/>
                <w:szCs w:val="20"/>
                <w:color w:val="auto"/>
              </w:rPr>
            </w:pPr>
            <w:r>
              <w:rPr>
                <w:rFonts w:ascii="Arial" w:cs="Arial" w:eastAsia="Arial" w:hAnsi="Arial"/>
                <w:sz w:val="17"/>
                <w:szCs w:val="17"/>
                <w:color w:val="auto"/>
              </w:rPr>
              <w:t>Payment</w:t>
            </w:r>
          </w:p>
        </w:tc>
        <w:tc>
          <w:tcPr>
            <w:tcW w:w="140" w:type="dxa"/>
            <w:vAlign w:val="bottom"/>
            <w:tcBorders>
              <w:bottom w:val="single" w:sz="8" w:color="auto"/>
            </w:tcBorders>
            <w:shd w:val="clear" w:color="auto" w:fill="DDDDDD"/>
          </w:tcPr>
          <w:p>
            <w:pPr>
              <w:spacing w:after="0"/>
              <w:rPr>
                <w:sz w:val="21"/>
                <w:szCs w:val="21"/>
                <w:color w:val="auto"/>
              </w:rPr>
            </w:pPr>
          </w:p>
        </w:tc>
        <w:tc>
          <w:tcPr>
            <w:tcW w:w="8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(1.7)</w:t>
            </w:r>
          </w:p>
        </w:tc>
        <w:tc>
          <w:tcPr>
            <w:tcW w:w="80" w:type="dxa"/>
            <w:vAlign w:val="bottom"/>
            <w:tcBorders>
              <w:bottom w:val="single" w:sz="8" w:color="auto"/>
            </w:tcBorders>
            <w:shd w:val="clear" w:color="auto" w:fill="DDDDDD"/>
          </w:tcPr>
          <w:p>
            <w:pPr>
              <w:spacing w:after="0"/>
              <w:rPr>
                <w:sz w:val="21"/>
                <w:szCs w:val="21"/>
                <w:color w:val="auto"/>
              </w:rPr>
            </w:pPr>
          </w:p>
        </w:tc>
        <w:tc>
          <w:tcPr>
            <w:tcW w:w="100" w:type="dxa"/>
            <w:vAlign w:val="bottom"/>
            <w:tcBorders>
              <w:bottom w:val="single" w:sz="8" w:color="auto"/>
            </w:tcBorders>
            <w:shd w:val="clear" w:color="auto" w:fill="DDDDDD"/>
          </w:tcPr>
          <w:p>
            <w:pPr>
              <w:spacing w:after="0"/>
              <w:rPr>
                <w:sz w:val="21"/>
                <w:szCs w:val="21"/>
                <w:color w:val="auto"/>
              </w:rPr>
            </w:pPr>
          </w:p>
        </w:tc>
        <w:tc>
          <w:tcPr>
            <w:tcW w:w="160" w:type="dxa"/>
            <w:vAlign w:val="bottom"/>
            <w:tcBorders>
              <w:bottom w:val="single" w:sz="8" w:color="auto"/>
            </w:tcBorders>
            <w:shd w:val="clear" w:color="auto" w:fill="DDDDDD"/>
          </w:tcPr>
          <w:p>
            <w:pPr>
              <w:spacing w:after="0"/>
              <w:rPr>
                <w:sz w:val="21"/>
                <w:szCs w:val="21"/>
                <w:color w:val="auto"/>
              </w:rPr>
            </w:pPr>
          </w:p>
        </w:tc>
        <w:tc>
          <w:tcPr>
            <w:tcW w:w="8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(2.9)</w:t>
            </w:r>
          </w:p>
        </w:tc>
        <w:tc>
          <w:tcPr>
            <w:tcW w:w="100" w:type="dxa"/>
            <w:vAlign w:val="bottom"/>
            <w:tcBorders>
              <w:bottom w:val="single" w:sz="8" w:color="auto"/>
            </w:tcBorders>
            <w:shd w:val="clear" w:color="auto" w:fill="DDDDDD"/>
          </w:tcPr>
          <w:p>
            <w:pPr>
              <w:spacing w:after="0"/>
              <w:rPr>
                <w:sz w:val="21"/>
                <w:szCs w:val="21"/>
                <w:color w:val="auto"/>
              </w:rPr>
            </w:pPr>
          </w:p>
        </w:tc>
        <w:tc>
          <w:tcPr>
            <w:tcW w:w="220" w:type="dxa"/>
            <w:vAlign w:val="bottom"/>
            <w:tcBorders>
              <w:bottom w:val="single" w:sz="8" w:color="auto"/>
            </w:tcBorders>
            <w:shd w:val="clear" w:color="auto" w:fill="DDDDDD"/>
          </w:tcPr>
          <w:p>
            <w:pPr>
              <w:spacing w:after="0"/>
              <w:rPr>
                <w:sz w:val="21"/>
                <w:szCs w:val="21"/>
                <w:color w:val="auto"/>
              </w:rPr>
            </w:pPr>
          </w:p>
        </w:tc>
        <w:tc>
          <w:tcPr>
            <w:tcW w:w="7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(4.6)</w:t>
            </w:r>
          </w:p>
        </w:tc>
        <w:tc>
          <w:tcPr>
            <w:tcW w:w="0" w:type="dxa"/>
            <w:vAlign w:val="bottom"/>
          </w:tcPr>
          <w:p>
            <w:pPr>
              <w:spacing w:after="0"/>
              <w:rPr>
                <w:sz w:val="1"/>
                <w:szCs w:val="1"/>
                <w:color w:val="auto"/>
              </w:rPr>
            </w:pPr>
          </w:p>
        </w:tc>
      </w:tr>
      <w:tr>
        <w:trPr>
          <w:trHeight w:val="204"/>
        </w:trPr>
        <w:tc>
          <w:tcPr>
            <w:tcW w:w="2260" w:type="dxa"/>
            <w:vAlign w:val="bottom"/>
          </w:tcPr>
          <w:p>
            <w:pPr>
              <w:ind w:left="20"/>
              <w:spacing w:after="0"/>
              <w:rPr>
                <w:sz w:val="20"/>
                <w:szCs w:val="20"/>
                <w:color w:val="auto"/>
              </w:rPr>
            </w:pPr>
            <w:r>
              <w:rPr>
                <w:rFonts w:ascii="Arial" w:cs="Arial" w:eastAsia="Arial" w:hAnsi="Arial"/>
                <w:sz w:val="17"/>
                <w:szCs w:val="17"/>
                <w:color w:val="auto"/>
              </w:rPr>
              <w:t>Restructuring reserve as of</w:t>
            </w:r>
          </w:p>
        </w:tc>
        <w:tc>
          <w:tcPr>
            <w:tcW w:w="140" w:type="dxa"/>
            <w:vAlign w:val="bottom"/>
            <w:vMerge w:val="restart"/>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800" w:type="dxa"/>
            <w:vAlign w:val="bottom"/>
            <w:vMerge w:val="restart"/>
            <w:shd w:val="clear" w:color="auto" w:fill="DDDDDD"/>
          </w:tcPr>
          <w:p>
            <w:pPr>
              <w:jc w:val="right"/>
              <w:spacing w:after="0"/>
              <w:rPr>
                <w:sz w:val="20"/>
                <w:szCs w:val="20"/>
                <w:color w:val="auto"/>
              </w:rPr>
            </w:pPr>
            <w:r>
              <w:rPr>
                <w:rFonts w:ascii="Arial" w:cs="Arial" w:eastAsia="Arial" w:hAnsi="Arial"/>
                <w:sz w:val="17"/>
                <w:szCs w:val="17"/>
                <w:color w:val="2573BA"/>
              </w:rPr>
              <w:t>0.5</w:t>
            </w:r>
          </w:p>
        </w:tc>
        <w:tc>
          <w:tcPr>
            <w:tcW w:w="80" w:type="dxa"/>
            <w:vAlign w:val="bottom"/>
            <w:shd w:val="clear" w:color="auto" w:fill="DDDDDD"/>
          </w:tcPr>
          <w:p>
            <w:pPr>
              <w:spacing w:after="0"/>
              <w:rPr>
                <w:sz w:val="17"/>
                <w:szCs w:val="17"/>
                <w:color w:val="auto"/>
              </w:rPr>
            </w:pPr>
          </w:p>
        </w:tc>
        <w:tc>
          <w:tcPr>
            <w:tcW w:w="260" w:type="dxa"/>
            <w:vAlign w:val="bottom"/>
            <w:gridSpan w:val="2"/>
            <w:vMerge w:val="restart"/>
            <w:shd w:val="clear" w:color="auto" w:fill="DDDDDD"/>
          </w:tcPr>
          <w:p>
            <w:pPr>
              <w:jc w:val="right"/>
              <w:ind w:right="40"/>
              <w:spacing w:after="0"/>
              <w:rPr>
                <w:sz w:val="20"/>
                <w:szCs w:val="20"/>
                <w:color w:val="auto"/>
              </w:rPr>
            </w:pPr>
            <w:r>
              <w:rPr>
                <w:rFonts w:ascii="Arial" w:cs="Arial" w:eastAsia="Arial" w:hAnsi="Arial"/>
                <w:sz w:val="17"/>
                <w:szCs w:val="17"/>
                <w:color w:val="2573BA"/>
              </w:rPr>
              <w:t>$</w:t>
            </w:r>
          </w:p>
        </w:tc>
        <w:tc>
          <w:tcPr>
            <w:tcW w:w="960" w:type="dxa"/>
            <w:vAlign w:val="bottom"/>
            <w:gridSpan w:val="2"/>
            <w:vMerge w:val="restart"/>
            <w:shd w:val="clear" w:color="auto" w:fill="DDDDDD"/>
          </w:tcPr>
          <w:p>
            <w:pPr>
              <w:jc w:val="right"/>
              <w:ind w:right="200"/>
              <w:spacing w:after="0"/>
              <w:rPr>
                <w:sz w:val="20"/>
                <w:szCs w:val="20"/>
                <w:color w:val="auto"/>
              </w:rPr>
            </w:pPr>
            <w:r>
              <w:rPr>
                <w:rFonts w:ascii="Arial" w:cs="Arial" w:eastAsia="Arial" w:hAnsi="Arial"/>
                <w:sz w:val="17"/>
                <w:szCs w:val="17"/>
                <w:color w:val="2573BA"/>
              </w:rPr>
              <w:t>—</w:t>
            </w:r>
          </w:p>
        </w:tc>
        <w:tc>
          <w:tcPr>
            <w:tcW w:w="220" w:type="dxa"/>
            <w:vAlign w:val="bottom"/>
            <w:vMerge w:val="restart"/>
            <w:shd w:val="clear" w:color="auto" w:fill="DDDDDD"/>
          </w:tcPr>
          <w:p>
            <w:pPr>
              <w:jc w:val="right"/>
              <w:ind w:right="15"/>
              <w:spacing w:after="0"/>
              <w:rPr>
                <w:sz w:val="20"/>
                <w:szCs w:val="20"/>
                <w:color w:val="auto"/>
              </w:rPr>
            </w:pPr>
            <w:r>
              <w:rPr>
                <w:rFonts w:ascii="Arial" w:cs="Arial" w:eastAsia="Arial" w:hAnsi="Arial"/>
                <w:sz w:val="17"/>
                <w:szCs w:val="17"/>
                <w:color w:val="2573BA"/>
              </w:rPr>
              <w:t>$</w:t>
            </w:r>
          </w:p>
        </w:tc>
        <w:tc>
          <w:tcPr>
            <w:tcW w:w="760" w:type="dxa"/>
            <w:vAlign w:val="bottom"/>
            <w:vMerge w:val="restart"/>
            <w:shd w:val="clear" w:color="auto" w:fill="DDDDDD"/>
          </w:tcPr>
          <w:p>
            <w:pPr>
              <w:jc w:val="right"/>
              <w:spacing w:after="0"/>
              <w:rPr>
                <w:sz w:val="20"/>
                <w:szCs w:val="20"/>
                <w:color w:val="auto"/>
              </w:rPr>
            </w:pPr>
            <w:r>
              <w:rPr>
                <w:rFonts w:ascii="Arial" w:cs="Arial" w:eastAsia="Arial" w:hAnsi="Arial"/>
                <w:sz w:val="17"/>
                <w:szCs w:val="17"/>
                <w:color w:val="2573BA"/>
              </w:rPr>
              <w:t>0.5</w:t>
            </w:r>
          </w:p>
        </w:tc>
        <w:tc>
          <w:tcPr>
            <w:tcW w:w="0" w:type="dxa"/>
            <w:vAlign w:val="bottom"/>
          </w:tcPr>
          <w:p>
            <w:pPr>
              <w:spacing w:after="0"/>
              <w:rPr>
                <w:sz w:val="1"/>
                <w:szCs w:val="1"/>
                <w:color w:val="auto"/>
              </w:rPr>
            </w:pPr>
          </w:p>
        </w:tc>
      </w:tr>
      <w:tr>
        <w:trPr>
          <w:trHeight w:val="205"/>
        </w:trPr>
        <w:tc>
          <w:tcPr>
            <w:tcW w:w="2260" w:type="dxa"/>
            <w:vAlign w:val="bottom"/>
          </w:tcPr>
          <w:p>
            <w:pPr>
              <w:ind w:left="20"/>
              <w:spacing w:after="0"/>
              <w:rPr>
                <w:sz w:val="20"/>
                <w:szCs w:val="20"/>
                <w:color w:val="auto"/>
              </w:rPr>
            </w:pPr>
            <w:r>
              <w:rPr>
                <w:rFonts w:ascii="Arial" w:cs="Arial" w:eastAsia="Arial" w:hAnsi="Arial"/>
                <w:sz w:val="17"/>
                <w:szCs w:val="17"/>
                <w:color w:val="auto"/>
              </w:rPr>
              <w:t>December 31, 2017</w:t>
            </w:r>
          </w:p>
        </w:tc>
        <w:tc>
          <w:tcPr>
            <w:tcW w:w="140" w:type="dxa"/>
            <w:vAlign w:val="bottom"/>
            <w:vMerge w:val="continue"/>
            <w:shd w:val="clear" w:color="auto" w:fill="DDDDDD"/>
          </w:tcPr>
          <w:p>
            <w:pPr>
              <w:spacing w:after="0"/>
              <w:rPr>
                <w:sz w:val="17"/>
                <w:szCs w:val="17"/>
                <w:color w:val="auto"/>
              </w:rPr>
            </w:pPr>
          </w:p>
        </w:tc>
        <w:tc>
          <w:tcPr>
            <w:tcW w:w="800" w:type="dxa"/>
            <w:vAlign w:val="bottom"/>
            <w:vMerge w:val="continue"/>
            <w:shd w:val="clear" w:color="auto" w:fill="DDDDDD"/>
          </w:tcPr>
          <w:p>
            <w:pPr>
              <w:spacing w:after="0"/>
              <w:rPr>
                <w:sz w:val="17"/>
                <w:szCs w:val="17"/>
                <w:color w:val="auto"/>
              </w:rPr>
            </w:pPr>
          </w:p>
        </w:tc>
        <w:tc>
          <w:tcPr>
            <w:tcW w:w="80" w:type="dxa"/>
            <w:vAlign w:val="bottom"/>
            <w:shd w:val="clear" w:color="auto" w:fill="DDDDDD"/>
          </w:tcPr>
          <w:p>
            <w:pPr>
              <w:spacing w:after="0"/>
              <w:rPr>
                <w:sz w:val="17"/>
                <w:szCs w:val="17"/>
                <w:color w:val="auto"/>
              </w:rPr>
            </w:pPr>
          </w:p>
        </w:tc>
        <w:tc>
          <w:tcPr>
            <w:tcW w:w="260" w:type="dxa"/>
            <w:vAlign w:val="bottom"/>
            <w:gridSpan w:val="2"/>
            <w:vMerge w:val="continue"/>
            <w:shd w:val="clear" w:color="auto" w:fill="DDDDDD"/>
          </w:tcPr>
          <w:p>
            <w:pPr>
              <w:spacing w:after="0"/>
              <w:rPr>
                <w:sz w:val="17"/>
                <w:szCs w:val="17"/>
                <w:color w:val="auto"/>
              </w:rPr>
            </w:pPr>
          </w:p>
        </w:tc>
        <w:tc>
          <w:tcPr>
            <w:tcW w:w="960" w:type="dxa"/>
            <w:vAlign w:val="bottom"/>
            <w:gridSpan w:val="2"/>
            <w:vMerge w:val="continue"/>
            <w:shd w:val="clear" w:color="auto" w:fill="DDDDDD"/>
          </w:tcPr>
          <w:p>
            <w:pPr>
              <w:spacing w:after="0"/>
              <w:rPr>
                <w:sz w:val="17"/>
                <w:szCs w:val="17"/>
                <w:color w:val="auto"/>
              </w:rPr>
            </w:pPr>
          </w:p>
        </w:tc>
        <w:tc>
          <w:tcPr>
            <w:tcW w:w="220" w:type="dxa"/>
            <w:vAlign w:val="bottom"/>
            <w:vMerge w:val="continue"/>
            <w:shd w:val="clear" w:color="auto" w:fill="DDDDDD"/>
          </w:tcPr>
          <w:p>
            <w:pPr>
              <w:spacing w:after="0"/>
              <w:rPr>
                <w:sz w:val="17"/>
                <w:szCs w:val="17"/>
                <w:color w:val="auto"/>
              </w:rPr>
            </w:pPr>
          </w:p>
        </w:tc>
        <w:tc>
          <w:tcPr>
            <w:tcW w:w="760" w:type="dxa"/>
            <w:vAlign w:val="bottom"/>
            <w:vMerge w:val="continue"/>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2573BA"/>
        </w:rPr>
        <w:t>TECFIDERA Litigation Settlement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19050</wp:posOffset>
            </wp:positionV>
            <wp:extent cx="2578100" cy="19513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78100" cy="1951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20" w:right="20" w:firstLine="384"/>
        <w:spacing w:after="0" w:line="254" w:lineRule="auto"/>
        <w:rPr>
          <w:sz w:val="20"/>
          <w:szCs w:val="20"/>
          <w:color w:val="auto"/>
        </w:rPr>
      </w:pPr>
      <w:r>
        <w:rPr>
          <w:rFonts w:ascii="Arial" w:cs="Arial" w:eastAsia="Arial" w:hAnsi="Arial"/>
          <w:sz w:val="17"/>
          <w:szCs w:val="17"/>
          <w:color w:val="auto"/>
        </w:rPr>
        <w:t xml:space="preserve">As described above under </w:t>
      </w:r>
      <w:r>
        <w:rPr>
          <w:rFonts w:ascii="Arial" w:cs="Arial" w:eastAsia="Arial" w:hAnsi="Arial"/>
          <w:sz w:val="17"/>
          <w:szCs w:val="17"/>
          <w:i w:val="1"/>
          <w:iCs w:val="1"/>
          <w:color w:val="auto"/>
        </w:rPr>
        <w:t>"Amortization of Acquired Intangible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Assets - TECFIDERA License Rights,” </w:t>
      </w:r>
      <w:r>
        <w:rPr>
          <w:rFonts w:ascii="Arial" w:cs="Arial" w:eastAsia="Arial" w:hAnsi="Arial"/>
          <w:sz w:val="17"/>
          <w:szCs w:val="17"/>
          <w:color w:val="auto"/>
        </w:rPr>
        <w:t>in January 2017 we entered into</w:t>
      </w:r>
      <w:r>
        <w:rPr>
          <w:rFonts w:ascii="Arial" w:cs="Arial" w:eastAsia="Arial" w:hAnsi="Arial"/>
          <w:sz w:val="17"/>
          <w:szCs w:val="17"/>
          <w:i w:val="1"/>
          <w:iCs w:val="1"/>
          <w:color w:val="auto"/>
        </w:rPr>
        <w:t xml:space="preserve"> </w:t>
      </w:r>
      <w:r>
        <w:rPr>
          <w:rFonts w:ascii="Arial" w:cs="Arial" w:eastAsia="Arial" w:hAnsi="Arial"/>
          <w:sz w:val="17"/>
          <w:szCs w:val="17"/>
          <w:color w:val="auto"/>
        </w:rPr>
        <w:t>a settlement and license agreement with Forward Pharma pursuant to which we obtained U.S. and rest of world licenses to Forward Pharma's intellectual property, including Forward Pharma's intellectual property related to TECFIDERA. In exchange, we paid Forward Pharma $1.25 billion in cash. During the fourth quarter of 2016, we recognized a pre-tax charge of $454.8 million and in the first quarter of 2017 we recognized an intangible asset of $795.2 million related to this agreement. The pre-tax charge recognized in the fourth quarter of 2016 represented the fair value of our licenses to Forward Pharma’s intellectual property for the period April 2014, when we started selling TECFIDERA, through December 31, 2016.</w:t>
      </w:r>
    </w:p>
    <w:p>
      <w:pPr>
        <w:spacing w:after="0" w:line="146" w:lineRule="exact"/>
        <w:rPr>
          <w:sz w:val="20"/>
          <w:szCs w:val="20"/>
          <w:color w:val="auto"/>
        </w:rPr>
      </w:pPr>
    </w:p>
    <w:p>
      <w:pPr>
        <w:ind w:left="320" w:firstLine="384"/>
        <w:spacing w:after="0" w:line="257" w:lineRule="auto"/>
        <w:rPr>
          <w:sz w:val="20"/>
          <w:szCs w:val="20"/>
          <w:color w:val="auto"/>
        </w:rPr>
      </w:pPr>
      <w:r>
        <w:rPr>
          <w:rFonts w:ascii="Arial" w:cs="Arial" w:eastAsia="Arial" w:hAnsi="Arial"/>
          <w:sz w:val="17"/>
          <w:szCs w:val="17"/>
          <w:color w:val="auto"/>
        </w:rPr>
        <w:t xml:space="preserve">For additional information on our TECFIDERA settlement and license agreement, please read Note 7, </w:t>
      </w:r>
      <w:r>
        <w:rPr>
          <w:rFonts w:ascii="Arial" w:cs="Arial" w:eastAsia="Arial" w:hAnsi="Arial"/>
          <w:sz w:val="17"/>
          <w:szCs w:val="17"/>
          <w:i w:val="1"/>
          <w:iCs w:val="1"/>
          <w:color w:val="auto"/>
        </w:rPr>
        <w:t>Intangible Assets and Goodwill</w:t>
      </w:r>
      <w:r>
        <w:rPr>
          <w:rFonts w:ascii="Arial" w:cs="Arial" w:eastAsia="Arial" w:hAnsi="Arial"/>
          <w:sz w:val="17"/>
          <w:szCs w:val="17"/>
          <w:color w:val="auto"/>
        </w:rPr>
        <w:t>, to our consolidated financial statements included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74</w:t>
      </w:r>
    </w:p>
    <w:p>
      <w:pPr>
        <w:sectPr>
          <w:pgSz w:w="11900" w:h="16838" w:orient="portrait"/>
          <w:cols w:equalWidth="0" w:num="2">
            <w:col w:w="5480" w:space="140"/>
            <w:col w:w="5740"/>
          </w:cols>
          <w:pgMar w:left="240" w:top="144" w:right="299" w:bottom="1440" w:gutter="0" w:footer="0" w:header="0"/>
          <w:type w:val="continuous"/>
        </w:sectPr>
      </w:pPr>
    </w:p>
    <w:bookmarkStart w:id="78" w:name="page79"/>
    <w:bookmarkEnd w:id="7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spacing w:after="0"/>
        <w:tabs>
          <w:tab w:leader="none" w:pos="5920" w:val="left"/>
        </w:tabs>
        <w:rPr>
          <w:sz w:val="20"/>
          <w:szCs w:val="20"/>
          <w:color w:val="auto"/>
        </w:rPr>
      </w:pPr>
      <w:r>
        <w:rPr>
          <w:rFonts w:ascii="Arial" w:cs="Arial" w:eastAsia="Arial" w:hAnsi="Arial"/>
          <w:sz w:val="20"/>
          <w:szCs w:val="20"/>
          <w:b w:val="1"/>
          <w:bCs w:val="1"/>
          <w:color w:val="578196"/>
        </w:rPr>
        <w:t>Other Income (Expense), Net</w:t>
      </w:r>
      <w:r>
        <w:rPr>
          <w:sz w:val="20"/>
          <w:szCs w:val="20"/>
          <w:color w:val="auto"/>
        </w:rPr>
        <w:tab/>
      </w:r>
      <w:r>
        <w:rPr>
          <w:rFonts w:ascii="Arial" w:cs="Arial" w:eastAsia="Arial" w:hAnsi="Arial"/>
          <w:sz w:val="20"/>
          <w:szCs w:val="20"/>
          <w:b w:val="1"/>
          <w:bCs w:val="1"/>
          <w:color w:val="578196"/>
        </w:rPr>
        <w:t>Income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20955</wp:posOffset>
            </wp:positionV>
            <wp:extent cx="6351270" cy="27482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351270" cy="2748280"/>
                    </a:xfrm>
                    <a:prstGeom prst="rect">
                      <a:avLst/>
                    </a:prstGeom>
                    <a:noFill/>
                  </pic:spPr>
                </pic:pic>
              </a:graphicData>
            </a:graphic>
          </wp:anchor>
        </w:drawing>
      </w:r>
    </w:p>
    <w:p>
      <w:pPr>
        <w:sectPr>
          <w:pgSz w:w="11900" w:h="16838" w:orient="portrait"/>
          <w:cols w:equalWidth="0" w:num="1">
            <w:col w:w="11400"/>
          </w:cols>
          <w:pgMar w:left="240" w:top="144"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384"/>
        <w:spacing w:after="0" w:line="253" w:lineRule="auto"/>
        <w:rPr>
          <w:sz w:val="20"/>
          <w:szCs w:val="20"/>
          <w:color w:val="auto"/>
        </w:rPr>
      </w:pPr>
      <w:r>
        <w:rPr>
          <w:rFonts w:ascii="Arial" w:cs="Arial" w:eastAsia="Arial" w:hAnsi="Arial"/>
          <w:sz w:val="17"/>
          <w:szCs w:val="17"/>
          <w:color w:val="auto"/>
        </w:rPr>
        <w:t>For 2017 compared to 2016, the change in other income (expense), net was primarily due to an increase in foreign currency exchange gains, an increase in interest income and a decrease in interest expense, partially offset by other than temporary impairments recorded on strategic investments and marketable debt securities during the year.</w:t>
      </w:r>
    </w:p>
    <w:p>
      <w:pPr>
        <w:spacing w:after="0" w:line="147" w:lineRule="exact"/>
        <w:rPr>
          <w:sz w:val="20"/>
          <w:szCs w:val="20"/>
          <w:color w:val="auto"/>
        </w:rPr>
      </w:pPr>
    </w:p>
    <w:p>
      <w:pPr>
        <w:jc w:val="both"/>
        <w:ind w:right="80" w:firstLine="384"/>
        <w:spacing w:after="0" w:line="257" w:lineRule="auto"/>
        <w:rPr>
          <w:sz w:val="20"/>
          <w:szCs w:val="20"/>
          <w:color w:val="auto"/>
        </w:rPr>
      </w:pPr>
      <w:r>
        <w:rPr>
          <w:rFonts w:ascii="Arial" w:cs="Arial" w:eastAsia="Arial" w:hAnsi="Arial"/>
          <w:sz w:val="17"/>
          <w:szCs w:val="17"/>
          <w:color w:val="auto"/>
        </w:rPr>
        <w:t>Interest expense for the year ended December 31, 2017, includes a net $5.2 million debt extinguishment charge recognized in November 2017 upon redemption of our 6.875% Senior Notes due March 1, 2018.</w:t>
      </w:r>
    </w:p>
    <w:p>
      <w:pPr>
        <w:spacing w:after="0" w:line="140" w:lineRule="exact"/>
        <w:rPr>
          <w:sz w:val="20"/>
          <w:szCs w:val="20"/>
          <w:color w:val="auto"/>
        </w:rPr>
      </w:pPr>
    </w:p>
    <w:p>
      <w:pPr>
        <w:jc w:val="both"/>
        <w:ind w:right="120" w:firstLine="410"/>
        <w:spacing w:after="0" w:line="257" w:lineRule="auto"/>
        <w:rPr>
          <w:sz w:val="20"/>
          <w:szCs w:val="20"/>
          <w:color w:val="auto"/>
        </w:rPr>
      </w:pPr>
      <w:r>
        <w:rPr>
          <w:rFonts w:ascii="Arial" w:cs="Arial" w:eastAsia="Arial" w:hAnsi="Arial"/>
          <w:sz w:val="17"/>
          <w:szCs w:val="17"/>
          <w:color w:val="auto"/>
        </w:rPr>
        <w:t xml:space="preserve">For additional information on this redemption and our outstanding indebtedness, please read Note 12, </w:t>
      </w:r>
      <w:r>
        <w:rPr>
          <w:rFonts w:ascii="Arial" w:cs="Arial" w:eastAsia="Arial" w:hAnsi="Arial"/>
          <w:sz w:val="17"/>
          <w:szCs w:val="17"/>
          <w:i w:val="1"/>
          <w:iCs w:val="1"/>
          <w:color w:val="auto"/>
        </w:rPr>
        <w:t>Indebtedness</w:t>
      </w:r>
      <w:r>
        <w:rPr>
          <w:rFonts w:ascii="Arial" w:cs="Arial" w:eastAsia="Arial" w:hAnsi="Arial"/>
          <w:sz w:val="17"/>
          <w:szCs w:val="17"/>
          <w:color w:val="auto"/>
        </w:rPr>
        <w:t>, to our consolidated financial statements included in this report.</w:t>
      </w:r>
    </w:p>
    <w:p>
      <w:pPr>
        <w:spacing w:after="0" w:line="140" w:lineRule="exact"/>
        <w:rPr>
          <w:sz w:val="20"/>
          <w:szCs w:val="20"/>
          <w:color w:val="auto"/>
        </w:rPr>
      </w:pPr>
    </w:p>
    <w:p>
      <w:pPr>
        <w:ind w:right="20" w:firstLine="384"/>
        <w:spacing w:after="0" w:line="253" w:lineRule="auto"/>
        <w:rPr>
          <w:sz w:val="20"/>
          <w:szCs w:val="20"/>
          <w:color w:val="auto"/>
        </w:rPr>
      </w:pPr>
      <w:r>
        <w:rPr>
          <w:rFonts w:ascii="Arial" w:cs="Arial" w:eastAsia="Arial" w:hAnsi="Arial"/>
          <w:sz w:val="17"/>
          <w:szCs w:val="17"/>
          <w:color w:val="auto"/>
        </w:rPr>
        <w:t>For 2016 compared to 2015, the change in other income (expense), net was primarily due to an increase in interest expense as a result of the issuance of our senior unsecured notes in the third quarter of 2015. This increase was partially offset by an increase in interest income on higher yields and cash, cash equivalents and marketable securities balances as well as a decrease in foreign exchange losses recognized during the year ended December 31, 2016, compared to the prior year comparative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20" w:right="40" w:firstLine="410"/>
        <w:spacing w:after="0" w:line="253" w:lineRule="auto"/>
        <w:rPr>
          <w:sz w:val="20"/>
          <w:szCs w:val="20"/>
          <w:color w:val="auto"/>
        </w:rPr>
      </w:pPr>
      <w:r>
        <w:rPr>
          <w:rFonts w:ascii="Arial" w:cs="Arial" w:eastAsia="Arial" w:hAnsi="Arial"/>
          <w:sz w:val="17"/>
          <w:szCs w:val="17"/>
          <w:color w:val="auto"/>
        </w:rPr>
        <w:t>Our effective tax rate fluctuates from year to year due to the global nature of our operations. The factors that most significantly impact our effective tax rate include changes in tax laws, variability in the allocation of our taxable earnings among multiple jurisdictions, the amount and characterization of our research and development expenses, the levels of certain deductions and credits, acquisitions and licensing transactions.</w:t>
      </w:r>
    </w:p>
    <w:p>
      <w:pPr>
        <w:spacing w:after="0" w:line="146" w:lineRule="exact"/>
        <w:rPr>
          <w:sz w:val="20"/>
          <w:szCs w:val="20"/>
          <w:color w:val="auto"/>
        </w:rPr>
      </w:pPr>
    </w:p>
    <w:p>
      <w:pPr>
        <w:ind w:left="320" w:right="340" w:firstLine="410"/>
        <w:spacing w:after="0" w:line="257" w:lineRule="auto"/>
        <w:rPr>
          <w:sz w:val="20"/>
          <w:szCs w:val="20"/>
          <w:color w:val="auto"/>
        </w:rPr>
      </w:pPr>
      <w:r>
        <w:rPr>
          <w:rFonts w:ascii="Arial" w:cs="Arial" w:eastAsia="Arial" w:hAnsi="Arial"/>
          <w:sz w:val="17"/>
          <w:szCs w:val="17"/>
          <w:color w:val="auto"/>
        </w:rPr>
        <w:t>Our effective tax rate for 2017 compared to 2016 increased primarily due to the effect of the 2017 Tax Act and the impairment of prepaid tax assets related to our ZINBRYTA program.</w:t>
      </w:r>
    </w:p>
    <w:p>
      <w:pPr>
        <w:spacing w:after="0" w:line="140" w:lineRule="exact"/>
        <w:rPr>
          <w:sz w:val="20"/>
          <w:szCs w:val="20"/>
          <w:color w:val="auto"/>
        </w:rPr>
      </w:pPr>
    </w:p>
    <w:p>
      <w:pPr>
        <w:ind w:left="320" w:right="40" w:firstLine="410"/>
        <w:spacing w:after="0" w:line="253" w:lineRule="auto"/>
        <w:rPr>
          <w:sz w:val="20"/>
          <w:szCs w:val="20"/>
          <w:color w:val="auto"/>
        </w:rPr>
      </w:pPr>
      <w:r>
        <w:rPr>
          <w:rFonts w:ascii="Arial" w:cs="Arial" w:eastAsia="Arial" w:hAnsi="Arial"/>
          <w:sz w:val="17"/>
          <w:szCs w:val="17"/>
          <w:color w:val="auto"/>
        </w:rPr>
        <w:t>On December 22, 2017, the 2017 Tax Act was signed into law and has resulted in significant changes to the U.S. corporate income tax system. The 2017 Tax Act includes a federal statutory rate reduction from 35% to 21%, the elimination or reduction of certain domestic deductions and credits, the Transition Toll Tax and other changes to taxation of foreign subsidiaries.</w:t>
      </w:r>
    </w:p>
    <w:p>
      <w:pPr>
        <w:spacing w:after="0" w:line="147" w:lineRule="exact"/>
        <w:rPr>
          <w:sz w:val="20"/>
          <w:szCs w:val="20"/>
          <w:color w:val="auto"/>
        </w:rPr>
      </w:pPr>
    </w:p>
    <w:p>
      <w:pPr>
        <w:ind w:left="320" w:firstLine="410"/>
        <w:spacing w:after="0" w:line="253" w:lineRule="auto"/>
        <w:rPr>
          <w:sz w:val="20"/>
          <w:szCs w:val="20"/>
          <w:color w:val="auto"/>
        </w:rPr>
      </w:pPr>
      <w:r>
        <w:rPr>
          <w:rFonts w:ascii="Arial" w:cs="Arial" w:eastAsia="Arial" w:hAnsi="Arial"/>
          <w:sz w:val="17"/>
          <w:szCs w:val="17"/>
          <w:color w:val="auto"/>
        </w:rPr>
        <w:t>Changes in tax rates and tax laws are accounted for in the period of enactment. Therefore, during the year ended December 31, 2017, we recorded a charge totaling $1,173.6 million related to our current estimate of the provisions of the 2017 Tax Act, including a $989.6 million expense under the Transition Toll Tax. The Transition Toll Tax will be paid over an eight-year period, starting in 2018, and will not accrue interest.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75</w:t>
      </w:r>
    </w:p>
    <w:p>
      <w:pPr>
        <w:sectPr>
          <w:pgSz w:w="11900" w:h="16838" w:orient="portrait"/>
          <w:cols w:equalWidth="0" w:num="2">
            <w:col w:w="5460" w:space="160"/>
            <w:col w:w="5780"/>
          </w:cols>
          <w:pgMar w:left="240" w:top="144" w:right="259" w:bottom="1440" w:gutter="0" w:footer="0" w:header="0"/>
          <w:type w:val="continuous"/>
        </w:sectPr>
      </w:pPr>
    </w:p>
    <w:bookmarkStart w:id="79" w:name="page80"/>
    <w:bookmarkEnd w:id="7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400"/>
          </w:cols>
          <w:pgMar w:left="240" w:top="144" w:right="259" w:bottom="1440" w:gutter="0" w:footer="0" w:header="0"/>
        </w:sectPr>
      </w:pPr>
    </w:p>
    <w:p>
      <w:pPr>
        <w:spacing w:after="0" w:line="383" w:lineRule="exact"/>
        <w:rPr>
          <w:sz w:val="20"/>
          <w:szCs w:val="20"/>
          <w:color w:val="auto"/>
        </w:rPr>
      </w:pPr>
    </w:p>
    <w:p>
      <w:pPr>
        <w:ind w:right="80" w:firstLine="384"/>
        <w:spacing w:after="0" w:line="255" w:lineRule="auto"/>
        <w:rPr>
          <w:sz w:val="20"/>
          <w:szCs w:val="20"/>
          <w:color w:val="auto"/>
        </w:rPr>
      </w:pPr>
      <w:r>
        <w:rPr>
          <w:rFonts w:ascii="Arial" w:cs="Arial" w:eastAsia="Arial" w:hAnsi="Arial"/>
          <w:sz w:val="17"/>
          <w:szCs w:val="17"/>
          <w:color w:val="auto"/>
        </w:rPr>
        <w:t>The 2017 Tax Act will provide us with flexibility in deploying our cash resources to advance our business interests. We expect that it will have a modest positive effect on our income tax rate in 2018 and a potential incremental benefit thereafter.</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Article 20 Procedure of ZINBRYTA</w:t>
      </w:r>
    </w:p>
    <w:p>
      <w:pPr>
        <w:spacing w:after="0" w:line="183"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 xml:space="preserve">As a result of the CHMP's recommendation of restrictions on the use of ZINBRYTA, we impaired prepaid tax balances totaling $142.6 million. Offsetting these amounts was an unrecorded tax benefit related to certain ZINBRYTA related assets totaling approximately $93.8 million. For additional information on the Article 20 Procedure of ZINBRYTA and resulting impairment of ZINBRYTA related assets, please read Note 20, </w:t>
      </w:r>
      <w:r>
        <w:rPr>
          <w:rFonts w:ascii="Arial" w:cs="Arial" w:eastAsia="Arial" w:hAnsi="Arial"/>
          <w:sz w:val="17"/>
          <w:szCs w:val="17"/>
          <w:i w:val="1"/>
          <w:iCs w:val="1"/>
          <w:color w:val="auto"/>
        </w:rPr>
        <w:t>Collaborative and Other Relationships</w:t>
      </w:r>
      <w:r>
        <w:rPr>
          <w:rFonts w:ascii="Arial" w:cs="Arial" w:eastAsia="Arial" w:hAnsi="Arial"/>
          <w:sz w:val="17"/>
          <w:szCs w:val="17"/>
          <w:color w:val="auto"/>
        </w:rPr>
        <w:t>, to our consolidated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 included in this report.</w:t>
      </w:r>
    </w:p>
    <w:p>
      <w:pPr>
        <w:spacing w:after="0" w:line="144"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Excluding the effect of the 2017 Tax Act and the ZINBRTYA impairments, our income tax rate would have decreased due to a lower percentage of our earnings being recognized in the U.S., a higher tax jurisdiction. The geographic split of our earnings was affected by milestone and upfront payments in the current year and the spin-off of our hemophilia business, partially offset by growth from the U.S. launch of SPINRAZA and increases in our revenues from anti-CD20 therapeutic programs in the U.S. In addition, in 2017 we earned a lower benefit from the orphan drug credit due to the FDA's approval of SPINRAZA.</w:t>
      </w:r>
    </w:p>
    <w:p>
      <w:pPr>
        <w:spacing w:after="0" w:line="151" w:lineRule="exact"/>
        <w:rPr>
          <w:sz w:val="20"/>
          <w:szCs w:val="20"/>
          <w:color w:val="auto"/>
        </w:rPr>
      </w:pPr>
    </w:p>
    <w:p>
      <w:pPr>
        <w:ind w:right="60" w:firstLine="410"/>
        <w:spacing w:after="0" w:line="254" w:lineRule="auto"/>
        <w:rPr>
          <w:sz w:val="20"/>
          <w:szCs w:val="20"/>
          <w:color w:val="auto"/>
        </w:rPr>
      </w:pPr>
      <w:r>
        <w:rPr>
          <w:rFonts w:ascii="Arial" w:cs="Arial" w:eastAsia="Arial" w:hAnsi="Arial"/>
          <w:sz w:val="17"/>
          <w:szCs w:val="17"/>
          <w:color w:val="auto"/>
        </w:rPr>
        <w:t>Our effective tax rate for 2016 compared to 2015 increased primarily due to a net state tax benefit in 2015 of $27.0 million resulting from the remeasurement of one of our uncertain tax positions and a higher relative percentage of our earnings being attributed to the U.S., a higher tax jurisdiction.</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Accounting for Uncertainty in Income Taxes</w:t>
      </w:r>
    </w:p>
    <w:p>
      <w:pPr>
        <w:spacing w:after="0" w:line="106" w:lineRule="exact"/>
        <w:rPr>
          <w:sz w:val="20"/>
          <w:szCs w:val="20"/>
          <w:color w:val="auto"/>
        </w:rPr>
      </w:pPr>
    </w:p>
    <w:p>
      <w:pPr>
        <w:ind w:right="380" w:firstLine="410"/>
        <w:spacing w:after="0" w:line="255" w:lineRule="auto"/>
        <w:rPr>
          <w:sz w:val="20"/>
          <w:szCs w:val="20"/>
          <w:color w:val="auto"/>
        </w:rPr>
      </w:pPr>
      <w:r>
        <w:rPr>
          <w:rFonts w:ascii="Arial" w:cs="Arial" w:eastAsia="Arial" w:hAnsi="Arial"/>
          <w:sz w:val="17"/>
          <w:szCs w:val="17"/>
          <w:color w:val="auto"/>
        </w:rPr>
        <w:t xml:space="preserve">For additional information on our uncertain tax positions and income tax rate reconciliation for 2017, 2016 and 2015, please read Note 17,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to our consolidated financial statements included in this 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578196"/>
        </w:rPr>
        <w:t>Equity in Loss of Investee,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20955</wp:posOffset>
            </wp:positionV>
            <wp:extent cx="2578100" cy="19513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78100" cy="1951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20" w:firstLine="410"/>
        <w:spacing w:after="0" w:line="253" w:lineRule="auto"/>
        <w:rPr>
          <w:sz w:val="20"/>
          <w:szCs w:val="20"/>
          <w:color w:val="auto"/>
        </w:rPr>
      </w:pPr>
      <w:r>
        <w:rPr>
          <w:rFonts w:ascii="Arial" w:cs="Arial" w:eastAsia="Arial" w:hAnsi="Arial"/>
          <w:sz w:val="17"/>
          <w:szCs w:val="17"/>
          <w:color w:val="auto"/>
        </w:rPr>
        <w:t>In February 2012 we entered into an agreement with Samsung Biologics, establishing an entity, Samsung Bioepis, to develop, manufacture and market biosimilar pharmaceuticals. We account for this investment under the equity method of accounting. We recognize our share of the results of operations related to our investment in Samsung Bioepis one quarter in arrears.</w:t>
      </w:r>
    </w:p>
    <w:p>
      <w:pPr>
        <w:spacing w:after="0" w:line="147" w:lineRule="exact"/>
        <w:rPr>
          <w:sz w:val="20"/>
          <w:szCs w:val="20"/>
          <w:color w:val="auto"/>
        </w:rPr>
      </w:pPr>
    </w:p>
    <w:p>
      <w:pPr>
        <w:ind w:left="320" w:right="140" w:firstLine="410"/>
        <w:spacing w:after="0" w:line="255" w:lineRule="auto"/>
        <w:rPr>
          <w:sz w:val="20"/>
          <w:szCs w:val="20"/>
          <w:color w:val="auto"/>
        </w:rPr>
      </w:pPr>
      <w:r>
        <w:rPr>
          <w:rFonts w:ascii="Arial" w:cs="Arial" w:eastAsia="Arial" w:hAnsi="Arial"/>
          <w:sz w:val="17"/>
          <w:szCs w:val="17"/>
          <w:color w:val="auto"/>
        </w:rPr>
        <w:t>During 2015 our share of losses exceeded the carrying value of our investment. We therefore suspended recognizing additional losses and will continue to do so unless we commit to providing additional funding.</w:t>
      </w:r>
    </w:p>
    <w:p>
      <w:pPr>
        <w:spacing w:after="0" w:line="143" w:lineRule="exact"/>
        <w:rPr>
          <w:sz w:val="20"/>
          <w:szCs w:val="20"/>
          <w:color w:val="auto"/>
        </w:rPr>
      </w:pPr>
    </w:p>
    <w:p>
      <w:pPr>
        <w:ind w:left="320" w:firstLine="410"/>
        <w:spacing w:after="0" w:line="257" w:lineRule="auto"/>
        <w:rPr>
          <w:sz w:val="20"/>
          <w:szCs w:val="20"/>
          <w:color w:val="auto"/>
        </w:rPr>
      </w:pPr>
      <w:r>
        <w:rPr>
          <w:rFonts w:ascii="Arial" w:cs="Arial" w:eastAsia="Arial" w:hAnsi="Arial"/>
          <w:sz w:val="17"/>
          <w:szCs w:val="17"/>
          <w:color w:val="auto"/>
        </w:rPr>
        <w:t xml:space="preserve">For additional information on this transaction, please read Note 20, </w:t>
      </w:r>
      <w:r>
        <w:rPr>
          <w:rFonts w:ascii="Arial" w:cs="Arial" w:eastAsia="Arial" w:hAnsi="Arial"/>
          <w:sz w:val="17"/>
          <w:szCs w:val="17"/>
          <w:i w:val="1"/>
          <w:iCs w:val="1"/>
          <w:color w:val="auto"/>
        </w:rPr>
        <w:t xml:space="preserve">Collaborative and Other Relationships, </w:t>
      </w:r>
      <w:r>
        <w:rPr>
          <w:rFonts w:ascii="Arial" w:cs="Arial" w:eastAsia="Arial" w:hAnsi="Arial"/>
          <w:sz w:val="17"/>
          <w:szCs w:val="17"/>
          <w:color w:val="auto"/>
        </w:rPr>
        <w:t>to our consolidated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 included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76</w:t>
      </w:r>
    </w:p>
    <w:p>
      <w:pPr>
        <w:sectPr>
          <w:pgSz w:w="11900" w:h="16838" w:orient="portrait"/>
          <w:cols w:equalWidth="0" w:num="2">
            <w:col w:w="5480" w:space="140"/>
            <w:col w:w="5780"/>
          </w:cols>
          <w:pgMar w:left="240" w:top="144" w:right="259" w:bottom="1440" w:gutter="0" w:footer="0" w:header="0"/>
          <w:type w:val="continuous"/>
        </w:sectPr>
      </w:pPr>
    </w:p>
    <w:bookmarkStart w:id="80" w:name="page81"/>
    <w:bookmarkEnd w:id="8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20955</wp:posOffset>
            </wp:positionV>
            <wp:extent cx="2578100" cy="19513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78100" cy="1951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For 2017 compared to 2016, the change in net income (loss) attributable to noncontrolling interests, net of tax, was primarily related to a $150.0 million pre-tax upfront payment made to Neurimmune in exchange for a 15% reduction in royalty rates payable on products developed under the agreement, including on potential commercial sales of aducanumab.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ind w:right="60" w:firstLine="410"/>
        <w:spacing w:after="0" w:line="254" w:lineRule="auto"/>
        <w:rPr>
          <w:sz w:val="20"/>
          <w:szCs w:val="20"/>
          <w:color w:val="auto"/>
        </w:rPr>
      </w:pPr>
      <w:r>
        <w:rPr>
          <w:rFonts w:ascii="Arial" w:cs="Arial" w:eastAsia="Arial" w:hAnsi="Arial"/>
          <w:sz w:val="17"/>
          <w:szCs w:val="17"/>
          <w:color w:val="auto"/>
        </w:rPr>
        <w:t>Under the amended agreement, we also have an option that will expire in April 2018 to further reduce our royalty rates payable on products developed under the agreement, including on potential commercial sales of aducanumab, by an additional 5% in exchange for a $50.0 million payment to Neurimmune.</w:t>
      </w:r>
    </w:p>
    <w:p>
      <w:pPr>
        <w:spacing w:after="0" w:line="144" w:lineRule="exact"/>
        <w:rPr>
          <w:sz w:val="20"/>
          <w:szCs w:val="20"/>
          <w:color w:val="auto"/>
        </w:rPr>
      </w:pPr>
    </w:p>
    <w:p>
      <w:pPr>
        <w:ind w:right="100" w:firstLine="410"/>
        <w:spacing w:after="0" w:line="255" w:lineRule="auto"/>
        <w:rPr>
          <w:sz w:val="20"/>
          <w:szCs w:val="20"/>
          <w:color w:val="auto"/>
        </w:rPr>
      </w:pPr>
      <w:r>
        <w:rPr>
          <w:rFonts w:ascii="Arial" w:cs="Arial" w:eastAsia="Arial" w:hAnsi="Arial"/>
          <w:sz w:val="17"/>
          <w:szCs w:val="17"/>
          <w:color w:val="auto"/>
        </w:rPr>
        <w:t>For 2016 compared to 2015, the change in net income (loss) attributable to noncontrolling interests, net of tax, was primarily related to a $60.0 million pre-tax milestone payment made to Neurimmune in 2015.</w:t>
      </w:r>
    </w:p>
    <w:p>
      <w:pPr>
        <w:spacing w:after="0" w:line="143" w:lineRule="exact"/>
        <w:rPr>
          <w:sz w:val="20"/>
          <w:szCs w:val="20"/>
          <w:color w:val="auto"/>
        </w:rPr>
      </w:pPr>
    </w:p>
    <w:p>
      <w:pPr>
        <w:ind w:right="20" w:firstLine="410"/>
        <w:spacing w:after="0" w:line="257" w:lineRule="auto"/>
        <w:rPr>
          <w:sz w:val="20"/>
          <w:szCs w:val="20"/>
          <w:color w:val="auto"/>
        </w:rPr>
      </w:pPr>
      <w:r>
        <w:rPr>
          <w:rFonts w:ascii="Arial" w:cs="Arial" w:eastAsia="Arial" w:hAnsi="Arial"/>
          <w:sz w:val="17"/>
          <w:szCs w:val="17"/>
          <w:color w:val="auto"/>
        </w:rPr>
        <w:t xml:space="preserve">For additional information on our collaboration arrangement with Neurimmune, please read Note 19, </w:t>
      </w:r>
      <w:r>
        <w:rPr>
          <w:rFonts w:ascii="Arial" w:cs="Arial" w:eastAsia="Arial" w:hAnsi="Arial"/>
          <w:sz w:val="17"/>
          <w:szCs w:val="17"/>
          <w:i w:val="1"/>
          <w:iCs w:val="1"/>
          <w:color w:val="auto"/>
        </w:rPr>
        <w:t>Investments in Variable Interest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Entities, </w:t>
      </w:r>
      <w:r>
        <w:rPr>
          <w:rFonts w:ascii="Arial" w:cs="Arial" w:eastAsia="Arial" w:hAnsi="Arial"/>
          <w:sz w:val="17"/>
          <w:szCs w:val="17"/>
          <w:color w:val="auto"/>
        </w:rPr>
        <w:t>to our consolidated financial statements included in this report.</w:t>
      </w:r>
    </w:p>
    <w:p>
      <w:pPr>
        <w:spacing w:after="0" w:line="2050" w:lineRule="exact"/>
        <w:rPr>
          <w:sz w:val="20"/>
          <w:szCs w:val="20"/>
          <w:color w:val="auto"/>
        </w:rPr>
      </w:pPr>
    </w:p>
    <w:p>
      <w:pPr>
        <w:sectPr>
          <w:pgSz w:w="11900" w:h="16838" w:orient="portrait"/>
          <w:cols w:equalWidth="0" w:num="2">
            <w:col w:w="5300" w:space="640"/>
            <w:col w:w="5400"/>
          </w:cols>
          <w:pgMar w:left="240" w:top="144" w:right="319" w:bottom="1440" w:gutter="0" w:footer="0" w:header="0"/>
        </w:sectPr>
      </w:pPr>
    </w:p>
    <w:p>
      <w:pPr>
        <w:spacing w:after="0" w:line="5"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Financial Condition, Liquidity and Capital Resources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financial condition is summarized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As of December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66"/>
        </w:trPr>
        <w:tc>
          <w:tcPr>
            <w:tcW w:w="5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shd w:val="clear" w:color="auto" w:fill="DDDDDD"/>
          </w:tcPr>
          <w:p>
            <w:pPr>
              <w:spacing w:after="0"/>
              <w:rPr>
                <w:sz w:val="14"/>
                <w:szCs w:val="14"/>
                <w:color w:val="auto"/>
              </w:rPr>
            </w:pPr>
          </w:p>
        </w:tc>
        <w:tc>
          <w:tcPr>
            <w:tcW w:w="1200" w:type="dxa"/>
            <w:vAlign w:val="bottom"/>
            <w:shd w:val="clear" w:color="auto" w:fill="DDDDDD"/>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7"/>
              </w:rPr>
              <w:t>2017 compared to</w:t>
            </w:r>
          </w:p>
        </w:tc>
        <w:tc>
          <w:tcPr>
            <w:tcW w:w="0" w:type="dxa"/>
            <w:vAlign w:val="bottom"/>
          </w:tcPr>
          <w:p>
            <w:pPr>
              <w:spacing w:after="0"/>
              <w:rPr>
                <w:sz w:val="1"/>
                <w:szCs w:val="1"/>
                <w:color w:val="auto"/>
              </w:rPr>
            </w:pPr>
          </w:p>
        </w:tc>
      </w:tr>
      <w:tr>
        <w:trPr>
          <w:trHeight w:val="185"/>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2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shd w:val="clear" w:color="auto" w:fill="DDDDDD"/>
          </w:tcPr>
          <w:p>
            <w:pPr>
              <w:spacing w:after="0"/>
              <w:rPr>
                <w:sz w:val="16"/>
                <w:szCs w:val="16"/>
                <w:color w:val="auto"/>
              </w:rPr>
            </w:pPr>
          </w:p>
        </w:tc>
        <w:tc>
          <w:tcPr>
            <w:tcW w:w="1200" w:type="dxa"/>
            <w:vAlign w:val="bottom"/>
            <w:tcBorders>
              <w:bottom w:val="single" w:sz="8" w:color="auto"/>
            </w:tcBorders>
            <w:shd w:val="clear" w:color="auto" w:fill="DDDDDD"/>
          </w:tcPr>
          <w:p>
            <w:pPr>
              <w:jc w:val="right"/>
              <w:ind w:right="557"/>
              <w:spacing w:after="0"/>
              <w:rPr>
                <w:sz w:val="20"/>
                <w:szCs w:val="20"/>
                <w:color w:val="auto"/>
              </w:rPr>
            </w:pPr>
            <w:r>
              <w:rPr>
                <w:rFonts w:ascii="Arial" w:cs="Arial" w:eastAsia="Arial" w:hAnsi="Arial"/>
                <w:sz w:val="14"/>
                <w:szCs w:val="14"/>
                <w:b w:val="1"/>
                <w:bCs w:val="1"/>
                <w:color w:val="2573BA"/>
              </w:rPr>
              <w:t>2017</w:t>
            </w: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228"/>
        </w:trPr>
        <w:tc>
          <w:tcPr>
            <w:tcW w:w="5400" w:type="dxa"/>
            <w:vAlign w:val="bottom"/>
          </w:tcPr>
          <w:p>
            <w:pPr>
              <w:ind w:left="20"/>
              <w:spacing w:after="0"/>
              <w:rPr>
                <w:sz w:val="20"/>
                <w:szCs w:val="20"/>
                <w:color w:val="auto"/>
              </w:rPr>
            </w:pPr>
            <w:r>
              <w:rPr>
                <w:rFonts w:ascii="Arial" w:cs="Arial" w:eastAsia="Arial" w:hAnsi="Arial"/>
                <w:sz w:val="17"/>
                <w:szCs w:val="17"/>
                <w:color w:val="auto"/>
              </w:rPr>
              <w:t>Financial assets:</w:t>
            </w:r>
          </w:p>
        </w:tc>
        <w:tc>
          <w:tcPr>
            <w:tcW w:w="1200" w:type="dxa"/>
            <w:vAlign w:val="bottom"/>
          </w:tcPr>
          <w:p>
            <w:pPr>
              <w:spacing w:after="0"/>
              <w:rPr>
                <w:sz w:val="19"/>
                <w:szCs w:val="19"/>
                <w:color w:val="auto"/>
              </w:rPr>
            </w:pPr>
          </w:p>
        </w:tc>
        <w:tc>
          <w:tcPr>
            <w:tcW w:w="380" w:type="dxa"/>
            <w:vAlign w:val="bottom"/>
            <w:shd w:val="clear" w:color="auto" w:fill="DDDDDD"/>
          </w:tcPr>
          <w:p>
            <w:pPr>
              <w:spacing w:after="0"/>
              <w:rPr>
                <w:sz w:val="19"/>
                <w:szCs w:val="19"/>
                <w:color w:val="auto"/>
              </w:rPr>
            </w:pPr>
          </w:p>
        </w:tc>
        <w:tc>
          <w:tcPr>
            <w:tcW w:w="1200" w:type="dxa"/>
            <w:vAlign w:val="bottom"/>
            <w:shd w:val="clear" w:color="auto" w:fill="DDDDDD"/>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5400" w:type="dxa"/>
            <w:vAlign w:val="bottom"/>
          </w:tcPr>
          <w:p>
            <w:pPr>
              <w:ind w:left="160"/>
              <w:spacing w:after="0"/>
              <w:rPr>
                <w:sz w:val="20"/>
                <w:szCs w:val="20"/>
                <w:color w:val="auto"/>
              </w:rPr>
            </w:pPr>
            <w:r>
              <w:rPr>
                <w:rFonts w:ascii="Arial" w:cs="Arial" w:eastAsia="Arial" w:hAnsi="Arial"/>
                <w:sz w:val="17"/>
                <w:szCs w:val="17"/>
                <w:color w:val="auto"/>
              </w:rPr>
              <w:t>Cash and cash equivalents</w:t>
            </w:r>
          </w:p>
        </w:tc>
        <w:tc>
          <w:tcPr>
            <w:tcW w:w="1200" w:type="dxa"/>
            <w:vAlign w:val="bottom"/>
          </w:tcPr>
          <w:p>
            <w:pPr>
              <w:spacing w:after="0"/>
              <w:rPr>
                <w:sz w:val="23"/>
                <w:szCs w:val="23"/>
                <w:color w:val="auto"/>
              </w:rPr>
            </w:pPr>
          </w:p>
        </w:tc>
        <w:tc>
          <w:tcPr>
            <w:tcW w:w="380" w:type="dxa"/>
            <w:vAlign w:val="bottom"/>
            <w:shd w:val="clear" w:color="auto" w:fill="DDDDDD"/>
          </w:tcPr>
          <w:p>
            <w:pPr>
              <w:jc w:val="right"/>
              <w:ind w:right="175"/>
              <w:spacing w:after="0"/>
              <w:rPr>
                <w:sz w:val="20"/>
                <w:szCs w:val="20"/>
                <w:color w:val="auto"/>
              </w:rPr>
            </w:pPr>
            <w:r>
              <w:rPr>
                <w:rFonts w:ascii="Arial" w:cs="Arial" w:eastAsia="Arial" w:hAnsi="Arial"/>
                <w:sz w:val="17"/>
                <w:szCs w:val="17"/>
                <w:color w:val="2573BA"/>
              </w:rPr>
              <w:t>$</w:t>
            </w:r>
          </w:p>
        </w:tc>
        <w:tc>
          <w:tcPr>
            <w:tcW w:w="12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1,573.8</w:t>
            </w:r>
          </w:p>
        </w:tc>
        <w:tc>
          <w:tcPr>
            <w:tcW w:w="72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2,326.5</w:t>
            </w: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(32.4)%</w:t>
            </w:r>
          </w:p>
        </w:tc>
        <w:tc>
          <w:tcPr>
            <w:tcW w:w="0" w:type="dxa"/>
            <w:vAlign w:val="bottom"/>
          </w:tcPr>
          <w:p>
            <w:pPr>
              <w:spacing w:after="0"/>
              <w:rPr>
                <w:sz w:val="1"/>
                <w:szCs w:val="1"/>
                <w:color w:val="auto"/>
              </w:rPr>
            </w:pPr>
          </w:p>
        </w:tc>
      </w:tr>
      <w:tr>
        <w:trPr>
          <w:trHeight w:val="256"/>
        </w:trPr>
        <w:tc>
          <w:tcPr>
            <w:tcW w:w="5400" w:type="dxa"/>
            <w:vAlign w:val="bottom"/>
          </w:tcPr>
          <w:p>
            <w:pPr>
              <w:ind w:left="160"/>
              <w:spacing w:after="0"/>
              <w:rPr>
                <w:sz w:val="20"/>
                <w:szCs w:val="20"/>
                <w:color w:val="auto"/>
              </w:rPr>
            </w:pPr>
            <w:r>
              <w:rPr>
                <w:rFonts w:ascii="Arial" w:cs="Arial" w:eastAsia="Arial" w:hAnsi="Arial"/>
                <w:sz w:val="17"/>
                <w:szCs w:val="17"/>
                <w:color w:val="auto"/>
              </w:rPr>
              <w:t>Marketable securities — current</w:t>
            </w:r>
          </w:p>
        </w:tc>
        <w:tc>
          <w:tcPr>
            <w:tcW w:w="1200" w:type="dxa"/>
            <w:vAlign w:val="bottom"/>
          </w:tcPr>
          <w:p>
            <w:pPr>
              <w:spacing w:after="0"/>
              <w:rPr>
                <w:sz w:val="22"/>
                <w:szCs w:val="22"/>
                <w:color w:val="auto"/>
              </w:rPr>
            </w:pPr>
          </w:p>
        </w:tc>
        <w:tc>
          <w:tcPr>
            <w:tcW w:w="380" w:type="dxa"/>
            <w:vAlign w:val="bottom"/>
            <w:shd w:val="clear" w:color="auto" w:fill="DDDDDD"/>
          </w:tcPr>
          <w:p>
            <w:pPr>
              <w:spacing w:after="0"/>
              <w:rPr>
                <w:sz w:val="22"/>
                <w:szCs w:val="22"/>
                <w:color w:val="auto"/>
              </w:rPr>
            </w:pPr>
          </w:p>
        </w:tc>
        <w:tc>
          <w:tcPr>
            <w:tcW w:w="12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2,115.2</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2,568.6</w:t>
            </w:r>
          </w:p>
        </w:tc>
        <w:tc>
          <w:tcPr>
            <w:tcW w:w="1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(17.7)%</w:t>
            </w:r>
          </w:p>
        </w:tc>
        <w:tc>
          <w:tcPr>
            <w:tcW w:w="0" w:type="dxa"/>
            <w:vAlign w:val="bottom"/>
          </w:tcPr>
          <w:p>
            <w:pPr>
              <w:spacing w:after="0"/>
              <w:rPr>
                <w:sz w:val="1"/>
                <w:szCs w:val="1"/>
                <w:color w:val="auto"/>
              </w:rPr>
            </w:pPr>
          </w:p>
        </w:tc>
      </w:tr>
      <w:tr>
        <w:trPr>
          <w:trHeight w:val="263"/>
        </w:trPr>
        <w:tc>
          <w:tcPr>
            <w:tcW w:w="5400" w:type="dxa"/>
            <w:vAlign w:val="bottom"/>
          </w:tcPr>
          <w:p>
            <w:pPr>
              <w:ind w:left="160"/>
              <w:spacing w:after="0"/>
              <w:rPr>
                <w:sz w:val="20"/>
                <w:szCs w:val="20"/>
                <w:color w:val="auto"/>
              </w:rPr>
            </w:pPr>
            <w:r>
              <w:rPr>
                <w:rFonts w:ascii="Arial" w:cs="Arial" w:eastAsia="Arial" w:hAnsi="Arial"/>
                <w:sz w:val="17"/>
                <w:szCs w:val="17"/>
                <w:color w:val="auto"/>
              </w:rPr>
              <w:t>Marketable securities — non-current</w:t>
            </w:r>
          </w:p>
        </w:tc>
        <w:tc>
          <w:tcPr>
            <w:tcW w:w="1200" w:type="dxa"/>
            <w:vAlign w:val="bottom"/>
          </w:tcPr>
          <w:p>
            <w:pPr>
              <w:spacing w:after="0"/>
              <w:rPr>
                <w:sz w:val="22"/>
                <w:szCs w:val="22"/>
                <w:color w:val="auto"/>
              </w:rPr>
            </w:pPr>
          </w:p>
        </w:tc>
        <w:tc>
          <w:tcPr>
            <w:tcW w:w="380" w:type="dxa"/>
            <w:vAlign w:val="bottom"/>
            <w:tcBorders>
              <w:bottom w:val="single" w:sz="8" w:color="auto"/>
            </w:tcBorders>
            <w:shd w:val="clear" w:color="auto" w:fill="DDDDDD"/>
          </w:tcPr>
          <w:p>
            <w:pPr>
              <w:spacing w:after="0"/>
              <w:rPr>
                <w:sz w:val="22"/>
                <w:szCs w:val="22"/>
                <w:color w:val="auto"/>
              </w:rPr>
            </w:pPr>
          </w:p>
        </w:tc>
        <w:tc>
          <w:tcPr>
            <w:tcW w:w="1200" w:type="dxa"/>
            <w:vAlign w:val="bottom"/>
            <w:tcBorders>
              <w:bottom w:val="single" w:sz="8" w:color="auto"/>
            </w:tcBorders>
            <w:shd w:val="clear" w:color="auto" w:fill="DDDDDD"/>
          </w:tcPr>
          <w:p>
            <w:pPr>
              <w:jc w:val="right"/>
              <w:ind w:right="17"/>
              <w:spacing w:after="0"/>
              <w:rPr>
                <w:sz w:val="20"/>
                <w:szCs w:val="20"/>
                <w:color w:val="auto"/>
              </w:rPr>
            </w:pPr>
            <w:r>
              <w:rPr>
                <w:rFonts w:ascii="Arial" w:cs="Arial" w:eastAsia="Arial" w:hAnsi="Arial"/>
                <w:sz w:val="17"/>
                <w:szCs w:val="17"/>
                <w:color w:val="2573BA"/>
              </w:rPr>
              <w:t>3,057.3</w:t>
            </w:r>
          </w:p>
        </w:tc>
        <w:tc>
          <w:tcPr>
            <w:tcW w:w="10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2,829.4</w:t>
            </w:r>
          </w:p>
        </w:tc>
        <w:tc>
          <w:tcPr>
            <w:tcW w:w="100" w:type="dxa"/>
            <w:vAlign w:val="bottom"/>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8.1 %</w:t>
            </w:r>
          </w:p>
        </w:tc>
        <w:tc>
          <w:tcPr>
            <w:tcW w:w="0" w:type="dxa"/>
            <w:vAlign w:val="bottom"/>
          </w:tcPr>
          <w:p>
            <w:pPr>
              <w:spacing w:after="0"/>
              <w:rPr>
                <w:sz w:val="1"/>
                <w:szCs w:val="1"/>
                <w:color w:val="auto"/>
              </w:rPr>
            </w:pPr>
          </w:p>
        </w:tc>
      </w:tr>
      <w:tr>
        <w:trPr>
          <w:trHeight w:val="276"/>
        </w:trPr>
        <w:tc>
          <w:tcPr>
            <w:tcW w:w="5400" w:type="dxa"/>
            <w:vAlign w:val="bottom"/>
          </w:tcPr>
          <w:p>
            <w:pPr>
              <w:ind w:left="360"/>
              <w:spacing w:after="0"/>
              <w:rPr>
                <w:sz w:val="20"/>
                <w:szCs w:val="20"/>
                <w:color w:val="auto"/>
              </w:rPr>
            </w:pPr>
            <w:r>
              <w:rPr>
                <w:rFonts w:ascii="Arial" w:cs="Arial" w:eastAsia="Arial" w:hAnsi="Arial"/>
                <w:sz w:val="17"/>
                <w:szCs w:val="17"/>
                <w:color w:val="auto"/>
              </w:rPr>
              <w:t>Total cash, cash equivalents and marketable securities</w:t>
            </w:r>
          </w:p>
        </w:tc>
        <w:tc>
          <w:tcPr>
            <w:tcW w:w="1200" w:type="dxa"/>
            <w:vAlign w:val="bottom"/>
          </w:tcPr>
          <w:p>
            <w:pPr>
              <w:spacing w:after="0"/>
              <w:rPr>
                <w:sz w:val="24"/>
                <w:szCs w:val="24"/>
                <w:color w:val="auto"/>
              </w:rPr>
            </w:pPr>
          </w:p>
        </w:tc>
        <w:tc>
          <w:tcPr>
            <w:tcW w:w="380" w:type="dxa"/>
            <w:vAlign w:val="bottom"/>
            <w:shd w:val="clear" w:color="auto" w:fill="DDDDDD"/>
          </w:tcPr>
          <w:p>
            <w:pPr>
              <w:jc w:val="right"/>
              <w:ind w:right="175"/>
              <w:spacing w:after="0"/>
              <w:rPr>
                <w:sz w:val="20"/>
                <w:szCs w:val="20"/>
                <w:color w:val="auto"/>
              </w:rPr>
            </w:pPr>
            <w:r>
              <w:rPr>
                <w:rFonts w:ascii="Arial" w:cs="Arial" w:eastAsia="Arial" w:hAnsi="Arial"/>
                <w:sz w:val="17"/>
                <w:szCs w:val="17"/>
                <w:color w:val="2573BA"/>
              </w:rPr>
              <w:t>$</w:t>
            </w:r>
          </w:p>
        </w:tc>
        <w:tc>
          <w:tcPr>
            <w:tcW w:w="12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6,746.3</w:t>
            </w:r>
          </w:p>
        </w:tc>
        <w:tc>
          <w:tcPr>
            <w:tcW w:w="72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7,724.5</w:t>
            </w: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(12.7)%</w:t>
            </w:r>
          </w:p>
        </w:tc>
        <w:tc>
          <w:tcPr>
            <w:tcW w:w="0" w:type="dxa"/>
            <w:vAlign w:val="bottom"/>
          </w:tcPr>
          <w:p>
            <w:pPr>
              <w:spacing w:after="0"/>
              <w:rPr>
                <w:sz w:val="1"/>
                <w:szCs w:val="1"/>
                <w:color w:val="auto"/>
              </w:rPr>
            </w:pPr>
          </w:p>
        </w:tc>
      </w:tr>
      <w:tr>
        <w:trPr>
          <w:trHeight w:val="189"/>
        </w:trPr>
        <w:tc>
          <w:tcPr>
            <w:tcW w:w="5400" w:type="dxa"/>
            <w:vAlign w:val="bottom"/>
          </w:tcPr>
          <w:p>
            <w:pPr>
              <w:ind w:left="20"/>
              <w:spacing w:after="0" w:line="189" w:lineRule="exact"/>
              <w:rPr>
                <w:sz w:val="20"/>
                <w:szCs w:val="20"/>
                <w:color w:val="auto"/>
              </w:rPr>
            </w:pPr>
            <w:r>
              <w:rPr>
                <w:rFonts w:ascii="Arial" w:cs="Arial" w:eastAsia="Arial" w:hAnsi="Arial"/>
                <w:sz w:val="17"/>
                <w:szCs w:val="17"/>
                <w:color w:val="auto"/>
              </w:rPr>
              <w:t>Borrowings:</w:t>
            </w:r>
          </w:p>
        </w:tc>
        <w:tc>
          <w:tcPr>
            <w:tcW w:w="1200" w:type="dxa"/>
            <w:vAlign w:val="bottom"/>
          </w:tcPr>
          <w:p>
            <w:pPr>
              <w:spacing w:after="0"/>
              <w:rPr>
                <w:sz w:val="16"/>
                <w:szCs w:val="16"/>
                <w:color w:val="auto"/>
              </w:rPr>
            </w:pPr>
          </w:p>
        </w:tc>
        <w:tc>
          <w:tcPr>
            <w:tcW w:w="380" w:type="dxa"/>
            <w:vAlign w:val="bottom"/>
            <w:tcBorders>
              <w:top w:val="single" w:sz="8" w:color="auto"/>
            </w:tcBorders>
            <w:shd w:val="clear" w:color="auto" w:fill="DDDDDD"/>
          </w:tcPr>
          <w:p>
            <w:pPr>
              <w:spacing w:after="0"/>
              <w:rPr>
                <w:sz w:val="16"/>
                <w:szCs w:val="16"/>
                <w:color w:val="auto"/>
              </w:rPr>
            </w:pPr>
          </w:p>
        </w:tc>
        <w:tc>
          <w:tcPr>
            <w:tcW w:w="1200" w:type="dxa"/>
            <w:vAlign w:val="bottom"/>
            <w:tcBorders>
              <w:top w:val="single" w:sz="8" w:color="auto"/>
            </w:tcBorders>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95"/>
        </w:trPr>
        <w:tc>
          <w:tcPr>
            <w:tcW w:w="5400" w:type="dxa"/>
            <w:vAlign w:val="bottom"/>
          </w:tcPr>
          <w:p>
            <w:pPr>
              <w:ind w:left="160"/>
              <w:spacing w:after="0"/>
              <w:rPr>
                <w:sz w:val="20"/>
                <w:szCs w:val="20"/>
                <w:color w:val="auto"/>
              </w:rPr>
            </w:pPr>
            <w:r>
              <w:rPr>
                <w:rFonts w:ascii="Arial" w:cs="Arial" w:eastAsia="Arial" w:hAnsi="Arial"/>
                <w:sz w:val="17"/>
                <w:szCs w:val="17"/>
                <w:color w:val="auto"/>
              </w:rPr>
              <w:t>Current portion of notes payable and other financing arrangements</w:t>
            </w:r>
          </w:p>
        </w:tc>
        <w:tc>
          <w:tcPr>
            <w:tcW w:w="1200" w:type="dxa"/>
            <w:vAlign w:val="bottom"/>
          </w:tcPr>
          <w:p>
            <w:pPr>
              <w:spacing w:after="0"/>
              <w:rPr>
                <w:sz w:val="24"/>
                <w:szCs w:val="24"/>
                <w:color w:val="auto"/>
              </w:rPr>
            </w:pPr>
          </w:p>
        </w:tc>
        <w:tc>
          <w:tcPr>
            <w:tcW w:w="380" w:type="dxa"/>
            <w:vAlign w:val="bottom"/>
            <w:shd w:val="clear" w:color="auto" w:fill="DDDDDD"/>
          </w:tcPr>
          <w:p>
            <w:pPr>
              <w:jc w:val="right"/>
              <w:ind w:right="175"/>
              <w:spacing w:after="0"/>
              <w:rPr>
                <w:sz w:val="20"/>
                <w:szCs w:val="20"/>
                <w:color w:val="auto"/>
              </w:rPr>
            </w:pPr>
            <w:r>
              <w:rPr>
                <w:rFonts w:ascii="Arial" w:cs="Arial" w:eastAsia="Arial" w:hAnsi="Arial"/>
                <w:sz w:val="17"/>
                <w:szCs w:val="17"/>
                <w:color w:val="2573BA"/>
              </w:rPr>
              <w:t>$</w:t>
            </w:r>
          </w:p>
        </w:tc>
        <w:tc>
          <w:tcPr>
            <w:tcW w:w="12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3.2</w:t>
            </w:r>
          </w:p>
        </w:tc>
        <w:tc>
          <w:tcPr>
            <w:tcW w:w="72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(31.9)%</w:t>
            </w:r>
          </w:p>
        </w:tc>
        <w:tc>
          <w:tcPr>
            <w:tcW w:w="0" w:type="dxa"/>
            <w:vAlign w:val="bottom"/>
          </w:tcPr>
          <w:p>
            <w:pPr>
              <w:spacing w:after="0"/>
              <w:rPr>
                <w:sz w:val="1"/>
                <w:szCs w:val="1"/>
                <w:color w:val="auto"/>
              </w:rPr>
            </w:pPr>
          </w:p>
        </w:tc>
      </w:tr>
      <w:tr>
        <w:trPr>
          <w:trHeight w:val="263"/>
        </w:trPr>
        <w:tc>
          <w:tcPr>
            <w:tcW w:w="5400" w:type="dxa"/>
            <w:vAlign w:val="bottom"/>
          </w:tcPr>
          <w:p>
            <w:pPr>
              <w:ind w:left="160"/>
              <w:spacing w:after="0"/>
              <w:rPr>
                <w:sz w:val="20"/>
                <w:szCs w:val="20"/>
                <w:color w:val="auto"/>
              </w:rPr>
            </w:pPr>
            <w:r>
              <w:rPr>
                <w:rFonts w:ascii="Arial" w:cs="Arial" w:eastAsia="Arial" w:hAnsi="Arial"/>
                <w:sz w:val="17"/>
                <w:szCs w:val="17"/>
                <w:color w:val="auto"/>
              </w:rPr>
              <w:t>Notes payable and other financing arrangements</w:t>
            </w:r>
          </w:p>
        </w:tc>
        <w:tc>
          <w:tcPr>
            <w:tcW w:w="1200" w:type="dxa"/>
            <w:vAlign w:val="bottom"/>
          </w:tcPr>
          <w:p>
            <w:pPr>
              <w:spacing w:after="0"/>
              <w:rPr>
                <w:sz w:val="22"/>
                <w:szCs w:val="22"/>
                <w:color w:val="auto"/>
              </w:rPr>
            </w:pPr>
          </w:p>
        </w:tc>
        <w:tc>
          <w:tcPr>
            <w:tcW w:w="380" w:type="dxa"/>
            <w:vAlign w:val="bottom"/>
            <w:tcBorders>
              <w:bottom w:val="single" w:sz="8" w:color="auto"/>
            </w:tcBorders>
            <w:shd w:val="clear" w:color="auto" w:fill="DDDDDD"/>
          </w:tcPr>
          <w:p>
            <w:pPr>
              <w:spacing w:after="0"/>
              <w:rPr>
                <w:sz w:val="22"/>
                <w:szCs w:val="22"/>
                <w:color w:val="auto"/>
              </w:rPr>
            </w:pPr>
          </w:p>
        </w:tc>
        <w:tc>
          <w:tcPr>
            <w:tcW w:w="1200" w:type="dxa"/>
            <w:vAlign w:val="bottom"/>
            <w:tcBorders>
              <w:bottom w:val="single" w:sz="8" w:color="auto"/>
            </w:tcBorders>
            <w:shd w:val="clear" w:color="auto" w:fill="DDDDDD"/>
          </w:tcPr>
          <w:p>
            <w:pPr>
              <w:jc w:val="right"/>
              <w:ind w:right="17"/>
              <w:spacing w:after="0"/>
              <w:rPr>
                <w:sz w:val="20"/>
                <w:szCs w:val="20"/>
                <w:color w:val="auto"/>
              </w:rPr>
            </w:pPr>
            <w:r>
              <w:rPr>
                <w:rFonts w:ascii="Arial" w:cs="Arial" w:eastAsia="Arial" w:hAnsi="Arial"/>
                <w:sz w:val="17"/>
                <w:szCs w:val="17"/>
                <w:color w:val="2573BA"/>
              </w:rPr>
              <w:t>5,935.0</w:t>
            </w:r>
          </w:p>
        </w:tc>
        <w:tc>
          <w:tcPr>
            <w:tcW w:w="10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6,512.7</w:t>
            </w:r>
          </w:p>
        </w:tc>
        <w:tc>
          <w:tcPr>
            <w:tcW w:w="100" w:type="dxa"/>
            <w:vAlign w:val="bottom"/>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276"/>
        </w:trPr>
        <w:tc>
          <w:tcPr>
            <w:tcW w:w="5400" w:type="dxa"/>
            <w:vAlign w:val="bottom"/>
          </w:tcPr>
          <w:p>
            <w:pPr>
              <w:ind w:left="360"/>
              <w:spacing w:after="0"/>
              <w:rPr>
                <w:sz w:val="20"/>
                <w:szCs w:val="20"/>
                <w:color w:val="auto"/>
              </w:rPr>
            </w:pPr>
            <w:r>
              <w:rPr>
                <w:rFonts w:ascii="Arial" w:cs="Arial" w:eastAsia="Arial" w:hAnsi="Arial"/>
                <w:sz w:val="17"/>
                <w:szCs w:val="17"/>
                <w:color w:val="auto"/>
              </w:rPr>
              <w:t>Total borrowings</w:t>
            </w:r>
          </w:p>
        </w:tc>
        <w:tc>
          <w:tcPr>
            <w:tcW w:w="1200" w:type="dxa"/>
            <w:vAlign w:val="bottom"/>
          </w:tcPr>
          <w:p>
            <w:pPr>
              <w:spacing w:after="0"/>
              <w:rPr>
                <w:sz w:val="24"/>
                <w:szCs w:val="24"/>
                <w:color w:val="auto"/>
              </w:rPr>
            </w:pPr>
          </w:p>
        </w:tc>
        <w:tc>
          <w:tcPr>
            <w:tcW w:w="380" w:type="dxa"/>
            <w:vAlign w:val="bottom"/>
            <w:shd w:val="clear" w:color="auto" w:fill="DDDDDD"/>
          </w:tcPr>
          <w:p>
            <w:pPr>
              <w:jc w:val="right"/>
              <w:ind w:right="175"/>
              <w:spacing w:after="0"/>
              <w:rPr>
                <w:sz w:val="20"/>
                <w:szCs w:val="20"/>
                <w:color w:val="auto"/>
              </w:rPr>
            </w:pPr>
            <w:r>
              <w:rPr>
                <w:rFonts w:ascii="Arial" w:cs="Arial" w:eastAsia="Arial" w:hAnsi="Arial"/>
                <w:sz w:val="17"/>
                <w:szCs w:val="17"/>
                <w:color w:val="2573BA"/>
              </w:rPr>
              <w:t>$</w:t>
            </w:r>
          </w:p>
        </w:tc>
        <w:tc>
          <w:tcPr>
            <w:tcW w:w="12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5,938.2</w:t>
            </w:r>
          </w:p>
        </w:tc>
        <w:tc>
          <w:tcPr>
            <w:tcW w:w="72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6,517.4</w:t>
            </w: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189"/>
        </w:trPr>
        <w:tc>
          <w:tcPr>
            <w:tcW w:w="5400" w:type="dxa"/>
            <w:vAlign w:val="bottom"/>
          </w:tcPr>
          <w:p>
            <w:pPr>
              <w:ind w:left="20"/>
              <w:spacing w:after="0" w:line="189" w:lineRule="exact"/>
              <w:rPr>
                <w:sz w:val="20"/>
                <w:szCs w:val="20"/>
                <w:color w:val="auto"/>
              </w:rPr>
            </w:pPr>
            <w:r>
              <w:rPr>
                <w:rFonts w:ascii="Arial" w:cs="Arial" w:eastAsia="Arial" w:hAnsi="Arial"/>
                <w:sz w:val="17"/>
                <w:szCs w:val="17"/>
                <w:color w:val="auto"/>
              </w:rPr>
              <w:t>Working Capital:</w:t>
            </w:r>
          </w:p>
        </w:tc>
        <w:tc>
          <w:tcPr>
            <w:tcW w:w="1200" w:type="dxa"/>
            <w:vAlign w:val="bottom"/>
          </w:tcPr>
          <w:p>
            <w:pPr>
              <w:spacing w:after="0"/>
              <w:rPr>
                <w:sz w:val="16"/>
                <w:szCs w:val="16"/>
                <w:color w:val="auto"/>
              </w:rPr>
            </w:pPr>
          </w:p>
        </w:tc>
        <w:tc>
          <w:tcPr>
            <w:tcW w:w="380" w:type="dxa"/>
            <w:vAlign w:val="bottom"/>
            <w:tcBorders>
              <w:top w:val="single" w:sz="8" w:color="auto"/>
            </w:tcBorders>
            <w:shd w:val="clear" w:color="auto" w:fill="DDDDDD"/>
          </w:tcPr>
          <w:p>
            <w:pPr>
              <w:spacing w:after="0"/>
              <w:rPr>
                <w:sz w:val="16"/>
                <w:szCs w:val="16"/>
                <w:color w:val="auto"/>
              </w:rPr>
            </w:pPr>
          </w:p>
        </w:tc>
        <w:tc>
          <w:tcPr>
            <w:tcW w:w="1200" w:type="dxa"/>
            <w:vAlign w:val="bottom"/>
            <w:tcBorders>
              <w:top w:val="single" w:sz="8" w:color="auto"/>
            </w:tcBorders>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5400" w:type="dxa"/>
            <w:vAlign w:val="bottom"/>
          </w:tcPr>
          <w:p>
            <w:pPr>
              <w:ind w:left="160"/>
              <w:spacing w:after="0"/>
              <w:rPr>
                <w:sz w:val="20"/>
                <w:szCs w:val="20"/>
                <w:color w:val="auto"/>
              </w:rPr>
            </w:pPr>
            <w:r>
              <w:rPr>
                <w:rFonts w:ascii="Arial" w:cs="Arial" w:eastAsia="Arial" w:hAnsi="Arial"/>
                <w:sz w:val="17"/>
                <w:szCs w:val="17"/>
                <w:color w:val="auto"/>
              </w:rPr>
              <w:t>Current assets</w:t>
            </w:r>
          </w:p>
        </w:tc>
        <w:tc>
          <w:tcPr>
            <w:tcW w:w="1200" w:type="dxa"/>
            <w:vAlign w:val="bottom"/>
          </w:tcPr>
          <w:p>
            <w:pPr>
              <w:spacing w:after="0"/>
              <w:rPr>
                <w:sz w:val="24"/>
                <w:szCs w:val="24"/>
                <w:color w:val="auto"/>
              </w:rPr>
            </w:pPr>
          </w:p>
        </w:tc>
        <w:tc>
          <w:tcPr>
            <w:tcW w:w="380" w:type="dxa"/>
            <w:vAlign w:val="bottom"/>
            <w:shd w:val="clear" w:color="auto" w:fill="DDDDDD"/>
          </w:tcPr>
          <w:p>
            <w:pPr>
              <w:jc w:val="right"/>
              <w:ind w:right="175"/>
              <w:spacing w:after="0"/>
              <w:rPr>
                <w:sz w:val="20"/>
                <w:szCs w:val="20"/>
                <w:color w:val="auto"/>
              </w:rPr>
            </w:pPr>
            <w:r>
              <w:rPr>
                <w:rFonts w:ascii="Arial" w:cs="Arial" w:eastAsia="Arial" w:hAnsi="Arial"/>
                <w:sz w:val="17"/>
                <w:szCs w:val="17"/>
                <w:color w:val="2573BA"/>
              </w:rPr>
              <w:t>$</w:t>
            </w:r>
          </w:p>
        </w:tc>
        <w:tc>
          <w:tcPr>
            <w:tcW w:w="12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7,873.3</w:t>
            </w:r>
          </w:p>
        </w:tc>
        <w:tc>
          <w:tcPr>
            <w:tcW w:w="72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8,732.2</w:t>
            </w: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49"/>
        </w:trPr>
        <w:tc>
          <w:tcPr>
            <w:tcW w:w="5400" w:type="dxa"/>
            <w:vAlign w:val="bottom"/>
          </w:tcPr>
          <w:p>
            <w:pPr>
              <w:ind w:left="160"/>
              <w:spacing w:after="0"/>
              <w:rPr>
                <w:sz w:val="20"/>
                <w:szCs w:val="20"/>
                <w:color w:val="auto"/>
              </w:rPr>
            </w:pPr>
            <w:r>
              <w:rPr>
                <w:rFonts w:ascii="Arial" w:cs="Arial" w:eastAsia="Arial" w:hAnsi="Arial"/>
                <w:sz w:val="17"/>
                <w:szCs w:val="17"/>
                <w:color w:val="auto"/>
              </w:rPr>
              <w:t>Current liabilities</w:t>
            </w:r>
          </w:p>
        </w:tc>
        <w:tc>
          <w:tcPr>
            <w:tcW w:w="12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(3,368.2)</w:t>
            </w:r>
          </w:p>
        </w:tc>
        <w:tc>
          <w:tcPr>
            <w:tcW w:w="10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(3,419.9)</w:t>
            </w:r>
          </w:p>
        </w:tc>
        <w:tc>
          <w:tcPr>
            <w:tcW w:w="10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36"/>
        </w:trPr>
        <w:tc>
          <w:tcPr>
            <w:tcW w:w="5400" w:type="dxa"/>
            <w:vAlign w:val="bottom"/>
          </w:tcPr>
          <w:p>
            <w:pPr>
              <w:ind w:left="360"/>
              <w:spacing w:after="0"/>
              <w:rPr>
                <w:sz w:val="20"/>
                <w:szCs w:val="20"/>
                <w:color w:val="auto"/>
              </w:rPr>
            </w:pPr>
            <w:r>
              <w:rPr>
                <w:rFonts w:ascii="Arial" w:cs="Arial" w:eastAsia="Arial" w:hAnsi="Arial"/>
                <w:sz w:val="17"/>
                <w:szCs w:val="17"/>
                <w:color w:val="auto"/>
              </w:rPr>
              <w:t>Total working capital</w:t>
            </w:r>
          </w:p>
        </w:tc>
        <w:tc>
          <w:tcPr>
            <w:tcW w:w="1200" w:type="dxa"/>
            <w:vAlign w:val="bottom"/>
          </w:tcPr>
          <w:p>
            <w:pPr>
              <w:spacing w:after="0"/>
              <w:rPr>
                <w:sz w:val="20"/>
                <w:szCs w:val="20"/>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2573BA"/>
              </w:rPr>
              <w:t>$</w:t>
            </w:r>
          </w:p>
        </w:tc>
        <w:tc>
          <w:tcPr>
            <w:tcW w:w="1200" w:type="dxa"/>
            <w:vAlign w:val="bottom"/>
          </w:tcPr>
          <w:p>
            <w:pPr>
              <w:jc w:val="right"/>
              <w:ind w:right="17"/>
              <w:spacing w:after="0"/>
              <w:rPr>
                <w:sz w:val="20"/>
                <w:szCs w:val="20"/>
                <w:color w:val="auto"/>
              </w:rPr>
            </w:pPr>
            <w:r>
              <w:rPr>
                <w:rFonts w:ascii="Arial" w:cs="Arial" w:eastAsia="Arial" w:hAnsi="Arial"/>
                <w:sz w:val="17"/>
                <w:szCs w:val="17"/>
                <w:color w:val="2573BA"/>
              </w:rPr>
              <w:t>4,505.1</w:t>
            </w:r>
          </w:p>
        </w:tc>
        <w:tc>
          <w:tcPr>
            <w:tcW w:w="72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5,312.3</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(15.2)%</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0" w:type="dxa"/>
            <w:vAlign w:val="bottom"/>
            <w:vMerge w:val="restart"/>
          </w:tcPr>
          <w:p>
            <w:pPr>
              <w:jc w:val="right"/>
              <w:ind w:right="715"/>
              <w:spacing w:after="0"/>
              <w:rPr>
                <w:sz w:val="20"/>
                <w:szCs w:val="20"/>
                <w:color w:val="auto"/>
              </w:rPr>
            </w:pPr>
            <w:r>
              <w:rPr>
                <w:rFonts w:ascii="Arial" w:cs="Arial" w:eastAsia="Arial" w:hAnsi="Arial"/>
                <w:sz w:val="17"/>
                <w:szCs w:val="17"/>
                <w:color w:val="auto"/>
              </w:rPr>
              <w:t>77</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40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-787400</wp:posOffset>
            </wp:positionV>
            <wp:extent cx="1000125" cy="4959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00125" cy="495935"/>
                    </a:xfrm>
                    <a:prstGeom prst="rect">
                      <a:avLst/>
                    </a:prstGeom>
                    <a:noFill/>
                  </pic:spPr>
                </pic:pic>
              </a:graphicData>
            </a:graphic>
          </wp:anchor>
        </w:drawing>
      </w:r>
    </w:p>
    <w:p>
      <w:pPr>
        <w:sectPr>
          <w:pgSz w:w="11900" w:h="16838" w:orient="portrait"/>
          <w:cols w:equalWidth="0" w:num="1">
            <w:col w:w="11340"/>
          </w:cols>
          <w:pgMar w:left="240" w:top="144" w:right="319" w:bottom="1440" w:gutter="0" w:footer="0" w:header="0"/>
          <w:type w:val="continuous"/>
        </w:sectPr>
      </w:pPr>
    </w:p>
    <w:bookmarkStart w:id="81" w:name="page82"/>
    <w:bookmarkEnd w:id="8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383" w:lineRule="exact"/>
        <w:rPr>
          <w:sz w:val="20"/>
          <w:szCs w:val="20"/>
          <w:color w:val="auto"/>
        </w:rPr>
      </w:pPr>
    </w:p>
    <w:p>
      <w:pPr>
        <w:ind w:right="280" w:firstLine="384"/>
        <w:spacing w:after="0" w:line="262" w:lineRule="auto"/>
        <w:rPr>
          <w:sz w:val="20"/>
          <w:szCs w:val="20"/>
          <w:color w:val="auto"/>
        </w:rPr>
      </w:pPr>
      <w:r>
        <w:rPr>
          <w:rFonts w:ascii="Arial" w:cs="Arial" w:eastAsia="Arial" w:hAnsi="Arial"/>
          <w:sz w:val="17"/>
          <w:szCs w:val="17"/>
          <w:color w:val="auto"/>
        </w:rPr>
        <w:t>For the year ended December 31, 2017, certain significant cash flows were as follows:</w:t>
      </w:r>
    </w:p>
    <w:p>
      <w:pPr>
        <w:spacing w:after="0" w:line="125" w:lineRule="exact"/>
        <w:rPr>
          <w:sz w:val="20"/>
          <w:szCs w:val="20"/>
          <w:color w:val="auto"/>
        </w:rPr>
      </w:pPr>
    </w:p>
    <w:p>
      <w:pPr>
        <w:ind w:left="380" w:hanging="301"/>
        <w:spacing w:after="0"/>
        <w:tabs>
          <w:tab w:leader="none" w:pos="3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$4.6 billion in net cash flows provided by operating activities, net of:</w:t>
      </w:r>
    </w:p>
    <w:p>
      <w:pPr>
        <w:spacing w:after="0" w:line="86" w:lineRule="exact"/>
        <w:rPr>
          <w:rFonts w:ascii="Arial" w:cs="Arial" w:eastAsia="Arial" w:hAnsi="Arial"/>
          <w:sz w:val="17"/>
          <w:szCs w:val="17"/>
          <w:color w:val="auto"/>
        </w:rPr>
      </w:pPr>
    </w:p>
    <w:p>
      <w:pPr>
        <w:ind w:left="840" w:hanging="300"/>
        <w:spacing w:after="0"/>
        <w:tabs>
          <w:tab w:leader="none" w:pos="840" w:val="left"/>
        </w:tabs>
        <w:numPr>
          <w:ilvl w:val="1"/>
          <w:numId w:val="77"/>
        </w:numPr>
        <w:rPr>
          <w:rFonts w:ascii="Arial" w:cs="Arial" w:eastAsia="Arial" w:hAnsi="Arial"/>
          <w:sz w:val="17"/>
          <w:szCs w:val="17"/>
          <w:color w:val="auto"/>
        </w:rPr>
      </w:pPr>
      <w:r>
        <w:rPr>
          <w:rFonts w:ascii="Arial" w:cs="Arial" w:eastAsia="Arial" w:hAnsi="Arial"/>
          <w:sz w:val="17"/>
          <w:szCs w:val="17"/>
          <w:color w:val="auto"/>
        </w:rPr>
        <w:t xml:space="preserve">$1.1 billion </w:t>
      </w:r>
      <w:r>
        <w:rPr>
          <w:rFonts w:ascii="Arial" w:cs="Arial" w:eastAsia="Arial" w:hAnsi="Arial"/>
          <w:sz w:val="17"/>
          <w:szCs w:val="17"/>
          <w:color w:val="0F243E"/>
        </w:rPr>
        <w:t>in total net payments for income taxes;</w:t>
      </w:r>
    </w:p>
    <w:p>
      <w:pPr>
        <w:spacing w:after="0" w:line="97" w:lineRule="exact"/>
        <w:rPr>
          <w:rFonts w:ascii="Arial" w:cs="Arial" w:eastAsia="Arial" w:hAnsi="Arial"/>
          <w:sz w:val="17"/>
          <w:szCs w:val="17"/>
          <w:color w:val="auto"/>
        </w:rPr>
      </w:pPr>
    </w:p>
    <w:p>
      <w:pPr>
        <w:ind w:left="840" w:right="260" w:hanging="300"/>
        <w:spacing w:after="0" w:line="262" w:lineRule="auto"/>
        <w:tabs>
          <w:tab w:leader="none" w:pos="840" w:val="left"/>
        </w:tabs>
        <w:numPr>
          <w:ilvl w:val="1"/>
          <w:numId w:val="77"/>
        </w:numPr>
        <w:rPr>
          <w:rFonts w:ascii="Arial" w:cs="Arial" w:eastAsia="Arial" w:hAnsi="Arial"/>
          <w:sz w:val="17"/>
          <w:szCs w:val="17"/>
          <w:color w:val="0F243E"/>
        </w:rPr>
      </w:pPr>
      <w:r>
        <w:rPr>
          <w:rFonts w:ascii="Arial" w:cs="Arial" w:eastAsia="Arial" w:hAnsi="Arial"/>
          <w:sz w:val="17"/>
          <w:szCs w:val="17"/>
          <w:color w:val="0F243E"/>
        </w:rPr>
        <w:t>$463.0 million in upfront and milestone payments to BMS, iPierian, Eisai, Alkermes and Ionis; and</w:t>
      </w:r>
    </w:p>
    <w:p>
      <w:pPr>
        <w:spacing w:after="0" w:line="59" w:lineRule="exact"/>
        <w:rPr>
          <w:rFonts w:ascii="Arial" w:cs="Arial" w:eastAsia="Arial" w:hAnsi="Arial"/>
          <w:sz w:val="17"/>
          <w:szCs w:val="17"/>
          <w:color w:val="0F243E"/>
        </w:rPr>
      </w:pPr>
    </w:p>
    <w:p>
      <w:pPr>
        <w:ind w:left="840" w:right="20" w:hanging="300"/>
        <w:spacing w:after="0" w:line="257" w:lineRule="auto"/>
        <w:tabs>
          <w:tab w:leader="none" w:pos="840" w:val="left"/>
        </w:tabs>
        <w:numPr>
          <w:ilvl w:val="1"/>
          <w:numId w:val="77"/>
        </w:numPr>
        <w:rPr>
          <w:rFonts w:ascii="Arial" w:cs="Arial" w:eastAsia="Arial" w:hAnsi="Arial"/>
          <w:sz w:val="17"/>
          <w:szCs w:val="17"/>
          <w:color w:val="0F243E"/>
        </w:rPr>
      </w:pPr>
      <w:r>
        <w:rPr>
          <w:rFonts w:ascii="Arial" w:cs="Arial" w:eastAsia="Arial" w:hAnsi="Arial"/>
          <w:sz w:val="17"/>
          <w:szCs w:val="17"/>
          <w:color w:val="0F243E"/>
        </w:rPr>
        <w:t>$454.8 million payment made to Forward Pharma for the litigation settlement charge that was accrued as of December 31, 2016;</w:t>
      </w:r>
    </w:p>
    <w:p>
      <w:pPr>
        <w:spacing w:after="0" w:line="77" w:lineRule="exact"/>
        <w:rPr>
          <w:rFonts w:ascii="Arial" w:cs="Arial" w:eastAsia="Arial" w:hAnsi="Arial"/>
          <w:sz w:val="17"/>
          <w:szCs w:val="17"/>
          <w:color w:val="0F243E"/>
        </w:rPr>
      </w:pPr>
    </w:p>
    <w:p>
      <w:pPr>
        <w:ind w:left="380" w:hanging="301"/>
        <w:spacing w:after="0"/>
        <w:tabs>
          <w:tab w:leader="none" w:pos="3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$1.4 billion used for share repurchases;</w:t>
      </w:r>
    </w:p>
    <w:p>
      <w:pPr>
        <w:spacing w:after="0" w:line="111" w:lineRule="exact"/>
        <w:rPr>
          <w:rFonts w:ascii="Arial" w:cs="Arial" w:eastAsia="Arial" w:hAnsi="Arial"/>
          <w:sz w:val="17"/>
          <w:szCs w:val="17"/>
          <w:color w:val="auto"/>
        </w:rPr>
      </w:pPr>
    </w:p>
    <w:p>
      <w:pPr>
        <w:ind w:left="380" w:right="80" w:hanging="301"/>
        <w:spacing w:after="0" w:line="276" w:lineRule="auto"/>
        <w:tabs>
          <w:tab w:leader="none" w:pos="3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$1.2 billion in contingent payments made to former shareholders of Fumapharm AG and holders of their rights;</w:t>
      </w:r>
    </w:p>
    <w:p>
      <w:pPr>
        <w:spacing w:after="0" w:line="62" w:lineRule="exact"/>
        <w:rPr>
          <w:rFonts w:ascii="Arial" w:cs="Arial" w:eastAsia="Arial" w:hAnsi="Arial"/>
          <w:sz w:val="17"/>
          <w:szCs w:val="17"/>
          <w:color w:val="auto"/>
        </w:rPr>
      </w:pPr>
    </w:p>
    <w:p>
      <w:pPr>
        <w:ind w:left="380" w:hanging="301"/>
        <w:spacing w:after="0"/>
        <w:tabs>
          <w:tab w:leader="none" w:pos="3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$867.4 million used for purchases of property, plant and equipment;</w:t>
      </w:r>
    </w:p>
    <w:p>
      <w:pPr>
        <w:spacing w:after="0" w:line="123" w:lineRule="exact"/>
        <w:rPr>
          <w:rFonts w:ascii="Arial" w:cs="Arial" w:eastAsia="Arial" w:hAnsi="Arial"/>
          <w:sz w:val="17"/>
          <w:szCs w:val="17"/>
          <w:color w:val="auto"/>
        </w:rPr>
      </w:pPr>
    </w:p>
    <w:p>
      <w:pPr>
        <w:ind w:left="380" w:right="580" w:hanging="301"/>
        <w:spacing w:after="0" w:line="257" w:lineRule="auto"/>
        <w:tabs>
          <w:tab w:leader="none" w:pos="3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$795.2 million payment made to Forward Pharma to license Forward Pharma's intellectual property, including Forward Pharma's intellectual property related to TECFIDERA;</w:t>
      </w:r>
    </w:p>
    <w:p>
      <w:pPr>
        <w:spacing w:after="0" w:line="77" w:lineRule="exact"/>
        <w:rPr>
          <w:rFonts w:ascii="Arial" w:cs="Arial" w:eastAsia="Arial" w:hAnsi="Arial"/>
          <w:sz w:val="17"/>
          <w:szCs w:val="17"/>
          <w:color w:val="auto"/>
        </w:rPr>
      </w:pPr>
    </w:p>
    <w:p>
      <w:pPr>
        <w:ind w:left="380" w:right="380" w:hanging="301"/>
        <w:spacing w:after="0" w:line="309" w:lineRule="auto"/>
        <w:tabs>
          <w:tab w:leader="none" w:pos="3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$557.7 million payment made for the redemption of our 6.875% Senior Notes due March 1, 2018 prior to their maturity;</w:t>
      </w:r>
    </w:p>
    <w:p>
      <w:pPr>
        <w:spacing w:after="0" w:line="50" w:lineRule="exact"/>
        <w:rPr>
          <w:rFonts w:ascii="Arial" w:cs="Arial" w:eastAsia="Arial" w:hAnsi="Arial"/>
          <w:sz w:val="16"/>
          <w:szCs w:val="16"/>
          <w:color w:val="auto"/>
        </w:rPr>
      </w:pPr>
    </w:p>
    <w:p>
      <w:pPr>
        <w:ind w:left="380" w:right="260" w:hanging="301"/>
        <w:spacing w:after="0" w:line="262" w:lineRule="auto"/>
        <w:tabs>
          <w:tab w:leader="none" w:pos="3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$302.7 million net cash contribution made in connection with the spin-off of our hemophilia business;</w:t>
      </w:r>
    </w:p>
    <w:p>
      <w:pPr>
        <w:spacing w:after="0" w:line="85" w:lineRule="exact"/>
        <w:rPr>
          <w:rFonts w:ascii="Arial" w:cs="Arial" w:eastAsia="Arial" w:hAnsi="Arial"/>
          <w:sz w:val="17"/>
          <w:szCs w:val="17"/>
          <w:color w:val="auto"/>
        </w:rPr>
      </w:pPr>
    </w:p>
    <w:p>
      <w:pPr>
        <w:ind w:left="380" w:hanging="301"/>
        <w:spacing w:after="0" w:line="262" w:lineRule="auto"/>
        <w:tabs>
          <w:tab w:leader="none" w:pos="3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$295.0 million in upfront and milestone payments made to Remedy, Ionis and Samsung Bioepis; and</w:t>
      </w:r>
    </w:p>
    <w:p>
      <w:pPr>
        <w:spacing w:after="0" w:line="85" w:lineRule="exact"/>
        <w:rPr>
          <w:rFonts w:ascii="Arial" w:cs="Arial" w:eastAsia="Arial" w:hAnsi="Arial"/>
          <w:sz w:val="17"/>
          <w:szCs w:val="17"/>
          <w:color w:val="auto"/>
        </w:rPr>
      </w:pPr>
    </w:p>
    <w:p>
      <w:pPr>
        <w:ind w:left="380" w:right="60" w:hanging="301"/>
        <w:spacing w:after="0" w:line="255" w:lineRule="auto"/>
        <w:tabs>
          <w:tab w:leader="none" w:pos="3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$132.4 million payment, net of tax, made to Neurimmune in exchange for a 15% reduction in royalty rates payable on products developed under the agreement, including on potential commercial sales of aducanumab.</w:t>
      </w:r>
    </w:p>
    <w:p>
      <w:pPr>
        <w:spacing w:after="0" w:line="143" w:lineRule="exact"/>
        <w:rPr>
          <w:sz w:val="20"/>
          <w:szCs w:val="20"/>
          <w:color w:val="auto"/>
        </w:rPr>
      </w:pPr>
    </w:p>
    <w:p>
      <w:pPr>
        <w:ind w:right="280" w:firstLine="384"/>
        <w:spacing w:after="0" w:line="262" w:lineRule="auto"/>
        <w:rPr>
          <w:sz w:val="20"/>
          <w:szCs w:val="20"/>
          <w:color w:val="auto"/>
        </w:rPr>
      </w:pPr>
      <w:r>
        <w:rPr>
          <w:rFonts w:ascii="Arial" w:cs="Arial" w:eastAsia="Arial" w:hAnsi="Arial"/>
          <w:sz w:val="17"/>
          <w:szCs w:val="17"/>
          <w:color w:val="auto"/>
        </w:rPr>
        <w:t>For the year ended December 31, 2016, certain significant cash flows were as follows:</w:t>
      </w:r>
    </w:p>
    <w:p>
      <w:pPr>
        <w:spacing w:after="0" w:line="125" w:lineRule="exact"/>
        <w:rPr>
          <w:sz w:val="20"/>
          <w:szCs w:val="20"/>
          <w:color w:val="auto"/>
        </w:rPr>
      </w:pPr>
    </w:p>
    <w:p>
      <w:pPr>
        <w:ind w:left="380" w:hanging="301"/>
        <w:spacing w:after="0"/>
        <w:tabs>
          <w:tab w:leader="none" w:pos="3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$4.6 billion in net cash flows provided by operating activities, net of:</w:t>
      </w:r>
    </w:p>
    <w:p>
      <w:pPr>
        <w:spacing w:after="0" w:line="163" w:lineRule="exact"/>
        <w:rPr>
          <w:rFonts w:ascii="Arial" w:cs="Arial" w:eastAsia="Arial" w:hAnsi="Arial"/>
          <w:sz w:val="17"/>
          <w:szCs w:val="17"/>
          <w:color w:val="auto"/>
        </w:rPr>
      </w:pPr>
    </w:p>
    <w:p>
      <w:pPr>
        <w:ind w:left="1000" w:hanging="306"/>
        <w:spacing w:after="0"/>
        <w:tabs>
          <w:tab w:leader="none" w:pos="1000" w:val="left"/>
        </w:tabs>
        <w:numPr>
          <w:ilvl w:val="1"/>
          <w:numId w:val="78"/>
        </w:numPr>
        <w:rPr>
          <w:rFonts w:ascii="Arial" w:cs="Arial" w:eastAsia="Arial" w:hAnsi="Arial"/>
          <w:sz w:val="17"/>
          <w:szCs w:val="17"/>
          <w:color w:val="auto"/>
        </w:rPr>
      </w:pPr>
      <w:r>
        <w:rPr>
          <w:rFonts w:ascii="Arial" w:cs="Arial" w:eastAsia="Arial" w:hAnsi="Arial"/>
          <w:sz w:val="17"/>
          <w:szCs w:val="17"/>
          <w:color w:val="auto"/>
        </w:rPr>
        <w:t>$1.6 billion in total net payments for income taxes;</w:t>
      </w:r>
    </w:p>
    <w:p>
      <w:pPr>
        <w:spacing w:after="0" w:line="174" w:lineRule="exact"/>
        <w:rPr>
          <w:rFonts w:ascii="Arial" w:cs="Arial" w:eastAsia="Arial" w:hAnsi="Arial"/>
          <w:sz w:val="17"/>
          <w:szCs w:val="17"/>
          <w:color w:val="auto"/>
        </w:rPr>
      </w:pPr>
    </w:p>
    <w:p>
      <w:pPr>
        <w:ind w:left="1000" w:hanging="306"/>
        <w:spacing w:after="0"/>
        <w:tabs>
          <w:tab w:leader="none" w:pos="1000" w:val="left"/>
        </w:tabs>
        <w:numPr>
          <w:ilvl w:val="1"/>
          <w:numId w:val="78"/>
        </w:numPr>
        <w:rPr>
          <w:rFonts w:ascii="Arial" w:cs="Arial" w:eastAsia="Arial" w:hAnsi="Arial"/>
          <w:sz w:val="17"/>
          <w:szCs w:val="17"/>
          <w:color w:val="auto"/>
        </w:rPr>
      </w:pPr>
      <w:r>
        <w:rPr>
          <w:rFonts w:ascii="Arial" w:cs="Arial" w:eastAsia="Arial" w:hAnsi="Arial"/>
          <w:sz w:val="17"/>
          <w:szCs w:val="17"/>
          <w:color w:val="auto"/>
        </w:rPr>
        <w:t>$75.0 million license fee payment made to Ionis; and</w:t>
      </w:r>
    </w:p>
    <w:p>
      <w:pPr>
        <w:spacing w:after="0" w:line="163" w:lineRule="exact"/>
        <w:rPr>
          <w:rFonts w:ascii="Arial" w:cs="Arial" w:eastAsia="Arial" w:hAnsi="Arial"/>
          <w:sz w:val="17"/>
          <w:szCs w:val="17"/>
          <w:color w:val="auto"/>
        </w:rPr>
      </w:pPr>
    </w:p>
    <w:p>
      <w:pPr>
        <w:ind w:left="1000" w:hanging="306"/>
        <w:spacing w:after="0"/>
        <w:tabs>
          <w:tab w:leader="none" w:pos="1000" w:val="left"/>
        </w:tabs>
        <w:numPr>
          <w:ilvl w:val="1"/>
          <w:numId w:val="78"/>
        </w:numPr>
        <w:rPr>
          <w:rFonts w:ascii="Arial" w:cs="Arial" w:eastAsia="Arial" w:hAnsi="Arial"/>
          <w:sz w:val="17"/>
          <w:szCs w:val="17"/>
          <w:color w:val="auto"/>
        </w:rPr>
      </w:pPr>
      <w:r>
        <w:rPr>
          <w:rFonts w:ascii="Arial" w:cs="Arial" w:eastAsia="Arial" w:hAnsi="Arial"/>
          <w:sz w:val="17"/>
          <w:szCs w:val="17"/>
          <w:color w:val="auto"/>
        </w:rPr>
        <w:t>$20.0 million upfront payment to UPenn;</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700" w:right="40" w:hanging="301"/>
        <w:spacing w:after="0" w:line="262" w:lineRule="auto"/>
        <w:tabs>
          <w:tab w:leader="none" w:pos="7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$1.2 billion in contingent payments made to former shareholders of Fumapharm AG and holders of their rights;</w:t>
      </w:r>
    </w:p>
    <w:p>
      <w:pPr>
        <w:spacing w:after="0" w:line="125" w:lineRule="exact"/>
        <w:rPr>
          <w:rFonts w:ascii="Arial" w:cs="Arial" w:eastAsia="Arial" w:hAnsi="Arial"/>
          <w:sz w:val="17"/>
          <w:szCs w:val="17"/>
          <w:color w:val="auto"/>
        </w:rPr>
      </w:pPr>
    </w:p>
    <w:p>
      <w:pPr>
        <w:ind w:left="700" w:hanging="301"/>
        <w:spacing w:after="0"/>
        <w:tabs>
          <w:tab w:leader="none" w:pos="7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$1.0 billion used for share repurchases;</w:t>
      </w:r>
    </w:p>
    <w:p>
      <w:pPr>
        <w:spacing w:after="0" w:line="163" w:lineRule="exact"/>
        <w:rPr>
          <w:rFonts w:ascii="Arial" w:cs="Arial" w:eastAsia="Arial" w:hAnsi="Arial"/>
          <w:sz w:val="17"/>
          <w:szCs w:val="17"/>
          <w:color w:val="auto"/>
        </w:rPr>
      </w:pPr>
    </w:p>
    <w:p>
      <w:pPr>
        <w:ind w:left="700" w:right="40" w:hanging="301"/>
        <w:spacing w:after="0" w:line="276" w:lineRule="auto"/>
        <w:tabs>
          <w:tab w:leader="none" w:pos="7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$616.1 million used for purchases of property, plant and equipment; and</w:t>
      </w:r>
    </w:p>
    <w:p>
      <w:pPr>
        <w:spacing w:after="0" w:line="125" w:lineRule="exact"/>
        <w:rPr>
          <w:rFonts w:ascii="Arial" w:cs="Arial" w:eastAsia="Arial" w:hAnsi="Arial"/>
          <w:sz w:val="17"/>
          <w:szCs w:val="17"/>
          <w:color w:val="auto"/>
        </w:rPr>
      </w:pPr>
    </w:p>
    <w:p>
      <w:pPr>
        <w:ind w:left="700" w:right="20" w:hanging="301"/>
        <w:spacing w:after="0" w:line="262" w:lineRule="auto"/>
        <w:tabs>
          <w:tab w:leader="none" w:pos="7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$82.0 million in milestone payments made to Samsung Bioepis and AbbVie.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2573BA"/>
        </w:rPr>
        <w:t>Overview</w:t>
      </w:r>
    </w:p>
    <w:p>
      <w:pPr>
        <w:spacing w:after="0" w:line="106" w:lineRule="exact"/>
        <w:rPr>
          <w:sz w:val="20"/>
          <w:szCs w:val="20"/>
          <w:color w:val="auto"/>
        </w:rPr>
      </w:pPr>
    </w:p>
    <w:p>
      <w:pPr>
        <w:ind w:left="320" w:firstLine="205"/>
        <w:spacing w:after="0" w:line="252" w:lineRule="auto"/>
        <w:rPr>
          <w:sz w:val="20"/>
          <w:szCs w:val="20"/>
          <w:color w:val="auto"/>
        </w:rPr>
      </w:pPr>
      <w:r>
        <w:rPr>
          <w:rFonts w:ascii="Arial" w:cs="Arial" w:eastAsia="Arial" w:hAnsi="Arial"/>
          <w:sz w:val="17"/>
          <w:szCs w:val="17"/>
          <w:color w:val="auto"/>
        </w:rPr>
        <w:t>We have historically financed our operating and capital expenditures primarily through cash flows earned through our operations. We expect to continue funding our current and planned operating requirements principally through our cash flows from operations, as well as our existing cash resources. We believe that our existing funds, when combined with cash generated from operations and our access to additional financing resources, if needed, are sufficient to satisfy our operating, working capital, strategic alliance, milestone payment, capital expenditure and debt service requirements for the foreseeable future. In addition, we may choose to opportunistically return cash to shareholders and pursue other business initiatives, including acquisition and licensing activities. We may, from time to time, also seek additional funding through a combination of new collaborative agreements, strategic alliances and additional equity and debt financings or from other sources should we identify a significant new opportunity</w:t>
      </w:r>
      <w:r>
        <w:rPr>
          <w:rFonts w:ascii="Arial" w:cs="Arial" w:eastAsia="Arial" w:hAnsi="Arial"/>
          <w:sz w:val="17"/>
          <w:szCs w:val="17"/>
          <w:b w:val="1"/>
          <w:bCs w:val="1"/>
          <w:i w:val="1"/>
          <w:iCs w:val="1"/>
          <w:color w:val="2573BA"/>
        </w:rPr>
        <w:t>.</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538235"/>
        </w:rPr>
        <w:t>Tax Reform</w:t>
      </w:r>
    </w:p>
    <w:p>
      <w:pPr>
        <w:spacing w:after="0" w:line="104" w:lineRule="exact"/>
        <w:rPr>
          <w:sz w:val="20"/>
          <w:szCs w:val="20"/>
          <w:color w:val="auto"/>
        </w:rPr>
      </w:pPr>
    </w:p>
    <w:p>
      <w:pPr>
        <w:ind w:left="320" w:right="280" w:firstLine="205"/>
        <w:spacing w:after="0" w:line="257" w:lineRule="auto"/>
        <w:rPr>
          <w:sz w:val="20"/>
          <w:szCs w:val="20"/>
          <w:color w:val="auto"/>
        </w:rPr>
      </w:pPr>
      <w:r>
        <w:rPr>
          <w:rFonts w:ascii="Arial" w:cs="Arial" w:eastAsia="Arial" w:hAnsi="Arial"/>
          <w:sz w:val="17"/>
          <w:szCs w:val="17"/>
          <w:color w:val="auto"/>
        </w:rPr>
        <w:t>On December 22, 2017, the 2017 Tax Act was signed into law and has resulted in significant changes to the U.S. corporate income tax system.</w:t>
      </w:r>
    </w:p>
    <w:p>
      <w:pPr>
        <w:spacing w:after="0" w:line="64" w:lineRule="exact"/>
        <w:rPr>
          <w:sz w:val="20"/>
          <w:szCs w:val="20"/>
          <w:color w:val="auto"/>
        </w:rPr>
      </w:pPr>
    </w:p>
    <w:p>
      <w:pPr>
        <w:ind w:left="320" w:right="40" w:firstLine="410"/>
        <w:spacing w:after="0" w:line="252" w:lineRule="auto"/>
        <w:rPr>
          <w:sz w:val="20"/>
          <w:szCs w:val="20"/>
          <w:color w:val="auto"/>
        </w:rPr>
      </w:pPr>
      <w:r>
        <w:rPr>
          <w:rFonts w:ascii="Arial" w:cs="Arial" w:eastAsia="Arial" w:hAnsi="Arial"/>
          <w:sz w:val="17"/>
          <w:szCs w:val="17"/>
          <w:color w:val="auto"/>
        </w:rPr>
        <w:t>The 2017 Tax Act eliminates the deferral of U.S. income tax on the historical unrepatriated earnings by imposing the Transition Toll Tax, which is a one-time mandatory deemed repatriation tax on undistributed foreign earnings. The Transition Toll Tax is assessed on the U.S. shareholder's share of the foreign corporation's accumulated foreign earnings that have not previously been taxed. Earnings in the form of cash and cash equivalents will be taxed at a rate of 15.5% and all other earnings will be taxed at a rate of 8.0%. As of December 31, 2017, we have accrued income tax liabilities of $989.6 million under the Transition Toll Tax, of which $78.3 million is expected to be paid within one year. The Transition Toll Tax will be paid over an eight-year period, starting in 2018, and will not accrue interest.</w:t>
      </w:r>
    </w:p>
    <w:p>
      <w:pPr>
        <w:spacing w:after="0" w:line="149" w:lineRule="exact"/>
        <w:rPr>
          <w:sz w:val="20"/>
          <w:szCs w:val="20"/>
          <w:color w:val="auto"/>
        </w:rPr>
      </w:pPr>
    </w:p>
    <w:p>
      <w:pPr>
        <w:ind w:left="320" w:right="40" w:firstLine="410"/>
        <w:spacing w:after="0" w:line="262" w:lineRule="auto"/>
        <w:rPr>
          <w:sz w:val="20"/>
          <w:szCs w:val="20"/>
          <w:color w:val="auto"/>
        </w:rPr>
      </w:pPr>
      <w:r>
        <w:rPr>
          <w:rFonts w:ascii="Arial" w:cs="Arial" w:eastAsia="Arial" w:hAnsi="Arial"/>
          <w:sz w:val="17"/>
          <w:szCs w:val="17"/>
          <w:color w:val="auto"/>
        </w:rPr>
        <w:t>Of the total cash, cash equivalents and marketable securities at December 31, 2017, approximately $4.0 billion was generated in foreign</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78</w:t>
      </w:r>
    </w:p>
    <w:p>
      <w:pPr>
        <w:sectPr>
          <w:pgSz w:w="11900" w:h="16838" w:orient="portrait"/>
          <w:cols w:equalWidth="0" w:num="2">
            <w:col w:w="5480" w:space="140"/>
            <w:col w:w="5800"/>
          </w:cols>
          <w:pgMar w:left="240" w:top="144" w:right="239" w:bottom="1440" w:gutter="0" w:footer="0" w:header="0"/>
          <w:type w:val="continuous"/>
        </w:sectPr>
      </w:pPr>
    </w:p>
    <w:bookmarkStart w:id="82" w:name="page83"/>
    <w:bookmarkEnd w:id="8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2"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jurisdictions and may now be deployed with greater flexibility to advance our business interests.</w:t>
      </w:r>
    </w:p>
    <w:p>
      <w:pPr>
        <w:spacing w:after="0" w:line="137" w:lineRule="exact"/>
        <w:rPr>
          <w:sz w:val="20"/>
          <w:szCs w:val="20"/>
          <w:color w:val="auto"/>
        </w:rPr>
      </w:pPr>
    </w:p>
    <w:p>
      <w:pPr>
        <w:ind w:right="20" w:firstLine="410"/>
        <w:spacing w:after="0" w:line="255" w:lineRule="auto"/>
        <w:rPr>
          <w:sz w:val="20"/>
          <w:szCs w:val="20"/>
          <w:color w:val="auto"/>
        </w:rPr>
      </w:pPr>
      <w:r>
        <w:rPr>
          <w:rFonts w:ascii="Arial" w:cs="Arial" w:eastAsia="Arial" w:hAnsi="Arial"/>
          <w:sz w:val="17"/>
          <w:szCs w:val="17"/>
          <w:color w:val="auto"/>
        </w:rPr>
        <w:t>For additional information on certain risks that could negatively impact our consolidated financial position or future results of operations, please read Item 1A. R</w:t>
      </w:r>
      <w:r>
        <w:rPr>
          <w:rFonts w:ascii="Arial" w:cs="Arial" w:eastAsia="Arial" w:hAnsi="Arial"/>
          <w:sz w:val="17"/>
          <w:szCs w:val="17"/>
          <w:i w:val="1"/>
          <w:iCs w:val="1"/>
          <w:color w:val="auto"/>
        </w:rPr>
        <w:t>isk Factors</w:t>
      </w:r>
      <w:r>
        <w:rPr>
          <w:rFonts w:ascii="Arial" w:cs="Arial" w:eastAsia="Arial" w:hAnsi="Arial"/>
          <w:sz w:val="17"/>
          <w:szCs w:val="17"/>
          <w:color w:val="auto"/>
        </w:rPr>
        <w:t xml:space="preserve"> and Item 7A. </w:t>
      </w:r>
      <w:r>
        <w:rPr>
          <w:rFonts w:ascii="Arial" w:cs="Arial" w:eastAsia="Arial" w:hAnsi="Arial"/>
          <w:sz w:val="17"/>
          <w:szCs w:val="17"/>
          <w:i w:val="1"/>
          <w:iCs w:val="1"/>
          <w:color w:val="auto"/>
        </w:rPr>
        <w:t>Quantitative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Qualitative Disclosures About Market Risk </w:t>
      </w:r>
      <w:r>
        <w:rPr>
          <w:rFonts w:ascii="Arial" w:cs="Arial" w:eastAsia="Arial" w:hAnsi="Arial"/>
          <w:sz w:val="17"/>
          <w:szCs w:val="17"/>
          <w:color w:val="auto"/>
        </w:rPr>
        <w:t>included in this report.</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Share Repurchase Programs</w:t>
      </w:r>
    </w:p>
    <w:p>
      <w:pPr>
        <w:spacing w:after="0" w:line="106"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In July 2016 our Board of Directors authorized our 2016 Share Repurchase Program to repurchase up to $5.0 billion of our common stock. This authorization does not have an expiration date. All share repurchases under this authorization will be retired. Under this authorization, we repurchased and retired 3.7 million and 3.3 million shares of our common stock during the years ended December 31, 2017 and 2016, respectively, at a cost of $1.0 billion for each year. As of December 31, 2017, approximately $3.0 billion remains available for share repurchases under this authorization.</w:t>
      </w:r>
    </w:p>
    <w:p>
      <w:pPr>
        <w:spacing w:after="0" w:line="74" w:lineRule="exact"/>
        <w:rPr>
          <w:sz w:val="20"/>
          <w:szCs w:val="20"/>
          <w:color w:val="auto"/>
        </w:rPr>
      </w:pPr>
    </w:p>
    <w:p>
      <w:pPr>
        <w:ind w:right="80" w:firstLine="410"/>
        <w:spacing w:after="0" w:line="253" w:lineRule="auto"/>
        <w:rPr>
          <w:sz w:val="20"/>
          <w:szCs w:val="20"/>
          <w:color w:val="auto"/>
        </w:rPr>
      </w:pPr>
      <w:r>
        <w:rPr>
          <w:rFonts w:ascii="Arial" w:cs="Arial" w:eastAsia="Arial" w:hAnsi="Arial"/>
          <w:sz w:val="17"/>
          <w:szCs w:val="17"/>
          <w:color w:val="auto"/>
        </w:rPr>
        <w:t>In May 2015 our Board of Directors authorized our 2015 Share Repurchase Program to repurchase up to $5.0 billion of our common stock. All share repurchases under this authorization were retired. Our 2015 Share Repurchase Program was completed as of December 31, 2015. Under this authorization, we repurchased and retired 16.8 million shares of our common stock at a cost of $5.0 billion during the year ended December 31, 2015.</w:t>
      </w:r>
    </w:p>
    <w:p>
      <w:pPr>
        <w:spacing w:after="0" w:line="146"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In February 2011 our Board of Directors authorized our 2011 Share Repurchase Program to repurchase up to 20.0 million shares of our common stock. Shares repurchased under this authorization have been principally used to offset common stock issuances under our share-based compensation plans. Our 2011 Share Repurchase Program was completed as of March 31, 2017. Under this authorization, we repurchased 1.2 million shares of our common stock at a cost of $365.4 million during the year ended December 31, 2017. We did not repurchase any shares of our common stock under this authorization during the years ended December 31, 2016 and 2015.</w:t>
      </w:r>
    </w:p>
    <w:p>
      <w:pPr>
        <w:spacing w:after="0" w:line="13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Cash, Cash Equivalents and Marketable Securities</w:t>
      </w:r>
    </w:p>
    <w:p>
      <w:pPr>
        <w:spacing w:after="0" w:line="106" w:lineRule="exact"/>
        <w:rPr>
          <w:sz w:val="20"/>
          <w:szCs w:val="20"/>
          <w:color w:val="auto"/>
        </w:rPr>
      </w:pPr>
    </w:p>
    <w:p>
      <w:pPr>
        <w:jc w:val="both"/>
        <w:ind w:right="140" w:firstLine="410"/>
        <w:spacing w:after="0" w:line="253" w:lineRule="auto"/>
        <w:rPr>
          <w:sz w:val="20"/>
          <w:szCs w:val="20"/>
          <w:color w:val="auto"/>
        </w:rPr>
      </w:pPr>
      <w:r>
        <w:rPr>
          <w:rFonts w:ascii="Arial" w:cs="Arial" w:eastAsia="Arial" w:hAnsi="Arial"/>
          <w:sz w:val="17"/>
          <w:szCs w:val="17"/>
          <w:color w:val="auto"/>
        </w:rPr>
        <w:t>Until required for another use in our business, we typically invest our cash reserves in bank deposits, certificates of deposit, commercial paper, corporate notes, U.S. and foreign government instruments and other interest bearing marketable debt instruments in accordance with our investment policy. It is our policy to mitigate credit risk in our cash reserves and marketable securities by maintaining a well-diversified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ind w:left="320" w:right="40"/>
        <w:spacing w:after="0" w:line="262" w:lineRule="auto"/>
        <w:rPr>
          <w:sz w:val="20"/>
          <w:szCs w:val="20"/>
          <w:color w:val="auto"/>
        </w:rPr>
      </w:pPr>
      <w:r>
        <w:rPr>
          <w:rFonts w:ascii="Arial" w:cs="Arial" w:eastAsia="Arial" w:hAnsi="Arial"/>
          <w:sz w:val="17"/>
          <w:szCs w:val="17"/>
          <w:color w:val="auto"/>
        </w:rPr>
        <w:t>portfolio that limits the amount of exposure as to institution, maturity and investment type.</w:t>
      </w:r>
    </w:p>
    <w:p>
      <w:pPr>
        <w:spacing w:after="0" w:line="137" w:lineRule="exact"/>
        <w:rPr>
          <w:sz w:val="20"/>
          <w:szCs w:val="20"/>
          <w:color w:val="auto"/>
        </w:rPr>
      </w:pPr>
    </w:p>
    <w:p>
      <w:pPr>
        <w:ind w:left="320" w:firstLine="410"/>
        <w:spacing w:after="0" w:line="252" w:lineRule="auto"/>
        <w:rPr>
          <w:sz w:val="20"/>
          <w:szCs w:val="20"/>
          <w:color w:val="auto"/>
        </w:rPr>
      </w:pPr>
      <w:r>
        <w:rPr>
          <w:rFonts w:ascii="Arial" w:cs="Arial" w:eastAsia="Arial" w:hAnsi="Arial"/>
          <w:sz w:val="17"/>
          <w:szCs w:val="17"/>
          <w:color w:val="auto"/>
        </w:rPr>
        <w:t>The net decrease in cash, cash equivalents and marketable securities at December 31, 2017, from December 31, 2016, was primarily due to the payment made to Forward Pharma in connection with our January 2017 settlement and license agreement, the payment made for the redemption of our 6.875% Senior Notes due March 1, 2018 prior to their maturity in November 2017, cash used for share repurchases, the net cash contribution made in connection with the spin-off of our hemophilia business in February 2017, net purchases of property, plant and equipment, upfront and milestone payments made to Remedy, Ionis and Samsung Bioepis and the payment to Neurimmune in exchange for a 15% reduction in royalty rates payable on products developed under the agreement, including on potential commercial sales of aducanumab.</w:t>
      </w:r>
    </w:p>
    <w:p>
      <w:pPr>
        <w:spacing w:after="0" w:line="129" w:lineRule="exact"/>
        <w:rPr>
          <w:sz w:val="20"/>
          <w:szCs w:val="20"/>
          <w:color w:val="auto"/>
        </w:rPr>
      </w:pPr>
    </w:p>
    <w:p>
      <w:pPr>
        <w:ind w:left="740"/>
        <w:spacing w:after="0"/>
        <w:rPr>
          <w:sz w:val="20"/>
          <w:szCs w:val="20"/>
          <w:color w:val="auto"/>
        </w:rPr>
      </w:pPr>
      <w:r>
        <w:rPr>
          <w:rFonts w:ascii="Arial" w:cs="Arial" w:eastAsia="Arial" w:hAnsi="Arial"/>
          <w:sz w:val="17"/>
          <w:szCs w:val="17"/>
          <w:b w:val="1"/>
          <w:bCs w:val="1"/>
          <w:i w:val="1"/>
          <w:iCs w:val="1"/>
          <w:color w:val="2573BA"/>
        </w:rPr>
        <w:t>Borrowings</w:t>
      </w:r>
    </w:p>
    <w:p>
      <w:pPr>
        <w:spacing w:after="0" w:line="18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The following is a summary of our principal indebtedness as of</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December 31, 2017:</w:t>
      </w:r>
    </w:p>
    <w:p>
      <w:pPr>
        <w:spacing w:after="0" w:line="151" w:lineRule="exact"/>
        <w:rPr>
          <w:sz w:val="20"/>
          <w:szCs w:val="20"/>
          <w:color w:val="auto"/>
        </w:rPr>
      </w:pPr>
    </w:p>
    <w:p>
      <w:pPr>
        <w:ind w:left="700" w:right="140" w:hanging="301"/>
        <w:spacing w:after="0" w:line="276" w:lineRule="auto"/>
        <w:tabs>
          <w:tab w:leader="none" w:pos="7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$1.5 billion aggregate principal amount of 2.90% Senior Notes due September 15, 2020, valued at 99.792% of par;</w:t>
      </w:r>
    </w:p>
    <w:p>
      <w:pPr>
        <w:spacing w:after="0" w:line="113" w:lineRule="exact"/>
        <w:rPr>
          <w:rFonts w:ascii="Arial" w:cs="Arial" w:eastAsia="Arial" w:hAnsi="Arial"/>
          <w:sz w:val="17"/>
          <w:szCs w:val="17"/>
          <w:color w:val="auto"/>
        </w:rPr>
      </w:pPr>
    </w:p>
    <w:p>
      <w:pPr>
        <w:ind w:left="700" w:right="60" w:hanging="301"/>
        <w:spacing w:after="0" w:line="276" w:lineRule="auto"/>
        <w:tabs>
          <w:tab w:leader="none" w:pos="7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$1.0 billion aggregate principal amount of 3.625% Senior Notes due September 15, 2022, valued at 99.920% of par;</w:t>
      </w:r>
    </w:p>
    <w:p>
      <w:pPr>
        <w:spacing w:after="0" w:line="113" w:lineRule="exact"/>
        <w:rPr>
          <w:rFonts w:ascii="Arial" w:cs="Arial" w:eastAsia="Arial" w:hAnsi="Arial"/>
          <w:sz w:val="17"/>
          <w:szCs w:val="17"/>
          <w:color w:val="auto"/>
        </w:rPr>
      </w:pPr>
    </w:p>
    <w:p>
      <w:pPr>
        <w:ind w:left="700" w:right="60" w:hanging="301"/>
        <w:spacing w:after="0" w:line="276" w:lineRule="auto"/>
        <w:tabs>
          <w:tab w:leader="none" w:pos="7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$1.75 billion aggregate principal amount of 4.05% Senior Notes due September 15, 2025, valued at 99.764% of par; and</w:t>
      </w:r>
    </w:p>
    <w:p>
      <w:pPr>
        <w:spacing w:after="0" w:line="113" w:lineRule="exact"/>
        <w:rPr>
          <w:rFonts w:ascii="Arial" w:cs="Arial" w:eastAsia="Arial" w:hAnsi="Arial"/>
          <w:sz w:val="17"/>
          <w:szCs w:val="17"/>
          <w:color w:val="auto"/>
        </w:rPr>
      </w:pPr>
    </w:p>
    <w:p>
      <w:pPr>
        <w:ind w:left="700" w:right="60" w:hanging="301"/>
        <w:spacing w:after="0" w:line="276" w:lineRule="auto"/>
        <w:tabs>
          <w:tab w:leader="none" w:pos="7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$1.75 billion aggregate principal amount of 5.20% Senior Notes due September 15, 2045, valued at 99.294% of par.</w:t>
      </w:r>
    </w:p>
    <w:p>
      <w:pPr>
        <w:spacing w:after="0" w:line="125" w:lineRule="exact"/>
        <w:rPr>
          <w:sz w:val="20"/>
          <w:szCs w:val="20"/>
          <w:color w:val="auto"/>
        </w:rPr>
      </w:pPr>
    </w:p>
    <w:p>
      <w:pPr>
        <w:jc w:val="both"/>
        <w:ind w:left="320" w:right="120" w:firstLine="384"/>
        <w:spacing w:after="0" w:line="257" w:lineRule="auto"/>
        <w:rPr>
          <w:sz w:val="20"/>
          <w:szCs w:val="20"/>
          <w:color w:val="auto"/>
        </w:rPr>
      </w:pPr>
      <w:r>
        <w:rPr>
          <w:rFonts w:ascii="Arial" w:cs="Arial" w:eastAsia="Arial" w:hAnsi="Arial"/>
          <w:sz w:val="17"/>
          <w:szCs w:val="17"/>
          <w:color w:val="auto"/>
        </w:rPr>
        <w:t>These senior unsecured notes were issued at a discount and are amortized as additional interest expense over the period from issuance through maturity.</w:t>
      </w:r>
    </w:p>
    <w:p>
      <w:pPr>
        <w:spacing w:after="0" w:line="140" w:lineRule="exact"/>
        <w:rPr>
          <w:sz w:val="20"/>
          <w:szCs w:val="20"/>
          <w:color w:val="auto"/>
        </w:rPr>
      </w:pPr>
    </w:p>
    <w:p>
      <w:pPr>
        <w:ind w:left="320" w:right="180" w:firstLine="410"/>
        <w:spacing w:after="0" w:line="254" w:lineRule="auto"/>
        <w:rPr>
          <w:sz w:val="20"/>
          <w:szCs w:val="20"/>
          <w:color w:val="auto"/>
        </w:rPr>
      </w:pPr>
      <w:r>
        <w:rPr>
          <w:rFonts w:ascii="Arial" w:cs="Arial" w:eastAsia="Arial" w:hAnsi="Arial"/>
          <w:sz w:val="17"/>
          <w:szCs w:val="17"/>
          <w:color w:val="auto"/>
        </w:rPr>
        <w:t xml:space="preserve">In November 2017 we redeemed our 6.875% Senior Notes due March 1, 2018, with an aggregate principal amount of $550.0 million. For additional information on this redemption please read Note 12, </w:t>
      </w:r>
      <w:r>
        <w:rPr>
          <w:rFonts w:ascii="Arial" w:cs="Arial" w:eastAsia="Arial" w:hAnsi="Arial"/>
          <w:sz w:val="17"/>
          <w:szCs w:val="17"/>
          <w:i w:val="1"/>
          <w:iCs w:val="1"/>
          <w:color w:val="auto"/>
        </w:rPr>
        <w:t xml:space="preserve">Indebtedness, </w:t>
      </w:r>
      <w:r>
        <w:rPr>
          <w:rFonts w:ascii="Arial" w:cs="Arial" w:eastAsia="Arial" w:hAnsi="Arial"/>
          <w:sz w:val="17"/>
          <w:szCs w:val="17"/>
          <w:color w:val="auto"/>
        </w:rPr>
        <w:t>to our consolidated financial statements included in this</w:t>
      </w:r>
      <w:r>
        <w:rPr>
          <w:rFonts w:ascii="Arial" w:cs="Arial" w:eastAsia="Arial" w:hAnsi="Arial"/>
          <w:sz w:val="17"/>
          <w:szCs w:val="17"/>
          <w:i w:val="1"/>
          <w:iCs w:val="1"/>
          <w:color w:val="auto"/>
        </w:rPr>
        <w:t xml:space="preserve"> </w:t>
      </w:r>
      <w:r>
        <w:rPr>
          <w:rFonts w:ascii="Arial" w:cs="Arial" w:eastAsia="Arial" w:hAnsi="Arial"/>
          <w:sz w:val="17"/>
          <w:szCs w:val="17"/>
          <w:color w:val="auto"/>
        </w:rPr>
        <w:t>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79</w:t>
      </w:r>
    </w:p>
    <w:p>
      <w:pPr>
        <w:sectPr>
          <w:pgSz w:w="11900" w:h="16838" w:orient="portrait"/>
          <w:cols w:equalWidth="0" w:num="2">
            <w:col w:w="5440" w:space="180"/>
            <w:col w:w="5800"/>
          </w:cols>
          <w:pgMar w:left="240" w:top="144" w:right="239" w:bottom="1440" w:gutter="0" w:footer="0" w:header="0"/>
        </w:sectPr>
      </w:pPr>
    </w:p>
    <w:bookmarkStart w:id="83" w:name="page84"/>
    <w:bookmarkEnd w:id="8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383"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During the third quarter of 2015, we entered into a $1.0 billion, five-year senior unsecured revolving credit facility under which we are permitted to draw funds for working capital and general corporate purposes. The terms of the revolving credit facility include a financial covenant that requires us not to exceed a maximum consolidated leverage ratio. As of December 31, 2017, we had no outstanding borrowings and were in compliance with all covenants under this facility.</w:t>
      </w:r>
    </w:p>
    <w:p>
      <w:pPr>
        <w:spacing w:after="0" w:line="69"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In connection with our 2006 distribution agreement with Fumedica, we issued notes totaling 61.4 million Swiss Francs that are payable to Fumedica in varying amounts from June 2008 through June 2018. Our remaining note payable to Fumedica, payable in June 2018, had a carrying value of 3.1 million Swiss Francs ($3.2 million) and 6.2 million Swiss Francs ($6.0 million) as of December 31, 2017 and 2016, respectively.</w:t>
      </w:r>
    </w:p>
    <w:p>
      <w:pPr>
        <w:spacing w:after="0" w:line="146" w:lineRule="exact"/>
        <w:rPr>
          <w:sz w:val="20"/>
          <w:szCs w:val="20"/>
          <w:color w:val="auto"/>
        </w:rPr>
      </w:pPr>
    </w:p>
    <w:p>
      <w:pPr>
        <w:ind w:right="60" w:firstLine="410"/>
        <w:spacing w:after="0" w:line="255" w:lineRule="auto"/>
        <w:rPr>
          <w:sz w:val="20"/>
          <w:szCs w:val="20"/>
          <w:color w:val="auto"/>
        </w:rPr>
      </w:pPr>
      <w:r>
        <w:rPr>
          <w:rFonts w:ascii="Arial" w:cs="Arial" w:eastAsia="Arial" w:hAnsi="Arial"/>
          <w:sz w:val="17"/>
          <w:szCs w:val="17"/>
          <w:color w:val="auto"/>
        </w:rPr>
        <w:t xml:space="preserve">For a summary of the fair values of our outstanding borrowings as of December 31, 2017 and 2016, please read Note 8,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Measurements, </w:t>
      </w:r>
      <w:r>
        <w:rPr>
          <w:rFonts w:ascii="Arial" w:cs="Arial" w:eastAsia="Arial" w:hAnsi="Arial"/>
          <w:sz w:val="17"/>
          <w:szCs w:val="17"/>
          <w:color w:val="auto"/>
        </w:rPr>
        <w:t>to our consolidated financial statements included in this</w:t>
      </w:r>
      <w:r>
        <w:rPr>
          <w:rFonts w:ascii="Arial" w:cs="Arial" w:eastAsia="Arial" w:hAnsi="Arial"/>
          <w:sz w:val="17"/>
          <w:szCs w:val="17"/>
          <w:i w:val="1"/>
          <w:iCs w:val="1"/>
          <w:color w:val="auto"/>
        </w:rPr>
        <w:t xml:space="preserve"> </w:t>
      </w:r>
      <w:r>
        <w:rPr>
          <w:rFonts w:ascii="Arial" w:cs="Arial" w:eastAsia="Arial" w:hAnsi="Arial"/>
          <w:sz w:val="17"/>
          <w:szCs w:val="17"/>
          <w:color w:val="auto"/>
        </w:rPr>
        <w:t>report.</w:t>
      </w:r>
    </w:p>
    <w:p>
      <w:pPr>
        <w:spacing w:after="0" w:line="32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Cash Flows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our cash flow activity:</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Working Capital</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define working capital as current assets less current liabilities.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The change in working capital at December 31, 2017, from</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2016, reflects a decrease in total current assets of $858.9</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million, partially offset by a decrease in current liabilities of $51.7 million.</w:t>
      </w:r>
    </w:p>
    <w:p>
      <w:pPr>
        <w:spacing w:after="0" w:line="86" w:lineRule="exact"/>
        <w:rPr>
          <w:sz w:val="20"/>
          <w:szCs w:val="20"/>
          <w:color w:val="auto"/>
        </w:rPr>
      </w:pPr>
    </w:p>
    <w:p>
      <w:pPr>
        <w:ind w:right="200" w:firstLine="410"/>
        <w:spacing w:after="0" w:line="254" w:lineRule="auto"/>
        <w:rPr>
          <w:sz w:val="20"/>
          <w:szCs w:val="20"/>
          <w:color w:val="auto"/>
        </w:rPr>
      </w:pPr>
      <w:r>
        <w:rPr>
          <w:rFonts w:ascii="Arial" w:cs="Arial" w:eastAsia="Arial" w:hAnsi="Arial"/>
          <w:sz w:val="17"/>
          <w:szCs w:val="17"/>
          <w:color w:val="auto"/>
        </w:rPr>
        <w:t>The decrease in total current assets was driven by a decrease in net cash, cash equivalents and marketable securities, as described above, partially offset by an increase in accounts receivable due to an increase in revenues and the timing of customer payments, including amounts due in connection with anti-CD20 therapeutic programs.</w:t>
      </w:r>
    </w:p>
    <w:p>
      <w:pPr>
        <w:spacing w:after="0" w:line="67" w:lineRule="exact"/>
        <w:rPr>
          <w:sz w:val="20"/>
          <w:szCs w:val="20"/>
          <w:color w:val="auto"/>
        </w:rPr>
      </w:pPr>
    </w:p>
    <w:p>
      <w:pPr>
        <w:ind w:right="80" w:firstLine="410"/>
        <w:spacing w:after="0" w:line="252" w:lineRule="auto"/>
        <w:rPr>
          <w:sz w:val="20"/>
          <w:szCs w:val="20"/>
          <w:color w:val="auto"/>
        </w:rPr>
      </w:pPr>
      <w:r>
        <w:rPr>
          <w:rFonts w:ascii="Arial" w:cs="Arial" w:eastAsia="Arial" w:hAnsi="Arial"/>
          <w:sz w:val="17"/>
          <w:szCs w:val="17"/>
          <w:color w:val="auto"/>
        </w:rPr>
        <w:t>The decrease in total current liabilities primarily resulted from a reduction in taxes payable and accrued expenses primarily due to the payment of the $454.8 million charge that was accrued as of December 31, 2016, in relation to our settlement and license agreement with Forward Pharma, offset by an increase in the accrual of contingent payments related to FUMADERM and TECFIDERA (together, the Fumapharm Products) upon reaching $15.0 billion and $16.0 billion in total cumulative sales of Fumapharm Products in the fourth quarter of 2017.</w:t>
      </w:r>
    </w:p>
    <w:p>
      <w:pPr>
        <w:spacing w:after="0" w:line="779" w:lineRule="exact"/>
        <w:rPr>
          <w:sz w:val="20"/>
          <w:szCs w:val="20"/>
          <w:color w:val="auto"/>
        </w:rPr>
      </w:pPr>
    </w:p>
    <w:p>
      <w:pPr>
        <w:sectPr>
          <w:pgSz w:w="11900" w:h="16838" w:orient="portrait"/>
          <w:cols w:equalWidth="0" w:num="2">
            <w:col w:w="5460" w:space="480"/>
            <w:col w:w="5480"/>
          </w:cols>
          <w:pgMar w:left="240" w:top="144" w:right="239" w:bottom="1440" w:gutter="0" w:footer="0" w:header="0"/>
          <w:type w:val="continuous"/>
        </w:sectPr>
      </w:pPr>
    </w:p>
    <w:tbl>
      <w:tblPr>
        <w:tblLayout w:type="fixed"/>
        <w:tblInd w:w="0" w:type="dxa"/>
        <w:tblCellMar>
          <w:top w:w="0" w:type="dxa"/>
          <w:left w:w="0" w:type="dxa"/>
          <w:bottom w:w="0" w:type="dxa"/>
          <w:right w:w="0" w:type="dxa"/>
        </w:tblCellMar>
      </w:tblPr>
      <w:tr>
        <w:trPr>
          <w:trHeight w:val="191"/>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6"/>
              </w:rPr>
              <w:t>For the Years Ended</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101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8"/>
        </w:trPr>
        <w:tc>
          <w:tcPr>
            <w:tcW w:w="38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December 31,</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bottom w:val="single" w:sz="8" w:color="DDDDDD"/>
            </w:tcBorders>
            <w:gridSpan w:val="2"/>
            <w:vMerge w:val="restart"/>
            <w:shd w:val="clear" w:color="auto" w:fill="DDDDDD"/>
          </w:tcPr>
          <w:p>
            <w:pPr>
              <w:jc w:val="right"/>
              <w:ind w:right="35"/>
              <w:spacing w:after="0"/>
              <w:rPr>
                <w:sz w:val="20"/>
                <w:szCs w:val="20"/>
                <w:color w:val="auto"/>
              </w:rPr>
            </w:pPr>
            <w:r>
              <w:rPr>
                <w:rFonts w:ascii="Arial" w:cs="Arial" w:eastAsia="Arial" w:hAnsi="Arial"/>
                <w:sz w:val="14"/>
                <w:szCs w:val="14"/>
                <w:b w:val="1"/>
                <w:bCs w:val="1"/>
                <w:color w:val="2573BA"/>
              </w:rPr>
              <w:t>2017 compared to</w:t>
            </w:r>
          </w:p>
        </w:tc>
        <w:tc>
          <w:tcPr>
            <w:tcW w:w="100" w:type="dxa"/>
            <w:vAlign w:val="bottom"/>
          </w:tcPr>
          <w:p>
            <w:pPr>
              <w:spacing w:after="0"/>
              <w:rPr>
                <w:sz w:val="15"/>
                <w:szCs w:val="15"/>
                <w:color w:val="auto"/>
              </w:rPr>
            </w:pPr>
          </w:p>
        </w:tc>
        <w:tc>
          <w:tcPr>
            <w:tcW w:w="136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2016 compared to</w:t>
            </w:r>
          </w:p>
        </w:tc>
        <w:tc>
          <w:tcPr>
            <w:tcW w:w="0" w:type="dxa"/>
            <w:vAlign w:val="bottom"/>
          </w:tcPr>
          <w:p>
            <w:pPr>
              <w:spacing w:after="0"/>
              <w:rPr>
                <w:sz w:val="1"/>
                <w:szCs w:val="1"/>
                <w:color w:val="auto"/>
              </w:rPr>
            </w:pPr>
          </w:p>
        </w:tc>
      </w:tr>
      <w:tr>
        <w:trPr>
          <w:trHeight w:val="65"/>
        </w:trPr>
        <w:tc>
          <w:tcPr>
            <w:tcW w:w="3860" w:type="dxa"/>
            <w:vAlign w:val="bottom"/>
          </w:tcPr>
          <w:p>
            <w:pPr>
              <w:spacing w:after="0"/>
              <w:rPr>
                <w:sz w:val="5"/>
                <w:szCs w:val="5"/>
                <w:color w:val="auto"/>
              </w:rPr>
            </w:pPr>
          </w:p>
        </w:tc>
        <w:tc>
          <w:tcPr>
            <w:tcW w:w="140" w:type="dxa"/>
            <w:vAlign w:val="bottom"/>
            <w:shd w:val="clear" w:color="auto" w:fill="DDDDDD"/>
          </w:tcPr>
          <w:p>
            <w:pPr>
              <w:spacing w:after="0"/>
              <w:rPr>
                <w:sz w:val="5"/>
                <w:szCs w:val="5"/>
                <w:color w:val="auto"/>
              </w:rPr>
            </w:pPr>
          </w:p>
        </w:tc>
        <w:tc>
          <w:tcPr>
            <w:tcW w:w="1320" w:type="dxa"/>
            <w:vAlign w:val="bottom"/>
            <w:shd w:val="clear" w:color="auto" w:fill="DDDDDD"/>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2"/>
            <w:vMerge w:val="continue"/>
            <w:shd w:val="clear" w:color="auto" w:fill="DDDDDD"/>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Borders>
              <w:bottom w:val="single" w:sz="8" w:color="auto"/>
            </w:tcBorders>
            <w:shd w:val="clear" w:color="auto" w:fill="DDDDDD"/>
          </w:tcPr>
          <w:p>
            <w:pPr>
              <w:spacing w:after="0"/>
              <w:rPr>
                <w:sz w:val="16"/>
                <w:szCs w:val="16"/>
                <w:color w:val="auto"/>
              </w:rPr>
            </w:pPr>
          </w:p>
        </w:tc>
        <w:tc>
          <w:tcPr>
            <w:tcW w:w="1320" w:type="dxa"/>
            <w:vAlign w:val="bottom"/>
            <w:tcBorders>
              <w:bottom w:val="single" w:sz="8" w:color="auto"/>
            </w:tcBorders>
            <w:shd w:val="clear" w:color="auto" w:fill="DDDDDD"/>
          </w:tcPr>
          <w:p>
            <w:pPr>
              <w:jc w:val="right"/>
              <w:ind w:right="479"/>
              <w:spacing w:after="0"/>
              <w:rPr>
                <w:sz w:val="20"/>
                <w:szCs w:val="20"/>
                <w:color w:val="auto"/>
              </w:rPr>
            </w:pPr>
            <w:r>
              <w:rPr>
                <w:rFonts w:ascii="Arial" w:cs="Arial" w:eastAsia="Arial" w:hAnsi="Arial"/>
                <w:sz w:val="14"/>
                <w:szCs w:val="14"/>
                <w:b w:val="1"/>
                <w:bCs w:val="1"/>
                <w:color w:val="2573BA"/>
              </w:rPr>
              <w:t>2017</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120" w:type="dxa"/>
            <w:vAlign w:val="bottom"/>
            <w:tcBorders>
              <w:bottom w:val="single" w:sz="8" w:color="auto"/>
            </w:tcBorders>
            <w:shd w:val="clear" w:color="auto" w:fill="DDDDDD"/>
          </w:tcPr>
          <w:p>
            <w:pPr>
              <w:jc w:val="right"/>
              <w:ind w:right="203"/>
              <w:spacing w:after="0"/>
              <w:rPr>
                <w:sz w:val="20"/>
                <w:szCs w:val="20"/>
                <w:color w:val="auto"/>
              </w:rPr>
            </w:pPr>
            <w:r>
              <w:rPr>
                <w:rFonts w:ascii="Arial" w:cs="Arial" w:eastAsia="Arial" w:hAnsi="Arial"/>
                <w:sz w:val="14"/>
                <w:szCs w:val="14"/>
                <w:b w:val="1"/>
                <w:bCs w:val="1"/>
                <w:color w:val="2573BA"/>
              </w:rPr>
              <w:t>2016</w:t>
            </w:r>
          </w:p>
        </w:tc>
        <w:tc>
          <w:tcPr>
            <w:tcW w:w="260" w:type="dxa"/>
            <w:vAlign w:val="bottom"/>
            <w:tcBorders>
              <w:bottom w:val="single" w:sz="8" w:color="auto"/>
            </w:tcBorders>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42"/>
        </w:trPr>
        <w:tc>
          <w:tcPr>
            <w:tcW w:w="3860" w:type="dxa"/>
            <w:vAlign w:val="bottom"/>
          </w:tcPr>
          <w:p>
            <w:pPr>
              <w:ind w:left="20"/>
              <w:spacing w:after="0"/>
              <w:rPr>
                <w:sz w:val="20"/>
                <w:szCs w:val="20"/>
                <w:color w:val="auto"/>
              </w:rPr>
            </w:pPr>
            <w:r>
              <w:rPr>
                <w:rFonts w:ascii="Arial" w:cs="Arial" w:eastAsia="Arial" w:hAnsi="Arial"/>
                <w:sz w:val="17"/>
                <w:szCs w:val="17"/>
                <w:color w:val="auto"/>
              </w:rPr>
              <w:t>Net cash flows provided by operating activities</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32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4,551.0</w:t>
            </w:r>
          </w:p>
        </w:tc>
        <w:tc>
          <w:tcPr>
            <w:tcW w:w="320" w:type="dxa"/>
            <w:vAlign w:val="bottom"/>
            <w:gridSpan w:val="2"/>
          </w:tcPr>
          <w:p>
            <w:pPr>
              <w:jc w:val="right"/>
              <w:ind w:right="12"/>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21"/>
              <w:spacing w:after="0"/>
              <w:rPr>
                <w:sz w:val="20"/>
                <w:szCs w:val="20"/>
                <w:color w:val="auto"/>
              </w:rPr>
            </w:pPr>
            <w:r>
              <w:rPr>
                <w:rFonts w:ascii="Arial" w:cs="Arial" w:eastAsia="Arial" w:hAnsi="Arial"/>
                <w:sz w:val="17"/>
                <w:szCs w:val="17"/>
                <w:color w:val="auto"/>
              </w:rPr>
              <w:t>4,587.2</w:t>
            </w:r>
          </w:p>
        </w:tc>
        <w:tc>
          <w:tcPr>
            <w:tcW w:w="100" w:type="dxa"/>
            <w:vAlign w:val="bottom"/>
          </w:tcPr>
          <w:p>
            <w:pPr>
              <w:spacing w:after="0"/>
              <w:rPr>
                <w:sz w:val="21"/>
                <w:szCs w:val="21"/>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9"/>
              <w:spacing w:after="0"/>
              <w:rPr>
                <w:sz w:val="20"/>
                <w:szCs w:val="20"/>
                <w:color w:val="auto"/>
              </w:rPr>
            </w:pPr>
            <w:r>
              <w:rPr>
                <w:rFonts w:ascii="Arial" w:cs="Arial" w:eastAsia="Arial" w:hAnsi="Arial"/>
                <w:sz w:val="17"/>
                <w:szCs w:val="17"/>
                <w:color w:val="auto"/>
              </w:rPr>
              <w:t>3,919.4</w:t>
            </w:r>
          </w:p>
        </w:tc>
        <w:tc>
          <w:tcPr>
            <w:tcW w:w="100" w:type="dxa"/>
            <w:vAlign w:val="bottom"/>
          </w:tcPr>
          <w:p>
            <w:pPr>
              <w:spacing w:after="0"/>
              <w:rPr>
                <w:sz w:val="21"/>
                <w:szCs w:val="21"/>
                <w:color w:val="auto"/>
              </w:rPr>
            </w:pPr>
          </w:p>
        </w:tc>
        <w:tc>
          <w:tcPr>
            <w:tcW w:w="1380" w:type="dxa"/>
            <w:vAlign w:val="bottom"/>
            <w:gridSpan w:val="2"/>
            <w:shd w:val="clear" w:color="auto" w:fill="DDDDDD"/>
          </w:tcPr>
          <w:p>
            <w:pPr>
              <w:jc w:val="right"/>
              <w:spacing w:after="0"/>
              <w:rPr>
                <w:sz w:val="20"/>
                <w:szCs w:val="20"/>
                <w:color w:val="auto"/>
              </w:rPr>
            </w:pPr>
            <w:r>
              <w:rPr>
                <w:rFonts w:ascii="Arial" w:cs="Arial" w:eastAsia="Arial" w:hAnsi="Arial"/>
                <w:sz w:val="17"/>
                <w:szCs w:val="17"/>
                <w:color w:val="2573BA"/>
              </w:rPr>
              <w:t>(0.8)%</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17.0 %</w:t>
            </w:r>
          </w:p>
        </w:tc>
        <w:tc>
          <w:tcPr>
            <w:tcW w:w="0" w:type="dxa"/>
            <w:vAlign w:val="bottom"/>
          </w:tcPr>
          <w:p>
            <w:pPr>
              <w:spacing w:after="0"/>
              <w:rPr>
                <w:sz w:val="1"/>
                <w:szCs w:val="1"/>
                <w:color w:val="auto"/>
              </w:rPr>
            </w:pPr>
          </w:p>
        </w:tc>
      </w:tr>
      <w:tr>
        <w:trPr>
          <w:trHeight w:val="256"/>
        </w:trPr>
        <w:tc>
          <w:tcPr>
            <w:tcW w:w="3860" w:type="dxa"/>
            <w:vAlign w:val="bottom"/>
          </w:tcPr>
          <w:p>
            <w:pPr>
              <w:ind w:left="20"/>
              <w:spacing w:after="0"/>
              <w:rPr>
                <w:sz w:val="20"/>
                <w:szCs w:val="20"/>
                <w:color w:val="auto"/>
              </w:rPr>
            </w:pPr>
            <w:r>
              <w:rPr>
                <w:rFonts w:ascii="Arial" w:cs="Arial" w:eastAsia="Arial" w:hAnsi="Arial"/>
                <w:sz w:val="17"/>
                <w:szCs w:val="17"/>
                <w:color w:val="auto"/>
              </w:rPr>
              <w:t>Net cash flows used in by investing activities</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3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(2,963.1)</w:t>
            </w:r>
          </w:p>
        </w:tc>
        <w:tc>
          <w:tcPr>
            <w:tcW w:w="320" w:type="dxa"/>
            <w:vAlign w:val="bottom"/>
            <w:gridSpan w:val="2"/>
          </w:tcPr>
          <w:p>
            <w:pPr>
              <w:jc w:val="right"/>
              <w:ind w:right="12"/>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(2,484.8)</w:t>
            </w:r>
          </w:p>
        </w:tc>
        <w:tc>
          <w:tcPr>
            <w:tcW w:w="100" w:type="dxa"/>
            <w:vAlign w:val="bottom"/>
          </w:tcPr>
          <w:p>
            <w:pPr>
              <w:spacing w:after="0"/>
              <w:rPr>
                <w:sz w:val="22"/>
                <w:szCs w:val="22"/>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(4,553.6)</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2573BA"/>
              </w:rPr>
              <w:t>19.2</w:t>
            </w:r>
          </w:p>
        </w:tc>
        <w:tc>
          <w:tcPr>
            <w:tcW w:w="2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(45.4)%</w:t>
            </w:r>
          </w:p>
        </w:tc>
        <w:tc>
          <w:tcPr>
            <w:tcW w:w="0" w:type="dxa"/>
            <w:vAlign w:val="bottom"/>
          </w:tcPr>
          <w:p>
            <w:pPr>
              <w:spacing w:after="0"/>
              <w:rPr>
                <w:sz w:val="1"/>
                <w:szCs w:val="1"/>
                <w:color w:val="auto"/>
              </w:rPr>
            </w:pPr>
          </w:p>
        </w:tc>
      </w:tr>
      <w:tr>
        <w:trPr>
          <w:trHeight w:val="217"/>
        </w:trPr>
        <w:tc>
          <w:tcPr>
            <w:tcW w:w="3860" w:type="dxa"/>
            <w:vAlign w:val="bottom"/>
          </w:tcPr>
          <w:p>
            <w:pPr>
              <w:ind w:left="20"/>
              <w:spacing w:after="0"/>
              <w:rPr>
                <w:sz w:val="20"/>
                <w:szCs w:val="20"/>
                <w:color w:val="auto"/>
              </w:rPr>
            </w:pPr>
            <w:r>
              <w:rPr>
                <w:rFonts w:ascii="Arial" w:cs="Arial" w:eastAsia="Arial" w:hAnsi="Arial"/>
                <w:sz w:val="17"/>
                <w:szCs w:val="17"/>
                <w:color w:val="auto"/>
              </w:rPr>
              <w:t>Net cash flows (used in) provided by financing</w:t>
            </w:r>
          </w:p>
        </w:tc>
        <w:tc>
          <w:tcPr>
            <w:tcW w:w="140" w:type="dxa"/>
            <w:vAlign w:val="bottom"/>
            <w:shd w:val="clear" w:color="auto" w:fill="DDDDDD"/>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shd w:val="clear" w:color="auto" w:fill="DDDDDD"/>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tcPr>
          <w:p>
            <w:pPr>
              <w:ind w:left="20"/>
              <w:spacing w:after="0"/>
              <w:rPr>
                <w:sz w:val="20"/>
                <w:szCs w:val="20"/>
                <w:color w:val="auto"/>
              </w:rPr>
            </w:pPr>
            <w:r>
              <w:rPr>
                <w:rFonts w:ascii="Arial" w:cs="Arial" w:eastAsia="Arial" w:hAnsi="Arial"/>
                <w:sz w:val="17"/>
                <w:szCs w:val="17"/>
                <w:color w:val="auto"/>
              </w:rPr>
              <w:t>activities</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320" w:type="dxa"/>
            <w:vAlign w:val="bottom"/>
          </w:tcPr>
          <w:p>
            <w:pPr>
              <w:jc w:val="right"/>
              <w:spacing w:after="0"/>
              <w:rPr>
                <w:sz w:val="20"/>
                <w:szCs w:val="20"/>
                <w:color w:val="auto"/>
              </w:rPr>
            </w:pPr>
            <w:r>
              <w:rPr>
                <w:rFonts w:ascii="Arial" w:cs="Arial" w:eastAsia="Arial" w:hAnsi="Arial"/>
                <w:sz w:val="17"/>
                <w:szCs w:val="17"/>
                <w:color w:val="2573BA"/>
              </w:rPr>
              <w:t>(2,380.0)</w:t>
            </w:r>
          </w:p>
        </w:tc>
        <w:tc>
          <w:tcPr>
            <w:tcW w:w="320" w:type="dxa"/>
            <w:vAlign w:val="bottom"/>
            <w:gridSpan w:val="2"/>
          </w:tcPr>
          <w:p>
            <w:pPr>
              <w:jc w:val="right"/>
              <w:ind w:right="12"/>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(1,052.6)</w:t>
            </w:r>
          </w:p>
        </w:tc>
        <w:tc>
          <w:tcPr>
            <w:tcW w:w="100" w:type="dxa"/>
            <w:vAlign w:val="bottom"/>
          </w:tcPr>
          <w:p>
            <w:pPr>
              <w:spacing w:after="0"/>
              <w:rPr>
                <w:sz w:val="19"/>
                <w:szCs w:val="19"/>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9"/>
              <w:spacing w:after="0"/>
              <w:rPr>
                <w:sz w:val="20"/>
                <w:szCs w:val="20"/>
                <w:color w:val="auto"/>
              </w:rPr>
            </w:pPr>
            <w:r>
              <w:rPr>
                <w:rFonts w:ascii="Arial" w:cs="Arial" w:eastAsia="Arial" w:hAnsi="Arial"/>
                <w:sz w:val="17"/>
                <w:szCs w:val="17"/>
                <w:color w:val="auto"/>
              </w:rPr>
              <w:t>783.1</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2573BA"/>
              </w:rPr>
              <w:t>126.1</w:t>
            </w:r>
          </w:p>
        </w:tc>
        <w:tc>
          <w:tcPr>
            <w:tcW w:w="2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(234.4)%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2538730</wp:posOffset>
            </wp:positionH>
            <wp:positionV relativeFrom="paragraph">
              <wp:posOffset>-438785</wp:posOffset>
            </wp:positionV>
            <wp:extent cx="845820" cy="4394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45820" cy="439420"/>
                    </a:xfrm>
                    <a:prstGeom prst="rect">
                      <a:avLst/>
                    </a:prstGeom>
                    <a:noFill/>
                  </pic:spPr>
                </pic:pic>
              </a:graphicData>
            </a:graphic>
          </wp:anchor>
        </w:drawing>
        <w:drawing>
          <wp:anchor simplePos="0" relativeHeight="251657728" behindDoc="1" locked="0" layoutInCell="0" allowOverlap="1">
            <wp:simplePos x="0" y="0"/>
            <wp:positionH relativeFrom="column">
              <wp:posOffset>5450205</wp:posOffset>
            </wp:positionH>
            <wp:positionV relativeFrom="paragraph">
              <wp:posOffset>-601345</wp:posOffset>
            </wp:positionV>
            <wp:extent cx="715645" cy="6019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645" cy="60198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p>
      <w:pPr>
        <w:spacing w:after="0" w:line="13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Operating Activities</w:t>
      </w:r>
    </w:p>
    <w:p>
      <w:pPr>
        <w:spacing w:after="0" w:line="104" w:lineRule="exact"/>
        <w:rPr>
          <w:sz w:val="20"/>
          <w:szCs w:val="20"/>
          <w:color w:val="auto"/>
        </w:rPr>
      </w:pPr>
    </w:p>
    <w:p>
      <w:pPr>
        <w:ind w:firstLine="410"/>
        <w:spacing w:after="0" w:line="254" w:lineRule="auto"/>
        <w:rPr>
          <w:sz w:val="20"/>
          <w:szCs w:val="20"/>
          <w:color w:val="auto"/>
        </w:rPr>
      </w:pPr>
      <w:r>
        <w:rPr>
          <w:rFonts w:ascii="Arial" w:cs="Arial" w:eastAsia="Arial" w:hAnsi="Arial"/>
          <w:sz w:val="17"/>
          <w:szCs w:val="17"/>
          <w:color w:val="auto"/>
        </w:rPr>
        <w:t>Cash flows from operating activities represent the cash receipts and disbursements related to all of our activities other than investing and financing activities. We expect cash provided from operating activities will continue to be our primary source of funds to finance operating needs and capital expenditures for the foreseeable future.</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Operating cash flow is derived by adjusting our net income for:</w:t>
      </w:r>
    </w:p>
    <w:p>
      <w:pPr>
        <w:spacing w:after="0" w:line="163" w:lineRule="exact"/>
        <w:rPr>
          <w:sz w:val="20"/>
          <w:szCs w:val="20"/>
          <w:color w:val="auto"/>
        </w:rPr>
      </w:pPr>
    </w:p>
    <w:p>
      <w:pPr>
        <w:ind w:left="380" w:right="180" w:hanging="301"/>
        <w:spacing w:after="0" w:line="257" w:lineRule="auto"/>
        <w:tabs>
          <w:tab w:leader="none" w:pos="3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Non-cash operating items such as depreciation and amortization, impairment charges, acquired in-process research and development and share-based compensation;</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left="700" w:right="220" w:hanging="301"/>
        <w:spacing w:after="0" w:line="255" w:lineRule="auto"/>
        <w:tabs>
          <w:tab w:leader="none" w:pos="7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Changes in operating assets and liabilities which reflect timing differences between the receipt and payment of cash associated with transactions and when they are recognized in results of operations; and</w:t>
      </w:r>
    </w:p>
    <w:p>
      <w:pPr>
        <w:spacing w:after="0" w:line="142" w:lineRule="exact"/>
        <w:rPr>
          <w:rFonts w:ascii="Arial" w:cs="Arial" w:eastAsia="Arial" w:hAnsi="Arial"/>
          <w:sz w:val="17"/>
          <w:szCs w:val="17"/>
          <w:color w:val="auto"/>
        </w:rPr>
      </w:pPr>
    </w:p>
    <w:p>
      <w:pPr>
        <w:ind w:left="700" w:right="360" w:hanging="301"/>
        <w:spacing w:after="0" w:line="257" w:lineRule="auto"/>
        <w:tabs>
          <w:tab w:leader="none" w:pos="7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Changes associated with the fair value of contingent payments associated with our acquisitions of businesses and payments related to collaborations.</w:t>
      </w:r>
    </w:p>
    <w:p>
      <w:pPr>
        <w:spacing w:after="0" w:line="140" w:lineRule="exact"/>
        <w:rPr>
          <w:sz w:val="20"/>
          <w:szCs w:val="20"/>
          <w:color w:val="auto"/>
        </w:rPr>
      </w:pPr>
    </w:p>
    <w:p>
      <w:pPr>
        <w:ind w:left="320" w:right="20" w:firstLine="410"/>
        <w:spacing w:after="0" w:line="254" w:lineRule="auto"/>
        <w:rPr>
          <w:sz w:val="20"/>
          <w:szCs w:val="20"/>
          <w:color w:val="auto"/>
        </w:rPr>
      </w:pPr>
      <w:r>
        <w:rPr>
          <w:rFonts w:ascii="Arial" w:cs="Arial" w:eastAsia="Arial" w:hAnsi="Arial"/>
          <w:sz w:val="17"/>
          <w:szCs w:val="17"/>
          <w:color w:val="auto"/>
        </w:rPr>
        <w:t>For 2017 compared to 2016, net cash flows provided by operations were relatively consistent. Higher sales and lower income tax payments were offset by the $454.8 million payment related to our settlement and license agreement with Forward Pharma, which had been accrued as of December 31, 2016, and the timing of customer payments, including</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80</w:t>
      </w:r>
    </w:p>
    <w:p>
      <w:pPr>
        <w:sectPr>
          <w:pgSz w:w="11900" w:h="16838" w:orient="portrait"/>
          <w:cols w:equalWidth="0" w:num="2">
            <w:col w:w="5480" w:space="140"/>
            <w:col w:w="5800"/>
          </w:cols>
          <w:pgMar w:left="240" w:top="144" w:right="239" w:bottom="1440" w:gutter="0" w:footer="0" w:header="0"/>
          <w:type w:val="continuous"/>
        </w:sectPr>
      </w:pPr>
    </w:p>
    <w:bookmarkStart w:id="84" w:name="page85"/>
    <w:bookmarkEnd w:id="8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amounts due in connection with anti-CD20 therapeutic programs.</w:t>
      </w:r>
    </w:p>
    <w:p>
      <w:pPr>
        <w:spacing w:after="0" w:line="163" w:lineRule="exact"/>
        <w:rPr>
          <w:sz w:val="20"/>
          <w:szCs w:val="20"/>
          <w:color w:val="auto"/>
        </w:rPr>
      </w:pPr>
    </w:p>
    <w:p>
      <w:pPr>
        <w:ind w:right="140" w:firstLine="410"/>
        <w:spacing w:after="0" w:line="294" w:lineRule="auto"/>
        <w:rPr>
          <w:sz w:val="20"/>
          <w:szCs w:val="20"/>
          <w:color w:val="auto"/>
        </w:rPr>
      </w:pPr>
      <w:r>
        <w:rPr>
          <w:rFonts w:ascii="Arial" w:cs="Arial" w:eastAsia="Arial" w:hAnsi="Arial"/>
          <w:sz w:val="16"/>
          <w:szCs w:val="16"/>
          <w:color w:val="auto"/>
        </w:rPr>
        <w:t>Net income was lower in 2017, primarily due to the Transition Toll Tax under the 2017 Tax Act and higher depreciation and amortization.</w:t>
      </w:r>
    </w:p>
    <w:p>
      <w:pPr>
        <w:spacing w:after="0" w:line="113" w:lineRule="exact"/>
        <w:rPr>
          <w:sz w:val="20"/>
          <w:szCs w:val="20"/>
          <w:color w:val="auto"/>
        </w:rPr>
      </w:pPr>
    </w:p>
    <w:p>
      <w:pPr>
        <w:ind w:right="60" w:firstLine="410"/>
        <w:spacing w:after="0" w:line="254" w:lineRule="auto"/>
        <w:rPr>
          <w:sz w:val="20"/>
          <w:szCs w:val="20"/>
          <w:color w:val="auto"/>
        </w:rPr>
      </w:pPr>
      <w:r>
        <w:rPr>
          <w:rFonts w:ascii="Arial" w:cs="Arial" w:eastAsia="Arial" w:hAnsi="Arial"/>
          <w:sz w:val="17"/>
          <w:szCs w:val="17"/>
          <w:color w:val="auto"/>
        </w:rPr>
        <w:t>For 2016 compared to 2015, the increase in cash provided by operating activities was primarily driven by higher net income, non-cash charges for depreciation and amortization, a comparative increase in accrued expenses and other liabilities, partially offset by a comparative increase in accounts receivable.</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538235"/>
        </w:rPr>
        <w:t>Investing Activities</w:t>
      </w:r>
    </w:p>
    <w:p>
      <w:pPr>
        <w:spacing w:after="0" w:line="104" w:lineRule="exact"/>
        <w:rPr>
          <w:sz w:val="20"/>
          <w:szCs w:val="20"/>
          <w:color w:val="auto"/>
        </w:rPr>
      </w:pPr>
    </w:p>
    <w:p>
      <w:pPr>
        <w:ind w:firstLine="410"/>
        <w:spacing w:after="0" w:line="262" w:lineRule="auto"/>
        <w:rPr>
          <w:sz w:val="20"/>
          <w:szCs w:val="20"/>
          <w:color w:val="auto"/>
        </w:rPr>
      </w:pPr>
      <w:r>
        <w:rPr>
          <w:rFonts w:ascii="Arial" w:cs="Arial" w:eastAsia="Arial" w:hAnsi="Arial"/>
          <w:sz w:val="17"/>
          <w:szCs w:val="17"/>
          <w:color w:val="auto"/>
        </w:rPr>
        <w:t>For 2017 compared to 2016, the increase in net cash flows used in investing activities was primarily due to:</w:t>
      </w:r>
    </w:p>
    <w:p>
      <w:pPr>
        <w:spacing w:after="0" w:line="137" w:lineRule="exact"/>
        <w:rPr>
          <w:sz w:val="20"/>
          <w:szCs w:val="20"/>
          <w:color w:val="auto"/>
        </w:rPr>
      </w:pPr>
    </w:p>
    <w:p>
      <w:pPr>
        <w:ind w:left="380" w:right="280" w:hanging="301"/>
        <w:spacing w:after="0" w:line="257" w:lineRule="auto"/>
        <w:tabs>
          <w:tab w:leader="none" w:pos="380" w:val="left"/>
        </w:tabs>
        <w:numPr>
          <w:ilvl w:val="0"/>
          <w:numId w:val="83"/>
        </w:numPr>
        <w:rPr>
          <w:rFonts w:ascii="Arial" w:cs="Arial" w:eastAsia="Arial" w:hAnsi="Arial"/>
          <w:sz w:val="17"/>
          <w:szCs w:val="17"/>
          <w:color w:val="0F243E"/>
        </w:rPr>
      </w:pPr>
      <w:r>
        <w:rPr>
          <w:rFonts w:ascii="Arial" w:cs="Arial" w:eastAsia="Arial" w:hAnsi="Arial"/>
          <w:sz w:val="17"/>
          <w:szCs w:val="17"/>
          <w:color w:val="auto"/>
        </w:rPr>
        <w:t xml:space="preserve">the </w:t>
      </w:r>
      <w:r>
        <w:rPr>
          <w:rFonts w:ascii="Arial" w:cs="Arial" w:eastAsia="Arial" w:hAnsi="Arial"/>
          <w:sz w:val="17"/>
          <w:szCs w:val="17"/>
          <w:color w:val="0F243E"/>
        </w:rPr>
        <w:t>$795.2 million payment made to Forward Pharma to license</w:t>
      </w:r>
      <w:r>
        <w:rPr>
          <w:rFonts w:ascii="Arial" w:cs="Arial" w:eastAsia="Arial" w:hAnsi="Arial"/>
          <w:sz w:val="17"/>
          <w:szCs w:val="17"/>
          <w:color w:val="auto"/>
        </w:rPr>
        <w:t xml:space="preserve"> </w:t>
      </w:r>
      <w:r>
        <w:rPr>
          <w:rFonts w:ascii="Arial" w:cs="Arial" w:eastAsia="Arial" w:hAnsi="Arial"/>
          <w:sz w:val="17"/>
          <w:szCs w:val="17"/>
          <w:color w:val="0F243E"/>
        </w:rPr>
        <w:t>Forward Pharma's intellectual property, including Forward Pharma's intellectual property related to TECFIDERA;</w:t>
      </w:r>
    </w:p>
    <w:p>
      <w:pPr>
        <w:spacing w:after="0" w:line="140" w:lineRule="exact"/>
        <w:rPr>
          <w:rFonts w:ascii="Arial" w:cs="Arial" w:eastAsia="Arial" w:hAnsi="Arial"/>
          <w:sz w:val="17"/>
          <w:szCs w:val="17"/>
          <w:color w:val="0F243E"/>
        </w:rPr>
      </w:pPr>
    </w:p>
    <w:p>
      <w:pPr>
        <w:ind w:left="380" w:hanging="301"/>
        <w:spacing w:after="0" w:line="262" w:lineRule="auto"/>
        <w:tabs>
          <w:tab w:leader="none" w:pos="380" w:val="left"/>
        </w:tabs>
        <w:numPr>
          <w:ilvl w:val="0"/>
          <w:numId w:val="83"/>
        </w:numPr>
        <w:rPr>
          <w:rFonts w:ascii="Arial" w:cs="Arial" w:eastAsia="Arial" w:hAnsi="Arial"/>
          <w:sz w:val="17"/>
          <w:szCs w:val="17"/>
          <w:color w:val="0F243E"/>
        </w:rPr>
      </w:pPr>
      <w:r>
        <w:rPr>
          <w:rFonts w:ascii="Arial" w:cs="Arial" w:eastAsia="Arial" w:hAnsi="Arial"/>
          <w:sz w:val="17"/>
          <w:szCs w:val="17"/>
          <w:color w:val="0F243E"/>
        </w:rPr>
        <w:t>an increase in purchases of property, plant and equipment primarily related to the construction of our Solothurn, Switzerland facility;</w:t>
      </w:r>
    </w:p>
    <w:p>
      <w:pPr>
        <w:spacing w:after="0" w:line="136" w:lineRule="exact"/>
        <w:rPr>
          <w:rFonts w:ascii="Arial" w:cs="Arial" w:eastAsia="Arial" w:hAnsi="Arial"/>
          <w:sz w:val="17"/>
          <w:szCs w:val="17"/>
          <w:color w:val="0F243E"/>
        </w:rPr>
      </w:pPr>
    </w:p>
    <w:p>
      <w:pPr>
        <w:ind w:left="380" w:right="100" w:hanging="301"/>
        <w:spacing w:after="0" w:line="262" w:lineRule="auto"/>
        <w:tabs>
          <w:tab w:leader="none" w:pos="380" w:val="left"/>
        </w:tabs>
        <w:numPr>
          <w:ilvl w:val="0"/>
          <w:numId w:val="83"/>
        </w:numPr>
        <w:rPr>
          <w:rFonts w:ascii="Arial" w:cs="Arial" w:eastAsia="Arial" w:hAnsi="Arial"/>
          <w:sz w:val="17"/>
          <w:szCs w:val="17"/>
          <w:color w:val="0F243E"/>
        </w:rPr>
      </w:pPr>
      <w:r>
        <w:rPr>
          <w:rFonts w:ascii="Arial" w:cs="Arial" w:eastAsia="Arial" w:hAnsi="Arial"/>
          <w:sz w:val="17"/>
          <w:szCs w:val="17"/>
          <w:color w:val="auto"/>
        </w:rPr>
        <w:t>$175.0 million in milestone payments made to Ionis and Samsung Bioepis; and</w:t>
      </w:r>
    </w:p>
    <w:p>
      <w:pPr>
        <w:spacing w:after="0" w:line="136" w:lineRule="exact"/>
        <w:rPr>
          <w:rFonts w:ascii="Arial" w:cs="Arial" w:eastAsia="Arial" w:hAnsi="Arial"/>
          <w:sz w:val="17"/>
          <w:szCs w:val="17"/>
          <w:color w:val="0F243E"/>
        </w:rPr>
      </w:pPr>
    </w:p>
    <w:p>
      <w:pPr>
        <w:ind w:left="380" w:right="220" w:hanging="301"/>
        <w:spacing w:after="0" w:line="262" w:lineRule="auto"/>
        <w:tabs>
          <w:tab w:leader="none" w:pos="380" w:val="left"/>
        </w:tabs>
        <w:numPr>
          <w:ilvl w:val="0"/>
          <w:numId w:val="83"/>
        </w:numPr>
        <w:rPr>
          <w:rFonts w:ascii="Arial" w:cs="Arial" w:eastAsia="Arial" w:hAnsi="Arial"/>
          <w:sz w:val="17"/>
          <w:szCs w:val="17"/>
          <w:color w:val="0F243E"/>
        </w:rPr>
      </w:pPr>
      <w:r>
        <w:rPr>
          <w:rFonts w:ascii="Arial" w:cs="Arial" w:eastAsia="Arial" w:hAnsi="Arial"/>
          <w:sz w:val="17"/>
          <w:szCs w:val="17"/>
          <w:color w:val="0F243E"/>
        </w:rPr>
        <w:t>the $120.0 million payment made to Remedy for the purchase of BIIB093.</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right="140" w:firstLine="410"/>
        <w:spacing w:after="0" w:line="253" w:lineRule="auto"/>
        <w:rPr>
          <w:sz w:val="20"/>
          <w:szCs w:val="20"/>
          <w:color w:val="auto"/>
        </w:rPr>
      </w:pPr>
      <w:r>
        <w:rPr>
          <w:rFonts w:ascii="Arial" w:cs="Arial" w:eastAsia="Arial" w:hAnsi="Arial"/>
          <w:sz w:val="17"/>
          <w:szCs w:val="17"/>
          <w:color w:val="auto"/>
        </w:rPr>
        <w:t>For 2016 compared to 2015, the decrease in net cash flows used in investing activities was primarily due to a decrease in net purchases of marketable securities and cash paid for the acquisition of Convergence Pharmaceuticals (Convergence) in February 2015, partially offset by an increase in the contingent consideration related to the Fumapharm AG acquisition.</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Financing Activities</w:t>
      </w:r>
    </w:p>
    <w:p>
      <w:pPr>
        <w:spacing w:after="0" w:line="104" w:lineRule="exact"/>
        <w:rPr>
          <w:sz w:val="20"/>
          <w:szCs w:val="20"/>
          <w:color w:val="auto"/>
        </w:rPr>
      </w:pPr>
    </w:p>
    <w:p>
      <w:pPr>
        <w:ind w:right="20" w:firstLine="410"/>
        <w:spacing w:after="0" w:line="252" w:lineRule="auto"/>
        <w:rPr>
          <w:sz w:val="20"/>
          <w:szCs w:val="20"/>
          <w:color w:val="auto"/>
        </w:rPr>
      </w:pPr>
      <w:r>
        <w:rPr>
          <w:rFonts w:ascii="Arial" w:cs="Arial" w:eastAsia="Arial" w:hAnsi="Arial"/>
          <w:sz w:val="17"/>
          <w:szCs w:val="17"/>
          <w:color w:val="auto"/>
        </w:rPr>
        <w:t>For 2017 compared to 2016, the increase in net cash flows used in financing activities was primarily due to an increase in cash used for share repurchases, the payment made for the redemption of our 6.875% Senior Notes due March 1, 2018 prior to their maturity, the $302.7 million net cash contribution made in connection with the spin-off of our hemophilia business on February 1, 2017, and the net distributions to noncontrolling interest, including the payment made to Neurimmune in exchange for a 15% reduction in royalty rates payable on products developed under the agreement, including on potential commercial sales of aducanumab.</w:t>
      </w:r>
    </w:p>
    <w:p>
      <w:pPr>
        <w:spacing w:after="0" w:line="73" w:lineRule="exact"/>
        <w:rPr>
          <w:sz w:val="20"/>
          <w:szCs w:val="20"/>
          <w:color w:val="auto"/>
        </w:rPr>
      </w:pPr>
    </w:p>
    <w:p>
      <w:pPr>
        <w:ind w:right="100" w:firstLine="410"/>
        <w:spacing w:after="0" w:line="255" w:lineRule="auto"/>
        <w:rPr>
          <w:sz w:val="20"/>
          <w:szCs w:val="20"/>
          <w:color w:val="auto"/>
        </w:rPr>
      </w:pPr>
      <w:r>
        <w:rPr>
          <w:rFonts w:ascii="Arial" w:cs="Arial" w:eastAsia="Arial" w:hAnsi="Arial"/>
          <w:sz w:val="17"/>
          <w:szCs w:val="17"/>
          <w:color w:val="auto"/>
        </w:rPr>
        <w:t>For 2016 compared to 2015, the decrease in net cash flows provided by financing activities was primarily due to the issuance of our senior unsecured notes issued in the third quarter of 2015, partially offset by a decrease in the purchases of common stock.</w:t>
      </w:r>
    </w:p>
    <w:p>
      <w:pPr>
        <w:spacing w:after="0" w:line="783" w:lineRule="exact"/>
        <w:rPr>
          <w:sz w:val="20"/>
          <w:szCs w:val="20"/>
          <w:color w:val="auto"/>
        </w:rPr>
      </w:pPr>
    </w:p>
    <w:p>
      <w:pPr>
        <w:sectPr>
          <w:pgSz w:w="11900" w:h="16838" w:orient="portrait"/>
          <w:cols w:equalWidth="0" w:num="2">
            <w:col w:w="5460" w:space="480"/>
            <w:col w:w="5480"/>
          </w:cols>
          <w:pgMar w:left="240" w:top="144" w:right="239" w:bottom="1440" w:gutter="0" w:footer="0" w:header="0"/>
          <w:type w:val="continuous"/>
        </w:sectPr>
      </w:pPr>
    </w:p>
    <w:p>
      <w:pPr>
        <w:ind w:left="420"/>
        <w:spacing w:after="0"/>
        <w:rPr>
          <w:sz w:val="20"/>
          <w:szCs w:val="20"/>
          <w:color w:val="auto"/>
        </w:rPr>
      </w:pPr>
      <w:r>
        <w:rPr>
          <w:rFonts w:ascii="Arial" w:cs="Arial" w:eastAsia="Arial" w:hAnsi="Arial"/>
          <w:sz w:val="17"/>
          <w:szCs w:val="17"/>
          <w:color w:val="auto"/>
        </w:rPr>
        <w:t>These increases were partially offset by an increase in net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proceeds of marketable securities.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Contractual Obligations and Off-Balance Sheet Arrangements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Contractual Obligations</w:t>
      </w:r>
    </w:p>
    <w:p>
      <w:pPr>
        <w:spacing w:after="0" w:line="106" w:lineRule="exact"/>
        <w:rPr>
          <w:sz w:val="20"/>
          <w:szCs w:val="20"/>
          <w:color w:val="auto"/>
        </w:rPr>
      </w:pPr>
    </w:p>
    <w:p>
      <w:pPr>
        <w:jc w:val="both"/>
        <w:ind w:right="540" w:firstLine="410"/>
        <w:spacing w:after="0" w:line="257" w:lineRule="auto"/>
        <w:rPr>
          <w:sz w:val="20"/>
          <w:szCs w:val="20"/>
          <w:color w:val="auto"/>
        </w:rPr>
      </w:pPr>
      <w:r>
        <w:rPr>
          <w:rFonts w:ascii="Arial" w:cs="Arial" w:eastAsia="Arial" w:hAnsi="Arial"/>
          <w:sz w:val="17"/>
          <w:szCs w:val="17"/>
          <w:color w:val="auto"/>
        </w:rPr>
        <w:t>The following table summarizes our contractual obligations as of December 31, 2017, excluding amounts related to uncertain tax positions, funding commitments, contingent development, regulatory and commercial milestone payments, TYSABRI contingent payments and contingent consideration related to our business combinations, as described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7"/>
              </w:rPr>
              <w:t>Payments Due by Period</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66"/>
        </w:trPr>
        <w:tc>
          <w:tcPr>
            <w:tcW w:w="4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220"/>
              <w:spacing w:after="0"/>
              <w:rPr>
                <w:sz w:val="20"/>
                <w:szCs w:val="20"/>
                <w:color w:val="auto"/>
              </w:rPr>
            </w:pPr>
            <w:r>
              <w:rPr>
                <w:rFonts w:ascii="Arial" w:cs="Arial" w:eastAsia="Arial" w:hAnsi="Arial"/>
                <w:sz w:val="14"/>
                <w:szCs w:val="14"/>
                <w:b w:val="1"/>
                <w:bCs w:val="1"/>
                <w:color w:val="auto"/>
              </w:rPr>
              <w:t>Less than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8"/>
              </w:rPr>
              <w:t>1 to 3</w:t>
            </w:r>
          </w:p>
        </w:tc>
        <w:tc>
          <w:tcPr>
            <w:tcW w:w="300" w:type="dxa"/>
            <w:vAlign w:val="bottom"/>
          </w:tcPr>
          <w:p>
            <w:pPr>
              <w:spacing w:after="0"/>
              <w:rPr>
                <w:sz w:val="14"/>
                <w:szCs w:val="14"/>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3 to 5</w:t>
            </w:r>
          </w:p>
        </w:tc>
        <w:tc>
          <w:tcPr>
            <w:tcW w:w="280" w:type="dxa"/>
            <w:vAlign w:val="bottom"/>
          </w:tcPr>
          <w:p>
            <w:pPr>
              <w:spacing w:after="0"/>
              <w:rPr>
                <w:sz w:val="14"/>
                <w:szCs w:val="14"/>
                <w:color w:val="auto"/>
              </w:rPr>
            </w:pPr>
          </w:p>
        </w:tc>
        <w:tc>
          <w:tcPr>
            <w:tcW w:w="1080" w:type="dxa"/>
            <w:vAlign w:val="bottom"/>
          </w:tcPr>
          <w:p>
            <w:pPr>
              <w:jc w:val="right"/>
              <w:ind w:right="440"/>
              <w:spacing w:after="0"/>
              <w:rPr>
                <w:sz w:val="20"/>
                <w:szCs w:val="20"/>
                <w:color w:val="auto"/>
              </w:rPr>
            </w:pPr>
            <w:r>
              <w:rPr>
                <w:rFonts w:ascii="Arial" w:cs="Arial" w:eastAsia="Arial" w:hAnsi="Arial"/>
                <w:sz w:val="14"/>
                <w:szCs w:val="14"/>
                <w:b w:val="1"/>
                <w:bCs w:val="1"/>
                <w:color w:val="auto"/>
              </w:rPr>
              <w:t>After</w:t>
            </w:r>
          </w:p>
        </w:tc>
      </w:tr>
      <w:tr>
        <w:trPr>
          <w:trHeight w:val="185"/>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DDDDDD"/>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1 Year</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DDDDDD"/>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94"/>
              </w:rPr>
              <w:t>Years</w:t>
            </w:r>
          </w:p>
        </w:tc>
        <w:tc>
          <w:tcPr>
            <w:tcW w:w="100" w:type="dxa"/>
            <w:vAlign w:val="bottom"/>
            <w:tcBorders>
              <w:bottom w:val="single" w:sz="8" w:color="DDDDDD"/>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DDDDDD"/>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5 Years</w:t>
            </w:r>
          </w:p>
        </w:tc>
      </w:tr>
      <w:tr>
        <w:trPr>
          <w:trHeight w:val="228"/>
        </w:trPr>
        <w:tc>
          <w:tcPr>
            <w:tcW w:w="4120" w:type="dxa"/>
            <w:vAlign w:val="bottom"/>
          </w:tcPr>
          <w:p>
            <w:pPr>
              <w:ind w:left="20"/>
              <w:spacing w:after="0"/>
              <w:rPr>
                <w:sz w:val="20"/>
                <w:szCs w:val="20"/>
                <w:color w:val="auto"/>
              </w:rPr>
            </w:pPr>
            <w:r>
              <w:rPr>
                <w:rFonts w:ascii="Arial" w:cs="Arial" w:eastAsia="Arial" w:hAnsi="Arial"/>
                <w:sz w:val="17"/>
                <w:szCs w:val="17"/>
                <w:color w:val="auto"/>
              </w:rPr>
              <w:t>Non-cancellable operating leases (1), (2)</w:t>
            </w:r>
          </w:p>
        </w:tc>
        <w:tc>
          <w:tcPr>
            <w:tcW w:w="340" w:type="dxa"/>
            <w:vAlign w:val="bottom"/>
            <w:shd w:val="clear" w:color="auto" w:fill="DDDDDD"/>
          </w:tcPr>
          <w:p>
            <w:pPr>
              <w:jc w:val="right"/>
              <w:ind w:right="135"/>
              <w:spacing w:after="0"/>
              <w:rPr>
                <w:sz w:val="20"/>
                <w:szCs w:val="20"/>
                <w:color w:val="auto"/>
              </w:rPr>
            </w:pPr>
            <w:r>
              <w:rPr>
                <w:rFonts w:ascii="Arial" w:cs="Arial" w:eastAsia="Arial" w:hAnsi="Arial"/>
                <w:sz w:val="17"/>
                <w:szCs w:val="17"/>
                <w:color w:val="2573BA"/>
              </w:rPr>
              <w:t>$</w:t>
            </w:r>
          </w:p>
        </w:tc>
        <w:tc>
          <w:tcPr>
            <w:tcW w:w="108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428.5</w:t>
            </w:r>
          </w:p>
        </w:tc>
        <w:tc>
          <w:tcPr>
            <w:tcW w:w="360" w:type="dxa"/>
            <w:vAlign w:val="bottom"/>
            <w:gridSpan w:val="2"/>
            <w:shd w:val="clear" w:color="auto" w:fill="DDDDDD"/>
          </w:tcPr>
          <w:p>
            <w:pPr>
              <w:jc w:val="center"/>
              <w:spacing w:after="0"/>
              <w:rPr>
                <w:sz w:val="20"/>
                <w:szCs w:val="20"/>
                <w:color w:val="auto"/>
              </w:rPr>
            </w:pPr>
            <w:r>
              <w:rPr>
                <w:rFonts w:ascii="Arial" w:cs="Arial" w:eastAsia="Arial" w:hAnsi="Arial"/>
                <w:sz w:val="17"/>
                <w:szCs w:val="17"/>
                <w:color w:val="2573BA"/>
              </w:rPr>
              <w:t>$</w:t>
            </w:r>
          </w:p>
        </w:tc>
        <w:tc>
          <w:tcPr>
            <w:tcW w:w="10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48.3</w:t>
            </w:r>
          </w:p>
        </w:tc>
        <w:tc>
          <w:tcPr>
            <w:tcW w:w="480" w:type="dxa"/>
            <w:vAlign w:val="bottom"/>
            <w:gridSpan w:val="3"/>
            <w:shd w:val="clear" w:color="auto" w:fill="DDDDDD"/>
          </w:tcPr>
          <w:p>
            <w:pPr>
              <w:jc w:val="right"/>
              <w:ind w:right="95"/>
              <w:spacing w:after="0"/>
              <w:rPr>
                <w:sz w:val="20"/>
                <w:szCs w:val="20"/>
                <w:color w:val="auto"/>
              </w:rPr>
            </w:pPr>
            <w:r>
              <w:rPr>
                <w:rFonts w:ascii="Arial" w:cs="Arial" w:eastAsia="Arial" w:hAnsi="Arial"/>
                <w:sz w:val="17"/>
                <w:szCs w:val="17"/>
                <w:color w:val="2573BA"/>
              </w:rPr>
              <w:t>$</w:t>
            </w:r>
          </w:p>
        </w:tc>
        <w:tc>
          <w:tcPr>
            <w:tcW w:w="106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92.1</w:t>
            </w:r>
          </w:p>
        </w:tc>
        <w:tc>
          <w:tcPr>
            <w:tcW w:w="10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300" w:type="dxa"/>
            <w:vAlign w:val="bottom"/>
            <w:shd w:val="clear" w:color="auto" w:fill="DDDDDD"/>
          </w:tcPr>
          <w:p>
            <w:pPr>
              <w:jc w:val="right"/>
              <w:ind w:right="115"/>
              <w:spacing w:after="0"/>
              <w:rPr>
                <w:sz w:val="20"/>
                <w:szCs w:val="20"/>
                <w:color w:val="auto"/>
              </w:rPr>
            </w:pPr>
            <w:r>
              <w:rPr>
                <w:rFonts w:ascii="Arial" w:cs="Arial" w:eastAsia="Arial" w:hAnsi="Arial"/>
                <w:sz w:val="17"/>
                <w:szCs w:val="17"/>
                <w:color w:val="2573BA"/>
                <w:w w:val="84"/>
              </w:rPr>
              <w:t>$</w:t>
            </w:r>
          </w:p>
        </w:tc>
        <w:tc>
          <w:tcPr>
            <w:tcW w:w="106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88.3</w:t>
            </w:r>
          </w:p>
        </w:tc>
        <w:tc>
          <w:tcPr>
            <w:tcW w:w="100" w:type="dxa"/>
            <w:vAlign w:val="bottom"/>
            <w:shd w:val="clear" w:color="auto" w:fill="DDDDDD"/>
          </w:tcPr>
          <w:p>
            <w:pPr>
              <w:spacing w:after="0"/>
              <w:rPr>
                <w:sz w:val="19"/>
                <w:szCs w:val="19"/>
                <w:color w:val="auto"/>
              </w:rPr>
            </w:pP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08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199.8</w:t>
            </w:r>
          </w:p>
        </w:tc>
      </w:tr>
      <w:tr>
        <w:trPr>
          <w:trHeight w:val="256"/>
        </w:trPr>
        <w:tc>
          <w:tcPr>
            <w:tcW w:w="4120" w:type="dxa"/>
            <w:vAlign w:val="bottom"/>
          </w:tcPr>
          <w:p>
            <w:pPr>
              <w:ind w:left="20"/>
              <w:spacing w:after="0"/>
              <w:rPr>
                <w:sz w:val="20"/>
                <w:szCs w:val="20"/>
                <w:color w:val="auto"/>
              </w:rPr>
            </w:pPr>
            <w:r>
              <w:rPr>
                <w:rFonts w:ascii="Arial" w:cs="Arial" w:eastAsia="Arial" w:hAnsi="Arial"/>
                <w:sz w:val="17"/>
                <w:szCs w:val="17"/>
                <w:color w:val="auto"/>
              </w:rPr>
              <w:t>Long-term debt obligations (3)</w:t>
            </w:r>
          </w:p>
        </w:tc>
        <w:tc>
          <w:tcPr>
            <w:tcW w:w="340" w:type="dxa"/>
            <w:vAlign w:val="bottom"/>
            <w:shd w:val="clear" w:color="auto" w:fill="DDDDDD"/>
          </w:tcPr>
          <w:p>
            <w:pPr>
              <w:spacing w:after="0"/>
              <w:rPr>
                <w:sz w:val="22"/>
                <w:szCs w:val="22"/>
                <w:color w:val="auto"/>
              </w:rPr>
            </w:pPr>
          </w:p>
        </w:tc>
        <w:tc>
          <w:tcPr>
            <w:tcW w:w="108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9,430.0</w:t>
            </w:r>
          </w:p>
        </w:tc>
        <w:tc>
          <w:tcPr>
            <w:tcW w:w="10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244.8</w:t>
            </w:r>
          </w:p>
        </w:tc>
        <w:tc>
          <w:tcPr>
            <w:tcW w:w="6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320" w:type="dxa"/>
            <w:vAlign w:val="bottom"/>
            <w:shd w:val="clear" w:color="auto" w:fill="DDDDDD"/>
          </w:tcPr>
          <w:p>
            <w:pPr>
              <w:spacing w:after="0"/>
              <w:rPr>
                <w:sz w:val="22"/>
                <w:szCs w:val="22"/>
                <w:color w:val="auto"/>
              </w:rPr>
            </w:pPr>
          </w:p>
        </w:tc>
        <w:tc>
          <w:tcPr>
            <w:tcW w:w="106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1,983.3</w:t>
            </w:r>
          </w:p>
        </w:tc>
        <w:tc>
          <w:tcPr>
            <w:tcW w:w="10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300" w:type="dxa"/>
            <w:vAlign w:val="bottom"/>
            <w:shd w:val="clear" w:color="auto" w:fill="DDDDDD"/>
          </w:tcPr>
          <w:p>
            <w:pPr>
              <w:spacing w:after="0"/>
              <w:rPr>
                <w:sz w:val="22"/>
                <w:szCs w:val="22"/>
                <w:color w:val="auto"/>
              </w:rPr>
            </w:pPr>
          </w:p>
        </w:tc>
        <w:tc>
          <w:tcPr>
            <w:tcW w:w="106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1,396.3</w:t>
            </w:r>
          </w:p>
        </w:tc>
        <w:tc>
          <w:tcPr>
            <w:tcW w:w="10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108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5,805.6</w:t>
            </w:r>
          </w:p>
        </w:tc>
      </w:tr>
      <w:tr>
        <w:trPr>
          <w:trHeight w:val="256"/>
        </w:trPr>
        <w:tc>
          <w:tcPr>
            <w:tcW w:w="4120" w:type="dxa"/>
            <w:vAlign w:val="bottom"/>
          </w:tcPr>
          <w:p>
            <w:pPr>
              <w:ind w:left="20"/>
              <w:spacing w:after="0"/>
              <w:rPr>
                <w:sz w:val="20"/>
                <w:szCs w:val="20"/>
                <w:color w:val="auto"/>
              </w:rPr>
            </w:pPr>
            <w:r>
              <w:rPr>
                <w:rFonts w:ascii="Arial" w:cs="Arial" w:eastAsia="Arial" w:hAnsi="Arial"/>
                <w:sz w:val="17"/>
                <w:szCs w:val="17"/>
                <w:color w:val="auto"/>
              </w:rPr>
              <w:t>Purchase and other obligations (4)</w:t>
            </w:r>
          </w:p>
        </w:tc>
        <w:tc>
          <w:tcPr>
            <w:tcW w:w="340" w:type="dxa"/>
            <w:vAlign w:val="bottom"/>
            <w:shd w:val="clear" w:color="auto" w:fill="DDDDDD"/>
          </w:tcPr>
          <w:p>
            <w:pPr>
              <w:spacing w:after="0"/>
              <w:rPr>
                <w:sz w:val="22"/>
                <w:szCs w:val="22"/>
                <w:color w:val="auto"/>
              </w:rPr>
            </w:pPr>
          </w:p>
        </w:tc>
        <w:tc>
          <w:tcPr>
            <w:tcW w:w="108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1,657.1</w:t>
            </w:r>
          </w:p>
        </w:tc>
        <w:tc>
          <w:tcPr>
            <w:tcW w:w="10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637.3</w:t>
            </w:r>
          </w:p>
        </w:tc>
        <w:tc>
          <w:tcPr>
            <w:tcW w:w="6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320" w:type="dxa"/>
            <w:vAlign w:val="bottom"/>
            <w:shd w:val="clear" w:color="auto" w:fill="DDDDDD"/>
          </w:tcPr>
          <w:p>
            <w:pPr>
              <w:spacing w:after="0"/>
              <w:rPr>
                <w:sz w:val="22"/>
                <w:szCs w:val="22"/>
                <w:color w:val="auto"/>
              </w:rPr>
            </w:pPr>
          </w:p>
        </w:tc>
        <w:tc>
          <w:tcPr>
            <w:tcW w:w="106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344.9</w:t>
            </w:r>
          </w:p>
        </w:tc>
        <w:tc>
          <w:tcPr>
            <w:tcW w:w="10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300" w:type="dxa"/>
            <w:vAlign w:val="bottom"/>
            <w:shd w:val="clear" w:color="auto" w:fill="DDDDDD"/>
          </w:tcPr>
          <w:p>
            <w:pPr>
              <w:spacing w:after="0"/>
              <w:rPr>
                <w:sz w:val="22"/>
                <w:szCs w:val="22"/>
                <w:color w:val="auto"/>
              </w:rPr>
            </w:pPr>
          </w:p>
        </w:tc>
        <w:tc>
          <w:tcPr>
            <w:tcW w:w="106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234.6</w:t>
            </w:r>
          </w:p>
        </w:tc>
        <w:tc>
          <w:tcPr>
            <w:tcW w:w="10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108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440.3</w:t>
            </w:r>
          </w:p>
        </w:tc>
      </w:tr>
      <w:tr>
        <w:trPr>
          <w:trHeight w:val="263"/>
        </w:trPr>
        <w:tc>
          <w:tcPr>
            <w:tcW w:w="4120" w:type="dxa"/>
            <w:vAlign w:val="bottom"/>
          </w:tcPr>
          <w:p>
            <w:pPr>
              <w:ind w:left="20"/>
              <w:spacing w:after="0"/>
              <w:rPr>
                <w:sz w:val="20"/>
                <w:szCs w:val="20"/>
                <w:color w:val="auto"/>
              </w:rPr>
            </w:pPr>
            <w:r>
              <w:rPr>
                <w:rFonts w:ascii="Arial" w:cs="Arial" w:eastAsia="Arial" w:hAnsi="Arial"/>
                <w:sz w:val="17"/>
                <w:szCs w:val="17"/>
                <w:color w:val="auto"/>
              </w:rPr>
              <w:t>Defined benefit obligation</w:t>
            </w:r>
          </w:p>
        </w:tc>
        <w:tc>
          <w:tcPr>
            <w:tcW w:w="340" w:type="dxa"/>
            <w:vAlign w:val="bottom"/>
            <w:tcBorders>
              <w:bottom w:val="single" w:sz="8" w:color="auto"/>
            </w:tcBorders>
            <w:shd w:val="clear" w:color="auto" w:fill="DDDDDD"/>
          </w:tcPr>
          <w:p>
            <w:pPr>
              <w:spacing w:after="0"/>
              <w:rPr>
                <w:sz w:val="22"/>
                <w:szCs w:val="22"/>
                <w:color w:val="auto"/>
              </w:rPr>
            </w:pPr>
          </w:p>
        </w:tc>
        <w:tc>
          <w:tcPr>
            <w:tcW w:w="1080" w:type="dxa"/>
            <w:vAlign w:val="bottom"/>
            <w:tcBorders>
              <w:bottom w:val="single" w:sz="8" w:color="auto"/>
            </w:tcBorders>
            <w:shd w:val="clear" w:color="auto" w:fill="DDDDDD"/>
          </w:tcPr>
          <w:p>
            <w:pPr>
              <w:jc w:val="right"/>
              <w:ind w:right="37"/>
              <w:spacing w:after="0"/>
              <w:rPr>
                <w:sz w:val="20"/>
                <w:szCs w:val="20"/>
                <w:color w:val="auto"/>
              </w:rPr>
            </w:pPr>
            <w:r>
              <w:rPr>
                <w:rFonts w:ascii="Arial" w:cs="Arial" w:eastAsia="Arial" w:hAnsi="Arial"/>
                <w:sz w:val="17"/>
                <w:szCs w:val="17"/>
                <w:color w:val="2573BA"/>
              </w:rPr>
              <w:t>91.8</w:t>
            </w:r>
          </w:p>
        </w:tc>
        <w:tc>
          <w:tcPr>
            <w:tcW w:w="100" w:type="dxa"/>
            <w:vAlign w:val="bottom"/>
            <w:tcBorders>
              <w:bottom w:val="single" w:sz="8" w:color="DDDDDD"/>
            </w:tcBorders>
            <w:shd w:val="clear" w:color="auto" w:fill="DDDDDD"/>
          </w:tcPr>
          <w:p>
            <w:pPr>
              <w:spacing w:after="0"/>
              <w:rPr>
                <w:sz w:val="22"/>
                <w:szCs w:val="22"/>
                <w:color w:val="auto"/>
              </w:rPr>
            </w:pPr>
          </w:p>
        </w:tc>
        <w:tc>
          <w:tcPr>
            <w:tcW w:w="260" w:type="dxa"/>
            <w:vAlign w:val="bottom"/>
            <w:tcBorders>
              <w:bottom w:val="single" w:sz="8" w:color="auto"/>
            </w:tcBorders>
            <w:shd w:val="clear" w:color="auto" w:fill="DDDDDD"/>
          </w:tcPr>
          <w:p>
            <w:pPr>
              <w:spacing w:after="0"/>
              <w:rPr>
                <w:sz w:val="22"/>
                <w:szCs w:val="22"/>
                <w:color w:val="auto"/>
              </w:rPr>
            </w:pPr>
          </w:p>
        </w:tc>
        <w:tc>
          <w:tcPr>
            <w:tcW w:w="10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60" w:type="dxa"/>
            <w:vAlign w:val="bottom"/>
            <w:tcBorders>
              <w:bottom w:val="single" w:sz="8" w:color="auto"/>
            </w:tcBorders>
            <w:shd w:val="clear" w:color="auto" w:fill="DDDDDD"/>
          </w:tcPr>
          <w:p>
            <w:pPr>
              <w:spacing w:after="0"/>
              <w:rPr>
                <w:sz w:val="22"/>
                <w:szCs w:val="22"/>
                <w:color w:val="auto"/>
              </w:rPr>
            </w:pPr>
          </w:p>
        </w:tc>
        <w:tc>
          <w:tcPr>
            <w:tcW w:w="100" w:type="dxa"/>
            <w:vAlign w:val="bottom"/>
            <w:tcBorders>
              <w:bottom w:val="single" w:sz="8" w:color="DDDDDD"/>
            </w:tcBorders>
            <w:shd w:val="clear" w:color="auto" w:fill="DDDDDD"/>
          </w:tcPr>
          <w:p>
            <w:pPr>
              <w:spacing w:after="0"/>
              <w:rPr>
                <w:sz w:val="22"/>
                <w:szCs w:val="22"/>
                <w:color w:val="auto"/>
              </w:rPr>
            </w:pPr>
          </w:p>
        </w:tc>
        <w:tc>
          <w:tcPr>
            <w:tcW w:w="320" w:type="dxa"/>
            <w:vAlign w:val="bottom"/>
            <w:tcBorders>
              <w:bottom w:val="single" w:sz="8" w:color="auto"/>
            </w:tcBorders>
            <w:shd w:val="clear" w:color="auto" w:fill="DDDDDD"/>
          </w:tcPr>
          <w:p>
            <w:pPr>
              <w:spacing w:after="0"/>
              <w:rPr>
                <w:sz w:val="22"/>
                <w:szCs w:val="22"/>
                <w:color w:val="auto"/>
              </w:rPr>
            </w:pPr>
          </w:p>
        </w:tc>
        <w:tc>
          <w:tcPr>
            <w:tcW w:w="1060" w:type="dxa"/>
            <w:vAlign w:val="bottom"/>
            <w:tcBorders>
              <w:bottom w:val="single" w:sz="8" w:color="auto"/>
            </w:tcBorders>
            <w:shd w:val="clear" w:color="auto" w:fill="DDDDDD"/>
          </w:tcPr>
          <w:p>
            <w:pPr>
              <w:jc w:val="right"/>
              <w:ind w:right="20"/>
              <w:spacing w:after="0"/>
              <w:rPr>
                <w:sz w:val="20"/>
                <w:szCs w:val="20"/>
                <w:color w:val="auto"/>
              </w:rPr>
            </w:pPr>
            <w:r>
              <w:rPr>
                <w:rFonts w:ascii="Arial" w:cs="Arial" w:eastAsia="Arial" w:hAnsi="Arial"/>
                <w:sz w:val="17"/>
                <w:szCs w:val="17"/>
                <w:color w:val="2573BA"/>
              </w:rPr>
              <w:t>—</w:t>
            </w:r>
          </w:p>
        </w:tc>
        <w:tc>
          <w:tcPr>
            <w:tcW w:w="100" w:type="dxa"/>
            <w:vAlign w:val="bottom"/>
            <w:tcBorders>
              <w:bottom w:val="single" w:sz="8" w:color="DDDDDD"/>
            </w:tcBorders>
            <w:shd w:val="clear" w:color="auto" w:fill="DDDDDD"/>
          </w:tcPr>
          <w:p>
            <w:pPr>
              <w:spacing w:after="0"/>
              <w:rPr>
                <w:sz w:val="22"/>
                <w:szCs w:val="22"/>
                <w:color w:val="auto"/>
              </w:rPr>
            </w:pPr>
          </w:p>
        </w:tc>
        <w:tc>
          <w:tcPr>
            <w:tcW w:w="20" w:type="dxa"/>
            <w:vAlign w:val="bottom"/>
            <w:tcBorders>
              <w:bottom w:val="single" w:sz="8" w:color="auto"/>
            </w:tcBorders>
            <w:shd w:val="clear" w:color="auto" w:fill="DDDDDD"/>
          </w:tcPr>
          <w:p>
            <w:pPr>
              <w:spacing w:after="0"/>
              <w:rPr>
                <w:sz w:val="22"/>
                <w:szCs w:val="22"/>
                <w:color w:val="auto"/>
              </w:rPr>
            </w:pPr>
          </w:p>
        </w:tc>
        <w:tc>
          <w:tcPr>
            <w:tcW w:w="300" w:type="dxa"/>
            <w:vAlign w:val="bottom"/>
            <w:tcBorders>
              <w:bottom w:val="single" w:sz="8" w:color="auto"/>
            </w:tcBorders>
            <w:shd w:val="clear" w:color="auto" w:fill="DDDDDD"/>
          </w:tcPr>
          <w:p>
            <w:pPr>
              <w:spacing w:after="0"/>
              <w:rPr>
                <w:sz w:val="22"/>
                <w:szCs w:val="22"/>
                <w:color w:val="auto"/>
              </w:rPr>
            </w:pPr>
          </w:p>
        </w:tc>
        <w:tc>
          <w:tcPr>
            <w:tcW w:w="1060" w:type="dxa"/>
            <w:vAlign w:val="bottom"/>
            <w:tcBorders>
              <w:bottom w:val="single" w:sz="8" w:color="auto"/>
            </w:tcBorders>
            <w:shd w:val="clear" w:color="auto" w:fill="DDDDDD"/>
          </w:tcPr>
          <w:p>
            <w:pPr>
              <w:jc w:val="right"/>
              <w:ind w:right="20"/>
              <w:spacing w:after="0"/>
              <w:rPr>
                <w:sz w:val="20"/>
                <w:szCs w:val="20"/>
                <w:color w:val="auto"/>
              </w:rPr>
            </w:pPr>
            <w:r>
              <w:rPr>
                <w:rFonts w:ascii="Arial" w:cs="Arial" w:eastAsia="Arial" w:hAnsi="Arial"/>
                <w:sz w:val="17"/>
                <w:szCs w:val="17"/>
                <w:color w:val="2573BA"/>
              </w:rPr>
              <w:t>—</w:t>
            </w:r>
          </w:p>
        </w:tc>
        <w:tc>
          <w:tcPr>
            <w:tcW w:w="100" w:type="dxa"/>
            <w:vAlign w:val="bottom"/>
            <w:tcBorders>
              <w:bottom w:val="single" w:sz="8" w:color="DDDDDD"/>
            </w:tcBorders>
            <w:shd w:val="clear" w:color="auto" w:fill="DDDDDD"/>
          </w:tcPr>
          <w:p>
            <w:pPr>
              <w:spacing w:after="0"/>
              <w:rPr>
                <w:sz w:val="22"/>
                <w:szCs w:val="22"/>
                <w:color w:val="auto"/>
              </w:rPr>
            </w:pPr>
          </w:p>
        </w:tc>
        <w:tc>
          <w:tcPr>
            <w:tcW w:w="280" w:type="dxa"/>
            <w:vAlign w:val="bottom"/>
            <w:tcBorders>
              <w:bottom w:val="single" w:sz="8" w:color="auto"/>
            </w:tcBorders>
            <w:shd w:val="clear" w:color="auto" w:fill="DDDDDD"/>
          </w:tcPr>
          <w:p>
            <w:pPr>
              <w:spacing w:after="0"/>
              <w:rPr>
                <w:sz w:val="22"/>
                <w:szCs w:val="22"/>
                <w:color w:val="auto"/>
              </w:rPr>
            </w:pPr>
          </w:p>
        </w:tc>
        <w:tc>
          <w:tcPr>
            <w:tcW w:w="1080" w:type="dxa"/>
            <w:vAlign w:val="bottom"/>
            <w:tcBorders>
              <w:bottom w:val="single" w:sz="8" w:color="auto"/>
            </w:tcBorders>
            <w:shd w:val="clear" w:color="auto" w:fill="DDDDDD"/>
          </w:tcPr>
          <w:p>
            <w:pPr>
              <w:jc w:val="right"/>
              <w:ind w:right="20"/>
              <w:spacing w:after="0"/>
              <w:rPr>
                <w:sz w:val="20"/>
                <w:szCs w:val="20"/>
                <w:color w:val="auto"/>
              </w:rPr>
            </w:pPr>
            <w:r>
              <w:rPr>
                <w:rFonts w:ascii="Arial" w:cs="Arial" w:eastAsia="Arial" w:hAnsi="Arial"/>
                <w:sz w:val="17"/>
                <w:szCs w:val="17"/>
                <w:color w:val="2573BA"/>
              </w:rPr>
              <w:t>91.8</w:t>
            </w:r>
          </w:p>
        </w:tc>
      </w:tr>
      <w:tr>
        <w:trPr>
          <w:trHeight w:val="236"/>
        </w:trPr>
        <w:tc>
          <w:tcPr>
            <w:tcW w:w="4120" w:type="dxa"/>
            <w:vAlign w:val="bottom"/>
          </w:tcPr>
          <w:p>
            <w:pPr>
              <w:ind w:left="160"/>
              <w:spacing w:after="0"/>
              <w:rPr>
                <w:sz w:val="20"/>
                <w:szCs w:val="20"/>
                <w:color w:val="auto"/>
              </w:rPr>
            </w:pPr>
            <w:r>
              <w:rPr>
                <w:rFonts w:ascii="Arial" w:cs="Arial" w:eastAsia="Arial" w:hAnsi="Arial"/>
                <w:sz w:val="17"/>
                <w:szCs w:val="17"/>
                <w:color w:val="auto"/>
              </w:rPr>
              <w:t>Total contractual obligations</w:t>
            </w:r>
          </w:p>
        </w:tc>
        <w:tc>
          <w:tcPr>
            <w:tcW w:w="340" w:type="dxa"/>
            <w:vAlign w:val="bottom"/>
            <w:tcBorders>
              <w:bottom w:val="single" w:sz="8" w:color="auto"/>
            </w:tcBorders>
            <w:shd w:val="clear" w:color="auto" w:fill="DDDDDD"/>
          </w:tcPr>
          <w:p>
            <w:pPr>
              <w:jc w:val="right"/>
              <w:ind w:right="135"/>
              <w:spacing w:after="0"/>
              <w:rPr>
                <w:sz w:val="20"/>
                <w:szCs w:val="20"/>
                <w:color w:val="auto"/>
              </w:rPr>
            </w:pPr>
            <w:r>
              <w:rPr>
                <w:rFonts w:ascii="Arial" w:cs="Arial" w:eastAsia="Arial" w:hAnsi="Arial"/>
                <w:sz w:val="17"/>
                <w:szCs w:val="17"/>
                <w:color w:val="2573BA"/>
              </w:rPr>
              <w:t>$</w:t>
            </w:r>
          </w:p>
        </w:tc>
        <w:tc>
          <w:tcPr>
            <w:tcW w:w="1080" w:type="dxa"/>
            <w:vAlign w:val="bottom"/>
            <w:tcBorders>
              <w:bottom w:val="single" w:sz="8" w:color="auto"/>
            </w:tcBorders>
            <w:shd w:val="clear" w:color="auto" w:fill="DDDDDD"/>
          </w:tcPr>
          <w:p>
            <w:pPr>
              <w:jc w:val="right"/>
              <w:ind w:right="37"/>
              <w:spacing w:after="0"/>
              <w:rPr>
                <w:sz w:val="20"/>
                <w:szCs w:val="20"/>
                <w:color w:val="auto"/>
              </w:rPr>
            </w:pPr>
            <w:r>
              <w:rPr>
                <w:rFonts w:ascii="Arial" w:cs="Arial" w:eastAsia="Arial" w:hAnsi="Arial"/>
                <w:sz w:val="17"/>
                <w:szCs w:val="17"/>
                <w:color w:val="2573BA"/>
              </w:rPr>
              <w:t>11,607.4</w:t>
            </w:r>
          </w:p>
        </w:tc>
        <w:tc>
          <w:tcPr>
            <w:tcW w:w="100" w:type="dxa"/>
            <w:vAlign w:val="bottom"/>
            <w:tcBorders>
              <w:bottom w:val="single" w:sz="8" w:color="DDDDDD"/>
            </w:tcBorders>
            <w:shd w:val="clear" w:color="auto" w:fill="DDDDDD"/>
          </w:tcPr>
          <w:p>
            <w:pPr>
              <w:spacing w:after="0"/>
              <w:rPr>
                <w:sz w:val="20"/>
                <w:szCs w:val="20"/>
                <w:color w:val="auto"/>
              </w:rPr>
            </w:pPr>
          </w:p>
        </w:tc>
        <w:tc>
          <w:tcPr>
            <w:tcW w:w="260" w:type="dxa"/>
            <w:vAlign w:val="bottom"/>
            <w:tcBorders>
              <w:bottom w:val="single" w:sz="8" w:color="auto"/>
            </w:tcBorders>
            <w:shd w:val="clear" w:color="auto" w:fill="DDDDDD"/>
          </w:tcPr>
          <w:p>
            <w:pPr>
              <w:jc w:val="center"/>
              <w:ind w:right="35"/>
              <w:spacing w:after="0"/>
              <w:rPr>
                <w:sz w:val="20"/>
                <w:szCs w:val="20"/>
                <w:color w:val="auto"/>
              </w:rPr>
            </w:pPr>
            <w:r>
              <w:rPr>
                <w:rFonts w:ascii="Arial" w:cs="Arial" w:eastAsia="Arial" w:hAnsi="Arial"/>
                <w:sz w:val="17"/>
                <w:szCs w:val="17"/>
                <w:color w:val="2573BA"/>
              </w:rPr>
              <w:t>$</w:t>
            </w:r>
          </w:p>
        </w:tc>
        <w:tc>
          <w:tcPr>
            <w:tcW w:w="10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930.4</w:t>
            </w:r>
          </w:p>
        </w:tc>
        <w:tc>
          <w:tcPr>
            <w:tcW w:w="60" w:type="dxa"/>
            <w:vAlign w:val="bottom"/>
            <w:tcBorders>
              <w:bottom w:val="single" w:sz="8" w:color="auto"/>
            </w:tcBorders>
            <w:shd w:val="clear" w:color="auto" w:fill="DDDDDD"/>
          </w:tcPr>
          <w:p>
            <w:pPr>
              <w:spacing w:after="0"/>
              <w:rPr>
                <w:sz w:val="20"/>
                <w:szCs w:val="20"/>
                <w:color w:val="auto"/>
              </w:rPr>
            </w:pPr>
          </w:p>
        </w:tc>
        <w:tc>
          <w:tcPr>
            <w:tcW w:w="100" w:type="dxa"/>
            <w:vAlign w:val="bottom"/>
            <w:tcBorders>
              <w:bottom w:val="single" w:sz="8" w:color="DDDDDD"/>
            </w:tcBorders>
            <w:shd w:val="clear" w:color="auto" w:fill="DDDDDD"/>
          </w:tcPr>
          <w:p>
            <w:pPr>
              <w:spacing w:after="0"/>
              <w:rPr>
                <w:sz w:val="20"/>
                <w:szCs w:val="20"/>
                <w:color w:val="auto"/>
              </w:rPr>
            </w:pPr>
          </w:p>
        </w:tc>
        <w:tc>
          <w:tcPr>
            <w:tcW w:w="320" w:type="dxa"/>
            <w:vAlign w:val="bottom"/>
            <w:tcBorders>
              <w:bottom w:val="single" w:sz="8" w:color="auto"/>
            </w:tcBorders>
            <w:shd w:val="clear" w:color="auto" w:fill="DDDDDD"/>
          </w:tcPr>
          <w:p>
            <w:pPr>
              <w:jc w:val="right"/>
              <w:ind w:right="95"/>
              <w:spacing w:after="0"/>
              <w:rPr>
                <w:sz w:val="20"/>
                <w:szCs w:val="20"/>
                <w:color w:val="auto"/>
              </w:rPr>
            </w:pPr>
            <w:r>
              <w:rPr>
                <w:rFonts w:ascii="Arial" w:cs="Arial" w:eastAsia="Arial" w:hAnsi="Arial"/>
                <w:sz w:val="17"/>
                <w:szCs w:val="17"/>
                <w:color w:val="2573BA"/>
              </w:rPr>
              <w:t>$</w:t>
            </w:r>
          </w:p>
        </w:tc>
        <w:tc>
          <w:tcPr>
            <w:tcW w:w="1060" w:type="dxa"/>
            <w:vAlign w:val="bottom"/>
            <w:tcBorders>
              <w:bottom w:val="single" w:sz="8" w:color="auto"/>
            </w:tcBorders>
            <w:shd w:val="clear" w:color="auto" w:fill="DDDDDD"/>
          </w:tcPr>
          <w:p>
            <w:pPr>
              <w:jc w:val="right"/>
              <w:ind w:right="20"/>
              <w:spacing w:after="0"/>
              <w:rPr>
                <w:sz w:val="20"/>
                <w:szCs w:val="20"/>
                <w:color w:val="auto"/>
              </w:rPr>
            </w:pPr>
            <w:r>
              <w:rPr>
                <w:rFonts w:ascii="Arial" w:cs="Arial" w:eastAsia="Arial" w:hAnsi="Arial"/>
                <w:sz w:val="17"/>
                <w:szCs w:val="17"/>
                <w:color w:val="2573BA"/>
              </w:rPr>
              <w:t>2,420.3</w:t>
            </w:r>
          </w:p>
        </w:tc>
        <w:tc>
          <w:tcPr>
            <w:tcW w:w="100" w:type="dxa"/>
            <w:vAlign w:val="bottom"/>
            <w:tcBorders>
              <w:bottom w:val="single" w:sz="8" w:color="DDDDDD"/>
            </w:tcBorders>
            <w:shd w:val="clear" w:color="auto" w:fill="DDDDDD"/>
          </w:tcPr>
          <w:p>
            <w:pPr>
              <w:spacing w:after="0"/>
              <w:rPr>
                <w:sz w:val="20"/>
                <w:szCs w:val="20"/>
                <w:color w:val="auto"/>
              </w:rPr>
            </w:pPr>
          </w:p>
        </w:tc>
        <w:tc>
          <w:tcPr>
            <w:tcW w:w="20" w:type="dxa"/>
            <w:vAlign w:val="bottom"/>
            <w:tcBorders>
              <w:bottom w:val="single" w:sz="8" w:color="auto"/>
            </w:tcBorders>
            <w:shd w:val="clear" w:color="auto" w:fill="DDDDDD"/>
          </w:tcPr>
          <w:p>
            <w:pPr>
              <w:spacing w:after="0"/>
              <w:rPr>
                <w:sz w:val="20"/>
                <w:szCs w:val="20"/>
                <w:color w:val="auto"/>
              </w:rPr>
            </w:pPr>
          </w:p>
        </w:tc>
        <w:tc>
          <w:tcPr>
            <w:tcW w:w="300" w:type="dxa"/>
            <w:vAlign w:val="bottom"/>
            <w:tcBorders>
              <w:bottom w:val="single" w:sz="8" w:color="auto"/>
            </w:tcBorders>
            <w:shd w:val="clear" w:color="auto" w:fill="DDDDDD"/>
          </w:tcPr>
          <w:p>
            <w:pPr>
              <w:jc w:val="right"/>
              <w:ind w:right="115"/>
              <w:spacing w:after="0"/>
              <w:rPr>
                <w:sz w:val="20"/>
                <w:szCs w:val="20"/>
                <w:color w:val="auto"/>
              </w:rPr>
            </w:pPr>
            <w:r>
              <w:rPr>
                <w:rFonts w:ascii="Arial" w:cs="Arial" w:eastAsia="Arial" w:hAnsi="Arial"/>
                <w:sz w:val="17"/>
                <w:szCs w:val="17"/>
                <w:color w:val="2573BA"/>
                <w:w w:val="84"/>
              </w:rPr>
              <w:t>$</w:t>
            </w:r>
          </w:p>
        </w:tc>
        <w:tc>
          <w:tcPr>
            <w:tcW w:w="1060" w:type="dxa"/>
            <w:vAlign w:val="bottom"/>
            <w:tcBorders>
              <w:bottom w:val="single" w:sz="8" w:color="auto"/>
            </w:tcBorders>
            <w:shd w:val="clear" w:color="auto" w:fill="DDDDDD"/>
          </w:tcPr>
          <w:p>
            <w:pPr>
              <w:jc w:val="right"/>
              <w:ind w:right="20"/>
              <w:spacing w:after="0"/>
              <w:rPr>
                <w:sz w:val="20"/>
                <w:szCs w:val="20"/>
                <w:color w:val="auto"/>
              </w:rPr>
            </w:pPr>
            <w:r>
              <w:rPr>
                <w:rFonts w:ascii="Arial" w:cs="Arial" w:eastAsia="Arial" w:hAnsi="Arial"/>
                <w:sz w:val="17"/>
                <w:szCs w:val="17"/>
                <w:color w:val="2573BA"/>
              </w:rPr>
              <w:t>1,719.2</w:t>
            </w:r>
          </w:p>
        </w:tc>
        <w:tc>
          <w:tcPr>
            <w:tcW w:w="100" w:type="dxa"/>
            <w:vAlign w:val="bottom"/>
            <w:tcBorders>
              <w:bottom w:val="single" w:sz="8" w:color="DDDDDD"/>
            </w:tcBorders>
            <w:shd w:val="clear" w:color="auto" w:fill="DDDDDD"/>
          </w:tcPr>
          <w:p>
            <w:pPr>
              <w:spacing w:after="0"/>
              <w:rPr>
                <w:sz w:val="20"/>
                <w:szCs w:val="20"/>
                <w:color w:val="auto"/>
              </w:rPr>
            </w:pPr>
          </w:p>
        </w:tc>
        <w:tc>
          <w:tcPr>
            <w:tcW w:w="280" w:type="dxa"/>
            <w:vAlign w:val="bottom"/>
            <w:tcBorders>
              <w:bottom w:val="single" w:sz="8" w:color="auto"/>
            </w:tcBorders>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080" w:type="dxa"/>
            <w:vAlign w:val="bottom"/>
            <w:tcBorders>
              <w:bottom w:val="single" w:sz="8" w:color="auto"/>
            </w:tcBorders>
            <w:shd w:val="clear" w:color="auto" w:fill="DDDDDD"/>
          </w:tcPr>
          <w:p>
            <w:pPr>
              <w:jc w:val="right"/>
              <w:ind w:right="20"/>
              <w:spacing w:after="0"/>
              <w:rPr>
                <w:sz w:val="20"/>
                <w:szCs w:val="20"/>
                <w:color w:val="auto"/>
              </w:rPr>
            </w:pPr>
            <w:r>
              <w:rPr>
                <w:rFonts w:ascii="Arial" w:cs="Arial" w:eastAsia="Arial" w:hAnsi="Arial"/>
                <w:sz w:val="17"/>
                <w:szCs w:val="17"/>
                <w:color w:val="2573BA"/>
              </w:rPr>
              <w:t>6,537.5</w:t>
            </w:r>
          </w:p>
        </w:tc>
      </w:tr>
      <w:tr>
        <w:trPr>
          <w:trHeight w:val="20"/>
        </w:trPr>
        <w:tc>
          <w:tcPr>
            <w:tcW w:w="4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20"/>
        </w:trPr>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gridSpan w:val="2"/>
          </w:tcPr>
          <w:p>
            <w:pPr>
              <w:jc w:val="center"/>
              <w:spacing w:after="0"/>
              <w:rPr>
                <w:sz w:val="20"/>
                <w:szCs w:val="20"/>
                <w:color w:val="auto"/>
              </w:rPr>
            </w:pPr>
            <w:r>
              <w:rPr>
                <w:rFonts w:ascii="Arial" w:cs="Arial" w:eastAsia="Arial" w:hAnsi="Arial"/>
                <w:sz w:val="17"/>
                <w:szCs w:val="17"/>
                <w:color w:val="auto"/>
                <w:w w:val="94"/>
              </w:rPr>
              <w:t>81</w:t>
            </w: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44" w:right="239" w:bottom="1440" w:gutter="0" w:footer="0" w:header="0"/>
          <w:type w:val="continuous"/>
        </w:sectPr>
      </w:pPr>
    </w:p>
    <w:bookmarkStart w:id="85" w:name="page86"/>
    <w:bookmarkEnd w:id="8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383" w:lineRule="exact"/>
        <w:rPr>
          <w:sz w:val="20"/>
          <w:szCs w:val="20"/>
          <w:color w:val="auto"/>
        </w:rPr>
      </w:pPr>
    </w:p>
    <w:p>
      <w:pPr>
        <w:ind w:left="380" w:right="120" w:hanging="301"/>
        <w:spacing w:after="0" w:line="253" w:lineRule="auto"/>
        <w:tabs>
          <w:tab w:leader="none" w:pos="3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We lease properties and equipment for use in our operations. Amounts reflected within the table above detail future minimum rental commitments under non-cancelable operating leases as of December 31 for each of the periods presented. In addition to the minimum rental commitments, these leases may require us to pay additional amounts for taxes, insurance, maintenance and other operating expenses.</w:t>
      </w:r>
    </w:p>
    <w:p>
      <w:pPr>
        <w:spacing w:after="0" w:line="145" w:lineRule="exact"/>
        <w:rPr>
          <w:rFonts w:ascii="Arial" w:cs="Arial" w:eastAsia="Arial" w:hAnsi="Arial"/>
          <w:sz w:val="17"/>
          <w:szCs w:val="17"/>
          <w:color w:val="auto"/>
        </w:rPr>
      </w:pPr>
    </w:p>
    <w:p>
      <w:pPr>
        <w:ind w:left="380" w:hanging="301"/>
        <w:spacing w:after="0" w:line="255" w:lineRule="auto"/>
        <w:tabs>
          <w:tab w:leader="none" w:pos="3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Obligations are presented net of sublease income expected to be received for the vacated small-scale biologics manufacturing facility in Cambridge, MA, the vacated portion of our Weston, MA facility and other facilities throughout the world.</w:t>
      </w:r>
    </w:p>
    <w:p>
      <w:pPr>
        <w:spacing w:after="0" w:line="142" w:lineRule="exact"/>
        <w:rPr>
          <w:rFonts w:ascii="Arial" w:cs="Arial" w:eastAsia="Arial" w:hAnsi="Arial"/>
          <w:sz w:val="17"/>
          <w:szCs w:val="17"/>
          <w:color w:val="auto"/>
        </w:rPr>
      </w:pPr>
    </w:p>
    <w:p>
      <w:pPr>
        <w:ind w:left="380" w:right="500" w:hanging="301"/>
        <w:spacing w:after="0" w:line="262" w:lineRule="auto"/>
        <w:tabs>
          <w:tab w:leader="none" w:pos="3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Long-term debt obligations are primarily related to our Senior Notes, including principal and interest payments.</w:t>
      </w:r>
    </w:p>
    <w:p>
      <w:pPr>
        <w:spacing w:after="0" w:line="136" w:lineRule="exact"/>
        <w:rPr>
          <w:rFonts w:ascii="Arial" w:cs="Arial" w:eastAsia="Arial" w:hAnsi="Arial"/>
          <w:sz w:val="17"/>
          <w:szCs w:val="17"/>
          <w:color w:val="auto"/>
        </w:rPr>
      </w:pPr>
    </w:p>
    <w:p>
      <w:pPr>
        <w:ind w:left="380" w:hanging="301"/>
        <w:spacing w:after="0" w:line="253" w:lineRule="auto"/>
        <w:tabs>
          <w:tab w:leader="none" w:pos="3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Purchase and other obligations primarily includes our obligations to purchase direct materials, $989.6 million related to our current estimate of the impact of the 2017 Tax Act, $270.0 million in contractual commitments for the construction of our large-scale biologics manufacturing facility in Solothurn, Switzerland and $111.3 million related to the fair value of net liabilities on derivative contracts.</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TYSABRI Contingent Payments</w:t>
      </w:r>
    </w:p>
    <w:p>
      <w:pPr>
        <w:spacing w:after="0" w:line="106" w:lineRule="exact"/>
        <w:rPr>
          <w:sz w:val="20"/>
          <w:szCs w:val="20"/>
          <w:color w:val="auto"/>
        </w:rPr>
      </w:pPr>
    </w:p>
    <w:p>
      <w:pPr>
        <w:ind w:right="20" w:firstLine="410"/>
        <w:spacing w:after="0" w:line="252" w:lineRule="auto"/>
        <w:rPr>
          <w:sz w:val="20"/>
          <w:szCs w:val="20"/>
          <w:color w:val="auto"/>
        </w:rPr>
      </w:pPr>
      <w:r>
        <w:rPr>
          <w:rFonts w:ascii="Arial" w:cs="Arial" w:eastAsia="Arial" w:hAnsi="Arial"/>
          <w:sz w:val="17"/>
          <w:szCs w:val="17"/>
          <w:color w:val="auto"/>
        </w:rPr>
        <w:t>In 2013 we acquired from Elan full ownership of all remaining rights to TYSABRI that we did not already own or control. Under the acquisition agreement, we are obligated to make contingent payments to Elan of 18% on annual worldwide net sales up to $2.0 billion and 25% on annual worldwide net sales that exceed $2.0 billion. Royalty payments to Elan and other third parties are recognized as cost of sales in our consolidated statements of income. Elan was acquired by Perrigo Company plc (Perrigo) in December 2013, and Perrigo subsequently sold its rights to these payments to a third party effective January 2017.</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Contingent Consideration related to Business Combinations</w:t>
      </w:r>
    </w:p>
    <w:p>
      <w:pPr>
        <w:spacing w:after="0" w:line="106" w:lineRule="exact"/>
        <w:rPr>
          <w:sz w:val="20"/>
          <w:szCs w:val="20"/>
          <w:color w:val="auto"/>
        </w:rPr>
      </w:pPr>
    </w:p>
    <w:p>
      <w:pPr>
        <w:ind w:right="40" w:firstLine="410"/>
        <w:spacing w:after="0" w:line="255" w:lineRule="auto"/>
        <w:rPr>
          <w:sz w:val="20"/>
          <w:szCs w:val="20"/>
          <w:color w:val="auto"/>
        </w:rPr>
      </w:pPr>
      <w:r>
        <w:rPr>
          <w:rFonts w:ascii="Arial" w:cs="Arial" w:eastAsia="Arial" w:hAnsi="Arial"/>
          <w:sz w:val="17"/>
          <w:szCs w:val="17"/>
          <w:color w:val="auto"/>
        </w:rPr>
        <w:t>In connection with our acquisitions of Convergence, Stromedix, Inc. (Stromedix) and Biogen International Neuroscience GmbH (BIN), we agreed to make additional payments based upon the achievement of certain milestone events.</w:t>
      </w:r>
    </w:p>
    <w:p>
      <w:pPr>
        <w:spacing w:after="0" w:line="143" w:lineRule="exact"/>
        <w:rPr>
          <w:sz w:val="20"/>
          <w:szCs w:val="20"/>
          <w:color w:val="auto"/>
        </w:rPr>
      </w:pPr>
    </w:p>
    <w:p>
      <w:pPr>
        <w:ind w:right="160" w:firstLine="410"/>
        <w:spacing w:after="0" w:line="257" w:lineRule="auto"/>
        <w:rPr>
          <w:sz w:val="20"/>
          <w:szCs w:val="20"/>
          <w:color w:val="auto"/>
        </w:rPr>
      </w:pPr>
      <w:r>
        <w:rPr>
          <w:rFonts w:ascii="Arial" w:cs="Arial" w:eastAsia="Arial" w:hAnsi="Arial"/>
          <w:sz w:val="17"/>
          <w:szCs w:val="17"/>
          <w:color w:val="auto"/>
        </w:rPr>
        <w:t>As the acquisitions of Convergence, Stromedix and BIN occurred after January 1, 2009, we recorded the contingent consideration liabilities associated with these transactions at their fair value on the</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320" w:right="20"/>
        <w:spacing w:after="0" w:line="254" w:lineRule="auto"/>
        <w:rPr>
          <w:sz w:val="20"/>
          <w:szCs w:val="20"/>
          <w:color w:val="auto"/>
        </w:rPr>
      </w:pPr>
      <w:r>
        <w:rPr>
          <w:rFonts w:ascii="Arial" w:cs="Arial" w:eastAsia="Arial" w:hAnsi="Arial"/>
          <w:sz w:val="17"/>
          <w:szCs w:val="17"/>
          <w:color w:val="auto"/>
        </w:rPr>
        <w:t xml:space="preserve">acquisition date and revalue these obligations each reporting period. We may pay up to approximately $1.1 billion in remaining milestones related to these acquisitions. For additional information on our acquisition of Convergence please read Note 2, </w:t>
      </w:r>
      <w:r>
        <w:rPr>
          <w:rFonts w:ascii="Arial" w:cs="Arial" w:eastAsia="Arial" w:hAnsi="Arial"/>
          <w:sz w:val="17"/>
          <w:szCs w:val="17"/>
          <w:i w:val="1"/>
          <w:iCs w:val="1"/>
          <w:color w:val="auto"/>
        </w:rPr>
        <w:t>Acquisitions</w:t>
      </w:r>
      <w:r>
        <w:rPr>
          <w:rFonts w:ascii="Arial" w:cs="Arial" w:eastAsia="Arial" w:hAnsi="Arial"/>
          <w:sz w:val="17"/>
          <w:szCs w:val="17"/>
          <w:color w:val="auto"/>
        </w:rPr>
        <w:t>, to our consolidated financial statements included in this report.</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538235"/>
        </w:rPr>
        <w:t>Fumapharm AG</w:t>
      </w:r>
    </w:p>
    <w:p>
      <w:pPr>
        <w:spacing w:after="0" w:line="104" w:lineRule="exact"/>
        <w:rPr>
          <w:sz w:val="20"/>
          <w:szCs w:val="20"/>
          <w:color w:val="auto"/>
        </w:rPr>
      </w:pPr>
    </w:p>
    <w:p>
      <w:pPr>
        <w:ind w:left="320" w:right="20" w:firstLine="410"/>
        <w:spacing w:after="0" w:line="253" w:lineRule="auto"/>
        <w:rPr>
          <w:sz w:val="20"/>
          <w:szCs w:val="20"/>
          <w:color w:val="auto"/>
        </w:rPr>
      </w:pPr>
      <w:r>
        <w:rPr>
          <w:rFonts w:ascii="Arial" w:cs="Arial" w:eastAsia="Arial" w:hAnsi="Arial"/>
          <w:sz w:val="17"/>
          <w:szCs w:val="17"/>
          <w:color w:val="auto"/>
        </w:rPr>
        <w:t>In 2006 we acquired Fumapharm AG. As part of this acquisition we acquired FUMADERM and TECFIDERA (together, Fumapharm Products). We are required to make contingent payments to the former shareholders of Fumapharm AG or holders of their rights based on the attainment of certain cumulative sales levels of Fumapharm Products and the level of total net sales of Fumapharm Products in the prior 12-month period, as defined in the acquisition agreement.</w:t>
      </w:r>
    </w:p>
    <w:p>
      <w:pPr>
        <w:spacing w:after="0" w:line="146" w:lineRule="exact"/>
        <w:rPr>
          <w:sz w:val="20"/>
          <w:szCs w:val="20"/>
          <w:color w:val="auto"/>
        </w:rPr>
      </w:pPr>
    </w:p>
    <w:p>
      <w:pPr>
        <w:ind w:left="320" w:right="40" w:firstLine="410"/>
        <w:spacing w:after="0" w:line="253" w:lineRule="auto"/>
        <w:rPr>
          <w:sz w:val="20"/>
          <w:szCs w:val="20"/>
          <w:color w:val="auto"/>
        </w:rPr>
      </w:pPr>
      <w:r>
        <w:rPr>
          <w:rFonts w:ascii="Arial" w:cs="Arial" w:eastAsia="Arial" w:hAnsi="Arial"/>
          <w:sz w:val="17"/>
          <w:szCs w:val="17"/>
          <w:color w:val="auto"/>
        </w:rPr>
        <w:t>During 2017 we paid $1.2 billion in contingent payments as we reached the $11.0 billion, $12.0 billion, $13.0 billion and $14.0 billion cumulative sales levels related to the Fumapharm Products in the fourth quarter of 2016 and the first, second and third quarters of 2017, respectively, and accrued $600.0 million upon reaching $15.0 billion and $16.0 billion in total cumulative sales of Fumapharm Products in the fourth quarter of 2017.</w:t>
      </w:r>
    </w:p>
    <w:p>
      <w:pPr>
        <w:spacing w:after="0" w:line="146" w:lineRule="exact"/>
        <w:rPr>
          <w:sz w:val="20"/>
          <w:szCs w:val="20"/>
          <w:color w:val="auto"/>
        </w:rPr>
      </w:pPr>
    </w:p>
    <w:p>
      <w:pPr>
        <w:ind w:left="320" w:firstLine="205"/>
        <w:spacing w:after="0" w:line="252" w:lineRule="auto"/>
        <w:rPr>
          <w:sz w:val="20"/>
          <w:szCs w:val="20"/>
          <w:color w:val="auto"/>
        </w:rPr>
      </w:pPr>
      <w:r>
        <w:rPr>
          <w:rFonts w:ascii="Arial" w:cs="Arial" w:eastAsia="Arial" w:hAnsi="Arial"/>
          <w:sz w:val="17"/>
          <w:szCs w:val="17"/>
          <w:color w:val="auto"/>
        </w:rPr>
        <w:t>We will owe an additional $300.0 million contingent payment for every additional $1.0 billion in cumulative sales level of Fumapharm Products reached if the prior 12 months sales of the Fumapharm Products exceed $3.0 billion, until such time as the cumulative sales level reaches $20.0 billion, at which time no further contingent payments shall be due. If the prior 12 months sales of Fumapharm Products are less than $3.0 billion, contingent payments remain payable on a decreasing tiered basis. These payments will be accounted for as an increase to goodwill as incurred, in accordance with the accounting standard applicable to business combinations when we acquired Fumapharm. Any portion of the payment that is tax deductible will be recorded as a reduction to goodwill. Payments are due within 60 days following the end of the quarter in which the applicable cumulative sales level has been reached.</w:t>
      </w:r>
    </w:p>
    <w:p>
      <w:pPr>
        <w:spacing w:after="0" w:line="129" w:lineRule="exact"/>
        <w:rPr>
          <w:sz w:val="20"/>
          <w:szCs w:val="20"/>
          <w:color w:val="auto"/>
        </w:rPr>
      </w:pPr>
    </w:p>
    <w:p>
      <w:pPr>
        <w:ind w:left="320" w:right="60" w:firstLine="205"/>
        <w:spacing w:after="0" w:line="287" w:lineRule="auto"/>
        <w:rPr>
          <w:sz w:val="20"/>
          <w:szCs w:val="20"/>
          <w:color w:val="auto"/>
        </w:rPr>
      </w:pPr>
      <w:r>
        <w:rPr>
          <w:rFonts w:ascii="Arial" w:cs="Arial" w:eastAsia="Arial" w:hAnsi="Arial"/>
          <w:sz w:val="17"/>
          <w:szCs w:val="17"/>
          <w:b w:val="1"/>
          <w:bCs w:val="1"/>
          <w:i w:val="1"/>
          <w:iCs w:val="1"/>
          <w:color w:val="2573BA"/>
        </w:rPr>
        <w:t>Contingent Development, Regulatory and Commercial Milestone Payments</w:t>
      </w:r>
    </w:p>
    <w:p>
      <w:pPr>
        <w:spacing w:after="0" w:line="39" w:lineRule="exact"/>
        <w:rPr>
          <w:sz w:val="20"/>
          <w:szCs w:val="20"/>
          <w:color w:val="auto"/>
        </w:rPr>
      </w:pPr>
    </w:p>
    <w:p>
      <w:pPr>
        <w:ind w:left="320" w:right="120" w:firstLine="410"/>
        <w:spacing w:after="0" w:line="254" w:lineRule="auto"/>
        <w:rPr>
          <w:sz w:val="20"/>
          <w:szCs w:val="20"/>
          <w:color w:val="auto"/>
        </w:rPr>
      </w:pPr>
      <w:r>
        <w:rPr>
          <w:rFonts w:ascii="Arial" w:cs="Arial" w:eastAsia="Arial" w:hAnsi="Arial"/>
          <w:sz w:val="17"/>
          <w:szCs w:val="17"/>
          <w:color w:val="auto"/>
        </w:rPr>
        <w:t>Based on our development plans as of December 31, 2017, we could make potential future milestone payments to third parties of up to approximately $4.2 billion, including approximately $0.7 billion in development milestones, approximately $1.5 billion in regulatory milestones and approximately $2.0 billion in commercial milestones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82</w:t>
      </w:r>
    </w:p>
    <w:p>
      <w:pPr>
        <w:sectPr>
          <w:pgSz w:w="11900" w:h="16838" w:orient="portrait"/>
          <w:cols w:equalWidth="0" w:num="2">
            <w:col w:w="5480" w:space="140"/>
            <w:col w:w="5800"/>
          </w:cols>
          <w:pgMar w:left="240" w:top="144" w:right="239" w:bottom="1440" w:gutter="0" w:footer="0" w:header="0"/>
          <w:type w:val="continuous"/>
        </w:sectPr>
      </w:pPr>
    </w:p>
    <w:bookmarkStart w:id="86" w:name="page87"/>
    <w:bookmarkEnd w:id="8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306"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as part of our various collaborations, including licensing and development programs. Payments under these agreements generally become due and payable upon achievement of certain development, regulatory or commercial milestones. Because the achievement of these milestones was not considered probable as of December 31, 2017, such contingencies have not been recorded in our financial statements. Amounts related to contingent milestone payments are not considered contractual obligations as they are contingent on the successful achievement of certain development, regulatory approval and commercial milestones.</w:t>
      </w:r>
    </w:p>
    <w:p>
      <w:pPr>
        <w:spacing w:after="0" w:line="150" w:lineRule="exact"/>
        <w:rPr>
          <w:sz w:val="20"/>
          <w:szCs w:val="20"/>
          <w:color w:val="auto"/>
        </w:rPr>
      </w:pPr>
    </w:p>
    <w:p>
      <w:pPr>
        <w:ind w:right="120" w:firstLine="410"/>
        <w:spacing w:after="0" w:line="257" w:lineRule="auto"/>
        <w:rPr>
          <w:sz w:val="20"/>
          <w:szCs w:val="20"/>
          <w:color w:val="auto"/>
        </w:rPr>
      </w:pPr>
      <w:r>
        <w:rPr>
          <w:rFonts w:ascii="Arial" w:cs="Arial" w:eastAsia="Arial" w:hAnsi="Arial"/>
          <w:sz w:val="17"/>
          <w:szCs w:val="17"/>
          <w:color w:val="auto"/>
        </w:rPr>
        <w:t>Provided various development, regulatory or commercial milestones are achieved, we anticipate that we may pay approximately $110.0 million of milestone payments in 2018.</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Other Funding Commitments</w:t>
      </w:r>
    </w:p>
    <w:p>
      <w:pPr>
        <w:spacing w:after="0" w:line="106" w:lineRule="exact"/>
        <w:rPr>
          <w:sz w:val="20"/>
          <w:szCs w:val="20"/>
          <w:color w:val="auto"/>
        </w:rPr>
      </w:pPr>
    </w:p>
    <w:p>
      <w:pPr>
        <w:ind w:right="60" w:firstLine="410"/>
        <w:spacing w:after="0" w:line="253" w:lineRule="auto"/>
        <w:rPr>
          <w:sz w:val="20"/>
          <w:szCs w:val="20"/>
          <w:color w:val="auto"/>
        </w:rPr>
      </w:pPr>
      <w:r>
        <w:rPr>
          <w:rFonts w:ascii="Arial" w:cs="Arial" w:eastAsia="Arial" w:hAnsi="Arial"/>
          <w:sz w:val="17"/>
          <w:szCs w:val="17"/>
          <w:color w:val="auto"/>
        </w:rPr>
        <w:t>As of December 31, 2017, we have several on-going clinical studies in various clinical trial stages. Our most significant clinical trial expenditures are to CROs. The contracts with CROs are generally cancellable, with notice, at our option. We have recorded accrued expenses of approximately $40.0 million in our consolidated balance sheet for expenditures incurred by CROs as of December 31, 2017. We have approximately $460.0 million in cancellable future commitments based on existing CRO contracts as of December 31, 2017.</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Tax Related Obligations</w:t>
      </w:r>
    </w:p>
    <w:p>
      <w:pPr>
        <w:spacing w:after="0" w:line="106" w:lineRule="exact"/>
        <w:rPr>
          <w:sz w:val="20"/>
          <w:szCs w:val="20"/>
          <w:color w:val="auto"/>
        </w:rPr>
      </w:pPr>
    </w:p>
    <w:p>
      <w:pPr>
        <w:ind w:right="60" w:firstLine="410"/>
        <w:spacing w:after="0" w:line="254" w:lineRule="auto"/>
        <w:rPr>
          <w:sz w:val="20"/>
          <w:szCs w:val="20"/>
          <w:color w:val="auto"/>
        </w:rPr>
      </w:pPr>
      <w:r>
        <w:rPr>
          <w:rFonts w:ascii="Arial" w:cs="Arial" w:eastAsia="Arial" w:hAnsi="Arial"/>
          <w:sz w:val="17"/>
          <w:szCs w:val="17"/>
          <w:color w:val="auto"/>
        </w:rPr>
        <w:t>We exclude liabilities pertaining to uncertain tax positions from our summary of contractual obligations as we cannot make a reliable estimate of the period of cash settlement with the respective taxing authorities. As of December 31, 2017, we have approximately $77.3 million of net liabilities associated with uncertain tax positions.</w:t>
      </w:r>
    </w:p>
    <w:p>
      <w:pPr>
        <w:spacing w:after="0" w:line="144" w:lineRule="exact"/>
        <w:rPr>
          <w:sz w:val="20"/>
          <w:szCs w:val="20"/>
          <w:color w:val="auto"/>
        </w:rPr>
      </w:pPr>
    </w:p>
    <w:p>
      <w:pPr>
        <w:jc w:val="both"/>
        <w:ind w:right="100" w:firstLine="410"/>
        <w:spacing w:after="0" w:line="276" w:lineRule="auto"/>
        <w:rPr>
          <w:sz w:val="20"/>
          <w:szCs w:val="20"/>
          <w:color w:val="auto"/>
        </w:rPr>
      </w:pPr>
      <w:r>
        <w:rPr>
          <w:rFonts w:ascii="Arial" w:cs="Arial" w:eastAsia="Arial" w:hAnsi="Arial"/>
          <w:sz w:val="16"/>
          <w:szCs w:val="16"/>
          <w:color w:val="auto"/>
        </w:rPr>
        <w:t>As of December 31, 2017, we have accrued income tax liabilities of $989.6 million under the Transition Toll Tax, of which $78.3 million is expected to be paid within one year. The Transition Toll Tax will be paid over an eight-year period, starting in 2018, and will not accrue interest.</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Other Off-Balance Sheet Arrangements</w:t>
      </w:r>
    </w:p>
    <w:p>
      <w:pPr>
        <w:spacing w:after="0" w:line="106" w:lineRule="exact"/>
        <w:rPr>
          <w:sz w:val="20"/>
          <w:szCs w:val="20"/>
          <w:color w:val="auto"/>
        </w:rPr>
      </w:pPr>
    </w:p>
    <w:p>
      <w:pPr>
        <w:ind w:right="100" w:firstLine="410"/>
        <w:spacing w:after="0" w:line="253" w:lineRule="auto"/>
        <w:rPr>
          <w:sz w:val="20"/>
          <w:szCs w:val="20"/>
          <w:color w:val="auto"/>
        </w:rPr>
      </w:pPr>
      <w:r>
        <w:rPr>
          <w:rFonts w:ascii="Arial" w:cs="Arial" w:eastAsia="Arial" w:hAnsi="Arial"/>
          <w:sz w:val="17"/>
          <w:szCs w:val="17"/>
          <w:color w:val="auto"/>
        </w:rPr>
        <w:t>We do not have any relationships with entities often referred to as structured finance or special purpose entities that were established for the purpose of facilitating off-balance sheet arrangements. As such, we are not exposed to any financing, liquidity, market or credit risk that could arise if we had engaged in such relationships. We consolidate variable interest entities if we are the primary beneficiary.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578196"/>
        </w:rPr>
        <w:t>Legal Matters</w:t>
      </w:r>
    </w:p>
    <w:p>
      <w:pPr>
        <w:spacing w:after="0" w:line="109" w:lineRule="exact"/>
        <w:rPr>
          <w:sz w:val="20"/>
          <w:szCs w:val="20"/>
          <w:color w:val="auto"/>
        </w:rPr>
      </w:pPr>
    </w:p>
    <w:p>
      <w:pPr>
        <w:ind w:left="320" w:right="40" w:firstLine="410"/>
        <w:spacing w:after="0" w:line="257" w:lineRule="auto"/>
        <w:rPr>
          <w:sz w:val="20"/>
          <w:szCs w:val="20"/>
          <w:color w:val="auto"/>
        </w:rPr>
      </w:pPr>
      <w:r>
        <w:rPr>
          <w:rFonts w:ascii="Arial" w:cs="Arial" w:eastAsia="Arial" w:hAnsi="Arial"/>
          <w:sz w:val="17"/>
          <w:szCs w:val="17"/>
          <w:color w:val="auto"/>
        </w:rPr>
        <w:t xml:space="preserve">For a discussion of legal matters as of December 31, 2017, please read Note 21, </w:t>
      </w:r>
      <w:r>
        <w:rPr>
          <w:rFonts w:ascii="Arial" w:cs="Arial" w:eastAsia="Arial" w:hAnsi="Arial"/>
          <w:sz w:val="17"/>
          <w:szCs w:val="17"/>
          <w:i w:val="1"/>
          <w:iCs w:val="1"/>
          <w:color w:val="auto"/>
        </w:rPr>
        <w:t>Litigation,</w:t>
      </w:r>
      <w:r>
        <w:rPr>
          <w:rFonts w:ascii="Arial" w:cs="Arial" w:eastAsia="Arial" w:hAnsi="Arial"/>
          <w:sz w:val="17"/>
          <w:szCs w:val="17"/>
          <w:color w:val="auto"/>
        </w:rPr>
        <w:t xml:space="preserve"> to our consolidated financial statements included in this report.</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578196"/>
        </w:rPr>
        <w:t>Critical Accounting Estimates</w:t>
      </w:r>
    </w:p>
    <w:p>
      <w:pPr>
        <w:spacing w:after="0" w:line="109" w:lineRule="exact"/>
        <w:rPr>
          <w:sz w:val="20"/>
          <w:szCs w:val="20"/>
          <w:color w:val="auto"/>
        </w:rPr>
      </w:pPr>
    </w:p>
    <w:p>
      <w:pPr>
        <w:ind w:left="320" w:firstLine="410"/>
        <w:spacing w:after="0" w:line="252" w:lineRule="auto"/>
        <w:rPr>
          <w:sz w:val="20"/>
          <w:szCs w:val="20"/>
          <w:color w:val="auto"/>
        </w:rPr>
      </w:pPr>
      <w:r>
        <w:rPr>
          <w:rFonts w:ascii="Arial" w:cs="Arial" w:eastAsia="Arial" w:hAnsi="Arial"/>
          <w:sz w:val="17"/>
          <w:szCs w:val="17"/>
          <w:color w:val="auto"/>
        </w:rPr>
        <w:t xml:space="preserve">The preparation of our consolidated financial statements, which have been prepared in accordance with accounting principles generally accepted in the U.S. (U.S. GAAP), requires us to make estimates, judgments and assumptions that may affect the reported amounts of assets, liabilities, equity, revenues and expenses and related disclosure of contingent assets and liabilities. On an on-going basis we evaluate our estimates, judgments and methodologies. We base our estimates on historical experience and on various other assumptions that we believe are reasonable, the results of which form the basis for making judgments about the carrying values of assets, liabilities and equity and the amount of revenues and expenses. Actual results may differ from these estimates under different assumptions or conditions. Other significant accounting policies are outlined in Note 1, </w:t>
      </w:r>
      <w:r>
        <w:rPr>
          <w:rFonts w:ascii="Arial" w:cs="Arial" w:eastAsia="Arial" w:hAnsi="Arial"/>
          <w:sz w:val="17"/>
          <w:szCs w:val="17"/>
          <w:i w:val="1"/>
          <w:iCs w:val="1"/>
          <w:color w:val="auto"/>
        </w:rPr>
        <w:t>Summary of</w:t>
      </w:r>
      <w:r>
        <w:rPr>
          <w:rFonts w:ascii="Arial" w:cs="Arial" w:eastAsia="Arial" w:hAnsi="Arial"/>
          <w:sz w:val="17"/>
          <w:szCs w:val="17"/>
          <w:color w:val="auto"/>
        </w:rPr>
        <w:t xml:space="preserve"> </w:t>
      </w:r>
      <w:r>
        <w:rPr>
          <w:rFonts w:ascii="Arial" w:cs="Arial" w:eastAsia="Arial" w:hAnsi="Arial"/>
          <w:sz w:val="17"/>
          <w:szCs w:val="17"/>
          <w:i w:val="1"/>
          <w:iCs w:val="1"/>
          <w:color w:val="auto"/>
        </w:rPr>
        <w:t>Significant Accounting Policies</w:t>
      </w:r>
      <w:r>
        <w:rPr>
          <w:rFonts w:ascii="Arial" w:cs="Arial" w:eastAsia="Arial" w:hAnsi="Arial"/>
          <w:sz w:val="17"/>
          <w:szCs w:val="17"/>
          <w:color w:val="auto"/>
        </w:rPr>
        <w:t>, to our consolidated financial statements</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in this report.</w:t>
      </w:r>
    </w:p>
    <w:p>
      <w:pPr>
        <w:spacing w:after="0" w:line="1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2573BA"/>
        </w:rPr>
        <w:t>Revenue Recognition and Related Allowances</w:t>
      </w:r>
    </w:p>
    <w:p>
      <w:pPr>
        <w:spacing w:after="0" w:line="106" w:lineRule="exact"/>
        <w:rPr>
          <w:sz w:val="20"/>
          <w:szCs w:val="20"/>
          <w:color w:val="auto"/>
        </w:rPr>
      </w:pPr>
    </w:p>
    <w:p>
      <w:pPr>
        <w:ind w:left="320" w:right="20" w:firstLine="410"/>
        <w:spacing w:after="0" w:line="253" w:lineRule="auto"/>
        <w:rPr>
          <w:sz w:val="20"/>
          <w:szCs w:val="20"/>
          <w:color w:val="auto"/>
        </w:rPr>
      </w:pPr>
      <w:r>
        <w:rPr>
          <w:rFonts w:ascii="Arial" w:cs="Arial" w:eastAsia="Arial" w:hAnsi="Arial"/>
          <w:sz w:val="17"/>
          <w:szCs w:val="17"/>
          <w:color w:val="auto"/>
        </w:rPr>
        <w:t xml:space="preserve">We recognize revenues when all of the following criteria are met: persuasive evidence of an arrangement exists; delivery has occurred or services have been rendered; our price to the customer is fixed or determinable; and collectability is reasonably assured. For additional information on the new accounting standard for revenues from contracts with customers please read Note 1, </w:t>
      </w:r>
      <w:r>
        <w:rPr>
          <w:rFonts w:ascii="Arial" w:cs="Arial" w:eastAsia="Arial" w:hAnsi="Arial"/>
          <w:sz w:val="17"/>
          <w:szCs w:val="17"/>
          <w:i w:val="1"/>
          <w:iCs w:val="1"/>
          <w:color w:val="auto"/>
        </w:rPr>
        <w:t>Summary of Significant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Policies: New Accounting Pronouncements, </w:t>
      </w:r>
      <w:r>
        <w:rPr>
          <w:rFonts w:ascii="Arial" w:cs="Arial" w:eastAsia="Arial" w:hAnsi="Arial"/>
          <w:sz w:val="17"/>
          <w:szCs w:val="17"/>
          <w:color w:val="auto"/>
        </w:rPr>
        <w:t>to our consolidated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 included in this report.</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538235"/>
        </w:rPr>
        <w:t>Product Revenues</w:t>
      </w:r>
    </w:p>
    <w:p>
      <w:pPr>
        <w:spacing w:after="0" w:line="104" w:lineRule="exact"/>
        <w:rPr>
          <w:sz w:val="20"/>
          <w:szCs w:val="20"/>
          <w:color w:val="auto"/>
        </w:rPr>
      </w:pPr>
    </w:p>
    <w:p>
      <w:pPr>
        <w:ind w:left="320" w:right="60" w:firstLine="410"/>
        <w:spacing w:after="0" w:line="254" w:lineRule="auto"/>
        <w:rPr>
          <w:sz w:val="20"/>
          <w:szCs w:val="20"/>
          <w:color w:val="auto"/>
        </w:rPr>
      </w:pPr>
      <w:r>
        <w:rPr>
          <w:rFonts w:ascii="Arial" w:cs="Arial" w:eastAsia="Arial" w:hAnsi="Arial"/>
          <w:sz w:val="17"/>
          <w:szCs w:val="17"/>
          <w:color w:val="auto"/>
        </w:rPr>
        <w:t>Revenues from product sales are recognized when title and risk of loss have passed to the customer, which is typically upon delivery. Product revenues are recorded net of applicable reserves for discounts and allowances. The timing of distributor orders and shipments can cause variability in earnings.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538235"/>
        </w:rPr>
        <w:t>Reserves for Discounts and Allowances</w:t>
      </w:r>
    </w:p>
    <w:p>
      <w:pPr>
        <w:spacing w:after="0" w:line="104" w:lineRule="exact"/>
        <w:rPr>
          <w:sz w:val="20"/>
          <w:szCs w:val="20"/>
          <w:color w:val="auto"/>
        </w:rPr>
      </w:pPr>
    </w:p>
    <w:p>
      <w:pPr>
        <w:ind w:left="320" w:right="20" w:firstLine="410"/>
        <w:spacing w:after="0" w:line="254" w:lineRule="auto"/>
        <w:rPr>
          <w:sz w:val="20"/>
          <w:szCs w:val="20"/>
          <w:color w:val="auto"/>
        </w:rPr>
      </w:pPr>
      <w:r>
        <w:rPr>
          <w:rFonts w:ascii="Arial" w:cs="Arial" w:eastAsia="Arial" w:hAnsi="Arial"/>
          <w:sz w:val="17"/>
          <w:szCs w:val="17"/>
          <w:color w:val="auto"/>
        </w:rPr>
        <w:t>Revenues from product sales are recorded net of reserves established for applicable discounts and allowances, including those associated with the implementation of pricing actions in certain of the international markets in which we operate. These reserves are based on estimates of the amounts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83</w:t>
      </w:r>
    </w:p>
    <w:p>
      <w:pPr>
        <w:sectPr>
          <w:pgSz w:w="11900" w:h="16838" w:orient="portrait"/>
          <w:cols w:equalWidth="0" w:num="2">
            <w:col w:w="5460" w:space="160"/>
            <w:col w:w="5800"/>
          </w:cols>
          <w:pgMar w:left="240" w:top="144" w:right="239" w:bottom="1440" w:gutter="0" w:footer="0" w:header="0"/>
          <w:type w:val="continuous"/>
        </w:sectPr>
      </w:pPr>
    </w:p>
    <w:bookmarkStart w:id="87" w:name="page88"/>
    <w:bookmarkEnd w:id="8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306"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earned or to be claimed on the related sales and are classified as reductions of accounts receivable (if the amount is payable to our customer) or a liability (if the amount is payable to a party other than our customer). Our estimates take into consideration our historical experience, current contractual and statutory requirements, specific known market events and trends, industry data and forecasted customer buying and payment patterns. Actual amounts may ultimately differ from our estimates. If actual results vary, we adjust these estimates, which could have an effect on earnings in the period of adjustment.</w:t>
      </w:r>
    </w:p>
    <w:p>
      <w:pPr>
        <w:spacing w:after="0" w:line="151"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In addition to the discounts and rebates described above and classified as a reduction of revenue, we also maintain certain customer service contracts with distributors and other customers in the distribution channel that provide us with inventory management, data and distribution services, which are generally reflected as a reduction of revenue. To the extent we can demonstrate a separable benefit and fair value for these services we classify these payments within selling, general and administrative expenses.</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Concentrations of Credit Risk</w:t>
      </w:r>
    </w:p>
    <w:p>
      <w:pPr>
        <w:spacing w:after="0" w:line="104"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The majority of our accounts receivable arise from product sales in the U.S. and Europe and are primarily due from wholesale distributors, public hospitals and other government entities. We monitor the financial performance and creditworthiness of our customers so that we can properly assess and respond to changes in their credit profile. We continue to monitor these conditions, including the volatility associated with international economies and the relevant financial markets, and assess their possible impact on our business. Credit and economic conditions in the E.U. continue to remain uncertain, which has, from time to time, led to longer collection periods for our accounts receivable and greater collection risk in certain countries.</w:t>
      </w:r>
    </w:p>
    <w:p>
      <w:pPr>
        <w:spacing w:after="0" w:line="150" w:lineRule="exact"/>
        <w:rPr>
          <w:sz w:val="20"/>
          <w:szCs w:val="20"/>
          <w:color w:val="auto"/>
        </w:rPr>
      </w:pPr>
    </w:p>
    <w:p>
      <w:pPr>
        <w:ind w:right="20" w:firstLine="410"/>
        <w:spacing w:after="0" w:line="252" w:lineRule="auto"/>
        <w:rPr>
          <w:sz w:val="20"/>
          <w:szCs w:val="20"/>
          <w:color w:val="auto"/>
        </w:rPr>
      </w:pPr>
      <w:r>
        <w:rPr>
          <w:rFonts w:ascii="Arial" w:cs="Arial" w:eastAsia="Arial" w:hAnsi="Arial"/>
          <w:sz w:val="17"/>
          <w:szCs w:val="17"/>
          <w:color w:val="auto"/>
        </w:rPr>
        <w:t>Where our collections continue to be subject to significant payment delays due to government funding and reimbursement practices and a portion of these receivables are routinely being collected beyond our contractual payment terms and over periods in excess of one year, we have discounted our receivables and reduced related revenues based on the period of time that we estimate those amounts will be paid, to the extent such period exceeds one year, using the country’s market-based borrowing rate for such period. The related receivables are classified at the time of sale as non-current assets.</w:t>
      </w:r>
    </w:p>
    <w:p>
      <w:pPr>
        <w:spacing w:after="0" w:line="151" w:lineRule="exact"/>
        <w:rPr>
          <w:sz w:val="20"/>
          <w:szCs w:val="20"/>
          <w:color w:val="auto"/>
        </w:rPr>
      </w:pPr>
    </w:p>
    <w:p>
      <w:pPr>
        <w:ind w:right="160" w:firstLine="410"/>
        <w:spacing w:after="0" w:line="255" w:lineRule="auto"/>
        <w:rPr>
          <w:sz w:val="20"/>
          <w:szCs w:val="20"/>
          <w:color w:val="auto"/>
        </w:rPr>
      </w:pPr>
      <w:r>
        <w:rPr>
          <w:rFonts w:ascii="Arial" w:cs="Arial" w:eastAsia="Arial" w:hAnsi="Arial"/>
          <w:sz w:val="17"/>
          <w:szCs w:val="17"/>
          <w:color w:val="auto"/>
        </w:rPr>
        <w:t>To date, we have not experienced any significant losses with respect to the collection of our accounts receivable. If economic conditions worsen and/or the financial condition of our customers were to further</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320" w:right="240"/>
        <w:spacing w:after="0" w:line="262" w:lineRule="auto"/>
        <w:rPr>
          <w:sz w:val="20"/>
          <w:szCs w:val="20"/>
          <w:color w:val="auto"/>
        </w:rPr>
      </w:pPr>
      <w:r>
        <w:rPr>
          <w:rFonts w:ascii="Arial" w:cs="Arial" w:eastAsia="Arial" w:hAnsi="Arial"/>
          <w:sz w:val="17"/>
          <w:szCs w:val="17"/>
          <w:color w:val="auto"/>
        </w:rPr>
        <w:t>deteriorate, our risk of collectability may increase, which may result in additional allowances and/or significant bad debts.</w:t>
      </w:r>
    </w:p>
    <w:p>
      <w:pPr>
        <w:spacing w:after="0" w:line="137" w:lineRule="exact"/>
        <w:rPr>
          <w:sz w:val="20"/>
          <w:szCs w:val="20"/>
          <w:color w:val="auto"/>
        </w:rPr>
      </w:pPr>
    </w:p>
    <w:p>
      <w:pPr>
        <w:ind w:left="320" w:right="60" w:firstLine="410"/>
        <w:spacing w:after="0" w:line="255" w:lineRule="auto"/>
        <w:rPr>
          <w:sz w:val="20"/>
          <w:szCs w:val="20"/>
          <w:color w:val="auto"/>
        </w:rPr>
      </w:pPr>
      <w:r>
        <w:rPr>
          <w:rFonts w:ascii="Arial" w:cs="Arial" w:eastAsia="Arial" w:hAnsi="Arial"/>
          <w:sz w:val="17"/>
          <w:szCs w:val="17"/>
          <w:color w:val="auto"/>
        </w:rPr>
        <w:t xml:space="preserve">For additional information on our concentration of credit risk associated with our accounts receivable balances, please read the subsection entitled </w:t>
      </w:r>
      <w:r>
        <w:rPr>
          <w:rFonts w:ascii="Arial" w:cs="Arial" w:eastAsia="Arial" w:hAnsi="Arial"/>
          <w:sz w:val="17"/>
          <w:szCs w:val="17"/>
          <w:i w:val="1"/>
          <w:iCs w:val="1"/>
          <w:color w:val="auto"/>
        </w:rPr>
        <w:t>“Credit Risk”</w:t>
      </w:r>
      <w:r>
        <w:rPr>
          <w:rFonts w:ascii="Arial" w:cs="Arial" w:eastAsia="Arial" w:hAnsi="Arial"/>
          <w:sz w:val="17"/>
          <w:szCs w:val="17"/>
          <w:color w:val="auto"/>
        </w:rPr>
        <w:t xml:space="preserve"> in Item 7A. </w:t>
      </w:r>
      <w:r>
        <w:rPr>
          <w:rFonts w:ascii="Arial" w:cs="Arial" w:eastAsia="Arial" w:hAnsi="Arial"/>
          <w:sz w:val="17"/>
          <w:szCs w:val="17"/>
          <w:i w:val="1"/>
          <w:iCs w:val="1"/>
          <w:color w:val="auto"/>
        </w:rPr>
        <w:t>Quantitative and Qualitative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Disclosures About Market Risk </w:t>
      </w:r>
      <w:r>
        <w:rPr>
          <w:rFonts w:ascii="Arial" w:cs="Arial" w:eastAsia="Arial" w:hAnsi="Arial"/>
          <w:sz w:val="17"/>
          <w:szCs w:val="17"/>
          <w:color w:val="auto"/>
        </w:rPr>
        <w:t>included in this report.</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2573BA"/>
        </w:rPr>
        <w:t>Capitalization of Inventory Costs</w:t>
      </w:r>
    </w:p>
    <w:p>
      <w:pPr>
        <w:spacing w:after="0" w:line="106" w:lineRule="exact"/>
        <w:rPr>
          <w:sz w:val="20"/>
          <w:szCs w:val="20"/>
          <w:color w:val="auto"/>
        </w:rPr>
      </w:pPr>
    </w:p>
    <w:p>
      <w:pPr>
        <w:ind w:left="320" w:firstLine="410"/>
        <w:spacing w:after="0" w:line="252" w:lineRule="auto"/>
        <w:rPr>
          <w:sz w:val="20"/>
          <w:szCs w:val="20"/>
          <w:color w:val="auto"/>
        </w:rPr>
      </w:pPr>
      <w:r>
        <w:rPr>
          <w:rFonts w:ascii="Arial" w:cs="Arial" w:eastAsia="Arial" w:hAnsi="Arial"/>
          <w:sz w:val="17"/>
          <w:szCs w:val="17"/>
          <w:color w:val="auto"/>
        </w:rPr>
        <w:t>We capitalize inventory costs associated with our products prior to regulatory approval, when, based on management’s judgment, future commercialization is considered probable and the future economic benefit is expected to be realized. We consider numerous attributes in evaluating whether the costs to manufacture a particular product should be capitalized as an asset. We assess the regulatory approval process and where the particular product stands in relation to that approval process, including any known safety or efficacy concerns, potential labeling restrictions and other impediments to approval. We evaluate our anticipated research and development initiatives and constraints relating to the product and the indication in which it will be used. We consider our manufacturing environment including our supply chain in determining logistical constraints that could hamper approval or commercialization. We consider the shelf life of the product in relation to the expected timeline for approval and we consider patent related or contract issues that may prevent or delay commercialization. We also base our judgment on the viability of commercialization, trends in the marketplace and market acceptance criteria. Finally, we consider the reimbursement strategies that may prevail with respect to the product and assess the economic benefit that we are likely to realize. We expense previously capitalized costs related to pre-approval inventory upon a change in such judgment, due to, among other potential factors, a denial or significant delay of approval by necessary regulatory bodies. All changes in judgment in relation to pre-approval inventory have historically been insignificant.</w:t>
      </w:r>
    </w:p>
    <w:p>
      <w:pPr>
        <w:spacing w:after="0" w:line="125" w:lineRule="exact"/>
        <w:rPr>
          <w:sz w:val="20"/>
          <w:szCs w:val="20"/>
          <w:color w:val="auto"/>
        </w:rPr>
      </w:pPr>
    </w:p>
    <w:p>
      <w:pPr>
        <w:ind w:left="320" w:right="140" w:firstLine="205"/>
        <w:spacing w:after="0" w:line="287" w:lineRule="auto"/>
        <w:rPr>
          <w:sz w:val="20"/>
          <w:szCs w:val="20"/>
          <w:color w:val="auto"/>
        </w:rPr>
      </w:pPr>
      <w:r>
        <w:rPr>
          <w:rFonts w:ascii="Arial" w:cs="Arial" w:eastAsia="Arial" w:hAnsi="Arial"/>
          <w:sz w:val="17"/>
          <w:szCs w:val="17"/>
          <w:b w:val="1"/>
          <w:bCs w:val="1"/>
          <w:i w:val="1"/>
          <w:iCs w:val="1"/>
          <w:color w:val="2573BA"/>
        </w:rPr>
        <w:t>Acquired Intangible Assets, including In-process Research and Development (IPR&amp;D)</w:t>
      </w:r>
    </w:p>
    <w:p>
      <w:pPr>
        <w:spacing w:after="0" w:line="39" w:lineRule="exact"/>
        <w:rPr>
          <w:sz w:val="20"/>
          <w:szCs w:val="20"/>
          <w:color w:val="auto"/>
        </w:rPr>
      </w:pPr>
    </w:p>
    <w:p>
      <w:pPr>
        <w:ind w:left="320" w:right="20" w:firstLine="410"/>
        <w:spacing w:after="0" w:line="252" w:lineRule="auto"/>
        <w:rPr>
          <w:sz w:val="20"/>
          <w:szCs w:val="20"/>
          <w:color w:val="auto"/>
        </w:rPr>
      </w:pPr>
      <w:r>
        <w:rPr>
          <w:rFonts w:ascii="Arial" w:cs="Arial" w:eastAsia="Arial" w:hAnsi="Arial"/>
          <w:sz w:val="17"/>
          <w:szCs w:val="17"/>
          <w:color w:val="auto"/>
        </w:rPr>
        <w:t>When we purchase a business, the acquired IPR&amp;D is measured at fair value, capitalized as an intangible asset and tested for impairment at least annually, as of October 31, until commercialization, after which time the IPR&amp;D is amortized over its estimated useful life. If we acquire an asset or group of assets that do not meet the definition of a business under applicable accounting standards, the acquired IPR&amp;D is expensed upon its acquisition date. Future costs to develop these assets are recorded to research and development expense as they are incurred.</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84</w:t>
      </w:r>
    </w:p>
    <w:p>
      <w:pPr>
        <w:sectPr>
          <w:pgSz w:w="11900" w:h="16838" w:orient="portrait"/>
          <w:cols w:equalWidth="0" w:num="2">
            <w:col w:w="5480" w:space="140"/>
            <w:col w:w="5800"/>
          </w:cols>
          <w:pgMar w:left="240" w:top="144" w:right="239" w:bottom="1440" w:gutter="0" w:footer="0" w:header="0"/>
          <w:type w:val="continuous"/>
        </w:sectPr>
      </w:pPr>
    </w:p>
    <w:bookmarkStart w:id="88" w:name="page89"/>
    <w:bookmarkEnd w:id="8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400"/>
          </w:cols>
          <w:pgMar w:left="240" w:top="144" w:right="259" w:bottom="1440" w:gutter="0" w:footer="0" w:header="0"/>
        </w:sectPr>
      </w:pPr>
    </w:p>
    <w:p>
      <w:pPr>
        <w:spacing w:after="0" w:line="383"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We have acquired, and expect to continue to acquire, intangible assets through the acquisition of biotechnology companies or through the consolidation of variable interest entities. These intangible assets primarily consist of technology associated with human therapeutic products and IPR&amp;D product candidates. When significant identifiable intangible assets are acquired, we generally engage an independent third-party valuation firm to assist in determining the fair values of these assets as of the acquisition date. Management will determine the fair value of less significant identifiable intangible assets acquired. Discounted cash flow models are typically used in these valuations, and these models require the use of significant estimates and assumptions including but not limited to:</w:t>
      </w:r>
    </w:p>
    <w:p>
      <w:pPr>
        <w:spacing w:after="0" w:line="149" w:lineRule="exact"/>
        <w:rPr>
          <w:sz w:val="20"/>
          <w:szCs w:val="20"/>
          <w:color w:val="auto"/>
        </w:rPr>
      </w:pPr>
    </w:p>
    <w:p>
      <w:pPr>
        <w:ind w:left="380" w:right="300" w:hanging="301"/>
        <w:spacing w:after="0" w:line="262" w:lineRule="auto"/>
        <w:tabs>
          <w:tab w:leader="none" w:pos="3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estimating the timing of and expected costs to complete the in-process projects;</w:t>
      </w:r>
    </w:p>
    <w:p>
      <w:pPr>
        <w:spacing w:after="0" w:line="136" w:lineRule="exact"/>
        <w:rPr>
          <w:rFonts w:ascii="Arial" w:cs="Arial" w:eastAsia="Arial" w:hAnsi="Arial"/>
          <w:sz w:val="17"/>
          <w:szCs w:val="17"/>
          <w:color w:val="auto"/>
        </w:rPr>
      </w:pPr>
    </w:p>
    <w:p>
      <w:pPr>
        <w:ind w:left="380" w:hanging="301"/>
        <w:spacing w:after="0"/>
        <w:tabs>
          <w:tab w:leader="none" w:pos="3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projecting regulatory approvals;</w:t>
      </w:r>
    </w:p>
    <w:p>
      <w:pPr>
        <w:spacing w:after="0" w:line="163" w:lineRule="exact"/>
        <w:rPr>
          <w:rFonts w:ascii="Arial" w:cs="Arial" w:eastAsia="Arial" w:hAnsi="Arial"/>
          <w:sz w:val="17"/>
          <w:szCs w:val="17"/>
          <w:color w:val="auto"/>
        </w:rPr>
      </w:pPr>
    </w:p>
    <w:p>
      <w:pPr>
        <w:ind w:left="380" w:right="400" w:hanging="301"/>
        <w:spacing w:after="0" w:line="262" w:lineRule="auto"/>
        <w:tabs>
          <w:tab w:leader="none" w:pos="3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estimating future cash flows from product sales resulting from completed products and in process projects; and</w:t>
      </w:r>
    </w:p>
    <w:p>
      <w:pPr>
        <w:spacing w:after="0" w:line="136" w:lineRule="exact"/>
        <w:rPr>
          <w:rFonts w:ascii="Arial" w:cs="Arial" w:eastAsia="Arial" w:hAnsi="Arial"/>
          <w:sz w:val="17"/>
          <w:szCs w:val="17"/>
          <w:color w:val="auto"/>
        </w:rPr>
      </w:pPr>
    </w:p>
    <w:p>
      <w:pPr>
        <w:ind w:left="380" w:right="380" w:hanging="301"/>
        <w:spacing w:after="0" w:line="262" w:lineRule="auto"/>
        <w:tabs>
          <w:tab w:leader="none" w:pos="3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developing appropriate discount rates and probability rates by project.</w:t>
      </w:r>
    </w:p>
    <w:p>
      <w:pPr>
        <w:spacing w:after="0" w:line="137" w:lineRule="exact"/>
        <w:rPr>
          <w:sz w:val="20"/>
          <w:szCs w:val="20"/>
          <w:color w:val="auto"/>
        </w:rPr>
      </w:pPr>
    </w:p>
    <w:p>
      <w:pPr>
        <w:ind w:right="60" w:firstLine="410"/>
        <w:spacing w:after="0" w:line="257" w:lineRule="auto"/>
        <w:rPr>
          <w:sz w:val="20"/>
          <w:szCs w:val="20"/>
          <w:color w:val="auto"/>
        </w:rPr>
      </w:pPr>
      <w:r>
        <w:rPr>
          <w:rFonts w:ascii="Arial" w:cs="Arial" w:eastAsia="Arial" w:hAnsi="Arial"/>
          <w:sz w:val="17"/>
          <w:szCs w:val="17"/>
          <w:color w:val="auto"/>
        </w:rPr>
        <w:t>We believe the fair values assigned to the intangible assets acquired are based upon reasonable estimates and assumptions given available facts and circumstances as of the acquisition dates.</w:t>
      </w:r>
    </w:p>
    <w:p>
      <w:pPr>
        <w:spacing w:after="0" w:line="140"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If these projects are not successfully developed, the sales and profitability of the company may be adversely affected in future periods. Additionally, the value of the acquired intangible assets may become impaired. We believe that the foregoing assumptions used in the IPR&amp;D analysis were reasonable. No assurance can be given that the underlying assumptions used to estimate expected project sales, development costs or profitability, or the events associated with such projects, will transpire as estimated.</w:t>
      </w:r>
    </w:p>
    <w:p>
      <w:pPr>
        <w:spacing w:after="0" w:line="144" w:lineRule="exact"/>
        <w:rPr>
          <w:sz w:val="20"/>
          <w:szCs w:val="20"/>
          <w:color w:val="auto"/>
        </w:rPr>
      </w:pPr>
    </w:p>
    <w:p>
      <w:pPr>
        <w:ind w:right="100" w:firstLine="410"/>
        <w:spacing w:after="0" w:line="255" w:lineRule="auto"/>
        <w:rPr>
          <w:sz w:val="20"/>
          <w:szCs w:val="20"/>
          <w:color w:val="auto"/>
        </w:rPr>
      </w:pPr>
      <w:r>
        <w:rPr>
          <w:rFonts w:ascii="Arial" w:cs="Arial" w:eastAsia="Arial" w:hAnsi="Arial"/>
          <w:sz w:val="17"/>
          <w:szCs w:val="17"/>
          <w:color w:val="auto"/>
        </w:rPr>
        <w:t>Certain IPR&amp;D programs have a fair value that is not significantly in excess of carrying value, including our program for the treatment of TGN. Such programs could become impaired if assumptions used in determining the fair value change.</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ind w:left="320" w:right="820" w:firstLine="205"/>
        <w:spacing w:after="0" w:line="287" w:lineRule="auto"/>
        <w:rPr>
          <w:sz w:val="20"/>
          <w:szCs w:val="20"/>
          <w:color w:val="auto"/>
        </w:rPr>
      </w:pPr>
      <w:r>
        <w:rPr>
          <w:rFonts w:ascii="Arial" w:cs="Arial" w:eastAsia="Arial" w:hAnsi="Arial"/>
          <w:sz w:val="17"/>
          <w:szCs w:val="17"/>
          <w:b w:val="1"/>
          <w:bCs w:val="1"/>
          <w:i w:val="1"/>
          <w:iCs w:val="1"/>
          <w:color w:val="2573BA"/>
        </w:rPr>
        <w:t>Impairment and Amortization of Long-lived Assets and Accounting for Goodwill</w:t>
      </w:r>
    </w:p>
    <w:p>
      <w:pPr>
        <w:spacing w:after="0" w:line="98"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538235"/>
        </w:rPr>
        <w:t>Long-lived Assets Other than Goodwill</w:t>
      </w:r>
    </w:p>
    <w:p>
      <w:pPr>
        <w:spacing w:after="0" w:line="104" w:lineRule="exact"/>
        <w:rPr>
          <w:sz w:val="20"/>
          <w:szCs w:val="20"/>
          <w:color w:val="auto"/>
        </w:rPr>
      </w:pPr>
    </w:p>
    <w:p>
      <w:pPr>
        <w:ind w:left="320" w:right="40" w:firstLine="410"/>
        <w:spacing w:after="0" w:line="253" w:lineRule="auto"/>
        <w:rPr>
          <w:sz w:val="20"/>
          <w:szCs w:val="20"/>
          <w:color w:val="auto"/>
        </w:rPr>
      </w:pPr>
      <w:r>
        <w:rPr>
          <w:rFonts w:ascii="Arial" w:cs="Arial" w:eastAsia="Arial" w:hAnsi="Arial"/>
          <w:sz w:val="17"/>
          <w:szCs w:val="17"/>
          <w:color w:val="auto"/>
        </w:rPr>
        <w:t>Long-lived assets to be held and used include property, plant and equipment as well as intangible assets, including IPR&amp;D and trademarks. Property, plant and equipment are reviewed for impairment whenever events or changes in circumstances indicate that the carrying amount of the assets may not be recoverable. We review our intangible assets with indefinite lives for impairment annually, as of October 31, and whenever events or changes in circumstances indicate that the carrying value of an asset may not be recoverable.</w:t>
      </w:r>
    </w:p>
    <w:p>
      <w:pPr>
        <w:spacing w:after="0" w:line="68" w:lineRule="exact"/>
        <w:rPr>
          <w:sz w:val="20"/>
          <w:szCs w:val="20"/>
          <w:color w:val="auto"/>
        </w:rPr>
      </w:pPr>
    </w:p>
    <w:p>
      <w:pPr>
        <w:ind w:left="320" w:firstLine="410"/>
        <w:spacing w:after="0" w:line="252" w:lineRule="auto"/>
        <w:rPr>
          <w:sz w:val="20"/>
          <w:szCs w:val="20"/>
          <w:color w:val="auto"/>
        </w:rPr>
      </w:pPr>
      <w:r>
        <w:rPr>
          <w:rFonts w:ascii="Arial" w:cs="Arial" w:eastAsia="Arial" w:hAnsi="Arial"/>
          <w:sz w:val="17"/>
          <w:szCs w:val="17"/>
          <w:color w:val="auto"/>
        </w:rPr>
        <w:t xml:space="preserve">When performing our impairment assessment, we calculate the fair value using the same methodology as described above under </w:t>
      </w:r>
      <w:r>
        <w:rPr>
          <w:rFonts w:ascii="Arial" w:cs="Arial" w:eastAsia="Arial" w:hAnsi="Arial"/>
          <w:sz w:val="17"/>
          <w:szCs w:val="17"/>
          <w:i w:val="1"/>
          <w:iCs w:val="1"/>
          <w:color w:val="auto"/>
        </w:rPr>
        <w:t>"Acquired</w:t>
      </w:r>
      <w:r>
        <w:rPr>
          <w:rFonts w:ascii="Arial" w:cs="Arial" w:eastAsia="Arial" w:hAnsi="Arial"/>
          <w:sz w:val="17"/>
          <w:szCs w:val="17"/>
          <w:color w:val="auto"/>
        </w:rPr>
        <w:t xml:space="preserve"> </w:t>
      </w:r>
      <w:r>
        <w:rPr>
          <w:rFonts w:ascii="Arial" w:cs="Arial" w:eastAsia="Arial" w:hAnsi="Arial"/>
          <w:sz w:val="17"/>
          <w:szCs w:val="17"/>
          <w:i w:val="1"/>
          <w:iCs w:val="1"/>
          <w:color w:val="auto"/>
        </w:rPr>
        <w:t>Intangible Assets, including In-process Research and Development (IPR&amp;D)"</w:t>
      </w:r>
      <w:r>
        <w:rPr>
          <w:rFonts w:ascii="Arial" w:cs="Arial" w:eastAsia="Arial" w:hAnsi="Arial"/>
          <w:sz w:val="17"/>
          <w:szCs w:val="17"/>
          <w:color w:val="auto"/>
        </w:rPr>
        <w:t>. If the carrying value of our acquired IPR&amp;D exceeds its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then the intangible asset is written-down to its fair value. Certain IPR&amp;D programs have a fair value that is not significantly in excess of carrying value, including treatments for forms of neuropathic pain, such as TGN. Such programs could become impaired if assumptions used in determining the fair value change.</w:t>
      </w:r>
    </w:p>
    <w:p>
      <w:pPr>
        <w:spacing w:after="0" w:line="151" w:lineRule="exact"/>
        <w:rPr>
          <w:sz w:val="20"/>
          <w:szCs w:val="20"/>
          <w:color w:val="auto"/>
        </w:rPr>
      </w:pPr>
    </w:p>
    <w:p>
      <w:pPr>
        <w:ind w:left="320" w:right="20" w:firstLine="410"/>
        <w:spacing w:after="0" w:line="252" w:lineRule="auto"/>
        <w:rPr>
          <w:sz w:val="20"/>
          <w:szCs w:val="20"/>
          <w:color w:val="auto"/>
        </w:rPr>
      </w:pPr>
      <w:r>
        <w:rPr>
          <w:rFonts w:ascii="Arial" w:cs="Arial" w:eastAsia="Arial" w:hAnsi="Arial"/>
          <w:sz w:val="17"/>
          <w:szCs w:val="17"/>
          <w:color w:val="auto"/>
        </w:rPr>
        <w:t>Our most significant intangible assets are our acquired and in-licensed rights and patents and developed technology. Acquired and in-licensed rights and patents primarily relate to obtaining the fair value of the U.S. and rest of world licenses to Forward Pharma's intellectual property, including Forward Pharma's intellectual property related to TECFIDERA, and our acquisition of all remaining rights to TYSABRI from Elan. Developed technology primarily relates to our AVONEX product, which was recorded in connection with the merger of Biogen, Inc. and IDEC Pharmaceuticals Corporation in 2003. We amortize the intangible assets related to TECFIDERA, TYSABRI and AVONEX using the economic consumption method based on revenues generated from the products underlying the related intangible assets. An analysis of the anticipated lifetime revenues of TECFIDERA, TYSABRI and AVONEX is performed annually during our long-range planning cycle, which is generally updated in the third quarter of each year, and whenever events or changes in circumstances would significantly affect the anticipated lifetime revenues of TECFIDERA, TYSABRI or AVONEX.</w:t>
      </w:r>
    </w:p>
    <w:p>
      <w:pPr>
        <w:spacing w:after="0" w:line="148" w:lineRule="exact"/>
        <w:rPr>
          <w:sz w:val="20"/>
          <w:szCs w:val="20"/>
          <w:color w:val="auto"/>
        </w:rPr>
      </w:pPr>
    </w:p>
    <w:p>
      <w:pPr>
        <w:ind w:left="320" w:firstLine="410"/>
        <w:spacing w:after="0" w:line="254" w:lineRule="auto"/>
        <w:rPr>
          <w:sz w:val="20"/>
          <w:szCs w:val="20"/>
          <w:color w:val="auto"/>
        </w:rPr>
      </w:pPr>
      <w:r>
        <w:rPr>
          <w:rFonts w:ascii="Arial" w:cs="Arial" w:eastAsia="Arial" w:hAnsi="Arial"/>
          <w:sz w:val="17"/>
          <w:szCs w:val="17"/>
          <w:color w:val="auto"/>
        </w:rPr>
        <w:t xml:space="preserve">For additional information on the impairment charges related to our long-lived assets during 2017 and 2016, please read Note 7, </w:t>
      </w:r>
      <w:r>
        <w:rPr>
          <w:rFonts w:ascii="Arial" w:cs="Arial" w:eastAsia="Arial" w:hAnsi="Arial"/>
          <w:sz w:val="17"/>
          <w:szCs w:val="17"/>
          <w:i w:val="1"/>
          <w:iCs w:val="1"/>
          <w:color w:val="auto"/>
        </w:rPr>
        <w:t>Intangible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Assets and Goodwill, </w:t>
      </w:r>
      <w:r>
        <w:rPr>
          <w:rFonts w:ascii="Arial" w:cs="Arial" w:eastAsia="Arial" w:hAnsi="Arial"/>
          <w:sz w:val="17"/>
          <w:szCs w:val="17"/>
          <w:color w:val="auto"/>
        </w:rPr>
        <w:t>to our consolidated financial statements included</w:t>
      </w:r>
      <w:r>
        <w:rPr>
          <w:rFonts w:ascii="Arial" w:cs="Arial" w:eastAsia="Arial" w:hAnsi="Arial"/>
          <w:sz w:val="17"/>
          <w:szCs w:val="17"/>
          <w:i w:val="1"/>
          <w:iCs w:val="1"/>
          <w:color w:val="auto"/>
        </w:rPr>
        <w:t xml:space="preserve"> </w:t>
      </w:r>
      <w:r>
        <w:rPr>
          <w:rFonts w:ascii="Arial" w:cs="Arial" w:eastAsia="Arial" w:hAnsi="Arial"/>
          <w:sz w:val="17"/>
          <w:szCs w:val="17"/>
          <w:color w:val="auto"/>
        </w:rPr>
        <w:t>in this report. Impairment charges related to our long-lived assets during 2015 were insignificant.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85</w:t>
      </w:r>
    </w:p>
    <w:p>
      <w:pPr>
        <w:sectPr>
          <w:pgSz w:w="11900" w:h="16838" w:orient="portrait"/>
          <w:cols w:equalWidth="0" w:num="2">
            <w:col w:w="5420" w:space="200"/>
            <w:col w:w="5780"/>
          </w:cols>
          <w:pgMar w:left="240" w:top="144" w:right="259" w:bottom="1440" w:gutter="0" w:footer="0" w:header="0"/>
          <w:type w:val="continuous"/>
        </w:sectPr>
      </w:pPr>
    </w:p>
    <w:bookmarkStart w:id="89" w:name="page90"/>
    <w:bookmarkEnd w:id="8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400"/>
          </w:cols>
          <w:pgMar w:left="240" w:top="144" w:right="259" w:bottom="1440" w:gutter="0" w:footer="0" w:header="0"/>
        </w:sectPr>
      </w:pPr>
    </w:p>
    <w:p>
      <w:pPr>
        <w:spacing w:after="0" w:line="36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Goodwill</w:t>
      </w:r>
    </w:p>
    <w:p>
      <w:pPr>
        <w:spacing w:after="0" w:line="104" w:lineRule="exact"/>
        <w:rPr>
          <w:sz w:val="20"/>
          <w:szCs w:val="20"/>
          <w:color w:val="auto"/>
        </w:rPr>
      </w:pPr>
    </w:p>
    <w:p>
      <w:pPr>
        <w:ind w:right="40" w:firstLine="410"/>
        <w:spacing w:after="0" w:line="253" w:lineRule="auto"/>
        <w:rPr>
          <w:sz w:val="20"/>
          <w:szCs w:val="20"/>
          <w:color w:val="auto"/>
        </w:rPr>
      </w:pPr>
      <w:r>
        <w:rPr>
          <w:rFonts w:ascii="Arial" w:cs="Arial" w:eastAsia="Arial" w:hAnsi="Arial"/>
          <w:sz w:val="17"/>
          <w:szCs w:val="17"/>
          <w:color w:val="auto"/>
        </w:rPr>
        <w:t>Goodwill relates largely to amounts that arose in connection with the merger of Biogen, Inc. and IDEC Pharmaceuticals Corporation in 2003 and amounts that are being paid in connection with the acquisition of Fumapharm AG. Our goodwill balances represent the difference between the purchase price and the fair value of the identifiable tangible and intangible net assets when accounted for using the purchase method of accounting.</w:t>
      </w:r>
    </w:p>
    <w:p>
      <w:pPr>
        <w:spacing w:after="0" w:line="146"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We assess our goodwill balance within our single reporting unit annually, as of October 31, and whenever events or changes in circumstances indicate the carrying value of goodwill may not be recoverable to determine whether any impairment in this asset may exist and, if so, the extent of such impairment. We compare the fair value of our reporting unit to its carrying value. If the carrying value of the net assets assigned to the reporting unit exceeds the fair value of our reporting unit, we would record an impairment loss equal to the difference.</w:t>
      </w:r>
    </w:p>
    <w:p>
      <w:pPr>
        <w:spacing w:after="0" w:line="151" w:lineRule="exact"/>
        <w:rPr>
          <w:sz w:val="20"/>
          <w:szCs w:val="20"/>
          <w:color w:val="auto"/>
        </w:rPr>
      </w:pPr>
    </w:p>
    <w:p>
      <w:pPr>
        <w:ind w:right="100" w:firstLine="410"/>
        <w:spacing w:after="0" w:line="254" w:lineRule="auto"/>
        <w:rPr>
          <w:sz w:val="20"/>
          <w:szCs w:val="20"/>
          <w:color w:val="auto"/>
        </w:rPr>
      </w:pPr>
      <w:r>
        <w:rPr>
          <w:rFonts w:ascii="Arial" w:cs="Arial" w:eastAsia="Arial" w:hAnsi="Arial"/>
          <w:sz w:val="17"/>
          <w:szCs w:val="17"/>
          <w:color w:val="auto"/>
        </w:rPr>
        <w:t>We completed our required annual impairment test in the fourth quarters of 2017, 2016 and 2015, respectively, and determined in each of those periods that the carrying value of goodwill was not impaired. In each year, the fair value of our reporting unit, which includes goodwill, was significantly in excess of the carrying value of our reporting unit.</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Investments, including Fair Value Measures and Impairments</w:t>
      </w:r>
    </w:p>
    <w:p>
      <w:pPr>
        <w:spacing w:after="0" w:line="106" w:lineRule="exact"/>
        <w:rPr>
          <w:sz w:val="20"/>
          <w:szCs w:val="20"/>
          <w:color w:val="auto"/>
        </w:rPr>
      </w:pPr>
    </w:p>
    <w:p>
      <w:pPr>
        <w:ind w:right="20" w:firstLine="410"/>
        <w:spacing w:after="0" w:line="254" w:lineRule="auto"/>
        <w:rPr>
          <w:sz w:val="20"/>
          <w:szCs w:val="20"/>
          <w:color w:val="auto"/>
        </w:rPr>
      </w:pPr>
      <w:r>
        <w:rPr>
          <w:rFonts w:ascii="Arial" w:cs="Arial" w:eastAsia="Arial" w:hAnsi="Arial"/>
          <w:sz w:val="17"/>
          <w:szCs w:val="17"/>
          <w:color w:val="auto"/>
        </w:rPr>
        <w:t>We invest in various types of securities, including short-term and long-term marketable securities, principally corporate notes, government securities including government sponsored enterprise mortgage-backed securities and credit card and auto loan asset-backed securities, in which our excess cash balances are invested.</w:t>
      </w:r>
    </w:p>
    <w:p>
      <w:pPr>
        <w:spacing w:after="0" w:line="144"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In accordance with the accounting standard for fair value measurements, we have classified our financial assets as Level 1, 2 or 3 within the fair value hierarchy. Fair values determined by Level 1 inputs utilize quoted prices (unadjusted) in active markets for identical assets that we have the ability to access. Fair values determined by Level 2 inputs utilize data points that are observable such as quoted prices, interest rates, yield curves and foreign currency spot rates. Fair values determined by Level 3 inputs utilize unobservable data points for the asset.</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ind w:left="320" w:firstLine="410"/>
        <w:spacing w:after="0" w:line="254" w:lineRule="auto"/>
        <w:rPr>
          <w:sz w:val="20"/>
          <w:szCs w:val="20"/>
          <w:color w:val="auto"/>
        </w:rPr>
      </w:pPr>
      <w:r>
        <w:rPr>
          <w:rFonts w:ascii="Arial" w:cs="Arial" w:eastAsia="Arial" w:hAnsi="Arial"/>
          <w:sz w:val="17"/>
          <w:szCs w:val="17"/>
          <w:color w:val="auto"/>
        </w:rPr>
        <w:t xml:space="preserve">As noted in Note 8,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to our consolidated financial statements included in this report, a majority of our financial assets have been classified as Level 2. These assets have been initially valued at the transaction price and subsequently valued utilizing third-party pricing services. The pricing services use many observable market inputs to determine value, including reportable trades, benchmark yields, credit spreads, broker/dealer quotes, bids, offers, current spot rates and other industry and economic events. We validate the prices provided by our third-party pricing services by understanding the models used, obtaining market values from other pricing sources and analyzing pricing data in certain instances.</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538235"/>
        </w:rPr>
        <w:t>Impairment</w:t>
      </w:r>
    </w:p>
    <w:p>
      <w:pPr>
        <w:spacing w:after="0" w:line="104" w:lineRule="exact"/>
        <w:rPr>
          <w:sz w:val="20"/>
          <w:szCs w:val="20"/>
          <w:color w:val="auto"/>
        </w:rPr>
      </w:pPr>
    </w:p>
    <w:p>
      <w:pPr>
        <w:ind w:left="320" w:right="60" w:firstLine="410"/>
        <w:spacing w:after="0" w:line="253" w:lineRule="auto"/>
        <w:rPr>
          <w:sz w:val="20"/>
          <w:szCs w:val="20"/>
          <w:color w:val="auto"/>
        </w:rPr>
      </w:pPr>
      <w:r>
        <w:rPr>
          <w:rFonts w:ascii="Arial" w:cs="Arial" w:eastAsia="Arial" w:hAnsi="Arial"/>
          <w:sz w:val="17"/>
          <w:szCs w:val="17"/>
          <w:color w:val="auto"/>
        </w:rPr>
        <w:t>We conduct periodic reviews to identify and evaluate each investment that has an unrealized loss, in accordance with the meaning of other-than-temporary impairment and its application to certain investments. An unrealized loss exists when the current fair value of an individual security is less than its amortized cost basis. Unrealized losses on available-for-sale debt securities that are determined to be temporary, and not related to credit loss, are recorded, net of tax, in accumulated other comprehensive income.</w:t>
      </w:r>
    </w:p>
    <w:p>
      <w:pPr>
        <w:spacing w:after="0" w:line="144" w:lineRule="exact"/>
        <w:rPr>
          <w:sz w:val="20"/>
          <w:szCs w:val="20"/>
          <w:color w:val="auto"/>
        </w:rPr>
      </w:pPr>
    </w:p>
    <w:p>
      <w:pPr>
        <w:ind w:left="320" w:right="40" w:firstLine="410"/>
        <w:spacing w:after="0" w:line="253" w:lineRule="auto"/>
        <w:rPr>
          <w:sz w:val="20"/>
          <w:szCs w:val="20"/>
          <w:color w:val="auto"/>
        </w:rPr>
      </w:pPr>
      <w:r>
        <w:rPr>
          <w:rFonts w:ascii="Arial" w:cs="Arial" w:eastAsia="Arial" w:hAnsi="Arial"/>
          <w:sz w:val="17"/>
          <w:szCs w:val="17"/>
          <w:color w:val="auto"/>
        </w:rPr>
        <w:t>For available-for-sale debt securities with unrealized losses, management performs an analysis to assess whether we intend to sell or whether we would more likely than not be required to sell the security before the expected recovery of the amortized cost basis. Where we intend to sell a security, or may be required to do so, the security’s decline in fair value is deemed to be other-than-temporary and the full amount of the unrealized loss is reflected within earnings as an impairment loss.</w:t>
      </w:r>
    </w:p>
    <w:p>
      <w:pPr>
        <w:spacing w:after="0" w:line="144" w:lineRule="exact"/>
        <w:rPr>
          <w:sz w:val="20"/>
          <w:szCs w:val="20"/>
          <w:color w:val="auto"/>
        </w:rPr>
      </w:pPr>
    </w:p>
    <w:p>
      <w:pPr>
        <w:ind w:left="320" w:right="220" w:firstLine="410"/>
        <w:spacing w:after="0" w:line="253" w:lineRule="auto"/>
        <w:rPr>
          <w:sz w:val="20"/>
          <w:szCs w:val="20"/>
          <w:color w:val="auto"/>
        </w:rPr>
      </w:pPr>
      <w:r>
        <w:rPr>
          <w:rFonts w:ascii="Arial" w:cs="Arial" w:eastAsia="Arial" w:hAnsi="Arial"/>
          <w:sz w:val="17"/>
          <w:szCs w:val="17"/>
          <w:color w:val="auto"/>
        </w:rPr>
        <w:t>Regardless of our intent to sell a security, we perform additional analysis on all securities with unrealized losses to evaluate losses associated with the creditworthiness of the security. Credit losses are identified where we do not expect to receive cash flows sufficient to recover the amortized cost basis of a security and are reflected within earnings as an impairment loss.</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2573BA"/>
        </w:rPr>
        <w:t>Share-Based Compensation</w:t>
      </w:r>
    </w:p>
    <w:p>
      <w:pPr>
        <w:spacing w:after="0" w:line="106" w:lineRule="exact"/>
        <w:rPr>
          <w:sz w:val="20"/>
          <w:szCs w:val="20"/>
          <w:color w:val="auto"/>
        </w:rPr>
      </w:pPr>
    </w:p>
    <w:p>
      <w:pPr>
        <w:ind w:left="320" w:right="120" w:firstLine="410"/>
        <w:spacing w:after="0" w:line="254" w:lineRule="auto"/>
        <w:rPr>
          <w:sz w:val="20"/>
          <w:szCs w:val="20"/>
          <w:color w:val="auto"/>
        </w:rPr>
      </w:pPr>
      <w:r>
        <w:rPr>
          <w:rFonts w:ascii="Arial" w:cs="Arial" w:eastAsia="Arial" w:hAnsi="Arial"/>
          <w:sz w:val="17"/>
          <w:szCs w:val="17"/>
          <w:color w:val="auto"/>
        </w:rPr>
        <w:t>We make certain assumptions in order to value and record expense associated with awards made under our share-based compensation arrangements. Changes in these assumptions may lead to variability with respect to the amount of expense we recognize in connection with share-based payments.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86</w:t>
      </w:r>
    </w:p>
    <w:p>
      <w:pPr>
        <w:sectPr>
          <w:pgSz w:w="11900" w:h="16838" w:orient="portrait"/>
          <w:cols w:equalWidth="0" w:num="2">
            <w:col w:w="5480" w:space="140"/>
            <w:col w:w="5780"/>
          </w:cols>
          <w:pgMar w:left="240" w:top="144" w:right="259" w:bottom="1440" w:gutter="0" w:footer="0" w:header="0"/>
          <w:type w:val="continuous"/>
        </w:sectPr>
      </w:pPr>
    </w:p>
    <w:bookmarkStart w:id="90" w:name="page91"/>
    <w:bookmarkEnd w:id="9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383" w:lineRule="exact"/>
        <w:rPr>
          <w:sz w:val="20"/>
          <w:szCs w:val="20"/>
          <w:color w:val="auto"/>
        </w:rPr>
      </w:pPr>
    </w:p>
    <w:p>
      <w:pPr>
        <w:ind w:right="80" w:firstLine="410"/>
        <w:spacing w:after="0" w:line="252" w:lineRule="auto"/>
        <w:rPr>
          <w:sz w:val="20"/>
          <w:szCs w:val="20"/>
          <w:color w:val="auto"/>
        </w:rPr>
      </w:pPr>
      <w:r>
        <w:rPr>
          <w:rFonts w:ascii="Arial" w:cs="Arial" w:eastAsia="Arial" w:hAnsi="Arial"/>
          <w:sz w:val="17"/>
          <w:szCs w:val="17"/>
          <w:color w:val="auto"/>
        </w:rPr>
        <w:t>Determining the appropriate valuation model and related assumptions requires judgment, and includes estimating the expected market price of our stock on vesting date and stock price volatility as well as the term of the expected awards. Determining the appropriate amount to expense based on the anticipated achievement of performance targets requires judgment, including forecasting the achievement of future financial targets. The estimate of expense is revised periodically based on the probability of achieving the required performance targets and adjustments are made throughout the term as appropriate. The cumulative impact of any revision is reflected in the period of change.</w:t>
      </w:r>
    </w:p>
    <w:p>
      <w:pPr>
        <w:spacing w:after="0" w:line="150" w:lineRule="exact"/>
        <w:rPr>
          <w:sz w:val="20"/>
          <w:szCs w:val="20"/>
          <w:color w:val="auto"/>
        </w:rPr>
      </w:pPr>
    </w:p>
    <w:p>
      <w:pPr>
        <w:ind w:firstLine="410"/>
        <w:spacing w:after="0" w:line="254" w:lineRule="auto"/>
        <w:rPr>
          <w:sz w:val="20"/>
          <w:szCs w:val="20"/>
          <w:color w:val="auto"/>
        </w:rPr>
      </w:pPr>
      <w:r>
        <w:rPr>
          <w:rFonts w:ascii="Arial" w:cs="Arial" w:eastAsia="Arial" w:hAnsi="Arial"/>
          <w:sz w:val="17"/>
          <w:szCs w:val="17"/>
          <w:color w:val="auto"/>
        </w:rPr>
        <w:t>We also estimate forfeitures over the requisite service period when recognizing share-based compensation expense based on historical rates and forward-looking factors. These estimates are adjusted to the extent that actual forfeitures differ, or are expected to materially differ, from our estimates.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Contingent Consideration</w:t>
      </w:r>
    </w:p>
    <w:p>
      <w:pPr>
        <w:spacing w:after="0" w:line="106"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For acquisitions completed before January 1, 2009, we record contingent consideration resulting from a business combination when the contingency is resolved. For acquisitions completed after January 1, 2009, we record contingent consideration resulting from a business combination at its fair value on the acquisition date. Each reporting period thereafter, we revalue these obligations and record increases or decreases in their fair value as an adjustment to contingent consideration expense in our consolidated statements of income. Changes in the fair value of the contingent consideration obligations can result from changes to one or multiple inputs including adjustments to the discount rates and achievement and timing of any cumulative sales-based and development milestones, or changes in the probability of certain clinical events and changes in the assumed probability associated with regulatory approval. These fair value measurements represent Level 3 measurements as they are based on significant inputs not observable in the market.</w:t>
      </w:r>
    </w:p>
    <w:p>
      <w:pPr>
        <w:spacing w:after="0" w:line="148" w:lineRule="exact"/>
        <w:rPr>
          <w:sz w:val="20"/>
          <w:szCs w:val="20"/>
          <w:color w:val="auto"/>
        </w:rPr>
      </w:pPr>
    </w:p>
    <w:p>
      <w:pPr>
        <w:ind w:right="40" w:firstLine="410"/>
        <w:spacing w:after="0" w:line="254" w:lineRule="auto"/>
        <w:rPr>
          <w:sz w:val="20"/>
          <w:szCs w:val="20"/>
          <w:color w:val="auto"/>
        </w:rPr>
      </w:pPr>
      <w:r>
        <w:rPr>
          <w:rFonts w:ascii="Arial" w:cs="Arial" w:eastAsia="Arial" w:hAnsi="Arial"/>
          <w:sz w:val="17"/>
          <w:szCs w:val="17"/>
          <w:color w:val="auto"/>
        </w:rPr>
        <w:t>Significant judgment is employed in determining the appropriateness of these assumptions as of the acquisition date and for each subsequent period. Accordingly, changes in assumptions described above, could have a material impact on the amount of contingent consideration expense we record in any given period.</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2573BA"/>
        </w:rPr>
        <w:t>Restructuring Charges</w:t>
      </w:r>
    </w:p>
    <w:p>
      <w:pPr>
        <w:spacing w:after="0" w:line="106" w:lineRule="exact"/>
        <w:rPr>
          <w:sz w:val="20"/>
          <w:szCs w:val="20"/>
          <w:color w:val="auto"/>
        </w:rPr>
      </w:pPr>
    </w:p>
    <w:p>
      <w:pPr>
        <w:ind w:left="320" w:right="40" w:firstLine="410"/>
        <w:spacing w:after="0" w:line="253" w:lineRule="auto"/>
        <w:rPr>
          <w:sz w:val="20"/>
          <w:szCs w:val="20"/>
          <w:color w:val="auto"/>
        </w:rPr>
      </w:pPr>
      <w:r>
        <w:rPr>
          <w:rFonts w:ascii="Arial" w:cs="Arial" w:eastAsia="Arial" w:hAnsi="Arial"/>
          <w:sz w:val="17"/>
          <w:szCs w:val="17"/>
          <w:color w:val="auto"/>
        </w:rPr>
        <w:t>We have made estimates and judgments regarding the amount and timing of our restructuring expense and liability, including current and future period termination benefits, pipeline program termination costs and other exit costs to be incurred when related actions take place. Severance and other related costs are reflected in our consolidated statements of income as a component of total restructuring charges incurred. Actual results may differ from these estimates.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2573BA"/>
        </w:rPr>
        <w:t>Income Taxes</w:t>
      </w:r>
    </w:p>
    <w:p>
      <w:pPr>
        <w:spacing w:after="0" w:line="106" w:lineRule="exact"/>
        <w:rPr>
          <w:sz w:val="20"/>
          <w:szCs w:val="20"/>
          <w:color w:val="auto"/>
        </w:rPr>
      </w:pPr>
    </w:p>
    <w:p>
      <w:pPr>
        <w:ind w:left="320" w:firstLine="410"/>
        <w:spacing w:after="0" w:line="252" w:lineRule="auto"/>
        <w:rPr>
          <w:sz w:val="20"/>
          <w:szCs w:val="20"/>
          <w:color w:val="auto"/>
        </w:rPr>
      </w:pPr>
      <w:r>
        <w:rPr>
          <w:rFonts w:ascii="Arial" w:cs="Arial" w:eastAsia="Arial" w:hAnsi="Arial"/>
          <w:sz w:val="17"/>
          <w:szCs w:val="17"/>
          <w:color w:val="auto"/>
        </w:rPr>
        <w:t>We prepare and file income tax returns based on our interpretation of each jurisdiction’s tax laws and regulations. In preparing our consolidated financial statements, we estimate our income tax liability in each of the jurisdictions in which we operate by estimating our actual current tax expense together with assessing temporary differences resulting from differing treatment of items for tax and financial reporting purposes. These differences result in deferred tax assets and liabilities, which are included in our consolidated balance sheets. Significant management judgment is required in assessing the realizability of our deferred tax assets. In performing this assessment, we consider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In making this determination, under the applicable financial accounting standards, we are allowed to consider the scheduled reversal of deferred tax liabilities, projected future taxable income and the effects of tax planning strategies. Our estimates of future taxable income include, among other items, our estimates of future income tax deductions related to the exercise of stock options. In the event that actual results differ from our estimates, we adjust our estimates in future periods and we may need to establish a valuation allowance, which could materially impact our consolidated financial position and results of operations.</w:t>
      </w:r>
    </w:p>
    <w:p>
      <w:pPr>
        <w:spacing w:after="0" w:line="146" w:lineRule="exact"/>
        <w:rPr>
          <w:sz w:val="20"/>
          <w:szCs w:val="20"/>
          <w:color w:val="auto"/>
        </w:rPr>
      </w:pPr>
    </w:p>
    <w:p>
      <w:pPr>
        <w:ind w:left="320" w:right="40" w:firstLine="410"/>
        <w:spacing w:after="0" w:line="252" w:lineRule="auto"/>
        <w:rPr>
          <w:sz w:val="20"/>
          <w:szCs w:val="20"/>
          <w:color w:val="auto"/>
        </w:rPr>
      </w:pPr>
      <w:r>
        <w:rPr>
          <w:rFonts w:ascii="Arial" w:cs="Arial" w:eastAsia="Arial" w:hAnsi="Arial"/>
          <w:sz w:val="17"/>
          <w:szCs w:val="17"/>
          <w:color w:val="auto"/>
        </w:rPr>
        <w:t>All tax effects associated with intercompany transfers of assets within our consolidated group, both current and deferred, are recorded as a prepaid tax or deferred charge and recognized through our consolidated statements of income when the asset transferred is sold to a third-party or otherwise recovered through amortization of the asset's remaining economic life. If the asset transferred becomes impaired, for example through the obsolescence of inventory or the discontinuation of a research program, we will expense any remaining deferred charge or prepaid tax. As of December 31,</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87</w:t>
      </w:r>
    </w:p>
    <w:p>
      <w:pPr>
        <w:sectPr>
          <w:pgSz w:w="11900" w:h="16838" w:orient="portrait"/>
          <w:cols w:equalWidth="0" w:num="2">
            <w:col w:w="5440" w:space="180"/>
            <w:col w:w="5800"/>
          </w:cols>
          <w:pgMar w:left="240" w:top="144" w:right="239" w:bottom="1440" w:gutter="0" w:footer="0" w:header="0"/>
          <w:type w:val="continuous"/>
        </w:sectPr>
      </w:pPr>
    </w:p>
    <w:bookmarkStart w:id="91" w:name="page92"/>
    <w:bookmarkEnd w:id="9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360"/>
          </w:cols>
          <w:pgMar w:left="240" w:top="144" w:right="299" w:bottom="1440" w:gutter="0" w:footer="0" w:header="0"/>
        </w:sectPr>
      </w:pPr>
    </w:p>
    <w:p>
      <w:pPr>
        <w:spacing w:after="0" w:line="383"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 xml:space="preserve">2017, total deferred charges and prepaid taxes were $617.7 million. For additional information on the new accounting standard related to tax effects associated with intercompany transfers of assets within our consolidated group, please read Note 1, </w:t>
      </w:r>
      <w:r>
        <w:rPr>
          <w:rFonts w:ascii="Arial" w:cs="Arial" w:eastAsia="Arial" w:hAnsi="Arial"/>
          <w:sz w:val="17"/>
          <w:szCs w:val="17"/>
          <w:i w:val="1"/>
          <w:iCs w:val="1"/>
          <w:color w:val="auto"/>
        </w:rPr>
        <w:t>Summary of Significant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Policies: New Accounting Pronouncements, </w:t>
      </w:r>
      <w:r>
        <w:rPr>
          <w:rFonts w:ascii="Arial" w:cs="Arial" w:eastAsia="Arial" w:hAnsi="Arial"/>
          <w:sz w:val="17"/>
          <w:szCs w:val="17"/>
          <w:color w:val="auto"/>
        </w:rPr>
        <w:t>to our</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financial statements included in this report.</w:t>
      </w:r>
    </w:p>
    <w:p>
      <w:pPr>
        <w:spacing w:after="0" w:line="147"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We account for uncertain tax positions using a “more-likely-than-not” threshold for recognizing and resolving uncertain tax positions. We evaluate uncertain tax positions on a quarterly basis and consider various factors that include, but are not limited to, changes in tax law, the measurement of tax positions taken or expected to be taken in tax returns, the effective settlement of matters subject to audit, information obtained during in process audit activities and changes in facts or circumstances related to a tax position. We adjust the level of the liability to reflect any subsequent changes in the relevant facts surrounding the uncertain positions. Our liabilities for uncertain tax positions can be relieved only if the contingency becomes legally extinguished, through either payment to the taxing authority or the expiration of the statute of limitations, the recognition of the benefits associated with the position meet the “more-likely-than-not” threshold or the liability becomes effectively settled through the examination process. We consider matters to be effectively settled once the taxing authority has completed all of its required or expected examination procedures, including all appeals and administrative reviews, we have no plans to appeal or litigate any aspect of the tax position, and we believe that it is highly unlikely that the taxing authority would examine or re-examine the related tax position. We also accrue for potential interest and penalties related to unrecognized tax benefits in income tax expense.</w:t>
      </w:r>
    </w:p>
    <w:p>
      <w:pPr>
        <w:spacing w:after="0" w:line="146" w:lineRule="exact"/>
        <w:rPr>
          <w:sz w:val="20"/>
          <w:szCs w:val="20"/>
          <w:color w:val="auto"/>
        </w:rPr>
      </w:pPr>
    </w:p>
    <w:p>
      <w:pPr>
        <w:jc w:val="both"/>
        <w:ind w:right="60" w:firstLine="410"/>
        <w:spacing w:after="0" w:line="257" w:lineRule="auto"/>
        <w:rPr>
          <w:sz w:val="20"/>
          <w:szCs w:val="20"/>
          <w:color w:val="auto"/>
        </w:rPr>
      </w:pPr>
      <w:r>
        <w:rPr>
          <w:rFonts w:ascii="Arial" w:cs="Arial" w:eastAsia="Arial" w:hAnsi="Arial"/>
          <w:sz w:val="17"/>
          <w:szCs w:val="17"/>
          <w:color w:val="auto"/>
        </w:rPr>
        <w:t>We earn a significant amount of our operating income outside the U.S. As a result, a portion of our cash, cash equivalents and marketable securities are held by foreign subsidiaries.</w:t>
      </w:r>
    </w:p>
    <w:p>
      <w:pPr>
        <w:spacing w:after="0" w:line="140" w:lineRule="exact"/>
        <w:rPr>
          <w:sz w:val="20"/>
          <w:szCs w:val="20"/>
          <w:color w:val="auto"/>
        </w:rPr>
      </w:pPr>
    </w:p>
    <w:p>
      <w:pPr>
        <w:ind w:right="60" w:firstLine="410"/>
        <w:spacing w:after="0" w:line="257" w:lineRule="auto"/>
        <w:rPr>
          <w:sz w:val="20"/>
          <w:szCs w:val="20"/>
          <w:color w:val="auto"/>
        </w:rPr>
      </w:pPr>
      <w:r>
        <w:rPr>
          <w:rFonts w:ascii="Arial" w:cs="Arial" w:eastAsia="Arial" w:hAnsi="Arial"/>
          <w:sz w:val="17"/>
          <w:szCs w:val="17"/>
          <w:color w:val="auto"/>
        </w:rPr>
        <w:t>On December 22, 2017, the 2017 Tax Act was signed into law and has resulted in significant changes to the U.S. corporate income tax system.</w:t>
      </w:r>
    </w:p>
    <w:p>
      <w:pPr>
        <w:spacing w:after="0" w:line="140" w:lineRule="exact"/>
        <w:rPr>
          <w:sz w:val="20"/>
          <w:szCs w:val="20"/>
          <w:color w:val="auto"/>
        </w:rPr>
      </w:pPr>
    </w:p>
    <w:p>
      <w:pPr>
        <w:ind w:right="40" w:firstLine="410"/>
        <w:spacing w:after="0" w:line="252" w:lineRule="auto"/>
        <w:rPr>
          <w:sz w:val="20"/>
          <w:szCs w:val="20"/>
          <w:color w:val="auto"/>
        </w:rPr>
      </w:pPr>
      <w:r>
        <w:rPr>
          <w:rFonts w:ascii="Arial" w:cs="Arial" w:eastAsia="Arial" w:hAnsi="Arial"/>
          <w:sz w:val="17"/>
          <w:szCs w:val="17"/>
          <w:color w:val="auto"/>
        </w:rPr>
        <w:t>The 2017 Tax Act eliminates the deferral of U.S. income tax on the historical unrepatriated earnings by imposing the Transition Toll Tax, which is a one-time mandatory deemed repatriation tax on undistributed foreign earnings. The Transition Toll Tax is assessed on the U.S. shareholder's share of the foreign corporation's accumulated foreign earnings that have not previously been taxed. Earnings in the form of cash and cash equivalents will be taxed at a rate of 15.5% and all other earnings will be taxed at a rate of 8.0%. As of December 31, 2017, we have accrued</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320" w:right="200"/>
        <w:spacing w:after="0" w:line="255" w:lineRule="auto"/>
        <w:rPr>
          <w:sz w:val="20"/>
          <w:szCs w:val="20"/>
          <w:color w:val="auto"/>
        </w:rPr>
      </w:pPr>
      <w:r>
        <w:rPr>
          <w:rFonts w:ascii="Arial" w:cs="Arial" w:eastAsia="Arial" w:hAnsi="Arial"/>
          <w:sz w:val="17"/>
          <w:szCs w:val="17"/>
          <w:color w:val="auto"/>
        </w:rPr>
        <w:t>income tax liabilities of $989.6 million under the Transition Toll Tax, of which $78.3 million is expected to be paid within one year. The Transition Toll Tax will be paid over an eight-year period, starting in 2018, and will not accrue interest.</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578196"/>
        </w:rPr>
        <w:t>New Accounting Standards</w:t>
      </w:r>
    </w:p>
    <w:p>
      <w:pPr>
        <w:spacing w:after="0" w:line="109" w:lineRule="exact"/>
        <w:rPr>
          <w:sz w:val="20"/>
          <w:szCs w:val="20"/>
          <w:color w:val="auto"/>
        </w:rPr>
      </w:pPr>
    </w:p>
    <w:p>
      <w:pPr>
        <w:ind w:left="320" w:right="100" w:firstLine="410"/>
        <w:spacing w:after="0" w:line="255" w:lineRule="auto"/>
        <w:rPr>
          <w:sz w:val="20"/>
          <w:szCs w:val="20"/>
          <w:color w:val="auto"/>
        </w:rPr>
      </w:pPr>
      <w:r>
        <w:rPr>
          <w:rFonts w:ascii="Arial" w:cs="Arial" w:eastAsia="Arial" w:hAnsi="Arial"/>
          <w:sz w:val="17"/>
          <w:szCs w:val="17"/>
          <w:color w:val="auto"/>
        </w:rPr>
        <w:t xml:space="preserve">For a discussion of new accounting standards and their expected impact on our consolidated financial statements or disclosures, please read Note 1,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to our consolidated financial statements included in this report.</w:t>
      </w:r>
    </w:p>
    <w:p>
      <w:pPr>
        <w:spacing w:after="0" w:line="201" w:lineRule="exact"/>
        <w:rPr>
          <w:sz w:val="20"/>
          <w:szCs w:val="20"/>
          <w:color w:val="auto"/>
        </w:rPr>
      </w:pPr>
    </w:p>
    <w:p>
      <w:pPr>
        <w:ind w:left="320" w:right="240"/>
        <w:spacing w:after="0" w:line="297" w:lineRule="auto"/>
        <w:rPr>
          <w:sz w:val="20"/>
          <w:szCs w:val="20"/>
          <w:color w:val="auto"/>
        </w:rPr>
      </w:pPr>
      <w:r>
        <w:rPr>
          <w:rFonts w:ascii="Arial" w:cs="Arial" w:eastAsia="Arial" w:hAnsi="Arial"/>
          <w:sz w:val="20"/>
          <w:szCs w:val="20"/>
          <w:b w:val="1"/>
          <w:bCs w:val="1"/>
          <w:color w:val="1C5A7D"/>
        </w:rPr>
        <w:t>Item 7A. Quantitative and Qualitative Disclosures About Market Risk</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578196"/>
        </w:rPr>
        <w:t>Market Risk</w:t>
      </w:r>
    </w:p>
    <w:p>
      <w:pPr>
        <w:spacing w:after="0" w:line="109" w:lineRule="exact"/>
        <w:rPr>
          <w:sz w:val="20"/>
          <w:szCs w:val="20"/>
          <w:color w:val="auto"/>
        </w:rPr>
      </w:pPr>
    </w:p>
    <w:p>
      <w:pPr>
        <w:ind w:left="320" w:right="40" w:firstLine="410"/>
        <w:spacing w:after="0" w:line="252" w:lineRule="auto"/>
        <w:rPr>
          <w:sz w:val="20"/>
          <w:szCs w:val="20"/>
          <w:color w:val="auto"/>
        </w:rPr>
      </w:pPr>
      <w:r>
        <w:rPr>
          <w:rFonts w:ascii="Arial" w:cs="Arial" w:eastAsia="Arial" w:hAnsi="Arial"/>
          <w:sz w:val="17"/>
          <w:szCs w:val="17"/>
          <w:color w:val="auto"/>
        </w:rPr>
        <w:t>We are subject to certain risks that may affect our results of operations, cash flows and fair values of assets and liabilities, including volatility in foreign currency exchange rates, interest rate movements, pricing pressures worldwide and weak economic conditions in the foreign markets in which we operate. We manage the impact of foreign currency exchange rates and interest rates through various financial instruments, including derivative instruments such as foreign currency forward contracts, interest rate lock contracts and interest rate swap contracts. We do not enter into financial instruments for trading or speculative purposes. The counterparties to these contracts are major financial institutions, and there is no significant concentration of exposure with any one counterparty.</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2573BA"/>
        </w:rPr>
        <w:t>Foreign Currency Exchange Risk</w:t>
      </w:r>
    </w:p>
    <w:p>
      <w:pPr>
        <w:spacing w:after="0" w:line="106" w:lineRule="exact"/>
        <w:rPr>
          <w:sz w:val="20"/>
          <w:szCs w:val="20"/>
          <w:color w:val="auto"/>
        </w:rPr>
      </w:pPr>
    </w:p>
    <w:p>
      <w:pPr>
        <w:ind w:left="320" w:firstLine="410"/>
        <w:spacing w:after="0" w:line="252" w:lineRule="auto"/>
        <w:rPr>
          <w:sz w:val="20"/>
          <w:szCs w:val="20"/>
          <w:color w:val="auto"/>
        </w:rPr>
      </w:pPr>
      <w:r>
        <w:rPr>
          <w:rFonts w:ascii="Arial" w:cs="Arial" w:eastAsia="Arial" w:hAnsi="Arial"/>
          <w:sz w:val="17"/>
          <w:szCs w:val="17"/>
          <w:color w:val="auto"/>
        </w:rPr>
        <w:t>Our results of operations are subject to foreign currency exchange rate fluctuations due to the global nature of our operations. We have operations or maintain distribution relationships in the U.S., Europe, Canada, Asia, and Central and South America. In addition, we recognize our share of pre-tax co-promotion profits on RITUXAN in Canada. As a result, our consolidated financial position, results of operations and cash flows can be affected by market fluctuations in foreign currency exchange rates, primarily with respect to the Euro, British pound sterling, Canadian dollar, Swiss franc, Danish krone and Japanese yen.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88</w:t>
      </w:r>
    </w:p>
    <w:p>
      <w:pPr>
        <w:sectPr>
          <w:pgSz w:w="11900" w:h="16838" w:orient="portrait"/>
          <w:cols w:equalWidth="0" w:num="2">
            <w:col w:w="5480" w:space="140"/>
            <w:col w:w="5740"/>
          </w:cols>
          <w:pgMar w:left="240" w:top="144" w:right="299" w:bottom="1440" w:gutter="0" w:footer="0" w:header="0"/>
          <w:type w:val="continuous"/>
        </w:sectPr>
      </w:pPr>
    </w:p>
    <w:bookmarkStart w:id="92" w:name="page93"/>
    <w:bookmarkEnd w:id="9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383"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While the financial results of our global activities are reported in U.S. dollars, the functional currency for most of our foreign subsidiaries is their respective local currency. Fluctuations in the foreign currency exchange rates of the countries in which we do business will affect our operating results, often in ways that are difficult to predict. In particular, as the U.S. dollar strengthens versus other currencies, the value of the non-U.S. revenues will decline when reported in U.S. dollars. The impact to net income as a result of a strengthening U.S. dollar will be partially mitigated by the value of non-U.S. expenses, which will also decline when reported in U.S. dollars. As the U.S. dollar weakens versus other currencies, the value of the non-U.S. revenues and expenses will increase when reported in U.S. dollars.</w:t>
      </w:r>
    </w:p>
    <w:p>
      <w:pPr>
        <w:spacing w:after="0" w:line="149" w:lineRule="exact"/>
        <w:rPr>
          <w:sz w:val="20"/>
          <w:szCs w:val="20"/>
          <w:color w:val="auto"/>
        </w:rPr>
      </w:pPr>
    </w:p>
    <w:p>
      <w:pPr>
        <w:ind w:right="60" w:firstLine="410"/>
        <w:spacing w:after="0" w:line="255" w:lineRule="auto"/>
        <w:rPr>
          <w:sz w:val="20"/>
          <w:szCs w:val="20"/>
          <w:color w:val="auto"/>
        </w:rPr>
      </w:pPr>
      <w:r>
        <w:rPr>
          <w:rFonts w:ascii="Arial" w:cs="Arial" w:eastAsia="Arial" w:hAnsi="Arial"/>
          <w:sz w:val="17"/>
          <w:szCs w:val="17"/>
          <w:color w:val="auto"/>
        </w:rPr>
        <w:t>We have established revenue and operating expense hedging and balance sheet risk management programs to protect against volatility of future foreign currency cash flows and changes in fair value caused by volatility in foreign currency exchange rates.</w:t>
      </w:r>
    </w:p>
    <w:p>
      <w:pPr>
        <w:spacing w:after="0" w:line="143" w:lineRule="exact"/>
        <w:rPr>
          <w:sz w:val="20"/>
          <w:szCs w:val="20"/>
          <w:color w:val="auto"/>
        </w:rPr>
      </w:pPr>
    </w:p>
    <w:p>
      <w:pPr>
        <w:ind w:right="180" w:firstLine="410"/>
        <w:spacing w:after="0" w:line="253" w:lineRule="auto"/>
        <w:rPr>
          <w:sz w:val="20"/>
          <w:szCs w:val="20"/>
          <w:color w:val="auto"/>
        </w:rPr>
      </w:pPr>
      <w:r>
        <w:rPr>
          <w:rFonts w:ascii="Arial" w:cs="Arial" w:eastAsia="Arial" w:hAnsi="Arial"/>
          <w:sz w:val="17"/>
          <w:szCs w:val="17"/>
          <w:color w:val="auto"/>
        </w:rPr>
        <w:t>In June 2016 the U.K. voted in a referendum to voluntarily depart from the E.U., known as Brexit, and in March 2017, the U.K. formally started the process for the U.K. to leave the E.U. The macroeconomic impact on our results of operations from these developments remains unknown. To date, the foreign currency exchange impact has been insignificant since we hedged the balance sheet foreign currency exchange risk.</w:t>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Revenue and Operating Expense Hedging Program</w:t>
      </w:r>
    </w:p>
    <w:p>
      <w:pPr>
        <w:spacing w:after="0" w:line="104"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 xml:space="preserve">Our foreign currency hedging program is designed to mitigate, over time, a portion of the impact resulting from volatility in exchange rate changes on revenues and operating expenses. We use foreign currency forward contracts to manage foreign currency risk, with the majority of our forward contracts used to hedge certain forecasted revenue and operating expense transactions denominated in foreign currencies in the next 21 months. We do not engage in currency speculation. For a more detailed disclosure of our revenue and operating expense hedging program, please read Note 10, </w:t>
      </w:r>
      <w:r>
        <w:rPr>
          <w:rFonts w:ascii="Arial" w:cs="Arial" w:eastAsia="Arial" w:hAnsi="Arial"/>
          <w:sz w:val="17"/>
          <w:szCs w:val="17"/>
          <w:i w:val="1"/>
          <w:iCs w:val="1"/>
          <w:color w:val="auto"/>
        </w:rPr>
        <w:t>Derivative Instruments,</w:t>
      </w:r>
      <w:r>
        <w:rPr>
          <w:rFonts w:ascii="Arial" w:cs="Arial" w:eastAsia="Arial" w:hAnsi="Arial"/>
          <w:sz w:val="17"/>
          <w:szCs w:val="17"/>
          <w:color w:val="auto"/>
        </w:rPr>
        <w:t xml:space="preserve"> to our consolidated financial statements included in this report.</w:t>
      </w:r>
    </w:p>
    <w:p>
      <w:pPr>
        <w:spacing w:after="0" w:line="150" w:lineRule="exact"/>
        <w:rPr>
          <w:sz w:val="20"/>
          <w:szCs w:val="20"/>
          <w:color w:val="auto"/>
        </w:rPr>
      </w:pPr>
    </w:p>
    <w:p>
      <w:pPr>
        <w:ind w:right="80" w:firstLine="410"/>
        <w:spacing w:after="0" w:line="253" w:lineRule="auto"/>
        <w:rPr>
          <w:sz w:val="20"/>
          <w:szCs w:val="20"/>
          <w:color w:val="auto"/>
        </w:rPr>
      </w:pPr>
      <w:r>
        <w:rPr>
          <w:rFonts w:ascii="Arial" w:cs="Arial" w:eastAsia="Arial" w:hAnsi="Arial"/>
          <w:sz w:val="17"/>
          <w:szCs w:val="17"/>
          <w:color w:val="auto"/>
        </w:rPr>
        <w:t>Our ability to mitigate the impact of exchange rate changes on revenues and net income diminishes as significant exchange rate fluctuations are sustained over extended periods of time. In particular, devaluation or significant deterioration of foreign currency exchange rates are difficult to mitigate and likely to negatively impact earnings. The cash flows from these contracts are reported as operating activities in our consolidated statements of cash flows.</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Balance Sheet Risk Management Hedging Program</w:t>
      </w:r>
    </w:p>
    <w:p>
      <w:pPr>
        <w:spacing w:after="0" w:line="104" w:lineRule="exact"/>
        <w:rPr>
          <w:sz w:val="20"/>
          <w:szCs w:val="20"/>
          <w:color w:val="auto"/>
        </w:rPr>
      </w:pPr>
    </w:p>
    <w:p>
      <w:pPr>
        <w:ind w:right="160" w:firstLine="410"/>
        <w:spacing w:after="0" w:line="252" w:lineRule="auto"/>
        <w:rPr>
          <w:sz w:val="20"/>
          <w:szCs w:val="20"/>
          <w:color w:val="auto"/>
        </w:rPr>
      </w:pPr>
      <w:r>
        <w:rPr>
          <w:rFonts w:ascii="Arial" w:cs="Arial" w:eastAsia="Arial" w:hAnsi="Arial"/>
          <w:sz w:val="17"/>
          <w:szCs w:val="17"/>
          <w:color w:val="auto"/>
        </w:rPr>
        <w:t>We also use forward contracts to mitigate the foreign currency exposure related to certain balance sheet items. The primary objective of our balance sheet risk management program is to mitigate the exposure of foreign currency denominated net monetary assets and liabilities of foreign affiliates. In these instances, we principally utilize currency forward contracts. We have not elected hedge accounting for the balance sheet related items. The cash flows from these contracts are reported as operating activities in our consolidated statements of cash flows.</w:t>
      </w:r>
    </w:p>
    <w:p>
      <w:pPr>
        <w:spacing w:after="0" w:line="151"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The following quantitative information includes the impact of currency movements on forward contracts used in our revenue, operating expense and balance sheet hedging programs. As of December 31, 2017 and 2016, a hypothetical adverse 10% movement in foreign currency rates compared to the U.S. dollar across all maturities would result in a hypothetical decrease in the fair value of forward contracts of approximately $286.0 million and $172.0 million, respectively. The estimated fair value change was determined by measuring the impact of the hypothetical exchange rate movement on outstanding forward contracts. Our use of this methodology to quantify the market risk of such instruments is subject to assumptions and actual impact could be significantly different. The quantitative information about market risk is limited because it does not take into account all foreign currency operating transactions.</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Interest Rate Risk</w:t>
      </w:r>
    </w:p>
    <w:p>
      <w:pPr>
        <w:spacing w:after="0" w:line="106" w:lineRule="exact"/>
        <w:rPr>
          <w:sz w:val="20"/>
          <w:szCs w:val="20"/>
          <w:color w:val="auto"/>
        </w:rPr>
      </w:pPr>
    </w:p>
    <w:p>
      <w:pPr>
        <w:ind w:right="100" w:firstLine="410"/>
        <w:spacing w:after="0" w:line="252" w:lineRule="auto"/>
        <w:rPr>
          <w:sz w:val="20"/>
          <w:szCs w:val="20"/>
          <w:color w:val="auto"/>
        </w:rPr>
      </w:pPr>
      <w:r>
        <w:rPr>
          <w:rFonts w:ascii="Arial" w:cs="Arial" w:eastAsia="Arial" w:hAnsi="Arial"/>
          <w:sz w:val="17"/>
          <w:szCs w:val="17"/>
          <w:color w:val="auto"/>
        </w:rPr>
        <w:t>Our investment portfolio includes cash equivalents and short-term investments. The fair value of our marketable securities is subject to change as a result of potential changes in market interest rates. The potential change in fair value for interest rate sensitive instruments has been assessed on a hypothetical 100 basis point adverse movement across all maturities. As of December 31, 2017 and 2016, we estimate that such hypothetical 100 basis point adverse movement would result in a hypothetical loss in fair value of approximately $50.0 million to our interest rate sensitive instruments. The fair values of our investments were determined using third-party pricing services or other market observable data.</w:t>
      </w:r>
    </w:p>
    <w:p>
      <w:pPr>
        <w:spacing w:after="0" w:line="150"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To achieve a desired mix of fixed and floating interest rate debt, we entered into interest rate swap contracts during 2015 for certain of our fixed-rate debt. These derivative contracts effectively converted a fixed-rate interest coupon to a floating-rate LIBOR-based coupon over the life of the respective note. As of December 31, 2017 and 2016, a 100 basis-point adverse movement (increase in LIBOR) would increase</w:t>
      </w:r>
    </w:p>
    <w:p>
      <w:pPr>
        <w:spacing w:after="0" w:line="200" w:lineRule="exact"/>
        <w:rPr>
          <w:sz w:val="20"/>
          <w:szCs w:val="20"/>
          <w:color w:val="auto"/>
        </w:rPr>
      </w:pPr>
    </w:p>
    <w:p>
      <w:pPr>
        <w:sectPr>
          <w:pgSz w:w="11900" w:h="16838" w:orient="portrait"/>
          <w:cols w:equalWidth="0" w:num="2">
            <w:col w:w="5480" w:space="460"/>
            <w:col w:w="5480"/>
          </w:cols>
          <w:pgMar w:left="240" w:top="144" w:right="239" w:bottom="1440" w:gutter="0" w:footer="0" w:header="0"/>
          <w:type w:val="continuous"/>
        </w:sectPr>
      </w:pP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144" w:right="239" w:bottom="144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161"/>
        </w:trPr>
        <w:tc>
          <w:tcPr>
            <w:tcW w:w="502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140" w:type="dxa"/>
            <w:vAlign w:val="bottom"/>
          </w:tcPr>
          <w:p>
            <w:pPr>
              <w:spacing w:after="0"/>
              <w:rPr>
                <w:sz w:val="14"/>
                <w:szCs w:val="14"/>
                <w:color w:val="auto"/>
              </w:rPr>
            </w:pPr>
          </w:p>
        </w:tc>
      </w:tr>
      <w:tr>
        <w:trPr>
          <w:trHeight w:val="20"/>
        </w:trPr>
        <w:tc>
          <w:tcPr>
            <w:tcW w:w="1060" w:type="dxa"/>
            <w:vAlign w:val="bottom"/>
            <w:shd w:val="clear" w:color="auto" w:fill="0000EE"/>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581"/>
        </w:trPr>
        <w:tc>
          <w:tcPr>
            <w:tcW w:w="5020" w:type="dxa"/>
            <w:vAlign w:val="bottom"/>
            <w:gridSpan w:val="2"/>
          </w:tcPr>
          <w:p>
            <w:pPr>
              <w:spacing w:after="0"/>
              <w:rPr>
                <w:sz w:val="20"/>
                <w:szCs w:val="20"/>
                <w:color w:val="auto"/>
              </w:rPr>
            </w:pPr>
            <w:r>
              <w:rPr>
                <w:rFonts w:ascii="Arial" w:cs="Arial" w:eastAsia="Arial" w:hAnsi="Arial"/>
                <w:sz w:val="17"/>
                <w:szCs w:val="17"/>
                <w:color w:val="auto"/>
              </w:rPr>
              <w:t>annual interest expense by approximately $6.8 million.</w:t>
            </w:r>
          </w:p>
        </w:tc>
        <w:tc>
          <w:tcPr>
            <w:tcW w:w="2140" w:type="dxa"/>
            <w:vAlign w:val="bottom"/>
          </w:tcPr>
          <w:p>
            <w:pPr>
              <w:ind w:left="920"/>
              <w:spacing w:after="0"/>
              <w:rPr>
                <w:sz w:val="20"/>
                <w:szCs w:val="20"/>
                <w:color w:val="auto"/>
              </w:rPr>
            </w:pPr>
            <w:r>
              <w:rPr>
                <w:rFonts w:ascii="Arial" w:cs="Arial" w:eastAsia="Arial" w:hAnsi="Arial"/>
                <w:sz w:val="17"/>
                <w:szCs w:val="17"/>
                <w:color w:val="auto"/>
                <w:w w:val="98"/>
              </w:rPr>
              <w:t>particular drugs.</w:t>
            </w:r>
          </w:p>
        </w:tc>
      </w:tr>
      <w:tr>
        <w:trPr>
          <w:trHeight w:val="359"/>
        </w:trPr>
        <w:tc>
          <w:tcPr>
            <w:tcW w:w="5020" w:type="dxa"/>
            <w:vAlign w:val="bottom"/>
            <w:gridSpan w:val="2"/>
          </w:tcPr>
          <w:p>
            <w:pPr>
              <w:ind w:left="200"/>
              <w:spacing w:after="0"/>
              <w:rPr>
                <w:sz w:val="20"/>
                <w:szCs w:val="20"/>
                <w:color w:val="auto"/>
              </w:rPr>
            </w:pPr>
            <w:r>
              <w:rPr>
                <w:rFonts w:ascii="Arial" w:cs="Arial" w:eastAsia="Arial" w:hAnsi="Arial"/>
                <w:sz w:val="17"/>
                <w:szCs w:val="17"/>
                <w:b w:val="1"/>
                <w:bCs w:val="1"/>
                <w:i w:val="1"/>
                <w:iCs w:val="1"/>
                <w:color w:val="2573BA"/>
              </w:rPr>
              <w:t>Pricing Pressure</w:t>
            </w:r>
          </w:p>
        </w:tc>
        <w:tc>
          <w:tcPr>
            <w:tcW w:w="2140" w:type="dxa"/>
            <w:vAlign w:val="bottom"/>
          </w:tcPr>
          <w:p>
            <w:pPr>
              <w:ind w:left="1120"/>
              <w:spacing w:after="0"/>
              <w:rPr>
                <w:sz w:val="20"/>
                <w:szCs w:val="20"/>
                <w:color w:val="auto"/>
              </w:rPr>
            </w:pPr>
            <w:r>
              <w:rPr>
                <w:rFonts w:ascii="Arial" w:cs="Arial" w:eastAsia="Arial" w:hAnsi="Arial"/>
                <w:sz w:val="17"/>
                <w:szCs w:val="17"/>
                <w:b w:val="1"/>
                <w:bCs w:val="1"/>
                <w:i w:val="1"/>
                <w:iCs w:val="1"/>
                <w:color w:val="2573BA"/>
              </w:rPr>
              <w:t>Credit Risk</w:t>
            </w:r>
          </w:p>
        </w:tc>
      </w:tr>
    </w:tbl>
    <w:p>
      <w:pPr>
        <w:spacing w:after="0" w:line="77" w:lineRule="exact"/>
        <w:rPr>
          <w:sz w:val="20"/>
          <w:szCs w:val="20"/>
          <w:color w:val="auto"/>
        </w:rPr>
      </w:pPr>
    </w:p>
    <w:p>
      <w:pPr>
        <w:sectPr>
          <w:pgSz w:w="11900" w:h="16838" w:orient="portrait"/>
          <w:cols w:equalWidth="0" w:num="1">
            <w:col w:w="11400"/>
          </w:cols>
          <w:pgMar w:left="240" w:top="119" w:right="259" w:bottom="1440" w:gutter="0" w:footer="0" w:header="0"/>
        </w:sectPr>
      </w:pPr>
    </w:p>
    <w:p>
      <w:pPr>
        <w:ind w:right="60" w:firstLine="410"/>
        <w:spacing w:after="0" w:line="253" w:lineRule="auto"/>
        <w:rPr>
          <w:sz w:val="20"/>
          <w:szCs w:val="20"/>
          <w:color w:val="auto"/>
        </w:rPr>
      </w:pPr>
      <w:r>
        <w:rPr>
          <w:rFonts w:ascii="Arial" w:cs="Arial" w:eastAsia="Arial" w:hAnsi="Arial"/>
          <w:sz w:val="17"/>
          <w:szCs w:val="17"/>
          <w:color w:val="auto"/>
        </w:rPr>
        <w:t>Governments in some international markets in which we operate have implemented measures aimed at reducing healthcare costs to limit the overall level of government expenditures. These measures vary by country and may include, among other things, patient access restrictions, suspensions on price increases, prospective and possibly retroactive price reductions and other recoupments and increased mandatory discounts or rebates, recoveries of past price increases and greater importation of drugs from lower-cost countries.</w:t>
      </w:r>
    </w:p>
    <w:p>
      <w:pPr>
        <w:spacing w:after="0" w:line="144"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In addition, certain countries set prices by reference to the prices in other countries where our products are marketed. Thus, our inability to secure favorable prices in a particular country may impair our ability to obtain acceptable prices in existing and potential new markets, which may limit market growth. The continued implementation of pricing actions throughout Europe may also lead to higher levels of parallel trade.</w:t>
      </w:r>
    </w:p>
    <w:p>
      <w:pPr>
        <w:spacing w:after="0" w:line="146" w:lineRule="exact"/>
        <w:rPr>
          <w:sz w:val="20"/>
          <w:szCs w:val="20"/>
          <w:color w:val="auto"/>
        </w:rPr>
      </w:pPr>
    </w:p>
    <w:p>
      <w:pPr>
        <w:ind w:right="40" w:firstLine="410"/>
        <w:spacing w:after="0" w:line="252" w:lineRule="auto"/>
        <w:rPr>
          <w:sz w:val="20"/>
          <w:szCs w:val="20"/>
          <w:color w:val="auto"/>
        </w:rPr>
      </w:pPr>
      <w:r>
        <w:rPr>
          <w:rFonts w:ascii="Arial" w:cs="Arial" w:eastAsia="Arial" w:hAnsi="Arial"/>
          <w:sz w:val="17"/>
          <w:szCs w:val="17"/>
          <w:color w:val="auto"/>
        </w:rPr>
        <w:t>In the U.S., federal and state legislatures, health agencies and third-party payors continue to focus on containing the cost of health care. Legislative and regulatory proposals, enactments to reform health care insurance programs and increasing pressure from social sources could significantly influence the manner in which our products are prescribed and purchased. It is possible that additional federal health care reform measures will be adopted in the future, which could result in increased pricing pressure and reduced reimbursement for our products and otherwise have an adverse impact on our consolidated financial position or results of operations.</w:t>
      </w:r>
    </w:p>
    <w:p>
      <w:pPr>
        <w:spacing w:after="0" w:line="150" w:lineRule="exact"/>
        <w:rPr>
          <w:sz w:val="20"/>
          <w:szCs w:val="20"/>
          <w:color w:val="auto"/>
        </w:rPr>
      </w:pPr>
    </w:p>
    <w:p>
      <w:pPr>
        <w:ind w:right="80" w:firstLine="384"/>
        <w:spacing w:after="0" w:line="252" w:lineRule="auto"/>
        <w:rPr>
          <w:sz w:val="20"/>
          <w:szCs w:val="20"/>
          <w:color w:val="auto"/>
        </w:rPr>
      </w:pPr>
      <w:r>
        <w:rPr>
          <w:rFonts w:ascii="Arial" w:cs="Arial" w:eastAsia="Arial" w:hAnsi="Arial"/>
          <w:sz w:val="17"/>
          <w:szCs w:val="17"/>
          <w:color w:val="auto"/>
        </w:rPr>
        <w:t>Our products are also susceptible to increasing competition from generics and biosimilars in many markets. Generic versions of drugs and biosimilars are likely to be sold at substantially lower prices than branded products. Accordingly, the introduction of generic or biosimilar versions of our marketed products, as well as lower-priced competing products, likely would significantly reduce both the price that we receive for such marketed products and the volume of products that we sell, which may have an adverse impact on our consolidated results of operations.</w:t>
      </w:r>
    </w:p>
    <w:p>
      <w:pPr>
        <w:spacing w:after="0" w:line="151" w:lineRule="exact"/>
        <w:rPr>
          <w:sz w:val="20"/>
          <w:szCs w:val="20"/>
          <w:color w:val="auto"/>
        </w:rPr>
      </w:pPr>
    </w:p>
    <w:p>
      <w:pPr>
        <w:ind w:right="60" w:firstLine="410"/>
        <w:spacing w:after="0" w:line="254" w:lineRule="auto"/>
        <w:rPr>
          <w:sz w:val="20"/>
          <w:szCs w:val="20"/>
          <w:color w:val="auto"/>
        </w:rPr>
      </w:pPr>
      <w:r>
        <w:rPr>
          <w:rFonts w:ascii="Arial" w:cs="Arial" w:eastAsia="Arial" w:hAnsi="Arial"/>
          <w:sz w:val="17"/>
          <w:szCs w:val="17"/>
          <w:color w:val="auto"/>
        </w:rPr>
        <w:t>There is also significant economic pressure on state budgets that results in states increasingly seeking to achieve budget savings through mechanisms that limit coverage or payment for our drugs. Managed care organizations are also continuing to seek price discounts and, in some cases, to impose restrictions on the coverage of</w:t>
      </w:r>
    </w:p>
    <w:p>
      <w:pPr>
        <w:spacing w:after="0" w:line="20" w:lineRule="exact"/>
        <w:rPr>
          <w:sz w:val="20"/>
          <w:szCs w:val="20"/>
          <w:color w:val="auto"/>
        </w:rPr>
      </w:pPr>
      <w:r>
        <w:rPr>
          <w:sz w:val="20"/>
          <w:szCs w:val="20"/>
          <w:color w:val="auto"/>
        </w:rPr>
        <w:br w:type="column"/>
      </w:r>
    </w:p>
    <w:p>
      <w:pPr>
        <w:ind w:left="320" w:firstLine="410"/>
        <w:spacing w:after="0" w:line="252" w:lineRule="auto"/>
        <w:rPr>
          <w:sz w:val="20"/>
          <w:szCs w:val="20"/>
          <w:color w:val="auto"/>
        </w:rPr>
      </w:pPr>
      <w:r>
        <w:rPr>
          <w:rFonts w:ascii="Arial" w:cs="Arial" w:eastAsia="Arial" w:hAnsi="Arial"/>
          <w:sz w:val="17"/>
          <w:szCs w:val="17"/>
          <w:color w:val="auto"/>
        </w:rPr>
        <w:t>We are subject to credit risk from our accounts receivable related to our product sales. The majority of our accounts receivable arise from product sales in the U.S. and Europe with concentrations of credit risk limited due to the wide variety of customers and markets using our products, as well as their dispersion across many different geographic areas. Our accounts receivable are primarily due from wholesale distributors, public hospitals and other government entities. We monitor the financial performance and creditworthiness of our customers so that we can properly assess and respond to changes in their credit profile. We operate in certain countries where weakness in economic conditions can result in extended collection periods. We continue to monitor these conditions, including the volatility associated with international economies and the relevant financial markets, and assess their possible impact on our business. To date, we have not experienced any significant losses with respect to the collection of our accounts receivable.</w:t>
      </w:r>
    </w:p>
    <w:p>
      <w:pPr>
        <w:spacing w:after="0" w:line="148" w:lineRule="exact"/>
        <w:rPr>
          <w:sz w:val="20"/>
          <w:szCs w:val="20"/>
          <w:color w:val="auto"/>
        </w:rPr>
      </w:pPr>
    </w:p>
    <w:p>
      <w:pPr>
        <w:ind w:left="320" w:right="40" w:firstLine="384"/>
        <w:spacing w:after="0" w:line="257" w:lineRule="auto"/>
        <w:rPr>
          <w:sz w:val="20"/>
          <w:szCs w:val="20"/>
          <w:color w:val="auto"/>
        </w:rPr>
      </w:pPr>
      <w:r>
        <w:rPr>
          <w:rFonts w:ascii="Arial" w:cs="Arial" w:eastAsia="Arial" w:hAnsi="Arial"/>
          <w:sz w:val="17"/>
          <w:szCs w:val="17"/>
          <w:color w:val="auto"/>
        </w:rPr>
        <w:t>Credit and economic conditions in the E.U. continue to remain uncertain, which has, from time to time, led to long collection periods for our accounts receivable and greater collection risk in certain countries.</w:t>
      </w:r>
    </w:p>
    <w:p>
      <w:pPr>
        <w:spacing w:after="0" w:line="140" w:lineRule="exact"/>
        <w:rPr>
          <w:sz w:val="20"/>
          <w:szCs w:val="20"/>
          <w:color w:val="auto"/>
        </w:rPr>
      </w:pPr>
    </w:p>
    <w:p>
      <w:pPr>
        <w:ind w:left="320" w:right="40" w:firstLine="410"/>
        <w:spacing w:after="0" w:line="253" w:lineRule="auto"/>
        <w:rPr>
          <w:sz w:val="20"/>
          <w:szCs w:val="20"/>
          <w:color w:val="auto"/>
        </w:rPr>
      </w:pPr>
      <w:r>
        <w:rPr>
          <w:rFonts w:ascii="Arial" w:cs="Arial" w:eastAsia="Arial" w:hAnsi="Arial"/>
          <w:sz w:val="17"/>
          <w:szCs w:val="17"/>
          <w:color w:val="auto"/>
        </w:rPr>
        <w:t>We believe that our allowance for doubtful accounts was adequate as of December 31, 2017 and 2016. However, if significant changes occur in the availability of government funding or the reimbursement practices of these or other governments, we may not be able to collect on amounts due to us from customers in such countries and our results of operations could be adversely affected.</w:t>
      </w:r>
    </w:p>
    <w:p>
      <w:pPr>
        <w:spacing w:after="0" w:line="205" w:lineRule="exact"/>
        <w:rPr>
          <w:sz w:val="20"/>
          <w:szCs w:val="20"/>
          <w:color w:val="auto"/>
        </w:rPr>
      </w:pPr>
    </w:p>
    <w:p>
      <w:pPr>
        <w:ind w:left="320" w:right="340"/>
        <w:spacing w:after="0" w:line="268" w:lineRule="auto"/>
        <w:rPr>
          <w:sz w:val="20"/>
          <w:szCs w:val="20"/>
          <w:color w:val="auto"/>
        </w:rPr>
      </w:pPr>
      <w:r>
        <w:rPr>
          <w:rFonts w:ascii="Arial" w:cs="Arial" w:eastAsia="Arial" w:hAnsi="Arial"/>
          <w:sz w:val="20"/>
          <w:szCs w:val="20"/>
          <w:b w:val="1"/>
          <w:bCs w:val="1"/>
          <w:color w:val="1C5A7D"/>
        </w:rPr>
        <w:t>Item 8. Financial Statements and Supplementary Data</w:t>
      </w:r>
    </w:p>
    <w:p>
      <w:pPr>
        <w:spacing w:after="0" w:line="325" w:lineRule="exact"/>
        <w:rPr>
          <w:sz w:val="20"/>
          <w:szCs w:val="20"/>
          <w:color w:val="auto"/>
        </w:rPr>
      </w:pPr>
    </w:p>
    <w:p>
      <w:pPr>
        <w:ind w:left="320" w:right="120" w:firstLine="410"/>
        <w:spacing w:after="0" w:line="262" w:lineRule="auto"/>
        <w:rPr>
          <w:sz w:val="20"/>
          <w:szCs w:val="20"/>
          <w:color w:val="auto"/>
        </w:rPr>
      </w:pPr>
      <w:r>
        <w:rPr>
          <w:rFonts w:ascii="Arial" w:cs="Arial" w:eastAsia="Arial" w:hAnsi="Arial"/>
          <w:sz w:val="17"/>
          <w:szCs w:val="17"/>
          <w:color w:val="auto"/>
        </w:rPr>
        <w:t>The information required by this Item 8 is contained on pages F-1 through F-78 of this report and is incorporated herein by reference.</w:t>
      </w:r>
    </w:p>
    <w:p>
      <w:pPr>
        <w:spacing w:after="0" w:line="195" w:lineRule="exact"/>
        <w:rPr>
          <w:sz w:val="20"/>
          <w:szCs w:val="20"/>
          <w:color w:val="auto"/>
        </w:rPr>
      </w:pPr>
    </w:p>
    <w:p>
      <w:pPr>
        <w:ind w:left="320" w:right="260"/>
        <w:spacing w:after="0" w:line="297" w:lineRule="auto"/>
        <w:rPr>
          <w:sz w:val="20"/>
          <w:szCs w:val="20"/>
          <w:color w:val="auto"/>
        </w:rPr>
      </w:pPr>
      <w:r>
        <w:rPr>
          <w:rFonts w:ascii="Arial" w:cs="Arial" w:eastAsia="Arial" w:hAnsi="Arial"/>
          <w:sz w:val="20"/>
          <w:szCs w:val="20"/>
          <w:b w:val="1"/>
          <w:bCs w:val="1"/>
          <w:color w:val="1C5A7D"/>
        </w:rPr>
        <w:t>Item 9. Changes in and Disagreements with Accountants on Accounting and Financial Disclosure</w:t>
      </w:r>
    </w:p>
    <w:p>
      <w:pPr>
        <w:spacing w:after="0" w:line="1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90</w:t>
      </w:r>
    </w:p>
    <w:p>
      <w:pPr>
        <w:sectPr>
          <w:pgSz w:w="11900" w:h="16838" w:orient="portrait"/>
          <w:cols w:equalWidth="0" w:num="2">
            <w:col w:w="5480" w:space="140"/>
            <w:col w:w="5780"/>
          </w:cols>
          <w:pgMar w:left="240" w:top="119" w:right="259" w:bottom="1440" w:gutter="0" w:footer="0" w:header="0"/>
          <w:type w:val="continuous"/>
        </w:sectPr>
      </w:pPr>
    </w:p>
    <w:bookmarkStart w:id="94" w:name="page95"/>
    <w:bookmarkEnd w:id="9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tabs>
          <w:tab w:leader="none" w:pos="1240" w:val="left"/>
        </w:tabs>
        <w:rPr>
          <w:sz w:val="20"/>
          <w:szCs w:val="20"/>
          <w:color w:val="auto"/>
        </w:rPr>
      </w:pPr>
      <w:r>
        <w:rPr>
          <w:rFonts w:ascii="Arial" w:cs="Arial" w:eastAsia="Arial" w:hAnsi="Arial"/>
          <w:sz w:val="20"/>
          <w:szCs w:val="20"/>
          <w:b w:val="1"/>
          <w:bCs w:val="1"/>
          <w:color w:val="1C5A7D"/>
        </w:rPr>
        <w:t>Item 9A.</w:t>
      </w:r>
      <w:r>
        <w:rPr>
          <w:sz w:val="20"/>
          <w:szCs w:val="20"/>
          <w:color w:val="auto"/>
        </w:rPr>
        <w:tab/>
      </w:r>
      <w:r>
        <w:rPr>
          <w:rFonts w:ascii="Arial" w:cs="Arial" w:eastAsia="Arial" w:hAnsi="Arial"/>
          <w:sz w:val="20"/>
          <w:szCs w:val="20"/>
          <w:b w:val="1"/>
          <w:bCs w:val="1"/>
          <w:color w:val="1C5A7D"/>
        </w:rPr>
        <w:t>Controls and Procedures</w:t>
      </w:r>
    </w:p>
    <w:p>
      <w:pPr>
        <w:spacing w:after="0" w:line="244" w:lineRule="exact"/>
        <w:rPr>
          <w:sz w:val="20"/>
          <w:szCs w:val="20"/>
          <w:color w:val="auto"/>
        </w:rPr>
      </w:pPr>
    </w:p>
    <w:p>
      <w:pPr>
        <w:ind w:right="680"/>
        <w:spacing w:after="0" w:line="297" w:lineRule="auto"/>
        <w:rPr>
          <w:sz w:val="20"/>
          <w:szCs w:val="20"/>
          <w:color w:val="auto"/>
        </w:rPr>
      </w:pPr>
      <w:r>
        <w:rPr>
          <w:rFonts w:ascii="Arial" w:cs="Arial" w:eastAsia="Arial" w:hAnsi="Arial"/>
          <w:sz w:val="20"/>
          <w:szCs w:val="20"/>
          <w:b w:val="1"/>
          <w:bCs w:val="1"/>
          <w:color w:val="578196"/>
        </w:rPr>
        <w:t>Disclosure Controls and Procedures and Internal Control over Financial Reporting</w:t>
      </w:r>
    </w:p>
    <w:p>
      <w:pPr>
        <w:spacing w:after="0" w:line="7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Controls and Procedures</w:t>
      </w:r>
    </w:p>
    <w:p>
      <w:pPr>
        <w:spacing w:after="0" w:line="106" w:lineRule="exact"/>
        <w:rPr>
          <w:sz w:val="20"/>
          <w:szCs w:val="20"/>
          <w:color w:val="auto"/>
        </w:rPr>
      </w:pPr>
    </w:p>
    <w:p>
      <w:pPr>
        <w:ind w:right="20" w:firstLine="410"/>
        <w:spacing w:after="0" w:line="252" w:lineRule="auto"/>
        <w:rPr>
          <w:sz w:val="20"/>
          <w:szCs w:val="20"/>
          <w:color w:val="auto"/>
        </w:rPr>
      </w:pPr>
      <w:r>
        <w:rPr>
          <w:rFonts w:ascii="Arial" w:cs="Arial" w:eastAsia="Arial" w:hAnsi="Arial"/>
          <w:sz w:val="17"/>
          <w:szCs w:val="17"/>
          <w:color w:val="auto"/>
        </w:rPr>
        <w:t>We have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Securities Exchange Act of 1934, as amended), as of December 31, 2017. Based upon that evaluation, our principal executive officer and principal financial officer concluded that, as of the end of the period covered by this report, our disclosure controls and procedures are effective in ensuring that (a) the information required to be disclosed by us in the reports that we file or submit under the Securities Exchange Act is recorded, processed, summarized and reported within the time periods specified in the SEC’s rules and forms and (b) such information is accumulated and communicated to our management, including our principal executive officer and principal financial officer, as appropriate to allow timely decisions regarding required disclosure. 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Changes in Internal Control over Financial Reporting</w:t>
      </w:r>
    </w:p>
    <w:p>
      <w:pPr>
        <w:spacing w:after="0" w:line="106" w:lineRule="exact"/>
        <w:rPr>
          <w:sz w:val="20"/>
          <w:szCs w:val="20"/>
          <w:color w:val="auto"/>
        </w:rPr>
      </w:pPr>
    </w:p>
    <w:p>
      <w:pPr>
        <w:jc w:val="both"/>
        <w:ind w:right="460" w:firstLine="410"/>
        <w:spacing w:after="0" w:line="255" w:lineRule="auto"/>
        <w:rPr>
          <w:sz w:val="20"/>
          <w:szCs w:val="20"/>
          <w:color w:val="auto"/>
        </w:rPr>
      </w:pPr>
      <w:r>
        <w:rPr>
          <w:rFonts w:ascii="Arial" w:cs="Arial" w:eastAsia="Arial" w:hAnsi="Arial"/>
          <w:sz w:val="17"/>
          <w:szCs w:val="17"/>
          <w:color w:val="auto"/>
        </w:rPr>
        <w:t>There were no changes in our internal control over financial reporting during the quarter ended December 31, 2017, that have materially affected, or are reasonably likely to materially affect, our internal control over financial reporting.</w:t>
      </w:r>
    </w:p>
    <w:p>
      <w:pPr>
        <w:spacing w:after="0" w:line="123" w:lineRule="exact"/>
        <w:rPr>
          <w:sz w:val="20"/>
          <w:szCs w:val="20"/>
          <w:color w:val="auto"/>
        </w:rPr>
      </w:pPr>
    </w:p>
    <w:p>
      <w:pPr>
        <w:ind w:right="80" w:firstLine="205"/>
        <w:spacing w:after="0" w:line="287" w:lineRule="auto"/>
        <w:rPr>
          <w:sz w:val="20"/>
          <w:szCs w:val="20"/>
          <w:color w:val="auto"/>
        </w:rPr>
      </w:pPr>
      <w:r>
        <w:rPr>
          <w:rFonts w:ascii="Arial" w:cs="Arial" w:eastAsia="Arial" w:hAnsi="Arial"/>
          <w:sz w:val="17"/>
          <w:szCs w:val="17"/>
          <w:b w:val="1"/>
          <w:bCs w:val="1"/>
          <w:i w:val="1"/>
          <w:iCs w:val="1"/>
          <w:color w:val="2573BA"/>
        </w:rPr>
        <w:t>Management’s Annual Report on Internal Control over Financial Reporting</w:t>
      </w:r>
    </w:p>
    <w:p>
      <w:pPr>
        <w:spacing w:after="0" w:line="39"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Our management is responsible for establishing and maintaining adequate internal control over our financial reporting. Internal control over financial reporting is defined in Rules 13a-15(f) and 15d-15(f) under the Securities Exchange Act as a process designed by, or under the supervision of, a company’s principal executive and principal financial officers and effected by a company’s board of directors, management and other personnel to provide reasonable assurance regarding the reliability of financial reporting and the preparation of financial statements for external purposes in accordance with</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ind w:left="320" w:right="180"/>
        <w:spacing w:after="0" w:line="262" w:lineRule="auto"/>
        <w:rPr>
          <w:sz w:val="20"/>
          <w:szCs w:val="20"/>
          <w:color w:val="auto"/>
        </w:rPr>
      </w:pPr>
      <w:r>
        <w:rPr>
          <w:rFonts w:ascii="Arial" w:cs="Arial" w:eastAsia="Arial" w:hAnsi="Arial"/>
          <w:sz w:val="17"/>
          <w:szCs w:val="17"/>
          <w:color w:val="auto"/>
        </w:rPr>
        <w:t>U.S. GAAP. Our internal control over financial reporting includes those policies and procedures that:</w:t>
      </w:r>
    </w:p>
    <w:p>
      <w:pPr>
        <w:spacing w:after="0" w:line="137" w:lineRule="exact"/>
        <w:rPr>
          <w:sz w:val="20"/>
          <w:szCs w:val="20"/>
          <w:color w:val="auto"/>
        </w:rPr>
      </w:pPr>
    </w:p>
    <w:p>
      <w:pPr>
        <w:ind w:left="700" w:right="40" w:hanging="301"/>
        <w:spacing w:after="0" w:line="257" w:lineRule="auto"/>
        <w:tabs>
          <w:tab w:leader="none" w:pos="7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our transactions and dispositions of our assets;</w:t>
      </w:r>
    </w:p>
    <w:p>
      <w:pPr>
        <w:spacing w:after="0" w:line="140" w:lineRule="exact"/>
        <w:rPr>
          <w:rFonts w:ascii="Arial" w:cs="Arial" w:eastAsia="Arial" w:hAnsi="Arial"/>
          <w:sz w:val="17"/>
          <w:szCs w:val="17"/>
          <w:color w:val="auto"/>
        </w:rPr>
      </w:pPr>
    </w:p>
    <w:p>
      <w:pPr>
        <w:ind w:left="700" w:right="260" w:hanging="301"/>
        <w:spacing w:after="0" w:line="254" w:lineRule="auto"/>
        <w:tabs>
          <w:tab w:leader="none" w:pos="7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U.S. GAAP, and that our receipts and expenditures are being made only in accordance with authorizations of our management and directors; and</w:t>
      </w:r>
    </w:p>
    <w:p>
      <w:pPr>
        <w:spacing w:after="0" w:line="143" w:lineRule="exact"/>
        <w:rPr>
          <w:rFonts w:ascii="Arial" w:cs="Arial" w:eastAsia="Arial" w:hAnsi="Arial"/>
          <w:sz w:val="17"/>
          <w:szCs w:val="17"/>
          <w:color w:val="auto"/>
        </w:rPr>
      </w:pPr>
    </w:p>
    <w:p>
      <w:pPr>
        <w:ind w:left="700" w:hanging="301"/>
        <w:spacing w:after="0" w:line="257" w:lineRule="auto"/>
        <w:tabs>
          <w:tab w:leader="none" w:pos="7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our assets that could have a material effect on our financial statements.</w:t>
      </w:r>
    </w:p>
    <w:p>
      <w:pPr>
        <w:spacing w:after="0" w:line="140" w:lineRule="exact"/>
        <w:rPr>
          <w:sz w:val="20"/>
          <w:szCs w:val="20"/>
          <w:color w:val="auto"/>
        </w:rPr>
      </w:pPr>
    </w:p>
    <w:p>
      <w:pPr>
        <w:ind w:left="320" w:right="140" w:firstLine="410"/>
        <w:spacing w:after="0" w:line="253"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7" w:lineRule="exact"/>
        <w:rPr>
          <w:sz w:val="20"/>
          <w:szCs w:val="20"/>
          <w:color w:val="auto"/>
        </w:rPr>
      </w:pPr>
    </w:p>
    <w:p>
      <w:pPr>
        <w:ind w:left="320" w:firstLine="410"/>
        <w:spacing w:after="0" w:line="254" w:lineRule="auto"/>
        <w:rPr>
          <w:sz w:val="20"/>
          <w:szCs w:val="20"/>
          <w:color w:val="auto"/>
        </w:rPr>
      </w:pPr>
      <w:r>
        <w:rPr>
          <w:rFonts w:ascii="Arial" w:cs="Arial" w:eastAsia="Arial" w:hAnsi="Arial"/>
          <w:sz w:val="17"/>
          <w:szCs w:val="17"/>
          <w:color w:val="auto"/>
        </w:rPr>
        <w:t>Our management assessed the effectiveness of our internal control over financial reporting as of December 31, 2017. In making this assessment, management used the criteria set forth by the Committee of Sponsoring Organizations of the Treadway Commission (COSO) in its 2013 Internal Control — Integrated Framework.</w:t>
      </w:r>
    </w:p>
    <w:p>
      <w:pPr>
        <w:spacing w:after="0" w:line="144" w:lineRule="exact"/>
        <w:rPr>
          <w:sz w:val="20"/>
          <w:szCs w:val="20"/>
          <w:color w:val="auto"/>
        </w:rPr>
      </w:pPr>
    </w:p>
    <w:p>
      <w:pPr>
        <w:jc w:val="both"/>
        <w:ind w:left="320" w:right="100" w:firstLine="410"/>
        <w:spacing w:after="0" w:line="257" w:lineRule="auto"/>
        <w:rPr>
          <w:sz w:val="20"/>
          <w:szCs w:val="20"/>
          <w:color w:val="auto"/>
        </w:rPr>
      </w:pPr>
      <w:r>
        <w:rPr>
          <w:rFonts w:ascii="Arial" w:cs="Arial" w:eastAsia="Arial" w:hAnsi="Arial"/>
          <w:sz w:val="17"/>
          <w:szCs w:val="17"/>
          <w:color w:val="auto"/>
        </w:rPr>
        <w:t>Based on our assessment, our management has concluded that, as of December 31, 2017, our internal control over financial reporting is effective based on those criteria.</w:t>
      </w:r>
    </w:p>
    <w:p>
      <w:pPr>
        <w:spacing w:after="0" w:line="140" w:lineRule="exact"/>
        <w:rPr>
          <w:sz w:val="20"/>
          <w:szCs w:val="20"/>
          <w:color w:val="auto"/>
        </w:rPr>
      </w:pPr>
    </w:p>
    <w:p>
      <w:pPr>
        <w:ind w:left="320" w:right="80" w:firstLine="410"/>
        <w:spacing w:after="0" w:line="255" w:lineRule="auto"/>
        <w:rPr>
          <w:sz w:val="20"/>
          <w:szCs w:val="20"/>
          <w:color w:val="auto"/>
        </w:rPr>
      </w:pPr>
      <w:r>
        <w:rPr>
          <w:rFonts w:ascii="Arial" w:cs="Arial" w:eastAsia="Arial" w:hAnsi="Arial"/>
          <w:sz w:val="17"/>
          <w:szCs w:val="17"/>
          <w:color w:val="auto"/>
        </w:rPr>
        <w:t>The effectiveness of our internal control over financial reporting as of December 31, 2017, has been audited by PricewaterhouseCoopers LLP, an independent registered public accounting firm, as stated in their attestation report, which is included herein.</w:t>
      </w:r>
    </w:p>
    <w:p>
      <w:pPr>
        <w:spacing w:after="0" w:line="201" w:lineRule="exact"/>
        <w:rPr>
          <w:sz w:val="20"/>
          <w:szCs w:val="20"/>
          <w:color w:val="auto"/>
        </w:rPr>
      </w:pPr>
    </w:p>
    <w:p>
      <w:pPr>
        <w:ind w:left="320"/>
        <w:spacing w:after="0"/>
        <w:tabs>
          <w:tab w:leader="none" w:pos="1560" w:val="left"/>
        </w:tabs>
        <w:rPr>
          <w:sz w:val="20"/>
          <w:szCs w:val="20"/>
          <w:color w:val="auto"/>
        </w:rPr>
      </w:pPr>
      <w:r>
        <w:rPr>
          <w:rFonts w:ascii="Arial" w:cs="Arial" w:eastAsia="Arial" w:hAnsi="Arial"/>
          <w:sz w:val="20"/>
          <w:szCs w:val="20"/>
          <w:b w:val="1"/>
          <w:bCs w:val="1"/>
          <w:color w:val="1C5A7D"/>
        </w:rPr>
        <w:t>Item 9B.</w:t>
      </w:r>
      <w:r>
        <w:rPr>
          <w:sz w:val="20"/>
          <w:szCs w:val="20"/>
          <w:color w:val="auto"/>
        </w:rPr>
        <w:tab/>
      </w:r>
      <w:r>
        <w:rPr>
          <w:rFonts w:ascii="Arial" w:cs="Arial" w:eastAsia="Arial" w:hAnsi="Arial"/>
          <w:sz w:val="20"/>
          <w:szCs w:val="20"/>
          <w:b w:val="1"/>
          <w:bCs w:val="1"/>
          <w:color w:val="1C5A7D"/>
        </w:rPr>
        <w:t>Other Information</w:t>
      </w:r>
    </w:p>
    <w:p>
      <w:pPr>
        <w:spacing w:after="0" w:line="109" w:lineRule="exact"/>
        <w:rPr>
          <w:sz w:val="20"/>
          <w:szCs w:val="20"/>
          <w:color w:val="auto"/>
        </w:rPr>
      </w:pPr>
    </w:p>
    <w:p>
      <w:pPr>
        <w:ind w:left="74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91</w:t>
      </w:r>
    </w:p>
    <w:p>
      <w:pPr>
        <w:sectPr>
          <w:pgSz w:w="11900" w:h="16838" w:orient="portrait"/>
          <w:cols w:equalWidth="0" w:num="2">
            <w:col w:w="5460" w:space="160"/>
            <w:col w:w="5800"/>
          </w:cols>
          <w:pgMar w:left="240" w:top="144" w:right="239" w:bottom="1440" w:gutter="0" w:footer="0" w:header="0"/>
          <w:type w:val="continuous"/>
        </w:sectPr>
      </w:pPr>
    </w:p>
    <w:bookmarkStart w:id="95" w:name="page96"/>
    <w:bookmarkEnd w:id="9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99"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1C5A7D"/>
        </w:rPr>
        <w:t>PART III</w:t>
      </w:r>
    </w:p>
    <w:p>
      <w:pPr>
        <w:sectPr>
          <w:pgSz w:w="11900" w:h="16838" w:orient="portrait"/>
          <w:cols w:equalWidth="0" w:num="1">
            <w:col w:w="11280"/>
          </w:cols>
          <w:pgMar w:left="240" w:top="144" w:right="379" w:bottom="1440" w:gutter="0" w:footer="0" w:header="0"/>
        </w:sectPr>
      </w:pPr>
    </w:p>
    <w:p>
      <w:pPr>
        <w:spacing w:after="0" w:line="244" w:lineRule="exact"/>
        <w:rPr>
          <w:sz w:val="20"/>
          <w:szCs w:val="20"/>
          <w:color w:val="auto"/>
        </w:rPr>
      </w:pPr>
    </w:p>
    <w:p>
      <w:pPr>
        <w:spacing w:after="0" w:line="297" w:lineRule="auto"/>
        <w:rPr>
          <w:sz w:val="20"/>
          <w:szCs w:val="20"/>
          <w:color w:val="auto"/>
        </w:rPr>
      </w:pPr>
      <w:r>
        <w:rPr>
          <w:rFonts w:ascii="Arial" w:cs="Arial" w:eastAsia="Arial" w:hAnsi="Arial"/>
          <w:sz w:val="20"/>
          <w:szCs w:val="20"/>
          <w:b w:val="1"/>
          <w:bCs w:val="1"/>
          <w:color w:val="1C5A7D"/>
        </w:rPr>
        <w:t>Item 10. Directors, Executive Officers and Corporate Governance</w:t>
      </w:r>
    </w:p>
    <w:p>
      <w:pPr>
        <w:spacing w:after="0" w:line="1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information concerning our executive officers is set forth under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heading </w:t>
      </w:r>
      <w:r>
        <w:rPr>
          <w:rFonts w:ascii="Arial" w:cs="Arial" w:eastAsia="Arial" w:hAnsi="Arial"/>
          <w:sz w:val="17"/>
          <w:szCs w:val="17"/>
          <w:i w:val="1"/>
          <w:iCs w:val="1"/>
          <w:color w:val="auto"/>
        </w:rPr>
        <w:t>“Our Executive Officers”</w:t>
      </w:r>
      <w:r>
        <w:rPr>
          <w:rFonts w:ascii="Arial" w:cs="Arial" w:eastAsia="Arial" w:hAnsi="Arial"/>
          <w:sz w:val="17"/>
          <w:szCs w:val="17"/>
          <w:color w:val="auto"/>
        </w:rPr>
        <w:t xml:space="preserve"> in Item 1 of this report. The text of</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our code of business conduct, which includes the code of ethics that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applies to our principal executive officer, principal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principal accounting officer or controller, and persons performing similar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functions, is posted on our website, www.biogen.com, under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Governance</w:t>
      </w:r>
      <w:r>
        <w:rPr>
          <w:rFonts w:ascii="Arial" w:cs="Arial" w:eastAsia="Arial" w:hAnsi="Arial"/>
          <w:sz w:val="17"/>
          <w:szCs w:val="17"/>
          <w:color w:val="auto"/>
        </w:rPr>
        <w:t>” subsection of the “</w:t>
      </w:r>
      <w:r>
        <w:rPr>
          <w:rFonts w:ascii="Arial" w:cs="Arial" w:eastAsia="Arial" w:hAnsi="Arial"/>
          <w:sz w:val="17"/>
          <w:szCs w:val="17"/>
          <w:i w:val="1"/>
          <w:iCs w:val="1"/>
          <w:color w:val="auto"/>
        </w:rPr>
        <w:t>About Us</w:t>
      </w:r>
      <w:r>
        <w:rPr>
          <w:rFonts w:ascii="Arial" w:cs="Arial" w:eastAsia="Arial" w:hAnsi="Arial"/>
          <w:sz w:val="17"/>
          <w:szCs w:val="17"/>
          <w:color w:val="auto"/>
        </w:rPr>
        <w:t>” section of the site. We intend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to make all required disclosures regarding any amendments to, or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waivers from, provisions of our code of business conduct at the same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location of our website.</w:t>
      </w:r>
    </w:p>
    <w:p>
      <w:pPr>
        <w:spacing w:after="0" w:line="163" w:lineRule="exact"/>
        <w:rPr>
          <w:sz w:val="20"/>
          <w:szCs w:val="20"/>
          <w:color w:val="auto"/>
        </w:rPr>
      </w:pPr>
    </w:p>
    <w:p>
      <w:pPr>
        <w:ind w:right="60" w:firstLine="410"/>
        <w:spacing w:after="0" w:line="253" w:lineRule="auto"/>
        <w:rPr>
          <w:sz w:val="20"/>
          <w:szCs w:val="20"/>
          <w:color w:val="auto"/>
        </w:rPr>
      </w:pPr>
      <w:r>
        <w:rPr>
          <w:rFonts w:ascii="Arial" w:cs="Arial" w:eastAsia="Arial" w:hAnsi="Arial"/>
          <w:sz w:val="17"/>
          <w:szCs w:val="17"/>
          <w:color w:val="auto"/>
        </w:rPr>
        <w:t>The response to the remainder of this item is incorporated by reference from the discussion responsive thereto in the sections entitled “</w:t>
      </w:r>
      <w:r>
        <w:rPr>
          <w:rFonts w:ascii="Arial" w:cs="Arial" w:eastAsia="Arial" w:hAnsi="Arial"/>
          <w:sz w:val="17"/>
          <w:szCs w:val="17"/>
          <w:i w:val="1"/>
          <w:iCs w:val="1"/>
          <w:color w:val="auto"/>
        </w:rPr>
        <w:t>Proposal 1 - Election of Directors,” “Corporate Governance at Biogen,”</w:t>
      </w:r>
      <w:r>
        <w:rPr>
          <w:rFonts w:ascii="Arial" w:cs="Arial" w:eastAsia="Arial" w:hAnsi="Arial"/>
          <w:sz w:val="17"/>
          <w:szCs w:val="17"/>
          <w:color w:val="auto"/>
        </w:rPr>
        <w:t xml:space="preserve"> </w:t>
      </w:r>
      <w:r>
        <w:rPr>
          <w:rFonts w:ascii="Arial" w:cs="Arial" w:eastAsia="Arial" w:hAnsi="Arial"/>
          <w:sz w:val="17"/>
          <w:szCs w:val="17"/>
          <w:i w:val="1"/>
          <w:iCs w:val="1"/>
          <w:color w:val="auto"/>
        </w:rPr>
        <w:t>“Stock Ownership - Section 16(a) Beneficial Ownership Reporting Compliance</w:t>
      </w:r>
      <w:r>
        <w:rPr>
          <w:rFonts w:ascii="Arial" w:cs="Arial" w:eastAsia="Arial" w:hAnsi="Arial"/>
          <w:sz w:val="17"/>
          <w:szCs w:val="17"/>
          <w:color w:val="auto"/>
        </w:rPr>
        <w:t>” and “</w:t>
      </w:r>
      <w:r>
        <w:rPr>
          <w:rFonts w:ascii="Arial" w:cs="Arial" w:eastAsia="Arial" w:hAnsi="Arial"/>
          <w:sz w:val="17"/>
          <w:szCs w:val="17"/>
          <w:i w:val="1"/>
          <w:iCs w:val="1"/>
          <w:color w:val="auto"/>
        </w:rPr>
        <w:t>Miscellaneous - Stockholder Proposals</w:t>
      </w:r>
      <w:r>
        <w:rPr>
          <w:rFonts w:ascii="Arial" w:cs="Arial" w:eastAsia="Arial" w:hAnsi="Arial"/>
          <w:sz w:val="17"/>
          <w:szCs w:val="17"/>
          <w:color w:val="auto"/>
        </w:rPr>
        <w:t>” contained in</w:t>
      </w:r>
      <w:r>
        <w:rPr>
          <w:rFonts w:ascii="Arial" w:cs="Arial" w:eastAsia="Arial" w:hAnsi="Arial"/>
          <w:sz w:val="17"/>
          <w:szCs w:val="17"/>
          <w:i w:val="1"/>
          <w:iCs w:val="1"/>
          <w:color w:val="auto"/>
        </w:rPr>
        <w:t xml:space="preserve"> </w:t>
      </w:r>
      <w:r>
        <w:rPr>
          <w:rFonts w:ascii="Arial" w:cs="Arial" w:eastAsia="Arial" w:hAnsi="Arial"/>
          <w:sz w:val="17"/>
          <w:szCs w:val="17"/>
          <w:color w:val="auto"/>
        </w:rPr>
        <w:t>the proxy statement for our 2018 annual meeting of stockholders.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right="800"/>
        <w:spacing w:after="0" w:line="297" w:lineRule="auto"/>
        <w:rPr>
          <w:sz w:val="20"/>
          <w:szCs w:val="20"/>
          <w:color w:val="auto"/>
        </w:rPr>
      </w:pPr>
      <w:r>
        <w:rPr>
          <w:rFonts w:ascii="Arial" w:cs="Arial" w:eastAsia="Arial" w:hAnsi="Arial"/>
          <w:sz w:val="20"/>
          <w:szCs w:val="20"/>
          <w:b w:val="1"/>
          <w:bCs w:val="1"/>
          <w:color w:val="1C5A7D"/>
        </w:rPr>
        <w:t>Item 13. Certain Relationships and Related Transactions, and Director Independence</w:t>
      </w:r>
    </w:p>
    <w:p>
      <w:pPr>
        <w:spacing w:after="0" w:line="13" w:lineRule="exact"/>
        <w:rPr>
          <w:sz w:val="20"/>
          <w:szCs w:val="20"/>
          <w:color w:val="auto"/>
        </w:rPr>
      </w:pPr>
    </w:p>
    <w:p>
      <w:pPr>
        <w:ind w:right="100" w:firstLine="410"/>
        <w:spacing w:after="0" w:line="254" w:lineRule="auto"/>
        <w:rPr>
          <w:sz w:val="20"/>
          <w:szCs w:val="20"/>
          <w:color w:val="auto"/>
        </w:rPr>
      </w:pPr>
      <w:r>
        <w:rPr>
          <w:rFonts w:ascii="Arial" w:cs="Arial" w:eastAsia="Arial" w:hAnsi="Arial"/>
          <w:sz w:val="17"/>
          <w:szCs w:val="17"/>
          <w:color w:val="auto"/>
        </w:rPr>
        <w:t>The response to this item is incorporated by reference from the discussion responsive thereto in the sections entitled “</w:t>
      </w:r>
      <w:r>
        <w:rPr>
          <w:rFonts w:ascii="Arial" w:cs="Arial" w:eastAsia="Arial" w:hAnsi="Arial"/>
          <w:sz w:val="17"/>
          <w:szCs w:val="17"/>
          <w:i w:val="1"/>
          <w:iCs w:val="1"/>
          <w:color w:val="auto"/>
        </w:rPr>
        <w:t>Certain</w:t>
      </w:r>
      <w:r>
        <w:rPr>
          <w:rFonts w:ascii="Arial" w:cs="Arial" w:eastAsia="Arial" w:hAnsi="Arial"/>
          <w:sz w:val="17"/>
          <w:szCs w:val="17"/>
          <w:color w:val="auto"/>
        </w:rPr>
        <w:t xml:space="preserve"> </w:t>
      </w:r>
      <w:r>
        <w:rPr>
          <w:rFonts w:ascii="Arial" w:cs="Arial" w:eastAsia="Arial" w:hAnsi="Arial"/>
          <w:sz w:val="17"/>
          <w:szCs w:val="17"/>
          <w:i w:val="1"/>
          <w:iCs w:val="1"/>
          <w:color w:val="auto"/>
        </w:rPr>
        <w:t>Relationships and Related Person Transactions</w:t>
      </w:r>
      <w:r>
        <w:rPr>
          <w:rFonts w:ascii="Arial" w:cs="Arial" w:eastAsia="Arial" w:hAnsi="Arial"/>
          <w:sz w:val="17"/>
          <w:szCs w:val="17"/>
          <w:color w:val="auto"/>
        </w:rPr>
        <w:t>” and</w:t>
      </w:r>
      <w:r>
        <w:rPr>
          <w:rFonts w:ascii="Arial" w:cs="Arial" w:eastAsia="Arial" w:hAnsi="Arial"/>
          <w:sz w:val="17"/>
          <w:szCs w:val="17"/>
          <w:i w:val="1"/>
          <w:iCs w:val="1"/>
          <w:color w:val="auto"/>
        </w:rPr>
        <w:t xml:space="preserve"> “Corporate Governance at Biogen</w:t>
      </w:r>
      <w:r>
        <w:rPr>
          <w:rFonts w:ascii="Arial" w:cs="Arial" w:eastAsia="Arial" w:hAnsi="Arial"/>
          <w:sz w:val="17"/>
          <w:szCs w:val="17"/>
          <w:color w:val="auto"/>
        </w:rPr>
        <w:t>” contained in the proxy statement for our 2018</w:t>
      </w:r>
      <w:r>
        <w:rPr>
          <w:rFonts w:ascii="Arial" w:cs="Arial" w:eastAsia="Arial" w:hAnsi="Arial"/>
          <w:sz w:val="17"/>
          <w:szCs w:val="17"/>
          <w:i w:val="1"/>
          <w:iCs w:val="1"/>
          <w:color w:val="auto"/>
        </w:rPr>
        <w:t xml:space="preserve"> </w:t>
      </w:r>
      <w:r>
        <w:rPr>
          <w:rFonts w:ascii="Arial" w:cs="Arial" w:eastAsia="Arial" w:hAnsi="Arial"/>
          <w:sz w:val="17"/>
          <w:szCs w:val="17"/>
          <w:color w:val="auto"/>
        </w:rPr>
        <w:t>annual meeting of stockholders.</w:t>
      </w:r>
    </w:p>
    <w:p>
      <w:pPr>
        <w:spacing w:after="0" w:line="202"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1C5A7D"/>
        </w:rPr>
        <w:t>Item 14.</w:t>
      </w:r>
      <w:r>
        <w:rPr>
          <w:sz w:val="20"/>
          <w:szCs w:val="20"/>
          <w:color w:val="auto"/>
        </w:rPr>
        <w:tab/>
      </w:r>
      <w:r>
        <w:rPr>
          <w:rFonts w:ascii="Arial" w:cs="Arial" w:eastAsia="Arial" w:hAnsi="Arial"/>
          <w:sz w:val="20"/>
          <w:szCs w:val="20"/>
          <w:b w:val="1"/>
          <w:bCs w:val="1"/>
          <w:color w:val="1C5A7D"/>
        </w:rPr>
        <w:t>Principal Accounting Fees and Services</w:t>
      </w:r>
    </w:p>
    <w:p>
      <w:pPr>
        <w:spacing w:after="0" w:line="109" w:lineRule="exact"/>
        <w:rPr>
          <w:sz w:val="20"/>
          <w:szCs w:val="20"/>
          <w:color w:val="auto"/>
        </w:rPr>
      </w:pPr>
    </w:p>
    <w:p>
      <w:pPr>
        <w:ind w:firstLine="410"/>
        <w:spacing w:after="0" w:line="254" w:lineRule="auto"/>
        <w:rPr>
          <w:sz w:val="20"/>
          <w:szCs w:val="20"/>
          <w:color w:val="auto"/>
        </w:rPr>
      </w:pPr>
      <w:r>
        <w:rPr>
          <w:rFonts w:ascii="Arial" w:cs="Arial" w:eastAsia="Arial" w:hAnsi="Arial"/>
          <w:sz w:val="17"/>
          <w:szCs w:val="17"/>
          <w:color w:val="auto"/>
        </w:rPr>
        <w:t>The response to this item is incorporated by reference from the discussion responsive thereto in the section entitled “</w:t>
      </w:r>
      <w:r>
        <w:rPr>
          <w:rFonts w:ascii="Arial" w:cs="Arial" w:eastAsia="Arial" w:hAnsi="Arial"/>
          <w:sz w:val="17"/>
          <w:szCs w:val="17"/>
          <w:i w:val="1"/>
          <w:iCs w:val="1"/>
          <w:color w:val="auto"/>
        </w:rPr>
        <w:t>Proposal 2 —</w:t>
      </w:r>
      <w:r>
        <w:rPr>
          <w:rFonts w:ascii="Arial" w:cs="Arial" w:eastAsia="Arial" w:hAnsi="Arial"/>
          <w:sz w:val="17"/>
          <w:szCs w:val="17"/>
          <w:color w:val="auto"/>
        </w:rPr>
        <w:t xml:space="preserve"> </w:t>
      </w:r>
      <w:r>
        <w:rPr>
          <w:rFonts w:ascii="Arial" w:cs="Arial" w:eastAsia="Arial" w:hAnsi="Arial"/>
          <w:sz w:val="17"/>
          <w:szCs w:val="17"/>
          <w:i w:val="1"/>
          <w:iCs w:val="1"/>
          <w:color w:val="auto"/>
        </w:rPr>
        <w:t>Ratification of the Selection of our Independent Registered Public Accounting Firm</w:t>
      </w:r>
      <w:r>
        <w:rPr>
          <w:rFonts w:ascii="Arial" w:cs="Arial" w:eastAsia="Arial" w:hAnsi="Arial"/>
          <w:sz w:val="17"/>
          <w:szCs w:val="17"/>
          <w:color w:val="auto"/>
        </w:rPr>
        <w:t>” contained in the proxy statement for our 2018 annual</w:t>
      </w:r>
      <w:r>
        <w:rPr>
          <w:rFonts w:ascii="Arial" w:cs="Arial" w:eastAsia="Arial" w:hAnsi="Arial"/>
          <w:sz w:val="17"/>
          <w:szCs w:val="17"/>
          <w:i w:val="1"/>
          <w:iCs w:val="1"/>
          <w:color w:val="auto"/>
        </w:rPr>
        <w:t xml:space="preserve"> </w:t>
      </w:r>
      <w:r>
        <w:rPr>
          <w:rFonts w:ascii="Arial" w:cs="Arial" w:eastAsia="Arial" w:hAnsi="Arial"/>
          <w:sz w:val="17"/>
          <w:szCs w:val="17"/>
          <w:color w:val="auto"/>
        </w:rPr>
        <w:t>meeting of stockholders.</w:t>
      </w:r>
    </w:p>
    <w:p>
      <w:pPr>
        <w:spacing w:after="0" w:line="1029" w:lineRule="exact"/>
        <w:rPr>
          <w:sz w:val="20"/>
          <w:szCs w:val="20"/>
          <w:color w:val="auto"/>
        </w:rPr>
      </w:pPr>
    </w:p>
    <w:p>
      <w:pPr>
        <w:sectPr>
          <w:pgSz w:w="11900" w:h="16838" w:orient="portrait"/>
          <w:cols w:equalWidth="0" w:num="2">
            <w:col w:w="5480" w:space="460"/>
            <w:col w:w="5340"/>
          </w:cols>
          <w:pgMar w:left="240" w:top="144" w:right="379" w:bottom="1440" w:gutter="0" w:footer="0" w:header="0"/>
          <w:type w:val="continuous"/>
        </w:sectPr>
      </w:pPr>
    </w:p>
    <w:p>
      <w:pPr>
        <w:spacing w:after="0" w:line="5"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1C5A7D"/>
        </w:rPr>
        <w:t>Item 11.</w:t>
      </w:r>
      <w:r>
        <w:rPr>
          <w:sz w:val="20"/>
          <w:szCs w:val="20"/>
          <w:color w:val="auto"/>
        </w:rPr>
        <w:tab/>
      </w:r>
      <w:r>
        <w:rPr>
          <w:rFonts w:ascii="Arial" w:cs="Arial" w:eastAsia="Arial" w:hAnsi="Arial"/>
          <w:sz w:val="20"/>
          <w:szCs w:val="20"/>
          <w:b w:val="1"/>
          <w:bCs w:val="1"/>
          <w:color w:val="1C5A7D"/>
        </w:rPr>
        <w:t>Executive Compensation</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response to this item is incorporated by reference from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discussion responsive thereto in the sections entitled “</w:t>
      </w:r>
      <w:r>
        <w:rPr>
          <w:rFonts w:ascii="Arial" w:cs="Arial" w:eastAsia="Arial" w:hAnsi="Arial"/>
          <w:sz w:val="17"/>
          <w:szCs w:val="17"/>
          <w:i w:val="1"/>
          <w:iCs w:val="1"/>
          <w:color w:val="auto"/>
        </w:rPr>
        <w:t>Executive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Compensation Matters</w:t>
      </w:r>
      <w:r>
        <w:rPr>
          <w:rFonts w:ascii="Arial" w:cs="Arial" w:eastAsia="Arial" w:hAnsi="Arial"/>
          <w:sz w:val="17"/>
          <w:szCs w:val="17"/>
          <w:color w:val="auto"/>
        </w:rPr>
        <w:t>” and</w:t>
      </w:r>
      <w:r>
        <w:rPr>
          <w:rFonts w:ascii="Arial" w:cs="Arial" w:eastAsia="Arial" w:hAnsi="Arial"/>
          <w:sz w:val="17"/>
          <w:szCs w:val="17"/>
          <w:i w:val="1"/>
          <w:iCs w:val="1"/>
          <w:color w:val="auto"/>
        </w:rPr>
        <w:t xml:space="preserve"> “Corporate Governance at Biogen”</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contained in the proxy statement for our 2018 annual meeting of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stockholders.</w:t>
      </w:r>
    </w:p>
    <w:p>
      <w:pPr>
        <w:spacing w:after="0" w:line="221"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1C5A7D"/>
        </w:rPr>
        <w:t>Item 12.</w:t>
      </w:r>
      <w:r>
        <w:rPr>
          <w:sz w:val="20"/>
          <w:szCs w:val="20"/>
          <w:color w:val="auto"/>
        </w:rPr>
        <w:tab/>
      </w:r>
      <w:r>
        <w:rPr>
          <w:rFonts w:ascii="Arial" w:cs="Arial" w:eastAsia="Arial" w:hAnsi="Arial"/>
          <w:sz w:val="20"/>
          <w:szCs w:val="20"/>
          <w:b w:val="1"/>
          <w:bCs w:val="1"/>
          <w:color w:val="1C5A7D"/>
        </w:rPr>
        <w:t>Security Ownership of Certain Beneficial</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b w:val="1"/>
          <w:bCs w:val="1"/>
          <w:color w:val="1C5A7D"/>
        </w:rPr>
        <w:t>Owners and Management and Related Stockholder</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b w:val="1"/>
          <w:bCs w:val="1"/>
          <w:color w:val="1C5A7D"/>
        </w:rPr>
        <w:t>Matters</w:t>
      </w:r>
    </w:p>
    <w:p>
      <w:pPr>
        <w:spacing w:after="0" w:line="8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response to this item is incorporated by reference from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discussion responsive thereto in the sections entitled </w:t>
      </w:r>
      <w:r>
        <w:rPr>
          <w:rFonts w:ascii="Arial" w:cs="Arial" w:eastAsia="Arial" w:hAnsi="Arial"/>
          <w:sz w:val="17"/>
          <w:szCs w:val="17"/>
          <w:i w:val="1"/>
          <w:iCs w:val="1"/>
          <w:color w:val="auto"/>
        </w:rPr>
        <w:t>“Stock Ownership”</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and </w:t>
      </w:r>
      <w:r>
        <w:rPr>
          <w:rFonts w:ascii="Arial" w:cs="Arial" w:eastAsia="Arial" w:hAnsi="Arial"/>
          <w:sz w:val="17"/>
          <w:szCs w:val="17"/>
          <w:i w:val="1"/>
          <w:iCs w:val="1"/>
          <w:color w:val="auto"/>
        </w:rPr>
        <w:t>“Equity Compensation Plan Information”</w:t>
      </w:r>
      <w:r>
        <w:rPr>
          <w:rFonts w:ascii="Arial" w:cs="Arial" w:eastAsia="Arial" w:hAnsi="Arial"/>
          <w:sz w:val="17"/>
          <w:szCs w:val="17"/>
          <w:color w:val="auto"/>
        </w:rPr>
        <w:t xml:space="preserve"> contained in the proxy</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statement for our 2018 annual meeting of stockholders.</w:t>
      </w:r>
    </w:p>
    <w:p>
      <w:pPr>
        <w:spacing w:after="0" w:line="24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280"/>
          </w:cols>
          <w:pgMar w:left="240" w:top="144" w:right="379" w:bottom="1440" w:gutter="0" w:footer="0" w:header="0"/>
          <w:type w:val="continuous"/>
        </w:sectPr>
      </w:pPr>
    </w:p>
    <w:bookmarkStart w:id="96" w:name="page97"/>
    <w:bookmarkEnd w:id="9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99" w:lineRule="exact"/>
        <w:rPr>
          <w:sz w:val="20"/>
          <w:szCs w:val="20"/>
          <w:color w:val="auto"/>
        </w:rPr>
      </w:pPr>
    </w:p>
    <w:p>
      <w:pPr>
        <w:ind w:left="5320"/>
        <w:spacing w:after="0"/>
        <w:rPr>
          <w:sz w:val="20"/>
          <w:szCs w:val="20"/>
          <w:color w:val="auto"/>
        </w:rPr>
      </w:pPr>
      <w:r>
        <w:rPr>
          <w:rFonts w:ascii="Arial" w:cs="Arial" w:eastAsia="Arial" w:hAnsi="Arial"/>
          <w:sz w:val="20"/>
          <w:szCs w:val="20"/>
          <w:b w:val="1"/>
          <w:bCs w:val="1"/>
          <w:color w:val="1C5A7D"/>
        </w:rPr>
        <w:t>PART IV</w:t>
      </w:r>
    </w:p>
    <w:p>
      <w:pPr>
        <w:spacing w:after="0" w:line="244" w:lineRule="exact"/>
        <w:rPr>
          <w:sz w:val="20"/>
          <w:szCs w:val="20"/>
          <w:color w:val="auto"/>
        </w:rPr>
      </w:pPr>
    </w:p>
    <w:p>
      <w:pPr>
        <w:spacing w:after="0"/>
        <w:tabs>
          <w:tab w:leader="none" w:pos="1040" w:val="left"/>
        </w:tabs>
        <w:rPr>
          <w:sz w:val="20"/>
          <w:szCs w:val="20"/>
          <w:color w:val="auto"/>
        </w:rPr>
      </w:pPr>
      <w:r>
        <w:rPr>
          <w:rFonts w:ascii="Arial" w:cs="Arial" w:eastAsia="Arial" w:hAnsi="Arial"/>
          <w:sz w:val="20"/>
          <w:szCs w:val="20"/>
          <w:b w:val="1"/>
          <w:bCs w:val="1"/>
          <w:color w:val="1C5A7D"/>
        </w:rPr>
        <w:t>Item 15.</w:t>
        <w:tab/>
        <w:t>Exhibits and Financial Statement Schedules</w:t>
      </w:r>
    </w:p>
    <w:p>
      <w:pPr>
        <w:sectPr>
          <w:pgSz w:w="11900" w:h="16838" w:orient="portrait"/>
          <w:cols w:equalWidth="0" w:num="1">
            <w:col w:w="11420"/>
          </w:cols>
          <w:pgMar w:left="240" w:top="144" w:right="239" w:bottom="1440" w:gutter="0" w:footer="0" w:header="0"/>
        </w:sectPr>
      </w:pPr>
    </w:p>
    <w:p>
      <w:pPr>
        <w:spacing w:after="0" w:line="166" w:lineRule="exact"/>
        <w:rPr>
          <w:sz w:val="20"/>
          <w:szCs w:val="20"/>
          <w:color w:val="auto"/>
        </w:rPr>
      </w:pPr>
    </w:p>
    <w:p>
      <w:pPr>
        <w:ind w:left="580" w:hanging="373"/>
        <w:spacing w:after="0"/>
        <w:tabs>
          <w:tab w:leader="none" w:pos="580" w:val="left"/>
        </w:tabs>
        <w:numPr>
          <w:ilvl w:val="0"/>
          <w:numId w:val="87"/>
        </w:numPr>
        <w:rPr>
          <w:rFonts w:ascii="Arial" w:cs="Arial" w:eastAsia="Arial" w:hAnsi="Arial"/>
          <w:sz w:val="17"/>
          <w:szCs w:val="17"/>
          <w:b w:val="1"/>
          <w:bCs w:val="1"/>
          <w:i w:val="1"/>
          <w:iCs w:val="1"/>
          <w:color w:val="2573BA"/>
        </w:rPr>
      </w:pPr>
      <w:r>
        <w:rPr>
          <w:rFonts w:ascii="Arial" w:cs="Arial" w:eastAsia="Arial" w:hAnsi="Arial"/>
          <w:sz w:val="17"/>
          <w:szCs w:val="17"/>
          <w:b w:val="1"/>
          <w:bCs w:val="1"/>
          <w:i w:val="1"/>
          <w:iCs w:val="1"/>
          <w:color w:val="2573BA"/>
        </w:rPr>
        <w:t>(1) Consolidated Financial Statements:</w:t>
      </w:r>
    </w:p>
    <w:p>
      <w:pPr>
        <w:spacing w:after="0" w:line="10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financial statements are filed as part of this report:</w:t>
      </w:r>
    </w:p>
    <w:p>
      <w:pPr>
        <w:spacing w:after="0" w:line="35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363474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Consolidated Statements of Income</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Consolidated Statements of Comprehensive Income</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Consolidated Balance Sheets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Consolidated Statements of Cash Flows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Consolidated Statements of Equity</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Notes to Consolidated Financial Statements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Report of Independent Registered Public Accounting Firm</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Certain totals may not sum due to rounding.</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2573BA"/>
        </w:rPr>
        <w:t>(2) Exhibits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19050</wp:posOffset>
            </wp:positionV>
            <wp:extent cx="9353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35355" cy="8255"/>
                    </a:xfrm>
                    <a:prstGeom prst="rect">
                      <a:avLst/>
                    </a:prstGeom>
                    <a:noFill/>
                  </pic:spPr>
                </pic:pic>
              </a:graphicData>
            </a:graphic>
          </wp:anchor>
        </w:drawing>
      </w:r>
    </w:p>
    <w:p>
      <w:pPr>
        <w:spacing w:after="0" w:line="47"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F-2</w:t>
      </w:r>
    </w:p>
    <w:p>
      <w:pPr>
        <w:spacing w:after="0" w:line="61"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F-3</w:t>
      </w:r>
    </w:p>
    <w:p>
      <w:pPr>
        <w:spacing w:after="0" w:line="61"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F-4</w:t>
      </w:r>
    </w:p>
    <w:p>
      <w:pPr>
        <w:spacing w:after="0" w:line="61"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F-5</w:t>
      </w:r>
    </w:p>
    <w:p>
      <w:pPr>
        <w:spacing w:after="0" w:line="61"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F-6</w:t>
      </w:r>
    </w:p>
    <w:p>
      <w:pPr>
        <w:spacing w:after="0" w:line="61"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F-9</w:t>
      </w:r>
    </w:p>
    <w:p>
      <w:pPr>
        <w:spacing w:after="0" w:line="61"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F-77</w:t>
      </w:r>
    </w:p>
    <w:p>
      <w:pPr>
        <w:spacing w:after="0" w:line="815" w:lineRule="exact"/>
        <w:rPr>
          <w:sz w:val="20"/>
          <w:szCs w:val="20"/>
          <w:color w:val="auto"/>
        </w:rPr>
      </w:pPr>
    </w:p>
    <w:p>
      <w:pPr>
        <w:sectPr>
          <w:pgSz w:w="11900" w:h="16838" w:orient="portrait"/>
          <w:cols w:equalWidth="0" w:num="2">
            <w:col w:w="9520" w:space="720"/>
            <w:col w:w="1180"/>
          </w:cols>
          <w:pgMar w:left="240" w:top="144" w:right="239" w:bottom="1440" w:gutter="0" w:footer="0" w:header="0"/>
          <w:type w:val="continuous"/>
        </w:sectPr>
      </w:pPr>
    </w:p>
    <w:p>
      <w:pPr>
        <w:ind w:firstLine="384"/>
        <w:spacing w:after="0" w:line="262" w:lineRule="auto"/>
        <w:rPr>
          <w:sz w:val="20"/>
          <w:szCs w:val="20"/>
          <w:color w:val="auto"/>
        </w:rPr>
      </w:pPr>
      <w:r>
        <w:rPr>
          <w:rFonts w:ascii="Arial" w:cs="Arial" w:eastAsia="Arial" w:hAnsi="Arial"/>
          <w:sz w:val="17"/>
          <w:szCs w:val="17"/>
          <w:color w:val="auto"/>
        </w:rPr>
        <w:t>The exhibits listed on the Exhibit Index beginning on page 94, which is incorporated herein by reference, are filed or furnished as part of this report or are incorporated into this report by reference.</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2573BA"/>
        </w:rPr>
        <w:t>(3) Financial Statement Schedules</w:t>
      </w:r>
    </w:p>
    <w:p>
      <w:pPr>
        <w:spacing w:after="0" w:line="106" w:lineRule="exact"/>
        <w:rPr>
          <w:sz w:val="20"/>
          <w:szCs w:val="20"/>
          <w:color w:val="auto"/>
        </w:rPr>
      </w:pPr>
    </w:p>
    <w:p>
      <w:pPr>
        <w:ind w:right="260" w:firstLine="384"/>
        <w:spacing w:after="0" w:line="262" w:lineRule="auto"/>
        <w:rPr>
          <w:sz w:val="20"/>
          <w:szCs w:val="20"/>
          <w:color w:val="auto"/>
        </w:rPr>
      </w:pPr>
      <w:r>
        <w:rPr>
          <w:rFonts w:ascii="Arial" w:cs="Arial" w:eastAsia="Arial" w:hAnsi="Arial"/>
          <w:sz w:val="17"/>
          <w:szCs w:val="17"/>
          <w:color w:val="auto"/>
        </w:rPr>
        <w:t>Schedules are omitted because they are not applicable, or are not required, or because the information is included in the consolidated financial statements and notes thereto.</w:t>
      </w:r>
    </w:p>
    <w:p>
      <w:pPr>
        <w:spacing w:after="0" w:line="195" w:lineRule="exact"/>
        <w:rPr>
          <w:sz w:val="20"/>
          <w:szCs w:val="20"/>
          <w:color w:val="auto"/>
        </w:rPr>
      </w:pPr>
    </w:p>
    <w:p>
      <w:pPr>
        <w:spacing w:after="0"/>
        <w:tabs>
          <w:tab w:leader="none" w:pos="1040" w:val="left"/>
        </w:tabs>
        <w:rPr>
          <w:sz w:val="20"/>
          <w:szCs w:val="20"/>
          <w:color w:val="auto"/>
        </w:rPr>
      </w:pPr>
      <w:r>
        <w:rPr>
          <w:rFonts w:ascii="Arial" w:cs="Arial" w:eastAsia="Arial" w:hAnsi="Arial"/>
          <w:sz w:val="20"/>
          <w:szCs w:val="20"/>
          <w:b w:val="1"/>
          <w:bCs w:val="1"/>
          <w:color w:val="1C5A7D"/>
        </w:rPr>
        <w:t>Item 16.</w:t>
        <w:tab/>
        <w:t>Form 10-K Summary</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Not applicable.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420"/>
          </w:cols>
          <w:pgMar w:left="240" w:top="144" w:right="239" w:bottom="1440" w:gutter="0" w:footer="0" w:header="0"/>
          <w:type w:val="continuous"/>
        </w:sectPr>
      </w:pPr>
    </w:p>
    <w:bookmarkStart w:id="97" w:name="page98"/>
    <w:bookmarkEnd w:id="9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3" w:lineRule="exact"/>
        <w:rPr>
          <w:sz w:val="20"/>
          <w:szCs w:val="20"/>
          <w:color w:val="auto"/>
        </w:rPr>
      </w:pPr>
    </w:p>
    <w:tbl>
      <w:tblPr>
        <w:tblLayout w:type="fixed"/>
        <w:tblInd w:w="20" w:type="dxa"/>
        <w:tblCellMar>
          <w:top w:w="0" w:type="dxa"/>
          <w:left w:w="0" w:type="dxa"/>
          <w:bottom w:w="0" w:type="dxa"/>
          <w:right w:w="0" w:type="dxa"/>
        </w:tblCellMar>
      </w:tblPr>
      <w:tr>
        <w:trPr>
          <w:trHeight w:val="271"/>
        </w:trPr>
        <w:tc>
          <w:tcPr>
            <w:tcW w:w="72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700" w:type="dxa"/>
            <w:vAlign w:val="bottom"/>
            <w:gridSpan w:val="18"/>
          </w:tcPr>
          <w:p>
            <w:pPr>
              <w:ind w:left="260"/>
              <w:spacing w:after="0"/>
              <w:rPr>
                <w:sz w:val="20"/>
                <w:szCs w:val="20"/>
                <w:color w:val="auto"/>
              </w:rPr>
            </w:pPr>
            <w:r>
              <w:rPr>
                <w:rFonts w:ascii="Arial" w:cs="Arial" w:eastAsia="Arial" w:hAnsi="Arial"/>
                <w:sz w:val="20"/>
                <w:szCs w:val="20"/>
                <w:b w:val="1"/>
                <w:bCs w:val="1"/>
                <w:color w:val="1C5A7D"/>
              </w:rPr>
              <w:t>EXHIBIT INDEX</w:t>
            </w:r>
          </w:p>
        </w:tc>
      </w:tr>
      <w:tr>
        <w:trPr>
          <w:trHeight w:val="286"/>
        </w:trPr>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740" w:type="dxa"/>
            <w:vAlign w:val="bottom"/>
            <w:gridSpan w:val="15"/>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720" w:type="dxa"/>
            <w:vAlign w:val="bottom"/>
          </w:tcPr>
          <w:p>
            <w:pPr>
              <w:spacing w:after="0"/>
              <w:rPr>
                <w:sz w:val="20"/>
                <w:szCs w:val="20"/>
                <w:color w:val="auto"/>
              </w:rPr>
            </w:pPr>
            <w:r>
              <w:rPr>
                <w:rFonts w:ascii="Arial" w:cs="Arial" w:eastAsia="Arial" w:hAnsi="Arial"/>
                <w:sz w:val="17"/>
                <w:szCs w:val="17"/>
                <w:color w:val="auto"/>
              </w:rPr>
              <w:t>2.1†</w:t>
            </w:r>
          </w:p>
        </w:tc>
        <w:tc>
          <w:tcPr>
            <w:tcW w:w="1920" w:type="dxa"/>
            <w:vAlign w:val="bottom"/>
          </w:tcPr>
          <w:p>
            <w:pPr>
              <w:spacing w:after="0"/>
              <w:rPr>
                <w:sz w:val="18"/>
                <w:szCs w:val="18"/>
                <w:color w:val="auto"/>
              </w:rPr>
            </w:pPr>
          </w:p>
        </w:tc>
        <w:tc>
          <w:tcPr>
            <w:tcW w:w="8740" w:type="dxa"/>
            <w:vAlign w:val="bottom"/>
            <w:tcBorders>
              <w:bottom w:val="single" w:sz="8" w:color="0000FF"/>
            </w:tcBorders>
            <w:gridSpan w:val="22"/>
          </w:tcPr>
          <w:p>
            <w:pPr>
              <w:spacing w:after="0"/>
              <w:rPr>
                <w:rFonts w:ascii="Arial" w:cs="Arial" w:eastAsia="Arial" w:hAnsi="Arial"/>
                <w:sz w:val="17"/>
                <w:szCs w:val="17"/>
                <w:color w:val="0000FF"/>
              </w:rPr>
            </w:pPr>
            <w:hyperlink r:id="rId123">
              <w:r>
                <w:rPr>
                  <w:rFonts w:ascii="Arial" w:cs="Arial" w:eastAsia="Arial" w:hAnsi="Arial"/>
                  <w:sz w:val="17"/>
                  <w:szCs w:val="17"/>
                  <w:color w:val="0000FF"/>
                </w:rPr>
                <w:t>Asset Purchase Agreement among Biogen Idec International Holding Ltd., Elan Pharma International Limited and</w:t>
              </w:r>
            </w:hyperlink>
          </w:p>
        </w:tc>
      </w:tr>
      <w:tr>
        <w:trPr>
          <w:trHeight w:val="172"/>
        </w:trPr>
        <w:tc>
          <w:tcPr>
            <w:tcW w:w="7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740" w:type="dxa"/>
            <w:vAlign w:val="bottom"/>
            <w:tcBorders>
              <w:bottom w:val="single" w:sz="8" w:color="0000FF"/>
            </w:tcBorders>
            <w:gridSpan w:val="22"/>
          </w:tcPr>
          <w:p>
            <w:pPr>
              <w:spacing w:after="0" w:line="172" w:lineRule="exact"/>
              <w:rPr>
                <w:rFonts w:ascii="Arial" w:cs="Arial" w:eastAsia="Arial" w:hAnsi="Arial"/>
                <w:sz w:val="17"/>
                <w:szCs w:val="17"/>
                <w:color w:val="0000FF"/>
              </w:rPr>
            </w:pPr>
            <w:hyperlink r:id="rId123">
              <w:r>
                <w:rPr>
                  <w:rFonts w:ascii="Arial" w:cs="Arial" w:eastAsia="Arial" w:hAnsi="Arial"/>
                  <w:sz w:val="17"/>
                  <w:szCs w:val="17"/>
                  <w:color w:val="0000FF"/>
                </w:rPr>
                <w:t>Elan Pharmaceuticals, Inc., dated as of February 5, 2013. Filed as Exhibit 2.1 to our Current Report on Form 8-K/A</w:t>
              </w:r>
            </w:hyperlink>
          </w:p>
        </w:tc>
      </w:tr>
      <w:tr>
        <w:trPr>
          <w:trHeight w:val="172"/>
        </w:trPr>
        <w:tc>
          <w:tcPr>
            <w:tcW w:w="7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740" w:type="dxa"/>
            <w:vAlign w:val="bottom"/>
            <w:gridSpan w:val="22"/>
          </w:tcPr>
          <w:p>
            <w:pPr>
              <w:spacing w:after="0" w:line="172" w:lineRule="exact"/>
              <w:rPr>
                <w:rFonts w:ascii="Arial" w:cs="Arial" w:eastAsia="Arial" w:hAnsi="Arial"/>
                <w:sz w:val="17"/>
                <w:szCs w:val="17"/>
                <w:color w:val="0000FF"/>
              </w:rPr>
            </w:pPr>
            <w:hyperlink r:id="rId123">
              <w:r>
                <w:rPr>
                  <w:rFonts w:ascii="Arial" w:cs="Arial" w:eastAsia="Arial" w:hAnsi="Arial"/>
                  <w:sz w:val="17"/>
                  <w:szCs w:val="17"/>
                  <w:color w:val="0000FF"/>
                </w:rPr>
                <w:t>filed on February 12, 2013.</w:t>
              </w:r>
            </w:hyperlink>
          </w:p>
        </w:tc>
      </w:tr>
      <w:tr>
        <w:trPr>
          <w:trHeight w:val="20"/>
        </w:trPr>
        <w:tc>
          <w:tcPr>
            <w:tcW w:w="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720" w:type="dxa"/>
            <w:vAlign w:val="bottom"/>
          </w:tcPr>
          <w:p>
            <w:pPr>
              <w:spacing w:after="0"/>
              <w:rPr>
                <w:sz w:val="20"/>
                <w:szCs w:val="20"/>
                <w:color w:val="auto"/>
              </w:rPr>
            </w:pPr>
            <w:r>
              <w:rPr>
                <w:rFonts w:ascii="Arial" w:cs="Arial" w:eastAsia="Arial" w:hAnsi="Arial"/>
                <w:sz w:val="17"/>
                <w:szCs w:val="17"/>
                <w:color w:val="auto"/>
              </w:rPr>
              <w:t>2.2</w:t>
            </w:r>
          </w:p>
        </w:tc>
        <w:tc>
          <w:tcPr>
            <w:tcW w:w="1920" w:type="dxa"/>
            <w:vAlign w:val="bottom"/>
          </w:tcPr>
          <w:p>
            <w:pPr>
              <w:spacing w:after="0"/>
              <w:rPr>
                <w:sz w:val="19"/>
                <w:szCs w:val="19"/>
                <w:color w:val="auto"/>
              </w:rPr>
            </w:pPr>
          </w:p>
        </w:tc>
        <w:tc>
          <w:tcPr>
            <w:tcW w:w="8740" w:type="dxa"/>
            <w:vAlign w:val="bottom"/>
            <w:tcBorders>
              <w:bottom w:val="single" w:sz="8" w:color="0000FF"/>
            </w:tcBorders>
            <w:gridSpan w:val="22"/>
          </w:tcPr>
          <w:p>
            <w:pPr>
              <w:spacing w:after="0"/>
              <w:rPr>
                <w:rFonts w:ascii="Arial" w:cs="Arial" w:eastAsia="Arial" w:hAnsi="Arial"/>
                <w:sz w:val="17"/>
                <w:szCs w:val="17"/>
                <w:color w:val="0000FF"/>
              </w:rPr>
            </w:pPr>
            <w:hyperlink r:id="rId124">
              <w:r>
                <w:rPr>
                  <w:rFonts w:ascii="Arial" w:cs="Arial" w:eastAsia="Arial" w:hAnsi="Arial"/>
                  <w:sz w:val="17"/>
                  <w:szCs w:val="17"/>
                  <w:color w:val="0000FF"/>
                </w:rPr>
                <w:t>Separation Agreement between Biogen Inc. and Bioverativ Inc. dated as of January 31, 2017. Filed as Exhibit 2.1</w:t>
              </w:r>
            </w:hyperlink>
          </w:p>
        </w:tc>
      </w:tr>
      <w:tr>
        <w:trPr>
          <w:trHeight w:val="172"/>
        </w:trPr>
        <w:tc>
          <w:tcPr>
            <w:tcW w:w="7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740" w:type="dxa"/>
            <w:vAlign w:val="bottom"/>
            <w:gridSpan w:val="22"/>
          </w:tcPr>
          <w:p>
            <w:pPr>
              <w:spacing w:after="0" w:line="172" w:lineRule="exact"/>
              <w:rPr>
                <w:rFonts w:ascii="Arial" w:cs="Arial" w:eastAsia="Arial" w:hAnsi="Arial"/>
                <w:sz w:val="17"/>
                <w:szCs w:val="17"/>
                <w:color w:val="0000FF"/>
              </w:rPr>
            </w:pPr>
            <w:hyperlink r:id="rId124">
              <w:r>
                <w:rPr>
                  <w:rFonts w:ascii="Arial" w:cs="Arial" w:eastAsia="Arial" w:hAnsi="Arial"/>
                  <w:sz w:val="17"/>
                  <w:szCs w:val="17"/>
                  <w:color w:val="0000FF"/>
                </w:rPr>
                <w:t>to our Current Report on Form 8-K filed on February 2, 2017.</w:t>
              </w:r>
            </w:hyperlink>
          </w:p>
        </w:tc>
      </w:tr>
      <w:tr>
        <w:trPr>
          <w:trHeight w:val="20"/>
        </w:trPr>
        <w:tc>
          <w:tcPr>
            <w:tcW w:w="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720" w:type="dxa"/>
            <w:vAlign w:val="bottom"/>
          </w:tcPr>
          <w:p>
            <w:pPr>
              <w:spacing w:after="0"/>
              <w:rPr>
                <w:sz w:val="20"/>
                <w:szCs w:val="20"/>
                <w:color w:val="auto"/>
              </w:rPr>
            </w:pPr>
            <w:r>
              <w:rPr>
                <w:rFonts w:ascii="Arial" w:cs="Arial" w:eastAsia="Arial" w:hAnsi="Arial"/>
                <w:sz w:val="17"/>
                <w:szCs w:val="17"/>
                <w:color w:val="auto"/>
              </w:rPr>
              <w:t>3.1</w:t>
            </w:r>
          </w:p>
        </w:tc>
        <w:tc>
          <w:tcPr>
            <w:tcW w:w="1920" w:type="dxa"/>
            <w:vAlign w:val="bottom"/>
          </w:tcPr>
          <w:p>
            <w:pPr>
              <w:spacing w:after="0"/>
              <w:rPr>
                <w:sz w:val="19"/>
                <w:szCs w:val="19"/>
                <w:color w:val="auto"/>
              </w:rPr>
            </w:pPr>
          </w:p>
        </w:tc>
        <w:tc>
          <w:tcPr>
            <w:tcW w:w="8740" w:type="dxa"/>
            <w:vAlign w:val="bottom"/>
            <w:tcBorders>
              <w:bottom w:val="single" w:sz="8" w:color="0000FF"/>
            </w:tcBorders>
            <w:gridSpan w:val="22"/>
          </w:tcPr>
          <w:p>
            <w:pPr>
              <w:spacing w:after="0"/>
              <w:rPr>
                <w:rFonts w:ascii="Arial" w:cs="Arial" w:eastAsia="Arial" w:hAnsi="Arial"/>
                <w:sz w:val="17"/>
                <w:szCs w:val="17"/>
                <w:color w:val="0000FF"/>
              </w:rPr>
            </w:pPr>
            <w:hyperlink r:id="rId125">
              <w:r>
                <w:rPr>
                  <w:rFonts w:ascii="Arial" w:cs="Arial" w:eastAsia="Arial" w:hAnsi="Arial"/>
                  <w:sz w:val="17"/>
                  <w:szCs w:val="17"/>
                  <w:color w:val="0000FF"/>
                </w:rPr>
                <w:t>Amended and Restated Certificate of Incorporation, as amended. Filed as Exhibit 3.1 to our Quarterly Report on</w:t>
              </w:r>
            </w:hyperlink>
          </w:p>
        </w:tc>
      </w:tr>
      <w:tr>
        <w:trPr>
          <w:trHeight w:val="172"/>
        </w:trPr>
        <w:tc>
          <w:tcPr>
            <w:tcW w:w="7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740" w:type="dxa"/>
            <w:vAlign w:val="bottom"/>
            <w:gridSpan w:val="22"/>
          </w:tcPr>
          <w:p>
            <w:pPr>
              <w:spacing w:after="0" w:line="172" w:lineRule="exact"/>
              <w:rPr>
                <w:rFonts w:ascii="Arial" w:cs="Arial" w:eastAsia="Arial" w:hAnsi="Arial"/>
                <w:sz w:val="17"/>
                <w:szCs w:val="17"/>
                <w:color w:val="0000FF"/>
              </w:rPr>
            </w:pPr>
            <w:hyperlink r:id="rId125">
              <w:r>
                <w:rPr>
                  <w:rFonts w:ascii="Arial" w:cs="Arial" w:eastAsia="Arial" w:hAnsi="Arial"/>
                  <w:sz w:val="17"/>
                  <w:szCs w:val="17"/>
                  <w:color w:val="0000FF"/>
                </w:rPr>
                <w:t>Form 10-Q for the quarter ended June 30, 2012.</w:t>
              </w:r>
            </w:hyperlink>
          </w:p>
        </w:tc>
      </w:tr>
      <w:tr>
        <w:trPr>
          <w:trHeight w:val="20"/>
        </w:trPr>
        <w:tc>
          <w:tcPr>
            <w:tcW w:w="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720" w:type="dxa"/>
            <w:vAlign w:val="bottom"/>
          </w:tcPr>
          <w:p>
            <w:pPr>
              <w:spacing w:after="0"/>
              <w:rPr>
                <w:sz w:val="20"/>
                <w:szCs w:val="20"/>
                <w:color w:val="auto"/>
              </w:rPr>
            </w:pPr>
            <w:r>
              <w:rPr>
                <w:rFonts w:ascii="Arial" w:cs="Arial" w:eastAsia="Arial" w:hAnsi="Arial"/>
                <w:sz w:val="17"/>
                <w:szCs w:val="17"/>
                <w:color w:val="auto"/>
              </w:rPr>
              <w:t>3.2</w:t>
            </w:r>
          </w:p>
        </w:tc>
        <w:tc>
          <w:tcPr>
            <w:tcW w:w="1920" w:type="dxa"/>
            <w:vAlign w:val="bottom"/>
          </w:tcPr>
          <w:p>
            <w:pPr>
              <w:spacing w:after="0"/>
              <w:rPr>
                <w:sz w:val="19"/>
                <w:szCs w:val="19"/>
                <w:color w:val="auto"/>
              </w:rPr>
            </w:pPr>
          </w:p>
        </w:tc>
        <w:tc>
          <w:tcPr>
            <w:tcW w:w="8740" w:type="dxa"/>
            <w:vAlign w:val="bottom"/>
            <w:tcBorders>
              <w:bottom w:val="single" w:sz="8" w:color="0000FF"/>
            </w:tcBorders>
            <w:gridSpan w:val="22"/>
          </w:tcPr>
          <w:p>
            <w:pPr>
              <w:spacing w:after="0"/>
              <w:rPr>
                <w:rFonts w:ascii="Arial" w:cs="Arial" w:eastAsia="Arial" w:hAnsi="Arial"/>
                <w:sz w:val="17"/>
                <w:szCs w:val="17"/>
                <w:color w:val="0000FF"/>
              </w:rPr>
            </w:pPr>
            <w:hyperlink r:id="rId126">
              <w:r>
                <w:rPr>
                  <w:rFonts w:ascii="Arial" w:cs="Arial" w:eastAsia="Arial" w:hAnsi="Arial"/>
                  <w:sz w:val="17"/>
                  <w:szCs w:val="17"/>
                  <w:color w:val="0000FF"/>
                </w:rPr>
                <w:t>Certificate of Amendment to the Certificate of Incorporation. Filed as Exhibit 3.1 to our Current Report on Form 8-K</w:t>
              </w:r>
            </w:hyperlink>
          </w:p>
        </w:tc>
      </w:tr>
      <w:tr>
        <w:trPr>
          <w:trHeight w:val="172"/>
        </w:trPr>
        <w:tc>
          <w:tcPr>
            <w:tcW w:w="7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40" w:type="dxa"/>
            <w:vAlign w:val="bottom"/>
            <w:tcBorders>
              <w:bottom w:val="single" w:sz="8" w:color="0000FF"/>
            </w:tcBorders>
            <w:gridSpan w:val="3"/>
          </w:tcPr>
          <w:p>
            <w:pPr>
              <w:spacing w:after="0" w:line="172" w:lineRule="exact"/>
              <w:rPr>
                <w:rFonts w:ascii="Arial" w:cs="Arial" w:eastAsia="Arial" w:hAnsi="Arial"/>
                <w:sz w:val="17"/>
                <w:szCs w:val="17"/>
                <w:color w:val="0000FF"/>
                <w:w w:val="99"/>
              </w:rPr>
            </w:pPr>
            <w:hyperlink r:id="rId126">
              <w:r>
                <w:rPr>
                  <w:rFonts w:ascii="Arial" w:cs="Arial" w:eastAsia="Arial" w:hAnsi="Arial"/>
                  <w:sz w:val="17"/>
                  <w:szCs w:val="17"/>
                  <w:color w:val="0000FF"/>
                  <w:w w:val="99"/>
                </w:rPr>
                <w:t>filed on March 27, 2015.</w:t>
              </w:r>
            </w:hyperlink>
          </w:p>
        </w:tc>
        <w:tc>
          <w:tcPr>
            <w:tcW w:w="6900" w:type="dxa"/>
            <w:vAlign w:val="bottom"/>
            <w:gridSpan w:val="19"/>
          </w:tcPr>
          <w:p>
            <w:pPr>
              <w:spacing w:after="0"/>
              <w:rPr>
                <w:sz w:val="14"/>
                <w:szCs w:val="14"/>
                <w:color w:val="auto"/>
              </w:rPr>
            </w:pPr>
          </w:p>
        </w:tc>
      </w:tr>
      <w:tr>
        <w:trPr>
          <w:trHeight w:val="223"/>
        </w:trPr>
        <w:tc>
          <w:tcPr>
            <w:tcW w:w="720" w:type="dxa"/>
            <w:vAlign w:val="bottom"/>
          </w:tcPr>
          <w:p>
            <w:pPr>
              <w:spacing w:after="0"/>
              <w:rPr>
                <w:sz w:val="20"/>
                <w:szCs w:val="20"/>
                <w:color w:val="auto"/>
              </w:rPr>
            </w:pPr>
            <w:r>
              <w:rPr>
                <w:rFonts w:ascii="Arial" w:cs="Arial" w:eastAsia="Arial" w:hAnsi="Arial"/>
                <w:sz w:val="17"/>
                <w:szCs w:val="17"/>
                <w:color w:val="auto"/>
              </w:rPr>
              <w:t>3.3</w:t>
            </w:r>
          </w:p>
        </w:tc>
        <w:tc>
          <w:tcPr>
            <w:tcW w:w="1920" w:type="dxa"/>
            <w:vAlign w:val="bottom"/>
          </w:tcPr>
          <w:p>
            <w:pPr>
              <w:spacing w:after="0"/>
              <w:rPr>
                <w:sz w:val="19"/>
                <w:szCs w:val="19"/>
                <w:color w:val="auto"/>
              </w:rPr>
            </w:pPr>
          </w:p>
        </w:tc>
        <w:tc>
          <w:tcPr>
            <w:tcW w:w="8740" w:type="dxa"/>
            <w:vAlign w:val="bottom"/>
            <w:tcBorders>
              <w:bottom w:val="single" w:sz="8" w:color="0000FF"/>
            </w:tcBorders>
            <w:gridSpan w:val="22"/>
          </w:tcPr>
          <w:p>
            <w:pPr>
              <w:spacing w:after="0"/>
              <w:rPr>
                <w:rFonts w:ascii="Arial" w:cs="Arial" w:eastAsia="Arial" w:hAnsi="Arial"/>
                <w:sz w:val="17"/>
                <w:szCs w:val="17"/>
                <w:color w:val="0000FF"/>
              </w:rPr>
            </w:pPr>
            <w:hyperlink r:id="rId127">
              <w:r>
                <w:rPr>
                  <w:rFonts w:ascii="Arial" w:cs="Arial" w:eastAsia="Arial" w:hAnsi="Arial"/>
                  <w:sz w:val="17"/>
                  <w:szCs w:val="17"/>
                  <w:color w:val="0000FF"/>
                </w:rPr>
                <w:t>Fourth Amended and Restated Bylaws. Filed as Exhibit 3.1 to our Current Report on Form 8-K filed on June 9,</w:t>
              </w:r>
            </w:hyperlink>
          </w:p>
        </w:tc>
      </w:tr>
      <w:tr>
        <w:trPr>
          <w:trHeight w:val="172"/>
        </w:trPr>
        <w:tc>
          <w:tcPr>
            <w:tcW w:w="7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40" w:type="dxa"/>
            <w:vAlign w:val="bottom"/>
            <w:tcBorders>
              <w:bottom w:val="single" w:sz="8" w:color="0000FF"/>
            </w:tcBorders>
          </w:tcPr>
          <w:p>
            <w:pPr>
              <w:spacing w:after="0" w:line="172" w:lineRule="exact"/>
              <w:rPr>
                <w:rFonts w:ascii="Arial" w:cs="Arial" w:eastAsia="Arial" w:hAnsi="Arial"/>
                <w:sz w:val="17"/>
                <w:szCs w:val="17"/>
                <w:color w:val="0000FF"/>
                <w:w w:val="98"/>
              </w:rPr>
            </w:pPr>
            <w:hyperlink r:id="rId127">
              <w:r>
                <w:rPr>
                  <w:rFonts w:ascii="Arial" w:cs="Arial" w:eastAsia="Arial" w:hAnsi="Arial"/>
                  <w:sz w:val="17"/>
                  <w:szCs w:val="17"/>
                  <w:color w:val="0000FF"/>
                  <w:w w:val="98"/>
                </w:rPr>
                <w:t>2017.</w:t>
              </w:r>
            </w:hyperlink>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720" w:type="dxa"/>
            <w:vAlign w:val="bottom"/>
          </w:tcPr>
          <w:p>
            <w:pPr>
              <w:spacing w:after="0"/>
              <w:rPr>
                <w:sz w:val="20"/>
                <w:szCs w:val="20"/>
                <w:color w:val="auto"/>
              </w:rPr>
            </w:pPr>
            <w:r>
              <w:rPr>
                <w:rFonts w:ascii="Arial" w:cs="Arial" w:eastAsia="Arial" w:hAnsi="Arial"/>
                <w:sz w:val="17"/>
                <w:szCs w:val="17"/>
                <w:color w:val="auto"/>
              </w:rPr>
              <w:t>4.1</w:t>
            </w:r>
          </w:p>
        </w:tc>
        <w:tc>
          <w:tcPr>
            <w:tcW w:w="1920" w:type="dxa"/>
            <w:vAlign w:val="bottom"/>
          </w:tcPr>
          <w:p>
            <w:pPr>
              <w:spacing w:after="0"/>
              <w:rPr>
                <w:sz w:val="19"/>
                <w:szCs w:val="19"/>
                <w:color w:val="auto"/>
              </w:rPr>
            </w:pPr>
          </w:p>
        </w:tc>
        <w:tc>
          <w:tcPr>
            <w:tcW w:w="8740" w:type="dxa"/>
            <w:vAlign w:val="bottom"/>
            <w:tcBorders>
              <w:bottom w:val="single" w:sz="8" w:color="0000FF"/>
            </w:tcBorders>
            <w:gridSpan w:val="22"/>
          </w:tcPr>
          <w:p>
            <w:pPr>
              <w:spacing w:after="0"/>
              <w:rPr>
                <w:rFonts w:ascii="Arial" w:cs="Arial" w:eastAsia="Arial" w:hAnsi="Arial"/>
                <w:sz w:val="17"/>
                <w:szCs w:val="17"/>
                <w:color w:val="0000FF"/>
              </w:rPr>
            </w:pPr>
            <w:hyperlink r:id="rId125">
              <w:r>
                <w:rPr>
                  <w:rFonts w:ascii="Arial" w:cs="Arial" w:eastAsia="Arial" w:hAnsi="Arial"/>
                  <w:sz w:val="17"/>
                  <w:szCs w:val="17"/>
                  <w:color w:val="0000FF"/>
                </w:rPr>
                <w:t>Reference is made to Exhibit 3.1 for a description of the rights, preferences and privileges of our Series A Preferred</w:t>
              </w:r>
            </w:hyperlink>
          </w:p>
        </w:tc>
      </w:tr>
      <w:tr>
        <w:trPr>
          <w:trHeight w:val="172"/>
        </w:trPr>
        <w:tc>
          <w:tcPr>
            <w:tcW w:w="7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240" w:type="dxa"/>
            <w:vAlign w:val="bottom"/>
            <w:tcBorders>
              <w:bottom w:val="single" w:sz="8" w:color="0000FF"/>
            </w:tcBorders>
            <w:gridSpan w:val="8"/>
          </w:tcPr>
          <w:p>
            <w:pPr>
              <w:spacing w:after="0" w:line="172" w:lineRule="exact"/>
              <w:rPr>
                <w:rFonts w:ascii="Arial" w:cs="Arial" w:eastAsia="Arial" w:hAnsi="Arial"/>
                <w:sz w:val="17"/>
                <w:szCs w:val="17"/>
                <w:color w:val="0000FF"/>
              </w:rPr>
            </w:pPr>
            <w:hyperlink r:id="rId125">
              <w:r>
                <w:rPr>
                  <w:rFonts w:ascii="Arial" w:cs="Arial" w:eastAsia="Arial" w:hAnsi="Arial"/>
                  <w:sz w:val="17"/>
                  <w:szCs w:val="17"/>
                  <w:color w:val="0000FF"/>
                </w:rPr>
                <w:t>Stock and Series X Junior Participating Preferred Stock.</w:t>
              </w:r>
            </w:hyperlink>
          </w:p>
        </w:tc>
        <w:tc>
          <w:tcPr>
            <w:tcW w:w="4500" w:type="dxa"/>
            <w:vAlign w:val="bottom"/>
            <w:gridSpan w:val="14"/>
          </w:tcPr>
          <w:p>
            <w:pPr>
              <w:spacing w:after="0"/>
              <w:rPr>
                <w:sz w:val="14"/>
                <w:szCs w:val="14"/>
                <w:color w:val="auto"/>
              </w:rPr>
            </w:pPr>
          </w:p>
        </w:tc>
      </w:tr>
      <w:tr>
        <w:trPr>
          <w:trHeight w:val="223"/>
        </w:trPr>
        <w:tc>
          <w:tcPr>
            <w:tcW w:w="720" w:type="dxa"/>
            <w:vAlign w:val="bottom"/>
          </w:tcPr>
          <w:p>
            <w:pPr>
              <w:spacing w:after="0"/>
              <w:rPr>
                <w:sz w:val="20"/>
                <w:szCs w:val="20"/>
                <w:color w:val="auto"/>
              </w:rPr>
            </w:pPr>
            <w:r>
              <w:rPr>
                <w:rFonts w:ascii="Arial" w:cs="Arial" w:eastAsia="Arial" w:hAnsi="Arial"/>
                <w:sz w:val="17"/>
                <w:szCs w:val="17"/>
                <w:color w:val="auto"/>
              </w:rPr>
              <w:t>4.2</w:t>
            </w:r>
          </w:p>
        </w:tc>
        <w:tc>
          <w:tcPr>
            <w:tcW w:w="1920" w:type="dxa"/>
            <w:vAlign w:val="bottom"/>
          </w:tcPr>
          <w:p>
            <w:pPr>
              <w:spacing w:after="0"/>
              <w:rPr>
                <w:sz w:val="19"/>
                <w:szCs w:val="19"/>
                <w:color w:val="auto"/>
              </w:rPr>
            </w:pPr>
          </w:p>
        </w:tc>
        <w:tc>
          <w:tcPr>
            <w:tcW w:w="8740" w:type="dxa"/>
            <w:vAlign w:val="bottom"/>
            <w:tcBorders>
              <w:bottom w:val="single" w:sz="8" w:color="0000FF"/>
            </w:tcBorders>
            <w:gridSpan w:val="22"/>
          </w:tcPr>
          <w:p>
            <w:pPr>
              <w:spacing w:after="0"/>
              <w:rPr>
                <w:rFonts w:ascii="Arial" w:cs="Arial" w:eastAsia="Arial" w:hAnsi="Arial"/>
                <w:sz w:val="17"/>
                <w:szCs w:val="17"/>
                <w:color w:val="0000FF"/>
              </w:rPr>
            </w:pPr>
            <w:hyperlink r:id="rId128">
              <w:r>
                <w:rPr>
                  <w:rFonts w:ascii="Arial" w:cs="Arial" w:eastAsia="Arial" w:hAnsi="Arial"/>
                  <w:sz w:val="17"/>
                  <w:szCs w:val="17"/>
                  <w:color w:val="0000FF"/>
                </w:rPr>
                <w:t>Indenture between Biogen Inc. and U.S. Bank National Association, dated as of September 15, 2015. Filed as</w:t>
              </w:r>
            </w:hyperlink>
          </w:p>
        </w:tc>
      </w:tr>
      <w:tr>
        <w:trPr>
          <w:trHeight w:val="172"/>
        </w:trPr>
        <w:tc>
          <w:tcPr>
            <w:tcW w:w="7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720" w:type="dxa"/>
            <w:vAlign w:val="bottom"/>
            <w:tcBorders>
              <w:bottom w:val="single" w:sz="8" w:color="0000FF"/>
            </w:tcBorders>
            <w:gridSpan w:val="13"/>
          </w:tcPr>
          <w:p>
            <w:pPr>
              <w:spacing w:after="0" w:line="172" w:lineRule="exact"/>
              <w:rPr>
                <w:rFonts w:ascii="Arial" w:cs="Arial" w:eastAsia="Arial" w:hAnsi="Arial"/>
                <w:sz w:val="17"/>
                <w:szCs w:val="17"/>
                <w:color w:val="0000FF"/>
              </w:rPr>
            </w:pPr>
            <w:hyperlink r:id="rId128">
              <w:r>
                <w:rPr>
                  <w:rFonts w:ascii="Arial" w:cs="Arial" w:eastAsia="Arial" w:hAnsi="Arial"/>
                  <w:sz w:val="17"/>
                  <w:szCs w:val="17"/>
                  <w:color w:val="0000FF"/>
                </w:rPr>
                <w:t>Exhibit 4.1 to our Current Report on Form 8-K filed on September 16, 2015.</w:t>
              </w:r>
            </w:hyperlink>
          </w:p>
        </w:tc>
        <w:tc>
          <w:tcPr>
            <w:tcW w:w="3020" w:type="dxa"/>
            <w:vAlign w:val="bottom"/>
            <w:gridSpan w:val="9"/>
          </w:tcPr>
          <w:p>
            <w:pPr>
              <w:spacing w:after="0"/>
              <w:rPr>
                <w:sz w:val="14"/>
                <w:szCs w:val="14"/>
                <w:color w:val="auto"/>
              </w:rPr>
            </w:pPr>
          </w:p>
        </w:tc>
      </w:tr>
      <w:tr>
        <w:trPr>
          <w:trHeight w:val="223"/>
        </w:trPr>
        <w:tc>
          <w:tcPr>
            <w:tcW w:w="720" w:type="dxa"/>
            <w:vAlign w:val="bottom"/>
          </w:tcPr>
          <w:p>
            <w:pPr>
              <w:spacing w:after="0"/>
              <w:rPr>
                <w:sz w:val="20"/>
                <w:szCs w:val="20"/>
                <w:color w:val="auto"/>
              </w:rPr>
            </w:pPr>
            <w:r>
              <w:rPr>
                <w:rFonts w:ascii="Arial" w:cs="Arial" w:eastAsia="Arial" w:hAnsi="Arial"/>
                <w:sz w:val="17"/>
                <w:szCs w:val="17"/>
                <w:color w:val="auto"/>
              </w:rPr>
              <w:t>4.3</w:t>
            </w:r>
          </w:p>
        </w:tc>
        <w:tc>
          <w:tcPr>
            <w:tcW w:w="1920" w:type="dxa"/>
            <w:vAlign w:val="bottom"/>
          </w:tcPr>
          <w:p>
            <w:pPr>
              <w:spacing w:after="0"/>
              <w:rPr>
                <w:sz w:val="19"/>
                <w:szCs w:val="19"/>
                <w:color w:val="auto"/>
              </w:rPr>
            </w:pPr>
          </w:p>
        </w:tc>
        <w:tc>
          <w:tcPr>
            <w:tcW w:w="8740" w:type="dxa"/>
            <w:vAlign w:val="bottom"/>
            <w:tcBorders>
              <w:bottom w:val="single" w:sz="8" w:color="0000FF"/>
            </w:tcBorders>
            <w:gridSpan w:val="22"/>
          </w:tcPr>
          <w:p>
            <w:pPr>
              <w:spacing w:after="0"/>
              <w:rPr>
                <w:rFonts w:ascii="Arial" w:cs="Arial" w:eastAsia="Arial" w:hAnsi="Arial"/>
                <w:sz w:val="17"/>
                <w:szCs w:val="17"/>
                <w:color w:val="0000FF"/>
              </w:rPr>
            </w:pPr>
            <w:hyperlink r:id="rId129">
              <w:r>
                <w:rPr>
                  <w:rFonts w:ascii="Arial" w:cs="Arial" w:eastAsia="Arial" w:hAnsi="Arial"/>
                  <w:sz w:val="17"/>
                  <w:szCs w:val="17"/>
                  <w:color w:val="0000FF"/>
                </w:rPr>
                <w:t>First Supplemental Indenture between Biogen Inc. and U.S. Bank National Association, dated September 15, 2015.</w:t>
              </w:r>
            </w:hyperlink>
          </w:p>
        </w:tc>
      </w:tr>
      <w:tr>
        <w:trPr>
          <w:trHeight w:val="172"/>
        </w:trPr>
        <w:tc>
          <w:tcPr>
            <w:tcW w:w="7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740" w:type="dxa"/>
            <w:vAlign w:val="bottom"/>
            <w:gridSpan w:val="22"/>
          </w:tcPr>
          <w:p>
            <w:pPr>
              <w:spacing w:after="0" w:line="172" w:lineRule="exact"/>
              <w:rPr>
                <w:rFonts w:ascii="Arial" w:cs="Arial" w:eastAsia="Arial" w:hAnsi="Arial"/>
                <w:sz w:val="17"/>
                <w:szCs w:val="17"/>
                <w:color w:val="0000FF"/>
              </w:rPr>
            </w:pPr>
            <w:hyperlink r:id="rId129">
              <w:r>
                <w:rPr>
                  <w:rFonts w:ascii="Arial" w:cs="Arial" w:eastAsia="Arial" w:hAnsi="Arial"/>
                  <w:sz w:val="17"/>
                  <w:szCs w:val="17"/>
                  <w:color w:val="0000FF"/>
                </w:rPr>
                <w:t>Filed as Exhibit 4.2 to our Current Report on Form 8-K filed on September 16, 2015.</w:t>
              </w:r>
            </w:hyperlink>
          </w:p>
        </w:tc>
      </w:tr>
      <w:tr>
        <w:trPr>
          <w:trHeight w:val="20"/>
        </w:trPr>
        <w:tc>
          <w:tcPr>
            <w:tcW w:w="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720" w:type="dxa"/>
            <w:vAlign w:val="bottom"/>
          </w:tcPr>
          <w:p>
            <w:pPr>
              <w:spacing w:after="0"/>
              <w:rPr>
                <w:sz w:val="20"/>
                <w:szCs w:val="20"/>
                <w:color w:val="auto"/>
              </w:rPr>
            </w:pPr>
            <w:r>
              <w:rPr>
                <w:rFonts w:ascii="Arial" w:cs="Arial" w:eastAsia="Arial" w:hAnsi="Arial"/>
                <w:sz w:val="17"/>
                <w:szCs w:val="17"/>
                <w:color w:val="auto"/>
              </w:rPr>
              <w:t>10.1</w:t>
            </w:r>
          </w:p>
        </w:tc>
        <w:tc>
          <w:tcPr>
            <w:tcW w:w="1920" w:type="dxa"/>
            <w:vAlign w:val="bottom"/>
          </w:tcPr>
          <w:p>
            <w:pPr>
              <w:spacing w:after="0"/>
              <w:rPr>
                <w:sz w:val="19"/>
                <w:szCs w:val="19"/>
                <w:color w:val="auto"/>
              </w:rPr>
            </w:pPr>
          </w:p>
        </w:tc>
        <w:tc>
          <w:tcPr>
            <w:tcW w:w="8740" w:type="dxa"/>
            <w:vAlign w:val="bottom"/>
            <w:tcBorders>
              <w:bottom w:val="single" w:sz="8" w:color="0000FF"/>
            </w:tcBorders>
            <w:gridSpan w:val="22"/>
          </w:tcPr>
          <w:p>
            <w:pPr>
              <w:spacing w:after="0"/>
              <w:rPr>
                <w:rFonts w:ascii="Arial" w:cs="Arial" w:eastAsia="Arial" w:hAnsi="Arial"/>
                <w:sz w:val="17"/>
                <w:szCs w:val="17"/>
                <w:color w:val="0000FF"/>
              </w:rPr>
            </w:pPr>
            <w:hyperlink r:id="rId130">
              <w:r>
                <w:rPr>
                  <w:rFonts w:ascii="Arial" w:cs="Arial" w:eastAsia="Arial" w:hAnsi="Arial"/>
                  <w:sz w:val="17"/>
                  <w:szCs w:val="17"/>
                  <w:color w:val="0000FF"/>
                </w:rPr>
                <w:t>Credit Agreement between Biogen Inc., Bank of America, N.A., Goldman Sachs Bank USA and other lenders party</w:t>
              </w:r>
            </w:hyperlink>
          </w:p>
        </w:tc>
      </w:tr>
      <w:tr>
        <w:trPr>
          <w:trHeight w:val="172"/>
        </w:trPr>
        <w:tc>
          <w:tcPr>
            <w:tcW w:w="7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740" w:type="dxa"/>
            <w:vAlign w:val="bottom"/>
            <w:tcBorders>
              <w:bottom w:val="single" w:sz="8" w:color="0000FF"/>
            </w:tcBorders>
            <w:gridSpan w:val="22"/>
          </w:tcPr>
          <w:p>
            <w:pPr>
              <w:spacing w:after="0" w:line="172" w:lineRule="exact"/>
              <w:rPr>
                <w:rFonts w:ascii="Arial" w:cs="Arial" w:eastAsia="Arial" w:hAnsi="Arial"/>
                <w:sz w:val="17"/>
                <w:szCs w:val="17"/>
                <w:color w:val="0000FF"/>
              </w:rPr>
            </w:pPr>
            <w:hyperlink r:id="rId130">
              <w:r>
                <w:rPr>
                  <w:rFonts w:ascii="Arial" w:cs="Arial" w:eastAsia="Arial" w:hAnsi="Arial"/>
                  <w:sz w:val="17"/>
                  <w:szCs w:val="17"/>
                  <w:color w:val="0000FF"/>
                </w:rPr>
                <w:t>thereto, dated August 28, 2015. Filed as Exhibit 10.1 to our Current Report on Form 8-K filed on September 1,</w:t>
              </w:r>
            </w:hyperlink>
          </w:p>
        </w:tc>
      </w:tr>
      <w:tr>
        <w:trPr>
          <w:trHeight w:val="172"/>
        </w:trPr>
        <w:tc>
          <w:tcPr>
            <w:tcW w:w="7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40" w:type="dxa"/>
            <w:vAlign w:val="bottom"/>
            <w:tcBorders>
              <w:bottom w:val="single" w:sz="8" w:color="0000FF"/>
            </w:tcBorders>
          </w:tcPr>
          <w:p>
            <w:pPr>
              <w:spacing w:after="0" w:line="172" w:lineRule="exact"/>
              <w:rPr>
                <w:rFonts w:ascii="Arial" w:cs="Arial" w:eastAsia="Arial" w:hAnsi="Arial"/>
                <w:sz w:val="17"/>
                <w:szCs w:val="17"/>
                <w:color w:val="0000FF"/>
                <w:w w:val="98"/>
              </w:rPr>
            </w:pPr>
            <w:hyperlink r:id="rId130">
              <w:r>
                <w:rPr>
                  <w:rFonts w:ascii="Arial" w:cs="Arial" w:eastAsia="Arial" w:hAnsi="Arial"/>
                  <w:sz w:val="17"/>
                  <w:szCs w:val="17"/>
                  <w:color w:val="0000FF"/>
                  <w:w w:val="98"/>
                </w:rPr>
                <w:t>2015.</w:t>
              </w:r>
            </w:hyperlink>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2640" w:type="dxa"/>
            <w:vAlign w:val="bottom"/>
            <w:gridSpan w:val="2"/>
          </w:tcPr>
          <w:p>
            <w:pPr>
              <w:spacing w:after="0"/>
              <w:rPr>
                <w:sz w:val="20"/>
                <w:szCs w:val="20"/>
                <w:color w:val="auto"/>
              </w:rPr>
            </w:pPr>
            <w:r>
              <w:rPr>
                <w:rFonts w:ascii="Arial" w:cs="Arial" w:eastAsia="Arial" w:hAnsi="Arial"/>
                <w:sz w:val="17"/>
                <w:szCs w:val="17"/>
                <w:color w:val="auto"/>
              </w:rPr>
              <w:t>10.2†</w:t>
            </w:r>
          </w:p>
        </w:tc>
        <w:tc>
          <w:tcPr>
            <w:tcW w:w="8740" w:type="dxa"/>
            <w:vAlign w:val="bottom"/>
            <w:tcBorders>
              <w:bottom w:val="single" w:sz="8" w:color="0000FF"/>
            </w:tcBorders>
            <w:gridSpan w:val="22"/>
          </w:tcPr>
          <w:p>
            <w:pPr>
              <w:spacing w:after="0"/>
              <w:rPr>
                <w:rFonts w:ascii="Arial" w:cs="Arial" w:eastAsia="Arial" w:hAnsi="Arial"/>
                <w:sz w:val="17"/>
                <w:szCs w:val="17"/>
                <w:color w:val="0000FF"/>
              </w:rPr>
            </w:pPr>
            <w:hyperlink r:id="rId131">
              <w:r>
                <w:rPr>
                  <w:rFonts w:ascii="Arial" w:cs="Arial" w:eastAsia="Arial" w:hAnsi="Arial"/>
                  <w:sz w:val="17"/>
                  <w:szCs w:val="17"/>
                  <w:color w:val="0000FF"/>
                </w:rPr>
                <w:t>Second Amended and Restated Collaboration Agreement between Biogen Idec Inc. and Genentech, Inc., dated as</w:t>
              </w:r>
            </w:hyperlink>
          </w:p>
        </w:tc>
      </w:tr>
      <w:tr>
        <w:trPr>
          <w:trHeight w:val="172"/>
        </w:trPr>
        <w:tc>
          <w:tcPr>
            <w:tcW w:w="7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740" w:type="dxa"/>
            <w:vAlign w:val="bottom"/>
            <w:tcBorders>
              <w:bottom w:val="single" w:sz="8" w:color="0000FF"/>
            </w:tcBorders>
            <w:gridSpan w:val="22"/>
          </w:tcPr>
          <w:p>
            <w:pPr>
              <w:spacing w:after="0" w:line="172" w:lineRule="exact"/>
              <w:rPr>
                <w:rFonts w:ascii="Arial" w:cs="Arial" w:eastAsia="Arial" w:hAnsi="Arial"/>
                <w:sz w:val="17"/>
                <w:szCs w:val="17"/>
                <w:color w:val="0000FF"/>
              </w:rPr>
            </w:pPr>
            <w:hyperlink r:id="rId131">
              <w:r>
                <w:rPr>
                  <w:rFonts w:ascii="Arial" w:cs="Arial" w:eastAsia="Arial" w:hAnsi="Arial"/>
                  <w:sz w:val="17"/>
                  <w:szCs w:val="17"/>
                  <w:color w:val="0000FF"/>
                </w:rPr>
                <w:t>of October 18, 2010. Filed as Exhibit 10.5 to our Annual Report on Form 10-K for the year ended December 31,</w:t>
              </w:r>
            </w:hyperlink>
          </w:p>
        </w:tc>
      </w:tr>
      <w:tr>
        <w:trPr>
          <w:trHeight w:val="172"/>
        </w:trPr>
        <w:tc>
          <w:tcPr>
            <w:tcW w:w="7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40" w:type="dxa"/>
            <w:vAlign w:val="bottom"/>
            <w:tcBorders>
              <w:bottom w:val="single" w:sz="8" w:color="0000FF"/>
            </w:tcBorders>
          </w:tcPr>
          <w:p>
            <w:pPr>
              <w:spacing w:after="0" w:line="172" w:lineRule="exact"/>
              <w:rPr>
                <w:rFonts w:ascii="Arial" w:cs="Arial" w:eastAsia="Arial" w:hAnsi="Arial"/>
                <w:sz w:val="17"/>
                <w:szCs w:val="17"/>
                <w:color w:val="0000FF"/>
                <w:w w:val="98"/>
              </w:rPr>
            </w:pPr>
            <w:hyperlink r:id="rId131">
              <w:r>
                <w:rPr>
                  <w:rFonts w:ascii="Arial" w:cs="Arial" w:eastAsia="Arial" w:hAnsi="Arial"/>
                  <w:sz w:val="17"/>
                  <w:szCs w:val="17"/>
                  <w:color w:val="0000FF"/>
                  <w:w w:val="98"/>
                </w:rPr>
                <w:t>2010.</w:t>
              </w:r>
            </w:hyperlink>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2640" w:type="dxa"/>
            <w:vAlign w:val="bottom"/>
            <w:gridSpan w:val="2"/>
          </w:tcPr>
          <w:p>
            <w:pPr>
              <w:spacing w:after="0"/>
              <w:rPr>
                <w:sz w:val="20"/>
                <w:szCs w:val="20"/>
                <w:color w:val="auto"/>
              </w:rPr>
            </w:pPr>
            <w:r>
              <w:rPr>
                <w:rFonts w:ascii="Arial" w:cs="Arial" w:eastAsia="Arial" w:hAnsi="Arial"/>
                <w:sz w:val="17"/>
                <w:szCs w:val="17"/>
                <w:color w:val="auto"/>
              </w:rPr>
              <w:t>10.3†</w:t>
            </w:r>
          </w:p>
        </w:tc>
        <w:tc>
          <w:tcPr>
            <w:tcW w:w="8740" w:type="dxa"/>
            <w:vAlign w:val="bottom"/>
            <w:tcBorders>
              <w:bottom w:val="single" w:sz="8" w:color="0000FF"/>
            </w:tcBorders>
            <w:gridSpan w:val="22"/>
          </w:tcPr>
          <w:p>
            <w:pPr>
              <w:spacing w:after="0"/>
              <w:rPr>
                <w:rFonts w:ascii="Arial" w:cs="Arial" w:eastAsia="Arial" w:hAnsi="Arial"/>
                <w:sz w:val="17"/>
                <w:szCs w:val="17"/>
                <w:color w:val="0000FF"/>
              </w:rPr>
            </w:pPr>
            <w:hyperlink r:id="rId132">
              <w:r>
                <w:rPr>
                  <w:rFonts w:ascii="Arial" w:cs="Arial" w:eastAsia="Arial" w:hAnsi="Arial"/>
                  <w:sz w:val="17"/>
                  <w:szCs w:val="17"/>
                  <w:color w:val="0000FF"/>
                </w:rPr>
                <w:t>Letter Agreement regarding GA101 financial terms between Biogen Idec Inc. and Genentech, Inc., dated October</w:t>
              </w:r>
            </w:hyperlink>
          </w:p>
        </w:tc>
      </w:tr>
      <w:tr>
        <w:trPr>
          <w:trHeight w:val="172"/>
        </w:trPr>
        <w:tc>
          <w:tcPr>
            <w:tcW w:w="7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740" w:type="dxa"/>
            <w:vAlign w:val="bottom"/>
            <w:gridSpan w:val="22"/>
          </w:tcPr>
          <w:p>
            <w:pPr>
              <w:spacing w:after="0" w:line="172" w:lineRule="exact"/>
              <w:rPr>
                <w:rFonts w:ascii="Arial" w:cs="Arial" w:eastAsia="Arial" w:hAnsi="Arial"/>
                <w:sz w:val="17"/>
                <w:szCs w:val="17"/>
                <w:color w:val="0000FF"/>
              </w:rPr>
            </w:pPr>
            <w:hyperlink r:id="rId132">
              <w:r>
                <w:rPr>
                  <w:rFonts w:ascii="Arial" w:cs="Arial" w:eastAsia="Arial" w:hAnsi="Arial"/>
                  <w:sz w:val="17"/>
                  <w:szCs w:val="17"/>
                  <w:color w:val="0000FF"/>
                </w:rPr>
                <w:t>18, 2010. Filed as Exhibit 10.6 to our Annual Report on Form 10-K for the year ended December 31, 2010.</w:t>
              </w:r>
            </w:hyperlink>
          </w:p>
        </w:tc>
      </w:tr>
      <w:tr>
        <w:trPr>
          <w:trHeight w:val="20"/>
        </w:trPr>
        <w:tc>
          <w:tcPr>
            <w:tcW w:w="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720" w:type="dxa"/>
            <w:vAlign w:val="bottom"/>
          </w:tcPr>
          <w:p>
            <w:pPr>
              <w:spacing w:after="0"/>
              <w:rPr>
                <w:sz w:val="20"/>
                <w:szCs w:val="20"/>
                <w:color w:val="auto"/>
              </w:rPr>
            </w:pPr>
            <w:r>
              <w:rPr>
                <w:rFonts w:ascii="Arial" w:cs="Arial" w:eastAsia="Arial" w:hAnsi="Arial"/>
                <w:sz w:val="17"/>
                <w:szCs w:val="17"/>
                <w:color w:val="auto"/>
              </w:rPr>
              <w:t>10.4</w:t>
            </w:r>
          </w:p>
        </w:tc>
        <w:tc>
          <w:tcPr>
            <w:tcW w:w="1920" w:type="dxa"/>
            <w:vAlign w:val="bottom"/>
          </w:tcPr>
          <w:p>
            <w:pPr>
              <w:spacing w:after="0"/>
              <w:rPr>
                <w:sz w:val="19"/>
                <w:szCs w:val="19"/>
                <w:color w:val="auto"/>
              </w:rPr>
            </w:pPr>
          </w:p>
        </w:tc>
        <w:tc>
          <w:tcPr>
            <w:tcW w:w="8740" w:type="dxa"/>
            <w:vAlign w:val="bottom"/>
            <w:tcBorders>
              <w:bottom w:val="single" w:sz="8" w:color="0000FF"/>
            </w:tcBorders>
            <w:gridSpan w:val="22"/>
          </w:tcPr>
          <w:p>
            <w:pPr>
              <w:spacing w:after="0"/>
              <w:rPr>
                <w:rFonts w:ascii="Arial" w:cs="Arial" w:eastAsia="Arial" w:hAnsi="Arial"/>
                <w:sz w:val="17"/>
                <w:szCs w:val="17"/>
                <w:color w:val="0000FF"/>
              </w:rPr>
            </w:pPr>
            <w:hyperlink r:id="rId133">
              <w:r>
                <w:rPr>
                  <w:rFonts w:ascii="Arial" w:cs="Arial" w:eastAsia="Arial" w:hAnsi="Arial"/>
                  <w:sz w:val="17"/>
                  <w:szCs w:val="17"/>
                  <w:color w:val="0000FF"/>
                </w:rPr>
                <w:t>Settlement and License Agreement, dated January 17, 2017, between Biogen Swiss Manufacturing GmbH, Biogen</w:t>
              </w:r>
            </w:hyperlink>
          </w:p>
        </w:tc>
      </w:tr>
      <w:tr>
        <w:trPr>
          <w:trHeight w:val="172"/>
        </w:trPr>
        <w:tc>
          <w:tcPr>
            <w:tcW w:w="7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740" w:type="dxa"/>
            <w:vAlign w:val="bottom"/>
            <w:tcBorders>
              <w:bottom w:val="single" w:sz="8" w:color="0000FF"/>
            </w:tcBorders>
            <w:gridSpan w:val="22"/>
          </w:tcPr>
          <w:p>
            <w:pPr>
              <w:spacing w:after="0" w:line="172" w:lineRule="exact"/>
              <w:rPr>
                <w:rFonts w:ascii="Arial" w:cs="Arial" w:eastAsia="Arial" w:hAnsi="Arial"/>
                <w:sz w:val="17"/>
                <w:szCs w:val="17"/>
                <w:color w:val="0000FF"/>
              </w:rPr>
            </w:pPr>
            <w:hyperlink r:id="rId133">
              <w:r>
                <w:rPr>
                  <w:rFonts w:ascii="Arial" w:cs="Arial" w:eastAsia="Arial" w:hAnsi="Arial"/>
                  <w:sz w:val="17"/>
                  <w:szCs w:val="17"/>
                  <w:color w:val="0000FF"/>
                </w:rPr>
                <w:t>International Holdings ltd., Forward Pharma A/S and other parties thereto. Filed as Exhibit 10.1 to our Current</w:t>
              </w:r>
            </w:hyperlink>
          </w:p>
        </w:tc>
      </w:tr>
      <w:tr>
        <w:trPr>
          <w:trHeight w:val="172"/>
        </w:trPr>
        <w:tc>
          <w:tcPr>
            <w:tcW w:w="7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740" w:type="dxa"/>
            <w:vAlign w:val="bottom"/>
            <w:gridSpan w:val="22"/>
          </w:tcPr>
          <w:p>
            <w:pPr>
              <w:spacing w:after="0" w:line="172" w:lineRule="exact"/>
              <w:rPr>
                <w:rFonts w:ascii="Arial" w:cs="Arial" w:eastAsia="Arial" w:hAnsi="Arial"/>
                <w:sz w:val="17"/>
                <w:szCs w:val="17"/>
                <w:color w:val="0000FF"/>
              </w:rPr>
            </w:pPr>
            <w:hyperlink r:id="rId133">
              <w:r>
                <w:rPr>
                  <w:rFonts w:ascii="Arial" w:cs="Arial" w:eastAsia="Arial" w:hAnsi="Arial"/>
                  <w:sz w:val="17"/>
                  <w:szCs w:val="17"/>
                  <w:color w:val="0000FF"/>
                </w:rPr>
                <w:t>Report on Form 8-K filed on February 1, 2017.</w:t>
              </w:r>
            </w:hyperlink>
          </w:p>
        </w:tc>
      </w:tr>
      <w:tr>
        <w:trPr>
          <w:trHeight w:val="20"/>
        </w:trPr>
        <w:tc>
          <w:tcPr>
            <w:tcW w:w="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720" w:type="dxa"/>
            <w:vAlign w:val="bottom"/>
          </w:tcPr>
          <w:p>
            <w:pPr>
              <w:spacing w:after="0"/>
              <w:rPr>
                <w:sz w:val="20"/>
                <w:szCs w:val="20"/>
                <w:color w:val="auto"/>
              </w:rPr>
            </w:pPr>
            <w:r>
              <w:rPr>
                <w:rFonts w:ascii="Arial" w:cs="Arial" w:eastAsia="Arial" w:hAnsi="Arial"/>
                <w:sz w:val="17"/>
                <w:szCs w:val="17"/>
                <w:color w:val="auto"/>
              </w:rPr>
              <w:t>10.5*</w:t>
            </w:r>
          </w:p>
        </w:tc>
        <w:tc>
          <w:tcPr>
            <w:tcW w:w="1920" w:type="dxa"/>
            <w:vAlign w:val="bottom"/>
          </w:tcPr>
          <w:p>
            <w:pPr>
              <w:spacing w:after="0"/>
              <w:rPr>
                <w:sz w:val="19"/>
                <w:szCs w:val="19"/>
                <w:color w:val="auto"/>
              </w:rPr>
            </w:pPr>
          </w:p>
        </w:tc>
        <w:tc>
          <w:tcPr>
            <w:tcW w:w="8740" w:type="dxa"/>
            <w:vAlign w:val="bottom"/>
            <w:tcBorders>
              <w:bottom w:val="single" w:sz="8" w:color="0000FF"/>
            </w:tcBorders>
            <w:gridSpan w:val="22"/>
          </w:tcPr>
          <w:p>
            <w:pPr>
              <w:spacing w:after="0"/>
              <w:rPr>
                <w:rFonts w:ascii="Arial" w:cs="Arial" w:eastAsia="Arial" w:hAnsi="Arial"/>
                <w:sz w:val="17"/>
                <w:szCs w:val="17"/>
                <w:color w:val="0000FF"/>
              </w:rPr>
            </w:pPr>
            <w:hyperlink r:id="rId134">
              <w:r>
                <w:rPr>
                  <w:rFonts w:ascii="Arial" w:cs="Arial" w:eastAsia="Arial" w:hAnsi="Arial"/>
                  <w:sz w:val="17"/>
                  <w:szCs w:val="17"/>
                  <w:color w:val="0000FF"/>
                </w:rPr>
                <w:t>Biogen Inc. 2017 Omnibus Equity Plan. Filed as Appendix B to our Definitive Proxy Statement on Schedule 14A</w:t>
              </w:r>
            </w:hyperlink>
          </w:p>
        </w:tc>
      </w:tr>
      <w:tr>
        <w:trPr>
          <w:trHeight w:val="172"/>
        </w:trPr>
        <w:tc>
          <w:tcPr>
            <w:tcW w:w="7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740" w:type="dxa"/>
            <w:vAlign w:val="bottom"/>
            <w:gridSpan w:val="22"/>
          </w:tcPr>
          <w:p>
            <w:pPr>
              <w:spacing w:after="0" w:line="172" w:lineRule="exact"/>
              <w:rPr>
                <w:rFonts w:ascii="Arial" w:cs="Arial" w:eastAsia="Arial" w:hAnsi="Arial"/>
                <w:sz w:val="17"/>
                <w:szCs w:val="17"/>
                <w:color w:val="0000FF"/>
              </w:rPr>
            </w:pPr>
            <w:hyperlink r:id="rId134">
              <w:r>
                <w:rPr>
                  <w:rFonts w:ascii="Arial" w:cs="Arial" w:eastAsia="Arial" w:hAnsi="Arial"/>
                  <w:sz w:val="17"/>
                  <w:szCs w:val="17"/>
                  <w:color w:val="0000FF"/>
                </w:rPr>
                <w:t>filed on April 26, 2017.</w:t>
              </w:r>
            </w:hyperlink>
          </w:p>
        </w:tc>
      </w:tr>
      <w:tr>
        <w:trPr>
          <w:trHeight w:val="20"/>
        </w:trPr>
        <w:tc>
          <w:tcPr>
            <w:tcW w:w="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720" w:type="dxa"/>
            <w:vAlign w:val="bottom"/>
          </w:tcPr>
          <w:p>
            <w:pPr>
              <w:spacing w:after="0"/>
              <w:rPr>
                <w:sz w:val="20"/>
                <w:szCs w:val="20"/>
                <w:color w:val="auto"/>
              </w:rPr>
            </w:pPr>
            <w:r>
              <w:rPr>
                <w:rFonts w:ascii="Arial" w:cs="Arial" w:eastAsia="Arial" w:hAnsi="Arial"/>
                <w:sz w:val="17"/>
                <w:szCs w:val="17"/>
                <w:color w:val="auto"/>
              </w:rPr>
              <w:t>10.6*</w:t>
            </w:r>
          </w:p>
        </w:tc>
        <w:tc>
          <w:tcPr>
            <w:tcW w:w="1920" w:type="dxa"/>
            <w:vAlign w:val="bottom"/>
          </w:tcPr>
          <w:p>
            <w:pPr>
              <w:spacing w:after="0"/>
              <w:rPr>
                <w:sz w:val="19"/>
                <w:szCs w:val="19"/>
                <w:color w:val="auto"/>
              </w:rPr>
            </w:pPr>
          </w:p>
        </w:tc>
        <w:tc>
          <w:tcPr>
            <w:tcW w:w="8740" w:type="dxa"/>
            <w:vAlign w:val="bottom"/>
            <w:tcBorders>
              <w:bottom w:val="single" w:sz="8" w:color="0000FF"/>
            </w:tcBorders>
            <w:gridSpan w:val="22"/>
          </w:tcPr>
          <w:p>
            <w:pPr>
              <w:spacing w:after="0"/>
              <w:rPr>
                <w:rFonts w:ascii="Arial" w:cs="Arial" w:eastAsia="Arial" w:hAnsi="Arial"/>
                <w:sz w:val="17"/>
                <w:szCs w:val="17"/>
                <w:color w:val="0000FF"/>
              </w:rPr>
            </w:pPr>
            <w:hyperlink r:id="rId135">
              <w:r>
                <w:rPr>
                  <w:rFonts w:ascii="Arial" w:cs="Arial" w:eastAsia="Arial" w:hAnsi="Arial"/>
                  <w:sz w:val="17"/>
                  <w:szCs w:val="17"/>
                  <w:color w:val="0000FF"/>
                </w:rPr>
                <w:t>Form of restricted stock unit award agreement under the Biogen Inc. 2017 Omnibus Equity Plan. Filed as Exhibit</w:t>
              </w:r>
            </w:hyperlink>
          </w:p>
        </w:tc>
      </w:tr>
      <w:tr>
        <w:trPr>
          <w:trHeight w:val="172"/>
        </w:trPr>
        <w:tc>
          <w:tcPr>
            <w:tcW w:w="7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060" w:type="dxa"/>
            <w:vAlign w:val="bottom"/>
            <w:tcBorders>
              <w:bottom w:val="single" w:sz="8" w:color="0000FF"/>
            </w:tcBorders>
            <w:gridSpan w:val="14"/>
          </w:tcPr>
          <w:p>
            <w:pPr>
              <w:spacing w:after="0" w:line="172" w:lineRule="exact"/>
              <w:rPr>
                <w:rFonts w:ascii="Arial" w:cs="Arial" w:eastAsia="Arial" w:hAnsi="Arial"/>
                <w:sz w:val="17"/>
                <w:szCs w:val="17"/>
                <w:color w:val="0000FF"/>
              </w:rPr>
            </w:pPr>
            <w:hyperlink r:id="rId135">
              <w:r>
                <w:rPr>
                  <w:rFonts w:ascii="Arial" w:cs="Arial" w:eastAsia="Arial" w:hAnsi="Arial"/>
                  <w:sz w:val="17"/>
                  <w:szCs w:val="17"/>
                  <w:color w:val="0000FF"/>
                </w:rPr>
                <w:t>10.</w:t>
              </w:r>
              <w:r>
                <w:rPr>
                  <w:rFonts w:ascii="Arial" w:cs="Arial" w:eastAsia="Arial" w:hAnsi="Arial"/>
                  <w:sz w:val="17"/>
                  <w:szCs w:val="17"/>
                  <w:u w:val="single" w:color="auto"/>
                  <w:color w:val="0000FF"/>
                </w:rPr>
                <w:t>2</w:t>
              </w:r>
              <w:r>
                <w:rPr>
                  <w:rFonts w:ascii="Arial" w:cs="Arial" w:eastAsia="Arial" w:hAnsi="Arial"/>
                  <w:sz w:val="17"/>
                  <w:szCs w:val="17"/>
                  <w:color w:val="0000FF"/>
                </w:rPr>
                <w:t xml:space="preserve"> to our Quarterly Report on Form 10-Q for the quarter ended June 30, 2017.</w:t>
              </w:r>
            </w:hyperlink>
          </w:p>
        </w:tc>
        <w:tc>
          <w:tcPr>
            <w:tcW w:w="2680" w:type="dxa"/>
            <w:vAlign w:val="bottom"/>
            <w:gridSpan w:val="8"/>
          </w:tcPr>
          <w:p>
            <w:pPr>
              <w:spacing w:after="0"/>
              <w:rPr>
                <w:sz w:val="14"/>
                <w:szCs w:val="14"/>
                <w:color w:val="auto"/>
              </w:rPr>
            </w:pPr>
          </w:p>
        </w:tc>
      </w:tr>
      <w:tr>
        <w:trPr>
          <w:trHeight w:val="223"/>
        </w:trPr>
        <w:tc>
          <w:tcPr>
            <w:tcW w:w="720" w:type="dxa"/>
            <w:vAlign w:val="bottom"/>
          </w:tcPr>
          <w:p>
            <w:pPr>
              <w:spacing w:after="0"/>
              <w:rPr>
                <w:sz w:val="20"/>
                <w:szCs w:val="20"/>
                <w:color w:val="auto"/>
              </w:rPr>
            </w:pPr>
            <w:r>
              <w:rPr>
                <w:rFonts w:ascii="Arial" w:cs="Arial" w:eastAsia="Arial" w:hAnsi="Arial"/>
                <w:sz w:val="17"/>
                <w:szCs w:val="17"/>
                <w:color w:val="auto"/>
              </w:rPr>
              <w:t>10.7*</w:t>
            </w:r>
          </w:p>
        </w:tc>
        <w:tc>
          <w:tcPr>
            <w:tcW w:w="1920" w:type="dxa"/>
            <w:vAlign w:val="bottom"/>
          </w:tcPr>
          <w:p>
            <w:pPr>
              <w:spacing w:after="0"/>
              <w:rPr>
                <w:sz w:val="19"/>
                <w:szCs w:val="19"/>
                <w:color w:val="auto"/>
              </w:rPr>
            </w:pPr>
          </w:p>
        </w:tc>
        <w:tc>
          <w:tcPr>
            <w:tcW w:w="8740" w:type="dxa"/>
            <w:vAlign w:val="bottom"/>
            <w:gridSpan w:val="22"/>
          </w:tcPr>
          <w:p>
            <w:pPr>
              <w:spacing w:after="0"/>
              <w:rPr>
                <w:rFonts w:ascii="Arial" w:cs="Arial" w:eastAsia="Arial" w:hAnsi="Arial"/>
                <w:sz w:val="17"/>
                <w:szCs w:val="17"/>
                <w:color w:val="0000FF"/>
              </w:rPr>
            </w:pPr>
            <w:hyperlink r:id="rId136">
              <w:r>
                <w:rPr>
                  <w:rFonts w:ascii="Arial" w:cs="Arial" w:eastAsia="Arial" w:hAnsi="Arial"/>
                  <w:sz w:val="17"/>
                  <w:szCs w:val="17"/>
                  <w:color w:val="0000FF"/>
                </w:rPr>
                <w:t>Form of market stock unit award agreement under the Biogen Inc. 2017 Omnibus Equity Plan. Filed as Exhibit 10.3</w:t>
              </w:r>
            </w:hyperlink>
          </w:p>
        </w:tc>
      </w:tr>
      <w:tr>
        <w:trPr>
          <w:trHeight w:val="172"/>
        </w:trPr>
        <w:tc>
          <w:tcPr>
            <w:tcW w:w="7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700" w:type="dxa"/>
            <w:vAlign w:val="bottom"/>
            <w:tcBorders>
              <w:top w:val="single" w:sz="8" w:color="0000FF"/>
              <w:bottom w:val="single" w:sz="8" w:color="0000FF"/>
            </w:tcBorders>
            <w:gridSpan w:val="12"/>
          </w:tcPr>
          <w:p>
            <w:pPr>
              <w:spacing w:after="0" w:line="172" w:lineRule="exact"/>
              <w:rPr>
                <w:rFonts w:ascii="Arial" w:cs="Arial" w:eastAsia="Arial" w:hAnsi="Arial"/>
                <w:sz w:val="17"/>
                <w:szCs w:val="17"/>
                <w:color w:val="0000FF"/>
              </w:rPr>
            </w:pPr>
            <w:hyperlink r:id="rId136">
              <w:r>
                <w:rPr>
                  <w:rFonts w:ascii="Arial" w:cs="Arial" w:eastAsia="Arial" w:hAnsi="Arial"/>
                  <w:sz w:val="17"/>
                  <w:szCs w:val="17"/>
                  <w:color w:val="0000FF"/>
                </w:rPr>
                <w:t>to our Quarterly Report on Form 10-Q for the quarter ended June 30, 2017.</w:t>
              </w:r>
            </w:hyperlink>
          </w:p>
        </w:tc>
        <w:tc>
          <w:tcPr>
            <w:tcW w:w="3020" w:type="dxa"/>
            <w:vAlign w:val="bottom"/>
            <w:tcBorders>
              <w:top w:val="single" w:sz="8" w:color="0000FF"/>
            </w:tcBorders>
            <w:gridSpan w:val="9"/>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720" w:type="dxa"/>
            <w:vAlign w:val="bottom"/>
          </w:tcPr>
          <w:p>
            <w:pPr>
              <w:spacing w:after="0"/>
              <w:rPr>
                <w:sz w:val="20"/>
                <w:szCs w:val="20"/>
                <w:color w:val="auto"/>
              </w:rPr>
            </w:pPr>
            <w:r>
              <w:rPr>
                <w:rFonts w:ascii="Arial" w:cs="Arial" w:eastAsia="Arial" w:hAnsi="Arial"/>
                <w:sz w:val="17"/>
                <w:szCs w:val="17"/>
                <w:color w:val="auto"/>
              </w:rPr>
              <w:t>10.8*</w:t>
            </w:r>
          </w:p>
        </w:tc>
        <w:tc>
          <w:tcPr>
            <w:tcW w:w="1920" w:type="dxa"/>
            <w:vAlign w:val="bottom"/>
          </w:tcPr>
          <w:p>
            <w:pPr>
              <w:spacing w:after="0"/>
              <w:rPr>
                <w:sz w:val="19"/>
                <w:szCs w:val="19"/>
                <w:color w:val="auto"/>
              </w:rPr>
            </w:pPr>
          </w:p>
        </w:tc>
        <w:tc>
          <w:tcPr>
            <w:tcW w:w="8740" w:type="dxa"/>
            <w:vAlign w:val="bottom"/>
            <w:tcBorders>
              <w:bottom w:val="single" w:sz="8" w:color="0000FF"/>
            </w:tcBorders>
            <w:gridSpan w:val="22"/>
          </w:tcPr>
          <w:p>
            <w:pPr>
              <w:spacing w:after="0"/>
              <w:rPr>
                <w:rFonts w:ascii="Arial" w:cs="Arial" w:eastAsia="Arial" w:hAnsi="Arial"/>
                <w:sz w:val="17"/>
                <w:szCs w:val="17"/>
                <w:color w:val="0000FF"/>
              </w:rPr>
            </w:pPr>
            <w:hyperlink r:id="rId137">
              <w:r>
                <w:rPr>
                  <w:rFonts w:ascii="Arial" w:cs="Arial" w:eastAsia="Arial" w:hAnsi="Arial"/>
                  <w:sz w:val="17"/>
                  <w:szCs w:val="17"/>
                  <w:color w:val="0000FF"/>
                </w:rPr>
                <w:t>Form of performance unit award agreement under the Biogen Inc. 2017 Omnibus Equity Plan. Filed as Exhibit 10.4</w:t>
              </w:r>
            </w:hyperlink>
          </w:p>
        </w:tc>
      </w:tr>
      <w:tr>
        <w:trPr>
          <w:trHeight w:val="172"/>
        </w:trPr>
        <w:tc>
          <w:tcPr>
            <w:tcW w:w="7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680" w:type="dxa"/>
            <w:vAlign w:val="bottom"/>
            <w:tcBorders>
              <w:bottom w:val="single" w:sz="8" w:color="0000FF"/>
            </w:tcBorders>
            <w:gridSpan w:val="11"/>
          </w:tcPr>
          <w:p>
            <w:pPr>
              <w:spacing w:after="0" w:line="172" w:lineRule="exact"/>
              <w:rPr>
                <w:rFonts w:ascii="Arial" w:cs="Arial" w:eastAsia="Arial" w:hAnsi="Arial"/>
                <w:sz w:val="17"/>
                <w:szCs w:val="17"/>
                <w:color w:val="0000FF"/>
              </w:rPr>
            </w:pPr>
            <w:hyperlink r:id="rId137">
              <w:r>
                <w:rPr>
                  <w:rFonts w:ascii="Arial" w:cs="Arial" w:eastAsia="Arial" w:hAnsi="Arial"/>
                  <w:sz w:val="17"/>
                  <w:szCs w:val="17"/>
                  <w:color w:val="0000FF"/>
                </w:rPr>
                <w:t>to our Quarterly Report on Form 10-Q for the quarter ended June 30, 2017.</w:t>
              </w:r>
            </w:hyperlink>
          </w:p>
        </w:tc>
        <w:tc>
          <w:tcPr>
            <w:tcW w:w="3060" w:type="dxa"/>
            <w:vAlign w:val="bottom"/>
            <w:gridSpan w:val="11"/>
          </w:tcPr>
          <w:p>
            <w:pPr>
              <w:spacing w:after="0"/>
              <w:rPr>
                <w:sz w:val="14"/>
                <w:szCs w:val="14"/>
                <w:color w:val="auto"/>
              </w:rPr>
            </w:pPr>
          </w:p>
        </w:tc>
      </w:tr>
      <w:tr>
        <w:trPr>
          <w:trHeight w:val="223"/>
        </w:trPr>
        <w:tc>
          <w:tcPr>
            <w:tcW w:w="720" w:type="dxa"/>
            <w:vAlign w:val="bottom"/>
          </w:tcPr>
          <w:p>
            <w:pPr>
              <w:spacing w:after="0"/>
              <w:rPr>
                <w:sz w:val="20"/>
                <w:szCs w:val="20"/>
                <w:color w:val="auto"/>
              </w:rPr>
            </w:pPr>
            <w:r>
              <w:rPr>
                <w:rFonts w:ascii="Arial" w:cs="Arial" w:eastAsia="Arial" w:hAnsi="Arial"/>
                <w:sz w:val="17"/>
                <w:szCs w:val="17"/>
                <w:color w:val="auto"/>
              </w:rPr>
              <w:t>10.9*</w:t>
            </w:r>
          </w:p>
        </w:tc>
        <w:tc>
          <w:tcPr>
            <w:tcW w:w="1920" w:type="dxa"/>
            <w:vAlign w:val="bottom"/>
          </w:tcPr>
          <w:p>
            <w:pPr>
              <w:spacing w:after="0"/>
              <w:rPr>
                <w:sz w:val="19"/>
                <w:szCs w:val="19"/>
                <w:color w:val="auto"/>
              </w:rPr>
            </w:pPr>
          </w:p>
        </w:tc>
        <w:tc>
          <w:tcPr>
            <w:tcW w:w="8740" w:type="dxa"/>
            <w:vAlign w:val="bottom"/>
            <w:tcBorders>
              <w:bottom w:val="single" w:sz="8" w:color="0000FF"/>
            </w:tcBorders>
            <w:gridSpan w:val="22"/>
          </w:tcPr>
          <w:p>
            <w:pPr>
              <w:spacing w:after="0"/>
              <w:rPr>
                <w:rFonts w:ascii="Arial" w:cs="Arial" w:eastAsia="Arial" w:hAnsi="Arial"/>
                <w:sz w:val="17"/>
                <w:szCs w:val="17"/>
                <w:color w:val="0000FF"/>
              </w:rPr>
            </w:pPr>
            <w:hyperlink r:id="rId138">
              <w:r>
                <w:rPr>
                  <w:rFonts w:ascii="Arial" w:cs="Arial" w:eastAsia="Arial" w:hAnsi="Arial"/>
                  <w:sz w:val="17"/>
                  <w:szCs w:val="17"/>
                  <w:color w:val="0000FF"/>
                </w:rPr>
                <w:t>Form of cash-settled performance unit award agreement under the Biogen Inc. 2017 Omnibus Equity Plan. Filed as</w:t>
              </w:r>
            </w:hyperlink>
          </w:p>
        </w:tc>
      </w:tr>
      <w:tr>
        <w:trPr>
          <w:trHeight w:val="172"/>
        </w:trPr>
        <w:tc>
          <w:tcPr>
            <w:tcW w:w="7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620" w:type="dxa"/>
            <w:vAlign w:val="bottom"/>
            <w:tcBorders>
              <w:bottom w:val="single" w:sz="8" w:color="0000FF"/>
            </w:tcBorders>
            <w:gridSpan w:val="17"/>
          </w:tcPr>
          <w:p>
            <w:pPr>
              <w:spacing w:after="0" w:line="172" w:lineRule="exact"/>
              <w:rPr>
                <w:rFonts w:ascii="Arial" w:cs="Arial" w:eastAsia="Arial" w:hAnsi="Arial"/>
                <w:sz w:val="17"/>
                <w:szCs w:val="17"/>
                <w:color w:val="0000FF"/>
              </w:rPr>
            </w:pPr>
            <w:hyperlink r:id="rId138">
              <w:r>
                <w:rPr>
                  <w:rFonts w:ascii="Arial" w:cs="Arial" w:eastAsia="Arial" w:hAnsi="Arial"/>
                  <w:sz w:val="17"/>
                  <w:szCs w:val="17"/>
                  <w:color w:val="0000FF"/>
                </w:rPr>
                <w:t>Exhibit 10.5 to our Quarterly Report on Form 10-Q for the quarter ended June 30, 2017.</w:t>
              </w:r>
            </w:hyperlink>
          </w:p>
        </w:tc>
        <w:tc>
          <w:tcPr>
            <w:tcW w:w="2120" w:type="dxa"/>
            <w:vAlign w:val="bottom"/>
            <w:gridSpan w:val="5"/>
          </w:tcPr>
          <w:p>
            <w:pPr>
              <w:spacing w:after="0"/>
              <w:rPr>
                <w:sz w:val="14"/>
                <w:szCs w:val="14"/>
                <w:color w:val="auto"/>
              </w:rPr>
            </w:pPr>
          </w:p>
        </w:tc>
      </w:tr>
      <w:tr>
        <w:trPr>
          <w:trHeight w:val="223"/>
        </w:trPr>
        <w:tc>
          <w:tcPr>
            <w:tcW w:w="720" w:type="dxa"/>
            <w:vAlign w:val="bottom"/>
          </w:tcPr>
          <w:p>
            <w:pPr>
              <w:spacing w:after="0"/>
              <w:rPr>
                <w:sz w:val="20"/>
                <w:szCs w:val="20"/>
                <w:color w:val="auto"/>
              </w:rPr>
            </w:pPr>
            <w:r>
              <w:rPr>
                <w:rFonts w:ascii="Arial" w:cs="Arial" w:eastAsia="Arial" w:hAnsi="Arial"/>
                <w:sz w:val="17"/>
                <w:szCs w:val="17"/>
                <w:color w:val="auto"/>
              </w:rPr>
              <w:t>10.10*+</w:t>
            </w:r>
          </w:p>
        </w:tc>
        <w:tc>
          <w:tcPr>
            <w:tcW w:w="1920" w:type="dxa"/>
            <w:vAlign w:val="bottom"/>
          </w:tcPr>
          <w:p>
            <w:pPr>
              <w:spacing w:after="0"/>
              <w:rPr>
                <w:sz w:val="19"/>
                <w:szCs w:val="19"/>
                <w:color w:val="auto"/>
              </w:rPr>
            </w:pPr>
          </w:p>
        </w:tc>
        <w:tc>
          <w:tcPr>
            <w:tcW w:w="8700" w:type="dxa"/>
            <w:vAlign w:val="bottom"/>
            <w:tcBorders>
              <w:bottom w:val="single" w:sz="8" w:color="0000FF"/>
            </w:tcBorders>
            <w:gridSpan w:val="20"/>
          </w:tcPr>
          <w:p>
            <w:pPr>
              <w:spacing w:after="0"/>
              <w:rPr>
                <w:rFonts w:ascii="Arial" w:cs="Arial" w:eastAsia="Arial" w:hAnsi="Arial"/>
                <w:sz w:val="17"/>
                <w:szCs w:val="17"/>
                <w:color w:val="0000FF"/>
              </w:rPr>
            </w:pPr>
            <w:hyperlink w:anchor="page181">
              <w:r>
                <w:rPr>
                  <w:rFonts w:ascii="Arial" w:cs="Arial" w:eastAsia="Arial" w:hAnsi="Arial"/>
                  <w:sz w:val="17"/>
                  <w:szCs w:val="17"/>
                  <w:color w:val="0000FF"/>
                </w:rPr>
                <w:t>Form of performance stock units award agreement (cash-settled) under the Biogen Inc. 2017 Omnibus Equity Plan.</w:t>
              </w:r>
            </w:hyperlink>
          </w:p>
        </w:tc>
        <w:tc>
          <w:tcPr>
            <w:tcW w:w="40" w:type="dxa"/>
            <w:vAlign w:val="bottom"/>
            <w:gridSpan w:val="2"/>
          </w:tcPr>
          <w:p>
            <w:pPr>
              <w:spacing w:after="0"/>
              <w:rPr>
                <w:sz w:val="19"/>
                <w:szCs w:val="19"/>
                <w:color w:val="auto"/>
              </w:rPr>
            </w:pPr>
          </w:p>
        </w:tc>
      </w:tr>
      <w:tr>
        <w:trPr>
          <w:trHeight w:val="236"/>
        </w:trPr>
        <w:tc>
          <w:tcPr>
            <w:tcW w:w="720" w:type="dxa"/>
            <w:vAlign w:val="bottom"/>
          </w:tcPr>
          <w:p>
            <w:pPr>
              <w:spacing w:after="0"/>
              <w:rPr>
                <w:sz w:val="20"/>
                <w:szCs w:val="20"/>
                <w:color w:val="auto"/>
              </w:rPr>
            </w:pPr>
            <w:r>
              <w:rPr>
                <w:rFonts w:ascii="Arial" w:cs="Arial" w:eastAsia="Arial" w:hAnsi="Arial"/>
                <w:sz w:val="17"/>
                <w:szCs w:val="17"/>
                <w:color w:val="auto"/>
              </w:rPr>
              <w:t>10.11*+</w:t>
            </w:r>
          </w:p>
        </w:tc>
        <w:tc>
          <w:tcPr>
            <w:tcW w:w="1920" w:type="dxa"/>
            <w:vAlign w:val="bottom"/>
          </w:tcPr>
          <w:p>
            <w:pPr>
              <w:spacing w:after="0"/>
              <w:rPr>
                <w:sz w:val="20"/>
                <w:szCs w:val="20"/>
                <w:color w:val="auto"/>
              </w:rPr>
            </w:pPr>
          </w:p>
        </w:tc>
        <w:tc>
          <w:tcPr>
            <w:tcW w:w="7620" w:type="dxa"/>
            <w:vAlign w:val="bottom"/>
            <w:tcBorders>
              <w:bottom w:val="single" w:sz="8" w:color="0000FF"/>
            </w:tcBorders>
            <w:gridSpan w:val="18"/>
          </w:tcPr>
          <w:p>
            <w:pPr>
              <w:spacing w:after="0"/>
              <w:rPr>
                <w:rFonts w:ascii="Arial" w:cs="Arial" w:eastAsia="Arial" w:hAnsi="Arial"/>
                <w:sz w:val="17"/>
                <w:szCs w:val="17"/>
                <w:color w:val="0000FF"/>
              </w:rPr>
            </w:pPr>
            <w:hyperlink w:anchor="page184">
              <w:r>
                <w:rPr>
                  <w:rFonts w:ascii="Arial" w:cs="Arial" w:eastAsia="Arial" w:hAnsi="Arial"/>
                  <w:sz w:val="17"/>
                  <w:szCs w:val="17"/>
                  <w:color w:val="0000FF"/>
                </w:rPr>
                <w:t>Form of performance stock units award agreement under the Biogen Inc. 2017 Omnibus Equity Plan.</w:t>
              </w:r>
            </w:hyperlink>
          </w:p>
        </w:tc>
        <w:tc>
          <w:tcPr>
            <w:tcW w:w="1120" w:type="dxa"/>
            <w:vAlign w:val="bottom"/>
            <w:gridSpan w:val="4"/>
          </w:tcPr>
          <w:p>
            <w:pPr>
              <w:spacing w:after="0"/>
              <w:rPr>
                <w:sz w:val="20"/>
                <w:szCs w:val="20"/>
                <w:color w:val="auto"/>
              </w:rPr>
            </w:pPr>
          </w:p>
        </w:tc>
      </w:tr>
      <w:tr>
        <w:trPr>
          <w:trHeight w:val="223"/>
        </w:trPr>
        <w:tc>
          <w:tcPr>
            <w:tcW w:w="720" w:type="dxa"/>
            <w:vAlign w:val="bottom"/>
          </w:tcPr>
          <w:p>
            <w:pPr>
              <w:spacing w:after="0"/>
              <w:rPr>
                <w:sz w:val="20"/>
                <w:szCs w:val="20"/>
                <w:color w:val="auto"/>
              </w:rPr>
            </w:pPr>
            <w:r>
              <w:rPr>
                <w:rFonts w:ascii="Arial" w:cs="Arial" w:eastAsia="Arial" w:hAnsi="Arial"/>
                <w:sz w:val="17"/>
                <w:szCs w:val="17"/>
                <w:color w:val="auto"/>
              </w:rPr>
              <w:t>10.12*</w:t>
            </w:r>
          </w:p>
        </w:tc>
        <w:tc>
          <w:tcPr>
            <w:tcW w:w="1920" w:type="dxa"/>
            <w:vAlign w:val="bottom"/>
          </w:tcPr>
          <w:p>
            <w:pPr>
              <w:spacing w:after="0"/>
              <w:rPr>
                <w:sz w:val="19"/>
                <w:szCs w:val="19"/>
                <w:color w:val="auto"/>
              </w:rPr>
            </w:pPr>
          </w:p>
        </w:tc>
        <w:tc>
          <w:tcPr>
            <w:tcW w:w="8740" w:type="dxa"/>
            <w:vAlign w:val="bottom"/>
            <w:tcBorders>
              <w:bottom w:val="single" w:sz="8" w:color="0000FF"/>
            </w:tcBorders>
            <w:gridSpan w:val="22"/>
          </w:tcPr>
          <w:p>
            <w:pPr>
              <w:spacing w:after="0"/>
              <w:rPr>
                <w:rFonts w:ascii="Arial" w:cs="Arial" w:eastAsia="Arial" w:hAnsi="Arial"/>
                <w:sz w:val="17"/>
                <w:szCs w:val="17"/>
                <w:color w:val="0000FF"/>
              </w:rPr>
            </w:pPr>
            <w:hyperlink r:id="rId139">
              <w:r>
                <w:rPr>
                  <w:rFonts w:ascii="Arial" w:cs="Arial" w:eastAsia="Arial" w:hAnsi="Arial"/>
                  <w:sz w:val="17"/>
                  <w:szCs w:val="17"/>
                  <w:color w:val="0000FF"/>
                </w:rPr>
                <w:t>Biogen Idec Inc. 2008 Amended and Restated Omnibus Equity Plan. Filed as Exhibit 10.1 to our Quarterly Report</w:t>
              </w:r>
            </w:hyperlink>
          </w:p>
        </w:tc>
      </w:tr>
      <w:tr>
        <w:trPr>
          <w:trHeight w:val="172"/>
        </w:trPr>
        <w:tc>
          <w:tcPr>
            <w:tcW w:w="7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000" w:type="dxa"/>
            <w:vAlign w:val="bottom"/>
            <w:tcBorders>
              <w:bottom w:val="single" w:sz="8" w:color="0000FF"/>
            </w:tcBorders>
            <w:gridSpan w:val="7"/>
          </w:tcPr>
          <w:p>
            <w:pPr>
              <w:spacing w:after="0" w:line="172" w:lineRule="exact"/>
              <w:rPr>
                <w:rFonts w:ascii="Arial" w:cs="Arial" w:eastAsia="Arial" w:hAnsi="Arial"/>
                <w:sz w:val="17"/>
                <w:szCs w:val="17"/>
                <w:color w:val="0000FF"/>
              </w:rPr>
            </w:pPr>
            <w:hyperlink r:id="rId139">
              <w:r>
                <w:rPr>
                  <w:rFonts w:ascii="Arial" w:cs="Arial" w:eastAsia="Arial" w:hAnsi="Arial"/>
                  <w:sz w:val="17"/>
                  <w:szCs w:val="17"/>
                  <w:color w:val="0000FF"/>
                </w:rPr>
                <w:t>on Form 10-Q for the quarter ended March 31, 2014.</w:t>
              </w:r>
            </w:hyperlink>
          </w:p>
        </w:tc>
        <w:tc>
          <w:tcPr>
            <w:tcW w:w="4740" w:type="dxa"/>
            <w:vAlign w:val="bottom"/>
            <w:gridSpan w:val="15"/>
          </w:tcPr>
          <w:p>
            <w:pPr>
              <w:spacing w:after="0"/>
              <w:rPr>
                <w:sz w:val="14"/>
                <w:szCs w:val="14"/>
                <w:color w:val="auto"/>
              </w:rPr>
            </w:pPr>
          </w:p>
        </w:tc>
      </w:tr>
      <w:tr>
        <w:trPr>
          <w:trHeight w:val="223"/>
        </w:trPr>
        <w:tc>
          <w:tcPr>
            <w:tcW w:w="720" w:type="dxa"/>
            <w:vAlign w:val="bottom"/>
          </w:tcPr>
          <w:p>
            <w:pPr>
              <w:spacing w:after="0"/>
              <w:rPr>
                <w:sz w:val="20"/>
                <w:szCs w:val="20"/>
                <w:color w:val="auto"/>
              </w:rPr>
            </w:pPr>
            <w:r>
              <w:rPr>
                <w:rFonts w:ascii="Arial" w:cs="Arial" w:eastAsia="Arial" w:hAnsi="Arial"/>
                <w:sz w:val="17"/>
                <w:szCs w:val="17"/>
                <w:color w:val="auto"/>
              </w:rPr>
              <w:t>10.13*</w:t>
            </w:r>
          </w:p>
        </w:tc>
        <w:tc>
          <w:tcPr>
            <w:tcW w:w="1920" w:type="dxa"/>
            <w:vAlign w:val="bottom"/>
          </w:tcPr>
          <w:p>
            <w:pPr>
              <w:spacing w:after="0"/>
              <w:rPr>
                <w:sz w:val="19"/>
                <w:szCs w:val="19"/>
                <w:color w:val="auto"/>
              </w:rPr>
            </w:pPr>
          </w:p>
        </w:tc>
        <w:tc>
          <w:tcPr>
            <w:tcW w:w="8740" w:type="dxa"/>
            <w:vAlign w:val="bottom"/>
            <w:tcBorders>
              <w:bottom w:val="single" w:sz="8" w:color="0000FF"/>
            </w:tcBorders>
            <w:gridSpan w:val="22"/>
          </w:tcPr>
          <w:p>
            <w:pPr>
              <w:spacing w:after="0"/>
              <w:rPr>
                <w:rFonts w:ascii="Arial" w:cs="Arial" w:eastAsia="Arial" w:hAnsi="Arial"/>
                <w:sz w:val="17"/>
                <w:szCs w:val="17"/>
                <w:color w:val="0000FF"/>
              </w:rPr>
            </w:pPr>
            <w:hyperlink r:id="rId140">
              <w:r>
                <w:rPr>
                  <w:rFonts w:ascii="Arial" w:cs="Arial" w:eastAsia="Arial" w:hAnsi="Arial"/>
                  <w:sz w:val="17"/>
                  <w:szCs w:val="17"/>
                  <w:color w:val="0000FF"/>
                </w:rPr>
                <w:t>Form of performance unit award agreement under the Biogen Idec Inc. 2008 Omnibus Equity Plan. Filed as Exhibit</w:t>
              </w:r>
            </w:hyperlink>
          </w:p>
        </w:tc>
      </w:tr>
      <w:tr>
        <w:trPr>
          <w:trHeight w:val="172"/>
        </w:trPr>
        <w:tc>
          <w:tcPr>
            <w:tcW w:w="7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740" w:type="dxa"/>
            <w:vAlign w:val="bottom"/>
            <w:gridSpan w:val="22"/>
          </w:tcPr>
          <w:p>
            <w:pPr>
              <w:spacing w:after="0" w:line="172" w:lineRule="exact"/>
              <w:rPr>
                <w:rFonts w:ascii="Arial" w:cs="Arial" w:eastAsia="Arial" w:hAnsi="Arial"/>
                <w:sz w:val="17"/>
                <w:szCs w:val="17"/>
                <w:color w:val="0000FF"/>
              </w:rPr>
            </w:pPr>
            <w:hyperlink r:id="rId140">
              <w:r>
                <w:rPr>
                  <w:rFonts w:ascii="Arial" w:cs="Arial" w:eastAsia="Arial" w:hAnsi="Arial"/>
                  <w:sz w:val="17"/>
                  <w:szCs w:val="17"/>
                  <w:color w:val="0000FF"/>
                </w:rPr>
                <w:t>10.</w:t>
              </w:r>
              <w:r>
                <w:rPr>
                  <w:rFonts w:ascii="Arial" w:cs="Arial" w:eastAsia="Arial" w:hAnsi="Arial"/>
                  <w:sz w:val="17"/>
                  <w:szCs w:val="17"/>
                  <w:u w:val="single" w:color="auto"/>
                  <w:color w:val="0000FF"/>
                </w:rPr>
                <w:t>2</w:t>
              </w:r>
              <w:r>
                <w:rPr>
                  <w:rFonts w:ascii="Arial" w:cs="Arial" w:eastAsia="Arial" w:hAnsi="Arial"/>
                  <w:sz w:val="17"/>
                  <w:szCs w:val="17"/>
                  <w:color w:val="0000FF"/>
                </w:rPr>
                <w:t xml:space="preserve"> to our Quarterly Report on Form 10-Q for the quarter ended March 31, 2014.</w:t>
              </w:r>
            </w:hyperlink>
          </w:p>
        </w:tc>
      </w:tr>
      <w:tr>
        <w:trPr>
          <w:trHeight w:val="824"/>
        </w:trPr>
        <w:tc>
          <w:tcPr>
            <w:tcW w:w="7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500" w:type="dxa"/>
            <w:vAlign w:val="bottom"/>
            <w:tcBorders>
              <w:top w:val="single" w:sz="8" w:color="0000FF"/>
            </w:tcBorders>
            <w:gridSpan w:val="5"/>
          </w:tcPr>
          <w:p>
            <w:pPr>
              <w:ind w:left="2960"/>
              <w:spacing w:after="0"/>
              <w:rPr>
                <w:sz w:val="20"/>
                <w:szCs w:val="20"/>
                <w:color w:val="auto"/>
              </w:rPr>
            </w:pPr>
            <w:r>
              <w:rPr>
                <w:rFonts w:ascii="Arial" w:cs="Arial" w:eastAsia="Arial" w:hAnsi="Arial"/>
                <w:sz w:val="17"/>
                <w:szCs w:val="17"/>
                <w:color w:val="auto"/>
              </w:rPr>
              <w:t>94</w:t>
            </w:r>
          </w:p>
        </w:tc>
        <w:tc>
          <w:tcPr>
            <w:tcW w:w="1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00"/>
          </w:cols>
          <w:pgMar w:left="240" w:top="144" w:right="259" w:bottom="144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4"/>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518"/>
        </w:trPr>
        <w:tc>
          <w:tcPr>
            <w:tcW w:w="2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gridSpan w:val="2"/>
          </w:tcPr>
          <w:p>
            <w:pPr>
              <w:spacing w:after="0"/>
              <w:rPr>
                <w:sz w:val="20"/>
                <w:szCs w:val="20"/>
                <w:color w:val="auto"/>
              </w:rPr>
            </w:pPr>
            <w:r>
              <w:rPr>
                <w:rFonts w:ascii="Arial" w:cs="Arial" w:eastAsia="Arial" w:hAnsi="Arial"/>
                <w:sz w:val="14"/>
                <w:szCs w:val="14"/>
                <w:b w:val="1"/>
                <w:bCs w:val="1"/>
                <w:color w:val="auto"/>
              </w:rPr>
              <w:t>Exhibit No.</w:t>
            </w:r>
          </w:p>
        </w:tc>
        <w:tc>
          <w:tcPr>
            <w:tcW w:w="16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740" w:type="dxa"/>
            <w:vAlign w:val="bottom"/>
            <w:gridSpan w:val="1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7"/>
                <w:szCs w:val="17"/>
                <w:color w:val="auto"/>
              </w:rPr>
              <w:t>10.14*</w:t>
            </w: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740" w:type="dxa"/>
            <w:vAlign w:val="bottom"/>
            <w:tcBorders>
              <w:bottom w:val="single" w:sz="8" w:color="0000FF"/>
            </w:tcBorders>
            <w:gridSpan w:val="17"/>
          </w:tcPr>
          <w:p>
            <w:pPr>
              <w:spacing w:after="0"/>
              <w:rPr>
                <w:rFonts w:ascii="Arial" w:cs="Arial" w:eastAsia="Arial" w:hAnsi="Arial"/>
                <w:sz w:val="17"/>
                <w:szCs w:val="17"/>
                <w:color w:val="0000FF"/>
              </w:rPr>
            </w:pPr>
            <w:hyperlink r:id="rId141">
              <w:r>
                <w:rPr>
                  <w:rFonts w:ascii="Arial" w:cs="Arial" w:eastAsia="Arial" w:hAnsi="Arial"/>
                  <w:sz w:val="17"/>
                  <w:szCs w:val="17"/>
                  <w:color w:val="0000FF"/>
                </w:rPr>
                <w:t>Form of market stock unit award agreement under the Biogen Idec Inc. 2008 Omnibus Equity Plan. Filed as Exhibit</w:t>
              </w:r>
            </w:hyperlink>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740" w:type="dxa"/>
            <w:vAlign w:val="bottom"/>
            <w:gridSpan w:val="17"/>
          </w:tcPr>
          <w:p>
            <w:pPr>
              <w:spacing w:after="0" w:line="172" w:lineRule="exact"/>
              <w:rPr>
                <w:rFonts w:ascii="Arial" w:cs="Arial" w:eastAsia="Arial" w:hAnsi="Arial"/>
                <w:sz w:val="17"/>
                <w:szCs w:val="17"/>
                <w:color w:val="0000FF"/>
              </w:rPr>
            </w:pPr>
            <w:hyperlink r:id="rId141">
              <w:r>
                <w:rPr>
                  <w:rFonts w:ascii="Arial" w:cs="Arial" w:eastAsia="Arial" w:hAnsi="Arial"/>
                  <w:sz w:val="17"/>
                  <w:szCs w:val="17"/>
                  <w:color w:val="0000FF"/>
                </w:rPr>
                <w:t>10.</w:t>
              </w:r>
              <w:r>
                <w:rPr>
                  <w:rFonts w:ascii="Arial" w:cs="Arial" w:eastAsia="Arial" w:hAnsi="Arial"/>
                  <w:sz w:val="17"/>
                  <w:szCs w:val="17"/>
                  <w:u w:val="single" w:color="auto"/>
                  <w:color w:val="0000FF"/>
                </w:rPr>
                <w:t>3</w:t>
              </w:r>
              <w:r>
                <w:rPr>
                  <w:rFonts w:ascii="Arial" w:cs="Arial" w:eastAsia="Arial" w:hAnsi="Arial"/>
                  <w:sz w:val="17"/>
                  <w:szCs w:val="17"/>
                  <w:color w:val="0000FF"/>
                </w:rPr>
                <w:t xml:space="preserve"> to our Quarterly Report on Form 10-Q for the quarter ended March 31, 2014.</w:t>
              </w:r>
            </w:hyperlink>
          </w:p>
        </w:tc>
      </w:tr>
      <w:tr>
        <w:trPr>
          <w:trHeight w:val="20"/>
        </w:trPr>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10.15*</w:t>
            </w: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740" w:type="dxa"/>
            <w:vAlign w:val="bottom"/>
            <w:tcBorders>
              <w:bottom w:val="single" w:sz="8" w:color="0000FF"/>
            </w:tcBorders>
            <w:gridSpan w:val="17"/>
          </w:tcPr>
          <w:p>
            <w:pPr>
              <w:spacing w:after="0"/>
              <w:rPr>
                <w:rFonts w:ascii="Arial" w:cs="Arial" w:eastAsia="Arial" w:hAnsi="Arial"/>
                <w:sz w:val="17"/>
                <w:szCs w:val="17"/>
                <w:color w:val="0000FF"/>
              </w:rPr>
            </w:pPr>
            <w:hyperlink r:id="rId142">
              <w:r>
                <w:rPr>
                  <w:rFonts w:ascii="Arial" w:cs="Arial" w:eastAsia="Arial" w:hAnsi="Arial"/>
                  <w:sz w:val="17"/>
                  <w:szCs w:val="17"/>
                  <w:color w:val="0000FF"/>
                </w:rPr>
                <w:t>Form of restricted stock unit award agreement under the Biogen Idec Inc. 2008 Omnibus Equity Plan. Filed as</w:t>
              </w:r>
            </w:hyperlink>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400" w:type="dxa"/>
            <w:vAlign w:val="bottom"/>
            <w:tcBorders>
              <w:bottom w:val="single" w:sz="8" w:color="0000FF"/>
            </w:tcBorders>
            <w:gridSpan w:val="9"/>
          </w:tcPr>
          <w:p>
            <w:pPr>
              <w:spacing w:after="0" w:line="172" w:lineRule="exact"/>
              <w:rPr>
                <w:rFonts w:ascii="Arial" w:cs="Arial" w:eastAsia="Arial" w:hAnsi="Arial"/>
                <w:sz w:val="17"/>
                <w:szCs w:val="17"/>
                <w:color w:val="0000FF"/>
              </w:rPr>
            </w:pPr>
            <w:hyperlink r:id="rId142">
              <w:r>
                <w:rPr>
                  <w:rFonts w:ascii="Arial" w:cs="Arial" w:eastAsia="Arial" w:hAnsi="Arial"/>
                  <w:sz w:val="17"/>
                  <w:szCs w:val="17"/>
                  <w:color w:val="0000FF"/>
                </w:rPr>
                <w:t>Exhibit 10.1 to our Current Report on Form 8-K filed on August 1, 2008.</w:t>
              </w:r>
            </w:hyperlink>
          </w:p>
        </w:tc>
        <w:tc>
          <w:tcPr>
            <w:tcW w:w="3340" w:type="dxa"/>
            <w:vAlign w:val="bottom"/>
            <w:gridSpan w:val="8"/>
          </w:tcPr>
          <w:p>
            <w:pPr>
              <w:spacing w:after="0"/>
              <w:rPr>
                <w:sz w:val="14"/>
                <w:szCs w:val="14"/>
                <w:color w:val="auto"/>
              </w:rPr>
            </w:pPr>
          </w:p>
        </w:tc>
      </w:tr>
      <w:tr>
        <w:trPr>
          <w:trHeight w:val="415"/>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10.16*</w:t>
            </w: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740" w:type="dxa"/>
            <w:vAlign w:val="bottom"/>
            <w:tcBorders>
              <w:bottom w:val="single" w:sz="8" w:color="0000FF"/>
            </w:tcBorders>
            <w:gridSpan w:val="17"/>
          </w:tcPr>
          <w:p>
            <w:pPr>
              <w:spacing w:after="0"/>
              <w:rPr>
                <w:rFonts w:ascii="Arial" w:cs="Arial" w:eastAsia="Arial" w:hAnsi="Arial"/>
                <w:sz w:val="17"/>
                <w:szCs w:val="17"/>
                <w:color w:val="0000FF"/>
              </w:rPr>
            </w:pPr>
            <w:hyperlink r:id="rId143">
              <w:r>
                <w:rPr>
                  <w:rFonts w:ascii="Arial" w:cs="Arial" w:eastAsia="Arial" w:hAnsi="Arial"/>
                  <w:sz w:val="17"/>
                  <w:szCs w:val="17"/>
                  <w:color w:val="0000FF"/>
                </w:rPr>
                <w:t>Form of nonqualified stock option award agreement under the Biogen Idec Inc. 2008 Omnibus Equity Plan. Filed as</w:t>
              </w:r>
            </w:hyperlink>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400" w:type="dxa"/>
            <w:vAlign w:val="bottom"/>
            <w:tcBorders>
              <w:bottom w:val="single" w:sz="8" w:color="0000FF"/>
            </w:tcBorders>
            <w:gridSpan w:val="9"/>
          </w:tcPr>
          <w:p>
            <w:pPr>
              <w:spacing w:after="0" w:line="172" w:lineRule="exact"/>
              <w:rPr>
                <w:rFonts w:ascii="Arial" w:cs="Arial" w:eastAsia="Arial" w:hAnsi="Arial"/>
                <w:sz w:val="17"/>
                <w:szCs w:val="17"/>
                <w:color w:val="0000FF"/>
              </w:rPr>
            </w:pPr>
            <w:hyperlink r:id="rId143">
              <w:r>
                <w:rPr>
                  <w:rFonts w:ascii="Arial" w:cs="Arial" w:eastAsia="Arial" w:hAnsi="Arial"/>
                  <w:sz w:val="17"/>
                  <w:szCs w:val="17"/>
                  <w:color w:val="0000FF"/>
                </w:rPr>
                <w:t>Exhibit 10.2 to our Current Report on Form 8-K filed on August 1, 2008.</w:t>
              </w:r>
            </w:hyperlink>
          </w:p>
        </w:tc>
        <w:tc>
          <w:tcPr>
            <w:tcW w:w="3340" w:type="dxa"/>
            <w:vAlign w:val="bottom"/>
            <w:gridSpan w:val="8"/>
          </w:tcPr>
          <w:p>
            <w:pPr>
              <w:spacing w:after="0"/>
              <w:rPr>
                <w:sz w:val="14"/>
                <w:szCs w:val="14"/>
                <w:color w:val="auto"/>
              </w:rPr>
            </w:pPr>
          </w:p>
        </w:tc>
      </w:tr>
      <w:tr>
        <w:trPr>
          <w:trHeight w:val="415"/>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10.17*</w:t>
            </w: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740" w:type="dxa"/>
            <w:vAlign w:val="bottom"/>
            <w:tcBorders>
              <w:bottom w:val="single" w:sz="8" w:color="0000FF"/>
            </w:tcBorders>
            <w:gridSpan w:val="17"/>
          </w:tcPr>
          <w:p>
            <w:pPr>
              <w:spacing w:after="0"/>
              <w:rPr>
                <w:rFonts w:ascii="Arial" w:cs="Arial" w:eastAsia="Arial" w:hAnsi="Arial"/>
                <w:sz w:val="17"/>
                <w:szCs w:val="17"/>
                <w:color w:val="0000FF"/>
              </w:rPr>
            </w:pPr>
            <w:hyperlink r:id="rId144">
              <w:r>
                <w:rPr>
                  <w:rFonts w:ascii="Arial" w:cs="Arial" w:eastAsia="Arial" w:hAnsi="Arial"/>
                  <w:sz w:val="17"/>
                  <w:szCs w:val="17"/>
                  <w:color w:val="0000FF"/>
                </w:rPr>
                <w:t>Form of cash-settled performance shares award agreement under the Biogen Idec Inc. 2008 Omnibus Equity Plan.</w:t>
              </w:r>
            </w:hyperlink>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740" w:type="dxa"/>
            <w:vAlign w:val="bottom"/>
            <w:gridSpan w:val="17"/>
          </w:tcPr>
          <w:p>
            <w:pPr>
              <w:spacing w:after="0" w:line="172" w:lineRule="exact"/>
              <w:rPr>
                <w:rFonts w:ascii="Arial" w:cs="Arial" w:eastAsia="Arial" w:hAnsi="Arial"/>
                <w:sz w:val="17"/>
                <w:szCs w:val="17"/>
                <w:color w:val="0000FF"/>
              </w:rPr>
            </w:pPr>
            <w:hyperlink r:id="rId144">
              <w:r>
                <w:rPr>
                  <w:rFonts w:ascii="Arial" w:cs="Arial" w:eastAsia="Arial" w:hAnsi="Arial"/>
                  <w:sz w:val="17"/>
                  <w:szCs w:val="17"/>
                  <w:color w:val="0000FF"/>
                </w:rPr>
                <w:t>Filed as Exhibit 10.1 to our Quarterly Report on Form 10-Q for the quarter ended March 31, 2010.</w:t>
              </w:r>
            </w:hyperlink>
          </w:p>
        </w:tc>
      </w:tr>
      <w:tr>
        <w:trPr>
          <w:trHeight w:val="20"/>
        </w:trPr>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10.18*</w:t>
            </w: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740" w:type="dxa"/>
            <w:vAlign w:val="bottom"/>
            <w:tcBorders>
              <w:bottom w:val="single" w:sz="8" w:color="0000FF"/>
            </w:tcBorders>
            <w:gridSpan w:val="17"/>
          </w:tcPr>
          <w:p>
            <w:pPr>
              <w:spacing w:after="0"/>
              <w:rPr>
                <w:rFonts w:ascii="Arial" w:cs="Arial" w:eastAsia="Arial" w:hAnsi="Arial"/>
                <w:sz w:val="17"/>
                <w:szCs w:val="17"/>
                <w:color w:val="0000FF"/>
              </w:rPr>
            </w:pPr>
            <w:hyperlink r:id="rId145">
              <w:r>
                <w:rPr>
                  <w:rFonts w:ascii="Arial" w:cs="Arial" w:eastAsia="Arial" w:hAnsi="Arial"/>
                  <w:sz w:val="17"/>
                  <w:szCs w:val="17"/>
                  <w:color w:val="0000FF"/>
                </w:rPr>
                <w:t>Biogen Inc. 2006 Non-Employee Directors Equity Plan, as amended. Filed as Exhibit 10.1 to our Quarterly Report</w:t>
              </w:r>
            </w:hyperlink>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000" w:type="dxa"/>
            <w:vAlign w:val="bottom"/>
            <w:tcBorders>
              <w:bottom w:val="single" w:sz="8" w:color="0000FF"/>
            </w:tcBorders>
            <w:gridSpan w:val="5"/>
          </w:tcPr>
          <w:p>
            <w:pPr>
              <w:spacing w:after="0" w:line="172" w:lineRule="exact"/>
              <w:rPr>
                <w:rFonts w:ascii="Arial" w:cs="Arial" w:eastAsia="Arial" w:hAnsi="Arial"/>
                <w:sz w:val="17"/>
                <w:szCs w:val="17"/>
                <w:color w:val="0000FF"/>
              </w:rPr>
            </w:pPr>
            <w:hyperlink r:id="rId145">
              <w:r>
                <w:rPr>
                  <w:rFonts w:ascii="Arial" w:cs="Arial" w:eastAsia="Arial" w:hAnsi="Arial"/>
                  <w:sz w:val="17"/>
                  <w:szCs w:val="17"/>
                  <w:color w:val="0000FF"/>
                </w:rPr>
                <w:t>on Form 10-Q for the quarter ended March 31, 2015.</w:t>
              </w:r>
            </w:hyperlink>
          </w:p>
        </w:tc>
        <w:tc>
          <w:tcPr>
            <w:tcW w:w="4740" w:type="dxa"/>
            <w:vAlign w:val="bottom"/>
            <w:gridSpan w:val="12"/>
          </w:tcPr>
          <w:p>
            <w:pPr>
              <w:spacing w:after="0"/>
              <w:rPr>
                <w:sz w:val="14"/>
                <w:szCs w:val="14"/>
                <w:color w:val="auto"/>
              </w:rPr>
            </w:pPr>
          </w:p>
        </w:tc>
      </w:tr>
      <w:tr>
        <w:trPr>
          <w:trHeight w:val="223"/>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10.19*</w:t>
            </w: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740" w:type="dxa"/>
            <w:vAlign w:val="bottom"/>
            <w:tcBorders>
              <w:bottom w:val="single" w:sz="8" w:color="0000FF"/>
            </w:tcBorders>
            <w:gridSpan w:val="17"/>
          </w:tcPr>
          <w:p>
            <w:pPr>
              <w:spacing w:after="0"/>
              <w:rPr>
                <w:rFonts w:ascii="Arial" w:cs="Arial" w:eastAsia="Arial" w:hAnsi="Arial"/>
                <w:sz w:val="17"/>
                <w:szCs w:val="17"/>
                <w:color w:val="0000FF"/>
              </w:rPr>
            </w:pPr>
            <w:hyperlink r:id="rId146">
              <w:r>
                <w:rPr>
                  <w:rFonts w:ascii="Arial" w:cs="Arial" w:eastAsia="Arial" w:hAnsi="Arial"/>
                  <w:sz w:val="17"/>
                  <w:szCs w:val="17"/>
                  <w:color w:val="0000FF"/>
                </w:rPr>
                <w:t>Biogen Inc. 2015 Employee Stock Purchase Plan. Filed as Appendix A to our Definitive Proxy Statement on</w:t>
              </w:r>
            </w:hyperlink>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20" w:type="dxa"/>
            <w:vAlign w:val="bottom"/>
            <w:tcBorders>
              <w:bottom w:val="single" w:sz="8" w:color="0000FF"/>
            </w:tcBorders>
            <w:gridSpan w:val="2"/>
          </w:tcPr>
          <w:p>
            <w:pPr>
              <w:spacing w:after="0" w:line="172" w:lineRule="exact"/>
              <w:rPr>
                <w:rFonts w:ascii="Arial" w:cs="Arial" w:eastAsia="Arial" w:hAnsi="Arial"/>
                <w:sz w:val="17"/>
                <w:szCs w:val="17"/>
                <w:color w:val="0000FF"/>
              </w:rPr>
            </w:pPr>
            <w:hyperlink r:id="rId146">
              <w:r>
                <w:rPr>
                  <w:rFonts w:ascii="Arial" w:cs="Arial" w:eastAsia="Arial" w:hAnsi="Arial"/>
                  <w:sz w:val="17"/>
                  <w:szCs w:val="17"/>
                  <w:color w:val="0000FF"/>
                </w:rPr>
                <w:t>Schedule 14A filed on April 30, 2015.</w:t>
              </w:r>
            </w:hyperlink>
          </w:p>
        </w:tc>
        <w:tc>
          <w:tcPr>
            <w:tcW w:w="5920" w:type="dxa"/>
            <w:vAlign w:val="bottom"/>
            <w:gridSpan w:val="15"/>
          </w:tcPr>
          <w:p>
            <w:pPr>
              <w:spacing w:after="0"/>
              <w:rPr>
                <w:sz w:val="14"/>
                <w:szCs w:val="14"/>
                <w:color w:val="auto"/>
              </w:rPr>
            </w:pPr>
          </w:p>
        </w:tc>
      </w:tr>
      <w:tr>
        <w:trPr>
          <w:trHeight w:val="223"/>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10.20*</w:t>
            </w: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740" w:type="dxa"/>
            <w:vAlign w:val="bottom"/>
            <w:gridSpan w:val="17"/>
          </w:tcPr>
          <w:p>
            <w:pPr>
              <w:spacing w:after="0"/>
              <w:rPr>
                <w:rFonts w:ascii="Arial" w:cs="Arial" w:eastAsia="Arial" w:hAnsi="Arial"/>
                <w:sz w:val="17"/>
                <w:szCs w:val="17"/>
                <w:color w:val="0000FF"/>
              </w:rPr>
            </w:pPr>
            <w:hyperlink r:id="rId147">
              <w:r>
                <w:rPr>
                  <w:rFonts w:ascii="Arial" w:cs="Arial" w:eastAsia="Arial" w:hAnsi="Arial"/>
                  <w:sz w:val="17"/>
                  <w:szCs w:val="17"/>
                  <w:color w:val="0000FF"/>
                </w:rPr>
                <w:t>Biogen Idec Inc. 2008 Performance-Based Management Incentive Plan. Filed as Appendix B to our Definitive Proxy</w:t>
              </w:r>
            </w:hyperlink>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720" w:type="dxa"/>
            <w:vAlign w:val="bottom"/>
            <w:tcBorders>
              <w:top w:val="single" w:sz="8" w:color="0000FF"/>
            </w:tcBorders>
            <w:gridSpan w:val="16"/>
          </w:tcPr>
          <w:p>
            <w:pPr>
              <w:spacing w:after="0" w:line="172" w:lineRule="exact"/>
              <w:rPr>
                <w:rFonts w:ascii="Arial" w:cs="Arial" w:eastAsia="Arial" w:hAnsi="Arial"/>
                <w:sz w:val="17"/>
                <w:szCs w:val="17"/>
                <w:color w:val="0000FF"/>
              </w:rPr>
            </w:pPr>
            <w:hyperlink r:id="rId147">
              <w:r>
                <w:rPr>
                  <w:rFonts w:ascii="Arial" w:cs="Arial" w:eastAsia="Arial" w:hAnsi="Arial"/>
                  <w:sz w:val="17"/>
                  <w:szCs w:val="17"/>
                  <w:color w:val="0000FF"/>
                </w:rPr>
                <w:t>Statement on Schedule 14A filed on May 8, 2008.</w:t>
              </w:r>
            </w:hyperlink>
          </w:p>
        </w:tc>
        <w:tc>
          <w:tcPr>
            <w:tcW w:w="20" w:type="dxa"/>
            <w:vAlign w:val="bottom"/>
          </w:tcPr>
          <w:p>
            <w:pPr>
              <w:spacing w:after="0"/>
              <w:rPr>
                <w:sz w:val="14"/>
                <w:szCs w:val="14"/>
                <w:color w:val="auto"/>
              </w:rPr>
            </w:pPr>
          </w:p>
        </w:tc>
      </w:tr>
      <w:tr>
        <w:trPr>
          <w:trHeight w:val="20"/>
        </w:trPr>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10.21*</w:t>
            </w: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740" w:type="dxa"/>
            <w:vAlign w:val="bottom"/>
            <w:tcBorders>
              <w:bottom w:val="single" w:sz="8" w:color="0000FF"/>
            </w:tcBorders>
            <w:gridSpan w:val="17"/>
          </w:tcPr>
          <w:p>
            <w:pPr>
              <w:spacing w:after="0"/>
              <w:rPr>
                <w:rFonts w:ascii="Arial" w:cs="Arial" w:eastAsia="Arial" w:hAnsi="Arial"/>
                <w:sz w:val="17"/>
                <w:szCs w:val="17"/>
                <w:color w:val="0000FF"/>
              </w:rPr>
            </w:pPr>
            <w:hyperlink r:id="rId148">
              <w:r>
                <w:rPr>
                  <w:rFonts w:ascii="Arial" w:cs="Arial" w:eastAsia="Arial" w:hAnsi="Arial"/>
                  <w:sz w:val="17"/>
                  <w:szCs w:val="17"/>
                  <w:color w:val="0000FF"/>
                </w:rPr>
                <w:t>Biogen Idec Inc. Voluntary Executive Supplemental Savings Plan, as amended and restated effective January 1,</w:t>
              </w:r>
            </w:hyperlink>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860" w:type="dxa"/>
            <w:vAlign w:val="bottom"/>
            <w:tcBorders>
              <w:bottom w:val="single" w:sz="8" w:color="0000FF"/>
            </w:tcBorders>
            <w:gridSpan w:val="13"/>
          </w:tcPr>
          <w:p>
            <w:pPr>
              <w:spacing w:after="0" w:line="172" w:lineRule="exact"/>
              <w:rPr>
                <w:rFonts w:ascii="Arial" w:cs="Arial" w:eastAsia="Arial" w:hAnsi="Arial"/>
                <w:sz w:val="17"/>
                <w:szCs w:val="17"/>
                <w:color w:val="0000FF"/>
              </w:rPr>
            </w:pPr>
            <w:hyperlink r:id="rId148">
              <w:r>
                <w:rPr>
                  <w:rFonts w:ascii="Arial" w:cs="Arial" w:eastAsia="Arial" w:hAnsi="Arial"/>
                  <w:sz w:val="17"/>
                  <w:szCs w:val="17"/>
                  <w:color w:val="0000FF"/>
                </w:rPr>
                <w:t>2004. Filed as Exhibit 10.13 to our Annual Report on Form 10-K for the year ended December 31, 2003.</w:t>
              </w:r>
            </w:hyperlink>
          </w:p>
        </w:tc>
        <w:tc>
          <w:tcPr>
            <w:tcW w:w="880" w:type="dxa"/>
            <w:vAlign w:val="bottom"/>
            <w:gridSpan w:val="4"/>
          </w:tcPr>
          <w:p>
            <w:pPr>
              <w:spacing w:after="0"/>
              <w:rPr>
                <w:sz w:val="14"/>
                <w:szCs w:val="14"/>
                <w:color w:val="auto"/>
              </w:rPr>
            </w:pPr>
          </w:p>
        </w:tc>
      </w:tr>
      <w:tr>
        <w:trPr>
          <w:trHeight w:val="223"/>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10.22*</w:t>
            </w: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740" w:type="dxa"/>
            <w:vAlign w:val="bottom"/>
            <w:tcBorders>
              <w:bottom w:val="single" w:sz="8" w:color="0000FF"/>
            </w:tcBorders>
            <w:gridSpan w:val="17"/>
          </w:tcPr>
          <w:p>
            <w:pPr>
              <w:spacing w:after="0"/>
              <w:rPr>
                <w:rFonts w:ascii="Arial" w:cs="Arial" w:eastAsia="Arial" w:hAnsi="Arial"/>
                <w:sz w:val="17"/>
                <w:szCs w:val="17"/>
                <w:color w:val="0000FF"/>
              </w:rPr>
            </w:pPr>
            <w:hyperlink r:id="rId149">
              <w:r>
                <w:rPr>
                  <w:rFonts w:ascii="Arial" w:cs="Arial" w:eastAsia="Arial" w:hAnsi="Arial"/>
                  <w:sz w:val="17"/>
                  <w:szCs w:val="17"/>
                  <w:color w:val="0000FF"/>
                </w:rPr>
                <w:t>Biogen Idec Inc. Supplemental Savings Plan, as amended. Filed as Exhibit 10.23 to our Annual Report on Form 10-</w:t>
              </w:r>
            </w:hyperlink>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740" w:type="dxa"/>
            <w:vAlign w:val="bottom"/>
            <w:gridSpan w:val="17"/>
          </w:tcPr>
          <w:p>
            <w:pPr>
              <w:spacing w:after="0" w:line="172" w:lineRule="exact"/>
              <w:rPr>
                <w:rFonts w:ascii="Arial" w:cs="Arial" w:eastAsia="Arial" w:hAnsi="Arial"/>
                <w:sz w:val="17"/>
                <w:szCs w:val="17"/>
                <w:color w:val="0000FF"/>
              </w:rPr>
            </w:pPr>
            <w:hyperlink r:id="rId149">
              <w:r>
                <w:rPr>
                  <w:rFonts w:ascii="Arial" w:cs="Arial" w:eastAsia="Arial" w:hAnsi="Arial"/>
                  <w:sz w:val="17"/>
                  <w:szCs w:val="17"/>
                  <w:color w:val="0000FF"/>
                </w:rPr>
                <w:t>K for the year ended December 31, 2015.</w:t>
              </w:r>
            </w:hyperlink>
          </w:p>
        </w:tc>
      </w:tr>
      <w:tr>
        <w:trPr>
          <w:trHeight w:val="20"/>
        </w:trPr>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10.23*</w:t>
            </w: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740" w:type="dxa"/>
            <w:vAlign w:val="bottom"/>
            <w:gridSpan w:val="17"/>
          </w:tcPr>
          <w:p>
            <w:pPr>
              <w:spacing w:after="0"/>
              <w:rPr>
                <w:rFonts w:ascii="Arial" w:cs="Arial" w:eastAsia="Arial" w:hAnsi="Arial"/>
                <w:sz w:val="17"/>
                <w:szCs w:val="17"/>
                <w:color w:val="0000FF"/>
              </w:rPr>
            </w:pPr>
            <w:hyperlink r:id="rId150">
              <w:r>
                <w:rPr>
                  <w:rFonts w:ascii="Arial" w:cs="Arial" w:eastAsia="Arial" w:hAnsi="Arial"/>
                  <w:sz w:val="17"/>
                  <w:szCs w:val="17"/>
                  <w:color w:val="0000FF"/>
                </w:rPr>
                <w:t>Biogen Idec Inc. Voluntary Board of Directors Savings Plan, as amended. Filed as Exhibit 10.24 to our Annual</w:t>
              </w:r>
            </w:hyperlink>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640" w:type="dxa"/>
            <w:vAlign w:val="bottom"/>
            <w:tcBorders>
              <w:top w:val="single" w:sz="8" w:color="0000FF"/>
              <w:bottom w:val="single" w:sz="8" w:color="0000FF"/>
            </w:tcBorders>
            <w:gridSpan w:val="6"/>
          </w:tcPr>
          <w:p>
            <w:pPr>
              <w:spacing w:after="0" w:line="172" w:lineRule="exact"/>
              <w:rPr>
                <w:rFonts w:ascii="Arial" w:cs="Arial" w:eastAsia="Arial" w:hAnsi="Arial"/>
                <w:sz w:val="17"/>
                <w:szCs w:val="17"/>
                <w:color w:val="0000FF"/>
              </w:rPr>
            </w:pPr>
            <w:hyperlink r:id="rId150">
              <w:r>
                <w:rPr>
                  <w:rFonts w:ascii="Arial" w:cs="Arial" w:eastAsia="Arial" w:hAnsi="Arial"/>
                  <w:sz w:val="17"/>
                  <w:szCs w:val="17"/>
                  <w:color w:val="0000FF"/>
                </w:rPr>
                <w:t>Report on Form 10-K for the year ended December 31, 2015.</w:t>
              </w:r>
            </w:hyperlink>
          </w:p>
        </w:tc>
        <w:tc>
          <w:tcPr>
            <w:tcW w:w="4080" w:type="dxa"/>
            <w:vAlign w:val="bottom"/>
            <w:tcBorders>
              <w:top w:val="single" w:sz="8" w:color="0000FF"/>
            </w:tcBorders>
            <w:gridSpan w:val="10"/>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10.24*</w:t>
            </w: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740" w:type="dxa"/>
            <w:vAlign w:val="bottom"/>
            <w:tcBorders>
              <w:bottom w:val="single" w:sz="8" w:color="0000FF"/>
            </w:tcBorders>
            <w:gridSpan w:val="17"/>
          </w:tcPr>
          <w:p>
            <w:pPr>
              <w:spacing w:after="0"/>
              <w:rPr>
                <w:rFonts w:ascii="Arial" w:cs="Arial" w:eastAsia="Arial" w:hAnsi="Arial"/>
                <w:sz w:val="17"/>
                <w:szCs w:val="17"/>
                <w:color w:val="0000FF"/>
              </w:rPr>
            </w:pPr>
            <w:hyperlink r:id="rId151">
              <w:r>
                <w:rPr>
                  <w:rFonts w:ascii="Arial" w:cs="Arial" w:eastAsia="Arial" w:hAnsi="Arial"/>
                  <w:sz w:val="17"/>
                  <w:szCs w:val="17"/>
                  <w:color w:val="0000FF"/>
                </w:rPr>
                <w:t>Biogen Idec Inc. Executive Severance Policy - U.S. Executive Vice President, as amended effective January 1,</w:t>
              </w:r>
            </w:hyperlink>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860" w:type="dxa"/>
            <w:vAlign w:val="bottom"/>
            <w:tcBorders>
              <w:bottom w:val="single" w:sz="8" w:color="0000FF"/>
            </w:tcBorders>
            <w:gridSpan w:val="13"/>
          </w:tcPr>
          <w:p>
            <w:pPr>
              <w:spacing w:after="0" w:line="172" w:lineRule="exact"/>
              <w:rPr>
                <w:rFonts w:ascii="Arial" w:cs="Arial" w:eastAsia="Arial" w:hAnsi="Arial"/>
                <w:sz w:val="17"/>
                <w:szCs w:val="17"/>
                <w:color w:val="0000FF"/>
              </w:rPr>
            </w:pPr>
            <w:hyperlink r:id="rId151">
              <w:r>
                <w:rPr>
                  <w:rFonts w:ascii="Arial" w:cs="Arial" w:eastAsia="Arial" w:hAnsi="Arial"/>
                  <w:sz w:val="17"/>
                  <w:szCs w:val="17"/>
                  <w:color w:val="0000FF"/>
                </w:rPr>
                <w:t>2014. Filed as Exhibit 10.39 to our Annual Report on Form 10-K for the year ended December 31, 2013.</w:t>
              </w:r>
            </w:hyperlink>
          </w:p>
        </w:tc>
        <w:tc>
          <w:tcPr>
            <w:tcW w:w="880" w:type="dxa"/>
            <w:vAlign w:val="bottom"/>
            <w:gridSpan w:val="4"/>
          </w:tcPr>
          <w:p>
            <w:pPr>
              <w:spacing w:after="0"/>
              <w:rPr>
                <w:sz w:val="14"/>
                <w:szCs w:val="14"/>
                <w:color w:val="auto"/>
              </w:rPr>
            </w:pPr>
          </w:p>
        </w:tc>
      </w:tr>
      <w:tr>
        <w:trPr>
          <w:trHeight w:val="223"/>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10.25*</w:t>
            </w: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740" w:type="dxa"/>
            <w:vAlign w:val="bottom"/>
            <w:tcBorders>
              <w:bottom w:val="single" w:sz="8" w:color="0000FF"/>
            </w:tcBorders>
            <w:gridSpan w:val="17"/>
          </w:tcPr>
          <w:p>
            <w:pPr>
              <w:spacing w:after="0"/>
              <w:rPr>
                <w:rFonts w:ascii="Arial" w:cs="Arial" w:eastAsia="Arial" w:hAnsi="Arial"/>
                <w:sz w:val="17"/>
                <w:szCs w:val="17"/>
                <w:color w:val="0000FF"/>
              </w:rPr>
            </w:pPr>
            <w:hyperlink r:id="rId152">
              <w:r>
                <w:rPr>
                  <w:rFonts w:ascii="Arial" w:cs="Arial" w:eastAsia="Arial" w:hAnsi="Arial"/>
                  <w:sz w:val="17"/>
                  <w:szCs w:val="17"/>
                  <w:color w:val="0000FF"/>
                </w:rPr>
                <w:t>Biogen Idec Inc. Executive Severance Policy - International Executive Vice President, as amended effective</w:t>
              </w:r>
            </w:hyperlink>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700" w:type="dxa"/>
            <w:vAlign w:val="bottom"/>
            <w:tcBorders>
              <w:bottom w:val="single" w:sz="8" w:color="0000FF"/>
            </w:tcBorders>
            <w:gridSpan w:val="15"/>
          </w:tcPr>
          <w:p>
            <w:pPr>
              <w:spacing w:after="0" w:line="172" w:lineRule="exact"/>
              <w:rPr>
                <w:rFonts w:ascii="Arial" w:cs="Arial" w:eastAsia="Arial" w:hAnsi="Arial"/>
                <w:sz w:val="17"/>
                <w:szCs w:val="17"/>
                <w:color w:val="0000FF"/>
              </w:rPr>
            </w:pPr>
            <w:hyperlink r:id="rId152">
              <w:r>
                <w:rPr>
                  <w:rFonts w:ascii="Arial" w:cs="Arial" w:eastAsia="Arial" w:hAnsi="Arial"/>
                  <w:sz w:val="17"/>
                  <w:szCs w:val="17"/>
                  <w:color w:val="0000FF"/>
                </w:rPr>
                <w:t>January 1, 2014. Filed as Exhibit 10.40 to our Annual Report on Form 10-K for the year ended December 31, 2013.</w:t>
              </w:r>
            </w:hyperlink>
          </w:p>
        </w:tc>
        <w:tc>
          <w:tcPr>
            <w:tcW w:w="40" w:type="dxa"/>
            <w:vAlign w:val="bottom"/>
            <w:gridSpan w:val="2"/>
          </w:tcPr>
          <w:p>
            <w:pPr>
              <w:spacing w:after="0"/>
              <w:rPr>
                <w:sz w:val="14"/>
                <w:szCs w:val="14"/>
                <w:color w:val="auto"/>
              </w:rPr>
            </w:pPr>
          </w:p>
        </w:tc>
      </w:tr>
      <w:tr>
        <w:trPr>
          <w:trHeight w:val="223"/>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10.26*</w:t>
            </w: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740" w:type="dxa"/>
            <w:vAlign w:val="bottom"/>
            <w:tcBorders>
              <w:bottom w:val="single" w:sz="8" w:color="0000FF"/>
            </w:tcBorders>
            <w:gridSpan w:val="17"/>
          </w:tcPr>
          <w:p>
            <w:pPr>
              <w:spacing w:after="0"/>
              <w:rPr>
                <w:rFonts w:ascii="Arial" w:cs="Arial" w:eastAsia="Arial" w:hAnsi="Arial"/>
                <w:sz w:val="17"/>
                <w:szCs w:val="17"/>
                <w:color w:val="0000FF"/>
              </w:rPr>
            </w:pPr>
            <w:hyperlink r:id="rId153">
              <w:r>
                <w:rPr>
                  <w:rFonts w:ascii="Arial" w:cs="Arial" w:eastAsia="Arial" w:hAnsi="Arial"/>
                  <w:sz w:val="17"/>
                  <w:szCs w:val="17"/>
                  <w:color w:val="0000FF"/>
                </w:rPr>
                <w:t>Biogen Idec Inc. Executive Severance Policy - U.S. Senior Vice President, as amended effective October 13, 2008.</w:t>
              </w:r>
            </w:hyperlink>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380" w:type="dxa"/>
            <w:vAlign w:val="bottom"/>
            <w:tcBorders>
              <w:bottom w:val="single" w:sz="8" w:color="0000FF"/>
            </w:tcBorders>
            <w:gridSpan w:val="12"/>
          </w:tcPr>
          <w:p>
            <w:pPr>
              <w:spacing w:after="0" w:line="172" w:lineRule="exact"/>
              <w:rPr>
                <w:rFonts w:ascii="Arial" w:cs="Arial" w:eastAsia="Arial" w:hAnsi="Arial"/>
                <w:sz w:val="17"/>
                <w:szCs w:val="17"/>
                <w:color w:val="0000FF"/>
              </w:rPr>
            </w:pPr>
            <w:hyperlink r:id="rId153">
              <w:r>
                <w:rPr>
                  <w:rFonts w:ascii="Arial" w:cs="Arial" w:eastAsia="Arial" w:hAnsi="Arial"/>
                  <w:sz w:val="17"/>
                  <w:szCs w:val="17"/>
                  <w:color w:val="0000FF"/>
                </w:rPr>
                <w:t>Filed as Exhibit 10.53 to our Annual Report on Form 10-K for the year ended December 31, 2008.</w:t>
              </w:r>
            </w:hyperlink>
          </w:p>
        </w:tc>
        <w:tc>
          <w:tcPr>
            <w:tcW w:w="1360" w:type="dxa"/>
            <w:vAlign w:val="bottom"/>
            <w:gridSpan w:val="5"/>
          </w:tcPr>
          <w:p>
            <w:pPr>
              <w:spacing w:after="0"/>
              <w:rPr>
                <w:sz w:val="14"/>
                <w:szCs w:val="14"/>
                <w:color w:val="auto"/>
              </w:rPr>
            </w:pPr>
          </w:p>
        </w:tc>
      </w:tr>
      <w:tr>
        <w:trPr>
          <w:trHeight w:val="223"/>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10.27*</w:t>
            </w: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740" w:type="dxa"/>
            <w:vAlign w:val="bottom"/>
            <w:tcBorders>
              <w:bottom w:val="single" w:sz="8" w:color="0000FF"/>
            </w:tcBorders>
            <w:gridSpan w:val="17"/>
          </w:tcPr>
          <w:p>
            <w:pPr>
              <w:spacing w:after="0"/>
              <w:rPr>
                <w:rFonts w:ascii="Arial" w:cs="Arial" w:eastAsia="Arial" w:hAnsi="Arial"/>
                <w:sz w:val="17"/>
                <w:szCs w:val="17"/>
                <w:color w:val="0000FF"/>
              </w:rPr>
            </w:pPr>
            <w:hyperlink r:id="rId154">
              <w:r>
                <w:rPr>
                  <w:rFonts w:ascii="Arial" w:cs="Arial" w:eastAsia="Arial" w:hAnsi="Arial"/>
                  <w:sz w:val="17"/>
                  <w:szCs w:val="17"/>
                  <w:color w:val="0000FF"/>
                </w:rPr>
                <w:t>Biogen Idec Inc. Executive Severance Policy - International Senior Vice President, as amended effective October</w:t>
              </w:r>
            </w:hyperlink>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140" w:type="dxa"/>
            <w:vAlign w:val="bottom"/>
            <w:tcBorders>
              <w:bottom w:val="single" w:sz="8" w:color="0000FF"/>
            </w:tcBorders>
            <w:gridSpan w:val="14"/>
          </w:tcPr>
          <w:p>
            <w:pPr>
              <w:spacing w:after="0" w:line="172" w:lineRule="exact"/>
              <w:rPr>
                <w:rFonts w:ascii="Arial" w:cs="Arial" w:eastAsia="Arial" w:hAnsi="Arial"/>
                <w:sz w:val="17"/>
                <w:szCs w:val="17"/>
                <w:color w:val="0000FF"/>
              </w:rPr>
            </w:pPr>
            <w:hyperlink r:id="rId154">
              <w:r>
                <w:rPr>
                  <w:rFonts w:ascii="Arial" w:cs="Arial" w:eastAsia="Arial" w:hAnsi="Arial"/>
                  <w:sz w:val="17"/>
                  <w:szCs w:val="17"/>
                  <w:color w:val="0000FF"/>
                </w:rPr>
                <w:t>13, 2008. Filed as Exhibit 10.54 to our Annual Report on Form 10-K for the year ended December 31, 2008.</w:t>
              </w:r>
            </w:hyperlink>
          </w:p>
        </w:tc>
        <w:tc>
          <w:tcPr>
            <w:tcW w:w="600" w:type="dxa"/>
            <w:vAlign w:val="bottom"/>
            <w:gridSpan w:val="3"/>
          </w:tcPr>
          <w:p>
            <w:pPr>
              <w:spacing w:after="0"/>
              <w:rPr>
                <w:sz w:val="14"/>
                <w:szCs w:val="14"/>
                <w:color w:val="auto"/>
              </w:rPr>
            </w:pPr>
          </w:p>
        </w:tc>
      </w:tr>
      <w:tr>
        <w:trPr>
          <w:trHeight w:val="236"/>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10.28*+</w:t>
            </w: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740" w:type="dxa"/>
            <w:vAlign w:val="bottom"/>
            <w:gridSpan w:val="17"/>
          </w:tcPr>
          <w:p>
            <w:pPr>
              <w:spacing w:after="0"/>
              <w:rPr>
                <w:rFonts w:ascii="Arial" w:cs="Arial" w:eastAsia="Arial" w:hAnsi="Arial"/>
                <w:sz w:val="17"/>
                <w:szCs w:val="17"/>
                <w:color w:val="0000FF"/>
              </w:rPr>
            </w:pPr>
            <w:hyperlink w:anchor="page187">
              <w:r>
                <w:rPr>
                  <w:rFonts w:ascii="Arial" w:cs="Arial" w:eastAsia="Arial" w:hAnsi="Arial"/>
                  <w:sz w:val="17"/>
                  <w:szCs w:val="17"/>
                  <w:color w:val="0000FF"/>
                </w:rPr>
                <w:t>Annual Retainer Summary for Board of Directors.</w:t>
              </w:r>
            </w:hyperlink>
          </w:p>
        </w:tc>
      </w:tr>
      <w:tr>
        <w:trPr>
          <w:trHeight w:val="20"/>
        </w:trPr>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35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10.29*</w:t>
            </w: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740" w:type="dxa"/>
            <w:vAlign w:val="bottom"/>
            <w:tcBorders>
              <w:bottom w:val="single" w:sz="8" w:color="0000FF"/>
            </w:tcBorders>
            <w:gridSpan w:val="17"/>
          </w:tcPr>
          <w:p>
            <w:pPr>
              <w:spacing w:after="0"/>
              <w:rPr>
                <w:rFonts w:ascii="Arial" w:cs="Arial" w:eastAsia="Arial" w:hAnsi="Arial"/>
                <w:sz w:val="17"/>
                <w:szCs w:val="17"/>
                <w:color w:val="0000FF"/>
              </w:rPr>
            </w:pPr>
            <w:hyperlink r:id="rId155">
              <w:r>
                <w:rPr>
                  <w:rFonts w:ascii="Arial" w:cs="Arial" w:eastAsia="Arial" w:hAnsi="Arial"/>
                  <w:sz w:val="17"/>
                  <w:szCs w:val="17"/>
                  <w:color w:val="0000FF"/>
                </w:rPr>
                <w:t>Form of indemnification agreement for directors and executive officers. Filed as Exhibit 10.1 to our Current Report</w:t>
              </w:r>
            </w:hyperlink>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40" w:type="dxa"/>
            <w:vAlign w:val="bottom"/>
            <w:tcBorders>
              <w:bottom w:val="single" w:sz="8" w:color="0000FF"/>
            </w:tcBorders>
          </w:tcPr>
          <w:p>
            <w:pPr>
              <w:spacing w:after="0" w:line="172" w:lineRule="exact"/>
              <w:rPr>
                <w:rFonts w:ascii="Arial" w:cs="Arial" w:eastAsia="Arial" w:hAnsi="Arial"/>
                <w:sz w:val="17"/>
                <w:szCs w:val="17"/>
                <w:color w:val="0000FF"/>
              </w:rPr>
            </w:pPr>
            <w:hyperlink r:id="rId155">
              <w:r>
                <w:rPr>
                  <w:rFonts w:ascii="Arial" w:cs="Arial" w:eastAsia="Arial" w:hAnsi="Arial"/>
                  <w:sz w:val="17"/>
                  <w:szCs w:val="17"/>
                  <w:color w:val="0000FF"/>
                </w:rPr>
                <w:t>on Form 8-K filed on June 7, 2011.</w:t>
              </w:r>
            </w:hyperlink>
          </w:p>
        </w:tc>
        <w:tc>
          <w:tcPr>
            <w:tcW w:w="6100" w:type="dxa"/>
            <w:vAlign w:val="bottom"/>
            <w:gridSpan w:val="16"/>
          </w:tcPr>
          <w:p>
            <w:pPr>
              <w:spacing w:after="0"/>
              <w:rPr>
                <w:sz w:val="14"/>
                <w:szCs w:val="14"/>
                <w:color w:val="auto"/>
              </w:rPr>
            </w:pPr>
          </w:p>
        </w:tc>
      </w:tr>
      <w:tr>
        <w:trPr>
          <w:trHeight w:val="223"/>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10.30*</w:t>
            </w: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740" w:type="dxa"/>
            <w:vAlign w:val="bottom"/>
            <w:gridSpan w:val="17"/>
          </w:tcPr>
          <w:p>
            <w:pPr>
              <w:spacing w:after="0"/>
              <w:rPr>
                <w:rFonts w:ascii="Arial" w:cs="Arial" w:eastAsia="Arial" w:hAnsi="Arial"/>
                <w:sz w:val="17"/>
                <w:szCs w:val="17"/>
                <w:color w:val="0000FF"/>
              </w:rPr>
            </w:pPr>
            <w:hyperlink r:id="rId156">
              <w:r>
                <w:rPr>
                  <w:rFonts w:ascii="Arial" w:cs="Arial" w:eastAsia="Arial" w:hAnsi="Arial"/>
                  <w:sz w:val="17"/>
                  <w:szCs w:val="17"/>
                  <w:color w:val="0000FF"/>
                </w:rPr>
                <w:t>Employment Agreement between Biogen Inc. and Michel Vounatsos dated December 18, 2016. Filed as Exhibit</w:t>
              </w:r>
            </w:hyperlink>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720" w:type="dxa"/>
            <w:vAlign w:val="bottom"/>
            <w:tcBorders>
              <w:top w:val="single" w:sz="8" w:color="0000FF"/>
            </w:tcBorders>
            <w:gridSpan w:val="16"/>
          </w:tcPr>
          <w:p>
            <w:pPr>
              <w:spacing w:after="0" w:line="172" w:lineRule="exact"/>
              <w:rPr>
                <w:rFonts w:ascii="Arial" w:cs="Arial" w:eastAsia="Arial" w:hAnsi="Arial"/>
                <w:sz w:val="17"/>
                <w:szCs w:val="17"/>
                <w:color w:val="0000FF"/>
              </w:rPr>
            </w:pPr>
            <w:hyperlink r:id="rId156">
              <w:r>
                <w:rPr>
                  <w:rFonts w:ascii="Arial" w:cs="Arial" w:eastAsia="Arial" w:hAnsi="Arial"/>
                  <w:sz w:val="17"/>
                  <w:szCs w:val="17"/>
                  <w:color w:val="0000FF"/>
                </w:rPr>
                <w:t>10.</w:t>
              </w:r>
              <w:r>
                <w:rPr>
                  <w:rFonts w:ascii="Arial" w:cs="Arial" w:eastAsia="Arial" w:hAnsi="Arial"/>
                  <w:sz w:val="17"/>
                  <w:szCs w:val="17"/>
                  <w:u w:val="single" w:color="auto"/>
                  <w:color w:val="0000FF"/>
                </w:rPr>
                <w:t>1</w:t>
              </w:r>
              <w:r>
                <w:rPr>
                  <w:rFonts w:ascii="Arial" w:cs="Arial" w:eastAsia="Arial" w:hAnsi="Arial"/>
                  <w:sz w:val="17"/>
                  <w:szCs w:val="17"/>
                  <w:color w:val="0000FF"/>
                </w:rPr>
                <w:t xml:space="preserve"> to our Current Report on Form 8-K filed on December 19, 2016.</w:t>
              </w:r>
            </w:hyperlink>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3" w:lineRule="exact"/>
        <w:rPr>
          <w:sz w:val="20"/>
          <w:szCs w:val="20"/>
          <w:color w:val="auto"/>
        </w:rPr>
      </w:pPr>
    </w:p>
    <w:p>
      <w:pPr>
        <w:sectPr>
          <w:pgSz w:w="11900" w:h="16838" w:orient="portrait"/>
          <w:cols w:equalWidth="0" w:num="1">
            <w:col w:w="11400"/>
          </w:cols>
          <w:pgMar w:left="240" w:top="119" w:right="259" w:bottom="1440" w:gutter="0" w:footer="0" w:header="0"/>
        </w:sectPr>
      </w:pPr>
    </w:p>
    <w:p>
      <w:pPr>
        <w:ind w:left="20"/>
        <w:spacing w:after="0"/>
        <w:rPr>
          <w:sz w:val="20"/>
          <w:szCs w:val="20"/>
          <w:color w:val="auto"/>
        </w:rPr>
      </w:pPr>
      <w:r>
        <w:rPr>
          <w:rFonts w:ascii="Arial" w:cs="Arial" w:eastAsia="Arial" w:hAnsi="Arial"/>
          <w:sz w:val="17"/>
          <w:szCs w:val="17"/>
          <w:color w:val="auto"/>
        </w:rPr>
        <w:t>10.31*+</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10.32*+</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10.33*+</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10.34*</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7"/>
          <w:szCs w:val="17"/>
          <w:u w:val="single" w:color="auto"/>
          <w:color w:val="0000FF"/>
        </w:rPr>
      </w:pPr>
      <w:hyperlink w:anchor="page188">
        <w:r>
          <w:rPr>
            <w:rFonts w:ascii="Arial" w:cs="Arial" w:eastAsia="Arial" w:hAnsi="Arial"/>
            <w:sz w:val="17"/>
            <w:szCs w:val="17"/>
            <w:u w:val="single" w:color="auto"/>
            <w:color w:val="0000FF"/>
          </w:rPr>
          <w:t>Letter regarding employment arrangement of Jeffrey Capello dated November 14, 2017.</w:t>
        </w:r>
      </w:hyperlink>
    </w:p>
    <w:p>
      <w:pPr>
        <w:spacing w:after="0" w:line="61" w:lineRule="exact"/>
        <w:rPr>
          <w:sz w:val="20"/>
          <w:szCs w:val="20"/>
          <w:color w:val="auto"/>
        </w:rPr>
      </w:pPr>
    </w:p>
    <w:p>
      <w:pPr>
        <w:spacing w:after="0"/>
        <w:rPr>
          <w:rFonts w:ascii="Arial" w:cs="Arial" w:eastAsia="Arial" w:hAnsi="Arial"/>
          <w:sz w:val="17"/>
          <w:szCs w:val="17"/>
          <w:u w:val="single" w:color="auto"/>
          <w:color w:val="0000FF"/>
        </w:rPr>
      </w:pPr>
      <w:hyperlink w:anchor="page193">
        <w:r>
          <w:rPr>
            <w:rFonts w:ascii="Arial" w:cs="Arial" w:eastAsia="Arial" w:hAnsi="Arial"/>
            <w:sz w:val="17"/>
            <w:szCs w:val="17"/>
            <w:u w:val="single" w:color="auto"/>
            <w:color w:val="0000FF"/>
          </w:rPr>
          <w:t>Letter regarding employment arrangement of Gregory Covino dated February 25, 2012.</w:t>
        </w:r>
      </w:hyperlink>
    </w:p>
    <w:p>
      <w:pPr>
        <w:spacing w:after="0" w:line="61" w:lineRule="exact"/>
        <w:rPr>
          <w:sz w:val="20"/>
          <w:szCs w:val="20"/>
          <w:color w:val="auto"/>
        </w:rPr>
      </w:pPr>
    </w:p>
    <w:p>
      <w:pPr>
        <w:spacing w:after="0"/>
        <w:rPr>
          <w:rFonts w:ascii="Arial" w:cs="Arial" w:eastAsia="Arial" w:hAnsi="Arial"/>
          <w:sz w:val="17"/>
          <w:szCs w:val="17"/>
          <w:u w:val="single" w:color="auto"/>
          <w:color w:val="0000FF"/>
        </w:rPr>
      </w:pPr>
      <w:hyperlink w:anchor="page197">
        <w:r>
          <w:rPr>
            <w:rFonts w:ascii="Arial" w:cs="Arial" w:eastAsia="Arial" w:hAnsi="Arial"/>
            <w:sz w:val="17"/>
            <w:szCs w:val="17"/>
            <w:u w:val="single" w:color="auto"/>
            <w:color w:val="0000FF"/>
          </w:rPr>
          <w:t>Letter regarding employment arrangement of Michael Ehlers dated April 16, 2016.</w:t>
        </w:r>
      </w:hyperlink>
    </w:p>
    <w:p>
      <w:pPr>
        <w:spacing w:after="0" w:line="48" w:lineRule="exact"/>
        <w:rPr>
          <w:sz w:val="20"/>
          <w:szCs w:val="20"/>
          <w:color w:val="auto"/>
        </w:rPr>
      </w:pPr>
    </w:p>
    <w:p>
      <w:pPr>
        <w:ind w:right="20"/>
        <w:spacing w:after="0" w:line="246" w:lineRule="auto"/>
        <w:rPr>
          <w:rFonts w:ascii="Arial" w:cs="Arial" w:eastAsia="Arial" w:hAnsi="Arial"/>
          <w:sz w:val="17"/>
          <w:szCs w:val="17"/>
          <w:u w:val="single" w:color="auto"/>
          <w:color w:val="0000FF"/>
        </w:rPr>
      </w:pPr>
      <w:hyperlink r:id="rId157">
        <w:r>
          <w:rPr>
            <w:rFonts w:ascii="Arial" w:cs="Arial" w:eastAsia="Arial" w:hAnsi="Arial"/>
            <w:sz w:val="17"/>
            <w:szCs w:val="17"/>
            <w:u w:val="single" w:color="auto"/>
            <w:color w:val="0000FF"/>
          </w:rPr>
          <w:t>Letter regarding employment arrangement of Susan Alexander dated December 31, 2005. Filed as Exhibit 10.58 to</w:t>
        </w:r>
      </w:hyperlink>
      <w:r>
        <w:rPr>
          <w:rFonts w:ascii="Arial" w:cs="Arial" w:eastAsia="Arial" w:hAnsi="Arial"/>
          <w:sz w:val="17"/>
          <w:szCs w:val="17"/>
          <w:u w:val="single" w:color="auto"/>
          <w:color w:val="0000FF"/>
        </w:rPr>
        <w:t xml:space="preserve"> </w:t>
      </w:r>
      <w:hyperlink r:id="rId157">
        <w:r>
          <w:rPr>
            <w:rFonts w:ascii="Arial" w:cs="Arial" w:eastAsia="Arial" w:hAnsi="Arial"/>
            <w:sz w:val="17"/>
            <w:szCs w:val="17"/>
            <w:u w:val="single" w:color="auto"/>
            <w:color w:val="0000FF"/>
          </w:rPr>
          <w:t>our Annual Report on Form 10-K for the year ended December 31, 2009.</w:t>
        </w:r>
      </w:hyperlink>
    </w:p>
    <w:p>
      <w:pPr>
        <w:spacing w:after="0" w:line="7" w:lineRule="exact"/>
        <w:rPr>
          <w:sz w:val="20"/>
          <w:szCs w:val="20"/>
          <w:color w:val="auto"/>
        </w:rPr>
      </w:pPr>
    </w:p>
    <w:p>
      <w:pPr>
        <w:sectPr>
          <w:pgSz w:w="11900" w:h="16838" w:orient="portrait"/>
          <w:cols w:equalWidth="0" w:num="2">
            <w:col w:w="1940" w:space="720"/>
            <w:col w:w="8740"/>
          </w:cols>
          <w:pgMar w:left="240" w:top="119" w:right="259" w:bottom="1440" w:gutter="0" w:footer="0" w:header="0"/>
          <w:type w:val="continuous"/>
        </w:sectPr>
      </w:pPr>
    </w:p>
    <w:tbl>
      <w:tblPr>
        <w:tblLayout w:type="fixed"/>
        <w:tblInd w:w="20" w:type="dxa"/>
        <w:tblCellMar>
          <w:top w:w="0" w:type="dxa"/>
          <w:left w:w="0" w:type="dxa"/>
          <w:bottom w:w="0" w:type="dxa"/>
          <w:right w:w="0" w:type="dxa"/>
        </w:tblCellMar>
      </w:tblPr>
      <w:tr>
        <w:trPr>
          <w:trHeight w:val="195"/>
        </w:trPr>
        <w:tc>
          <w:tcPr>
            <w:tcW w:w="2640" w:type="dxa"/>
            <w:vAlign w:val="bottom"/>
          </w:tcPr>
          <w:p>
            <w:pPr>
              <w:jc w:val="right"/>
              <w:ind w:right="2055"/>
              <w:spacing w:after="0"/>
              <w:rPr>
                <w:sz w:val="20"/>
                <w:szCs w:val="20"/>
                <w:color w:val="auto"/>
              </w:rPr>
            </w:pPr>
            <w:r>
              <w:rPr>
                <w:rFonts w:ascii="Arial" w:cs="Arial" w:eastAsia="Arial" w:hAnsi="Arial"/>
                <w:sz w:val="17"/>
                <w:szCs w:val="17"/>
                <w:color w:val="auto"/>
                <w:w w:val="97"/>
              </w:rPr>
              <w:t>10.35*</w:t>
            </w:r>
          </w:p>
        </w:tc>
        <w:tc>
          <w:tcPr>
            <w:tcW w:w="8740" w:type="dxa"/>
            <w:vAlign w:val="bottom"/>
            <w:tcBorders>
              <w:bottom w:val="single" w:sz="8" w:color="0000FF"/>
            </w:tcBorders>
            <w:gridSpan w:val="4"/>
          </w:tcPr>
          <w:p>
            <w:pPr>
              <w:spacing w:after="0"/>
              <w:rPr>
                <w:rFonts w:ascii="Arial" w:cs="Arial" w:eastAsia="Arial" w:hAnsi="Arial"/>
                <w:sz w:val="17"/>
                <w:szCs w:val="17"/>
                <w:color w:val="0000FF"/>
              </w:rPr>
            </w:pPr>
            <w:hyperlink r:id="rId158">
              <w:r>
                <w:rPr>
                  <w:rFonts w:ascii="Arial" w:cs="Arial" w:eastAsia="Arial" w:hAnsi="Arial"/>
                  <w:sz w:val="17"/>
                  <w:szCs w:val="17"/>
                  <w:color w:val="0000FF"/>
                </w:rPr>
                <w:t>Employment Agreement between Biogen Idec. Inc. and George A. Scangos amended as of August 23, 2013. Filed</w:t>
              </w:r>
            </w:hyperlink>
          </w:p>
        </w:tc>
      </w:tr>
      <w:tr>
        <w:trPr>
          <w:trHeight w:val="172"/>
        </w:trPr>
        <w:tc>
          <w:tcPr>
            <w:tcW w:w="2640" w:type="dxa"/>
            <w:vAlign w:val="bottom"/>
          </w:tcPr>
          <w:p>
            <w:pPr>
              <w:spacing w:after="0"/>
              <w:rPr>
                <w:sz w:val="14"/>
                <w:szCs w:val="14"/>
                <w:color w:val="auto"/>
              </w:rPr>
            </w:pPr>
          </w:p>
        </w:tc>
        <w:tc>
          <w:tcPr>
            <w:tcW w:w="5720" w:type="dxa"/>
            <w:vAlign w:val="bottom"/>
            <w:tcBorders>
              <w:bottom w:val="single" w:sz="8" w:color="0000FF"/>
            </w:tcBorders>
            <w:gridSpan w:val="3"/>
          </w:tcPr>
          <w:p>
            <w:pPr>
              <w:spacing w:after="0" w:line="172" w:lineRule="exact"/>
              <w:rPr>
                <w:rFonts w:ascii="Arial" w:cs="Arial" w:eastAsia="Arial" w:hAnsi="Arial"/>
                <w:sz w:val="17"/>
                <w:szCs w:val="17"/>
                <w:color w:val="0000FF"/>
              </w:rPr>
            </w:pPr>
            <w:hyperlink r:id="rId158">
              <w:r>
                <w:rPr>
                  <w:rFonts w:ascii="Arial" w:cs="Arial" w:eastAsia="Arial" w:hAnsi="Arial"/>
                  <w:sz w:val="17"/>
                  <w:szCs w:val="17"/>
                  <w:color w:val="0000FF"/>
                </w:rPr>
                <w:t>as Exhibit 10.1 to our Current Report on Form 8-K filed on August 26, 2013.</w:t>
              </w:r>
            </w:hyperlink>
          </w:p>
        </w:tc>
        <w:tc>
          <w:tcPr>
            <w:tcW w:w="3020" w:type="dxa"/>
            <w:vAlign w:val="bottom"/>
          </w:tcPr>
          <w:p>
            <w:pPr>
              <w:spacing w:after="0"/>
              <w:rPr>
                <w:sz w:val="14"/>
                <w:szCs w:val="14"/>
                <w:color w:val="auto"/>
              </w:rPr>
            </w:pPr>
          </w:p>
        </w:tc>
      </w:tr>
      <w:tr>
        <w:trPr>
          <w:trHeight w:val="223"/>
        </w:trPr>
        <w:tc>
          <w:tcPr>
            <w:tcW w:w="2640" w:type="dxa"/>
            <w:vAlign w:val="bottom"/>
          </w:tcPr>
          <w:p>
            <w:pPr>
              <w:jc w:val="right"/>
              <w:ind w:right="2055"/>
              <w:spacing w:after="0"/>
              <w:rPr>
                <w:sz w:val="20"/>
                <w:szCs w:val="20"/>
                <w:color w:val="auto"/>
              </w:rPr>
            </w:pPr>
            <w:r>
              <w:rPr>
                <w:rFonts w:ascii="Arial" w:cs="Arial" w:eastAsia="Arial" w:hAnsi="Arial"/>
                <w:sz w:val="17"/>
                <w:szCs w:val="17"/>
                <w:color w:val="auto"/>
                <w:w w:val="97"/>
              </w:rPr>
              <w:t>10.36*</w:t>
            </w:r>
          </w:p>
        </w:tc>
        <w:tc>
          <w:tcPr>
            <w:tcW w:w="8740" w:type="dxa"/>
            <w:vAlign w:val="bottom"/>
            <w:tcBorders>
              <w:bottom w:val="single" w:sz="8" w:color="0000FF"/>
            </w:tcBorders>
            <w:gridSpan w:val="4"/>
          </w:tcPr>
          <w:p>
            <w:pPr>
              <w:spacing w:after="0"/>
              <w:rPr>
                <w:rFonts w:ascii="Arial" w:cs="Arial" w:eastAsia="Arial" w:hAnsi="Arial"/>
                <w:sz w:val="17"/>
                <w:szCs w:val="17"/>
                <w:color w:val="0000FF"/>
              </w:rPr>
            </w:pPr>
            <w:hyperlink r:id="rId159">
              <w:r>
                <w:rPr>
                  <w:rFonts w:ascii="Arial" w:cs="Arial" w:eastAsia="Arial" w:hAnsi="Arial"/>
                  <w:sz w:val="17"/>
                  <w:szCs w:val="17"/>
                  <w:color w:val="0000FF"/>
                </w:rPr>
                <w:t>Letter regarding employment arrangement of Paul J. Clancy dated August 17, 2007. Filed as Exhibit 10.49 to our</w:t>
              </w:r>
            </w:hyperlink>
          </w:p>
        </w:tc>
      </w:tr>
      <w:tr>
        <w:trPr>
          <w:trHeight w:val="172"/>
        </w:trPr>
        <w:tc>
          <w:tcPr>
            <w:tcW w:w="2640" w:type="dxa"/>
            <w:vAlign w:val="bottom"/>
          </w:tcPr>
          <w:p>
            <w:pPr>
              <w:spacing w:after="0"/>
              <w:rPr>
                <w:sz w:val="14"/>
                <w:szCs w:val="14"/>
                <w:color w:val="auto"/>
              </w:rPr>
            </w:pPr>
          </w:p>
        </w:tc>
        <w:tc>
          <w:tcPr>
            <w:tcW w:w="5220" w:type="dxa"/>
            <w:vAlign w:val="bottom"/>
            <w:tcBorders>
              <w:bottom w:val="single" w:sz="8" w:color="0000FF"/>
            </w:tcBorders>
            <w:gridSpan w:val="2"/>
          </w:tcPr>
          <w:p>
            <w:pPr>
              <w:spacing w:after="0" w:line="172" w:lineRule="exact"/>
              <w:rPr>
                <w:rFonts w:ascii="Arial" w:cs="Arial" w:eastAsia="Arial" w:hAnsi="Arial"/>
                <w:sz w:val="17"/>
                <w:szCs w:val="17"/>
                <w:color w:val="0000FF"/>
              </w:rPr>
            </w:pPr>
            <w:hyperlink r:id="rId159">
              <w:r>
                <w:rPr>
                  <w:rFonts w:ascii="Arial" w:cs="Arial" w:eastAsia="Arial" w:hAnsi="Arial"/>
                  <w:sz w:val="17"/>
                  <w:szCs w:val="17"/>
                  <w:color w:val="0000FF"/>
                </w:rPr>
                <w:t>Annual Report on Form 10-K for the year ended December 31, 2007.</w:t>
              </w:r>
            </w:hyperlink>
          </w:p>
        </w:tc>
        <w:tc>
          <w:tcPr>
            <w:tcW w:w="3520" w:type="dxa"/>
            <w:vAlign w:val="bottom"/>
            <w:gridSpan w:val="2"/>
          </w:tcPr>
          <w:p>
            <w:pPr>
              <w:spacing w:after="0"/>
              <w:rPr>
                <w:sz w:val="14"/>
                <w:szCs w:val="14"/>
                <w:color w:val="auto"/>
              </w:rPr>
            </w:pPr>
          </w:p>
        </w:tc>
      </w:tr>
      <w:tr>
        <w:trPr>
          <w:trHeight w:val="223"/>
        </w:trPr>
        <w:tc>
          <w:tcPr>
            <w:tcW w:w="2640" w:type="dxa"/>
            <w:vAlign w:val="bottom"/>
          </w:tcPr>
          <w:p>
            <w:pPr>
              <w:jc w:val="right"/>
              <w:ind w:right="2055"/>
              <w:spacing w:after="0"/>
              <w:rPr>
                <w:sz w:val="20"/>
                <w:szCs w:val="20"/>
                <w:color w:val="auto"/>
              </w:rPr>
            </w:pPr>
            <w:r>
              <w:rPr>
                <w:rFonts w:ascii="Arial" w:cs="Arial" w:eastAsia="Arial" w:hAnsi="Arial"/>
                <w:sz w:val="17"/>
                <w:szCs w:val="17"/>
                <w:color w:val="auto"/>
                <w:w w:val="97"/>
              </w:rPr>
              <w:t>10.37*</w:t>
            </w:r>
          </w:p>
        </w:tc>
        <w:tc>
          <w:tcPr>
            <w:tcW w:w="8740" w:type="dxa"/>
            <w:vAlign w:val="bottom"/>
            <w:tcBorders>
              <w:bottom w:val="single" w:sz="8" w:color="0000FF"/>
            </w:tcBorders>
            <w:gridSpan w:val="4"/>
          </w:tcPr>
          <w:p>
            <w:pPr>
              <w:spacing w:after="0"/>
              <w:rPr>
                <w:rFonts w:ascii="Arial" w:cs="Arial" w:eastAsia="Arial" w:hAnsi="Arial"/>
                <w:sz w:val="17"/>
                <w:szCs w:val="17"/>
                <w:color w:val="0000FF"/>
              </w:rPr>
            </w:pPr>
            <w:hyperlink r:id="rId160">
              <w:r>
                <w:rPr>
                  <w:rFonts w:ascii="Arial" w:cs="Arial" w:eastAsia="Arial" w:hAnsi="Arial"/>
                  <w:sz w:val="17"/>
                  <w:szCs w:val="17"/>
                  <w:color w:val="0000FF"/>
                </w:rPr>
                <w:t>Letter regarding employment arrangement of John Cox dated May 19, 2016. Filed as Exhibit 10.1 to our Quarterly</w:t>
              </w:r>
            </w:hyperlink>
          </w:p>
        </w:tc>
      </w:tr>
      <w:tr>
        <w:trPr>
          <w:trHeight w:val="172"/>
        </w:trPr>
        <w:tc>
          <w:tcPr>
            <w:tcW w:w="2640" w:type="dxa"/>
            <w:vAlign w:val="bottom"/>
          </w:tcPr>
          <w:p>
            <w:pPr>
              <w:spacing w:after="0"/>
              <w:rPr>
                <w:sz w:val="14"/>
                <w:szCs w:val="14"/>
                <w:color w:val="auto"/>
              </w:rPr>
            </w:pPr>
          </w:p>
        </w:tc>
        <w:tc>
          <w:tcPr>
            <w:tcW w:w="8740" w:type="dxa"/>
            <w:vAlign w:val="bottom"/>
            <w:gridSpan w:val="4"/>
          </w:tcPr>
          <w:p>
            <w:pPr>
              <w:spacing w:after="0" w:line="172" w:lineRule="exact"/>
              <w:rPr>
                <w:rFonts w:ascii="Arial" w:cs="Arial" w:eastAsia="Arial" w:hAnsi="Arial"/>
                <w:sz w:val="17"/>
                <w:szCs w:val="17"/>
                <w:color w:val="0000FF"/>
              </w:rPr>
            </w:pPr>
            <w:hyperlink r:id="rId160">
              <w:r>
                <w:rPr>
                  <w:rFonts w:ascii="Arial" w:cs="Arial" w:eastAsia="Arial" w:hAnsi="Arial"/>
                  <w:sz w:val="17"/>
                  <w:szCs w:val="17"/>
                  <w:color w:val="0000FF"/>
                </w:rPr>
                <w:t>Report on Form 10-Q for the quarter ended June 30, 2016.</w:t>
              </w:r>
            </w:hyperlink>
          </w:p>
        </w:tc>
      </w:tr>
      <w:tr>
        <w:trPr>
          <w:trHeight w:val="465"/>
        </w:trPr>
        <w:tc>
          <w:tcPr>
            <w:tcW w:w="2640" w:type="dxa"/>
            <w:vAlign w:val="bottom"/>
          </w:tcPr>
          <w:p>
            <w:pPr>
              <w:spacing w:after="0"/>
              <w:rPr>
                <w:sz w:val="24"/>
                <w:szCs w:val="24"/>
                <w:color w:val="auto"/>
              </w:rPr>
            </w:pPr>
          </w:p>
        </w:tc>
        <w:tc>
          <w:tcPr>
            <w:tcW w:w="4440" w:type="dxa"/>
            <w:vAlign w:val="bottom"/>
            <w:tcBorders>
              <w:top w:val="single" w:sz="8" w:color="0000FF"/>
            </w:tcBorders>
          </w:tcPr>
          <w:p>
            <w:pPr>
              <w:ind w:left="2960"/>
              <w:spacing w:after="0"/>
              <w:rPr>
                <w:sz w:val="20"/>
                <w:szCs w:val="20"/>
                <w:color w:val="auto"/>
              </w:rPr>
            </w:pPr>
            <w:r>
              <w:rPr>
                <w:rFonts w:ascii="Arial" w:cs="Arial" w:eastAsia="Arial" w:hAnsi="Arial"/>
                <w:sz w:val="17"/>
                <w:szCs w:val="17"/>
                <w:color w:val="auto"/>
              </w:rPr>
              <w:t>95</w:t>
            </w: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20" w:type="dxa"/>
            <w:vAlign w:val="bottom"/>
          </w:tcPr>
          <w:p>
            <w:pPr>
              <w:spacing w:after="0"/>
              <w:rPr>
                <w:sz w:val="24"/>
                <w:szCs w:val="24"/>
                <w:color w:val="auto"/>
              </w:rPr>
            </w:pPr>
          </w:p>
        </w:tc>
      </w:tr>
    </w:tbl>
    <w:p>
      <w:pPr>
        <w:sectPr>
          <w:pgSz w:w="11900" w:h="16838" w:orient="portrait"/>
          <w:cols w:equalWidth="0" w:num="1">
            <w:col w:w="11400"/>
          </w:cols>
          <w:pgMar w:left="240" w:top="119" w:right="259" w:bottom="1440" w:gutter="0" w:footer="0" w:header="0"/>
          <w:type w:val="continuous"/>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4"/>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518"/>
        </w:trPr>
        <w:tc>
          <w:tcPr>
            <w:tcW w:w="2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gridSpan w:val="2"/>
          </w:tcPr>
          <w:p>
            <w:pPr>
              <w:spacing w:after="0"/>
              <w:rPr>
                <w:sz w:val="20"/>
                <w:szCs w:val="20"/>
                <w:color w:val="auto"/>
              </w:rPr>
            </w:pPr>
            <w:r>
              <w:rPr>
                <w:rFonts w:ascii="Arial" w:cs="Arial" w:eastAsia="Arial" w:hAnsi="Arial"/>
                <w:sz w:val="14"/>
                <w:szCs w:val="14"/>
                <w:b w:val="1"/>
                <w:bCs w:val="1"/>
                <w:color w:val="auto"/>
              </w:rPr>
              <w:t>Exhibit No.</w:t>
            </w: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340" w:type="dxa"/>
            <w:vAlign w:val="bottom"/>
            <w:gridSpan w:val="7"/>
          </w:tcPr>
          <w:p>
            <w:pPr>
              <w:ind w:left="260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7"/>
                <w:szCs w:val="17"/>
                <w:color w:val="auto"/>
              </w:rPr>
              <w:t>10.38*</w:t>
            </w: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740" w:type="dxa"/>
            <w:vAlign w:val="bottom"/>
            <w:tcBorders>
              <w:bottom w:val="single" w:sz="8" w:color="0000FF"/>
            </w:tcBorders>
            <w:gridSpan w:val="9"/>
          </w:tcPr>
          <w:p>
            <w:pPr>
              <w:spacing w:after="0"/>
              <w:rPr>
                <w:rFonts w:ascii="Arial" w:cs="Arial" w:eastAsia="Arial" w:hAnsi="Arial"/>
                <w:sz w:val="17"/>
                <w:szCs w:val="17"/>
                <w:color w:val="0000FF"/>
              </w:rPr>
            </w:pPr>
            <w:hyperlink r:id="rId161">
              <w:r>
                <w:rPr>
                  <w:rFonts w:ascii="Arial" w:cs="Arial" w:eastAsia="Arial" w:hAnsi="Arial"/>
                  <w:sz w:val="17"/>
                  <w:szCs w:val="17"/>
                  <w:color w:val="0000FF"/>
                </w:rPr>
                <w:t>Letter regarding employment arrangement of Kenneth DiPietro dated December 12, 2011. Filed as Exhibit 10.49 to</w:t>
              </w:r>
            </w:hyperlink>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740" w:type="dxa"/>
            <w:vAlign w:val="bottom"/>
            <w:gridSpan w:val="9"/>
          </w:tcPr>
          <w:p>
            <w:pPr>
              <w:spacing w:after="0" w:line="172" w:lineRule="exact"/>
              <w:rPr>
                <w:rFonts w:ascii="Arial" w:cs="Arial" w:eastAsia="Arial" w:hAnsi="Arial"/>
                <w:sz w:val="17"/>
                <w:szCs w:val="17"/>
                <w:color w:val="0000FF"/>
              </w:rPr>
            </w:pPr>
            <w:hyperlink r:id="rId161">
              <w:r>
                <w:rPr>
                  <w:rFonts w:ascii="Arial" w:cs="Arial" w:eastAsia="Arial" w:hAnsi="Arial"/>
                  <w:sz w:val="17"/>
                  <w:szCs w:val="17"/>
                  <w:color w:val="0000FF"/>
                </w:rPr>
                <w:t>our Annual Report on Form 10-K for the year ended December 31, 2012.</w:t>
              </w:r>
            </w:hyperlink>
          </w:p>
        </w:tc>
      </w:tr>
      <w:tr>
        <w:trPr>
          <w:trHeight w:val="223"/>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21+</w:t>
            </w: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500" w:type="dxa"/>
            <w:vAlign w:val="bottom"/>
            <w:tcBorders>
              <w:top w:val="single" w:sz="8" w:color="0000FF"/>
            </w:tcBorders>
            <w:gridSpan w:val="5"/>
          </w:tcPr>
          <w:p>
            <w:pPr>
              <w:spacing w:after="0"/>
              <w:rPr>
                <w:rFonts w:ascii="Arial" w:cs="Arial" w:eastAsia="Arial" w:hAnsi="Arial"/>
                <w:sz w:val="17"/>
                <w:szCs w:val="17"/>
                <w:color w:val="0000FF"/>
              </w:rPr>
            </w:pPr>
            <w:hyperlink w:anchor="page204">
              <w:r>
                <w:rPr>
                  <w:rFonts w:ascii="Arial" w:cs="Arial" w:eastAsia="Arial" w:hAnsi="Arial"/>
                  <w:sz w:val="17"/>
                  <w:szCs w:val="17"/>
                  <w:color w:val="0000FF"/>
                </w:rPr>
                <w:t>Subsidiaries.</w:t>
              </w:r>
            </w:hyperlink>
          </w:p>
        </w:tc>
        <w:tc>
          <w:tcPr>
            <w:tcW w:w="3240" w:type="dxa"/>
            <w:vAlign w:val="bottom"/>
            <w:gridSpan w:val="4"/>
          </w:tcPr>
          <w:p>
            <w:pPr>
              <w:spacing w:after="0"/>
              <w:rPr>
                <w:sz w:val="19"/>
                <w:szCs w:val="19"/>
                <w:color w:val="auto"/>
              </w:rPr>
            </w:pPr>
          </w:p>
        </w:tc>
      </w:tr>
      <w:tr>
        <w:trPr>
          <w:trHeight w:val="20"/>
        </w:trPr>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72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23+</w:t>
            </w: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7120" w:type="dxa"/>
            <w:vAlign w:val="bottom"/>
            <w:tcBorders>
              <w:bottom w:val="single" w:sz="8" w:color="0000FF"/>
            </w:tcBorders>
            <w:gridSpan w:val="6"/>
          </w:tcPr>
          <w:p>
            <w:pPr>
              <w:spacing w:after="0"/>
              <w:rPr>
                <w:rFonts w:ascii="Arial" w:cs="Arial" w:eastAsia="Arial" w:hAnsi="Arial"/>
                <w:sz w:val="17"/>
                <w:szCs w:val="17"/>
                <w:color w:val="0000FF"/>
                <w:w w:val="99"/>
              </w:rPr>
            </w:pPr>
            <w:hyperlink w:anchor="page206">
              <w:r>
                <w:rPr>
                  <w:rFonts w:ascii="Arial" w:cs="Arial" w:eastAsia="Arial" w:hAnsi="Arial"/>
                  <w:sz w:val="17"/>
                  <w:szCs w:val="17"/>
                  <w:color w:val="0000FF"/>
                  <w:w w:val="99"/>
                </w:rPr>
                <w:t>Consent of PricewaterhouseCoopers LLP, an Independent Registered Public Accounting Firm.</w:t>
              </w:r>
            </w:hyperlink>
          </w:p>
        </w:tc>
        <w:tc>
          <w:tcPr>
            <w:tcW w:w="1620" w:type="dxa"/>
            <w:vAlign w:val="bottom"/>
            <w:gridSpan w:val="3"/>
          </w:tcPr>
          <w:p>
            <w:pPr>
              <w:spacing w:after="0"/>
              <w:rPr>
                <w:sz w:val="19"/>
                <w:szCs w:val="19"/>
                <w:color w:val="auto"/>
              </w:rPr>
            </w:pPr>
          </w:p>
        </w:tc>
      </w:tr>
      <w:tr>
        <w:trPr>
          <w:trHeight w:val="223"/>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31.1+</w:t>
            </w: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7720" w:type="dxa"/>
            <w:vAlign w:val="bottom"/>
            <w:tcBorders>
              <w:bottom w:val="single" w:sz="8" w:color="0000FF"/>
            </w:tcBorders>
            <w:gridSpan w:val="8"/>
          </w:tcPr>
          <w:p>
            <w:pPr>
              <w:spacing w:after="0"/>
              <w:rPr>
                <w:rFonts w:ascii="Arial" w:cs="Arial" w:eastAsia="Arial" w:hAnsi="Arial"/>
                <w:sz w:val="17"/>
                <w:szCs w:val="17"/>
                <w:color w:val="0000FF"/>
              </w:rPr>
            </w:pPr>
            <w:hyperlink w:anchor="page207">
              <w:r>
                <w:rPr>
                  <w:rFonts w:ascii="Arial" w:cs="Arial" w:eastAsia="Arial" w:hAnsi="Arial"/>
                  <w:sz w:val="17"/>
                  <w:szCs w:val="17"/>
                  <w:color w:val="0000FF"/>
                </w:rPr>
                <w:t>Certification of the Chief Executive Officer pursuant to Section 302 of the Sarbanes-Oxley Act of 2002.</w:t>
              </w:r>
            </w:hyperlink>
          </w:p>
        </w:tc>
        <w:tc>
          <w:tcPr>
            <w:tcW w:w="1020" w:type="dxa"/>
            <w:vAlign w:val="bottom"/>
          </w:tcPr>
          <w:p>
            <w:pPr>
              <w:spacing w:after="0"/>
              <w:rPr>
                <w:sz w:val="19"/>
                <w:szCs w:val="19"/>
                <w:color w:val="auto"/>
              </w:rPr>
            </w:pPr>
          </w:p>
        </w:tc>
      </w:tr>
      <w:tr>
        <w:trPr>
          <w:trHeight w:val="223"/>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31.2+</w:t>
            </w: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7660" w:type="dxa"/>
            <w:vAlign w:val="bottom"/>
            <w:tcBorders>
              <w:bottom w:val="single" w:sz="8" w:color="0000FF"/>
            </w:tcBorders>
            <w:gridSpan w:val="7"/>
          </w:tcPr>
          <w:p>
            <w:pPr>
              <w:spacing w:after="0"/>
              <w:rPr>
                <w:rFonts w:ascii="Arial" w:cs="Arial" w:eastAsia="Arial" w:hAnsi="Arial"/>
                <w:sz w:val="17"/>
                <w:szCs w:val="17"/>
                <w:color w:val="0000FF"/>
              </w:rPr>
            </w:pPr>
            <w:hyperlink w:anchor="page208">
              <w:r>
                <w:rPr>
                  <w:rFonts w:ascii="Arial" w:cs="Arial" w:eastAsia="Arial" w:hAnsi="Arial"/>
                  <w:sz w:val="17"/>
                  <w:szCs w:val="17"/>
                  <w:color w:val="0000FF"/>
                </w:rPr>
                <w:t>Certification of the Chief Financial Officer pursuant to Section 302 of the Sarbanes-Oxley Act of 2002.</w:t>
              </w:r>
            </w:hyperlink>
          </w:p>
        </w:tc>
        <w:tc>
          <w:tcPr>
            <w:tcW w:w="1080" w:type="dxa"/>
            <w:vAlign w:val="bottom"/>
            <w:gridSpan w:val="2"/>
          </w:tcPr>
          <w:p>
            <w:pPr>
              <w:spacing w:after="0"/>
              <w:rPr>
                <w:sz w:val="19"/>
                <w:szCs w:val="19"/>
                <w:color w:val="auto"/>
              </w:rPr>
            </w:pPr>
          </w:p>
        </w:tc>
      </w:tr>
      <w:tr>
        <w:trPr>
          <w:trHeight w:val="223"/>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32.1++</w:t>
            </w: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740" w:type="dxa"/>
            <w:vAlign w:val="bottom"/>
            <w:tcBorders>
              <w:bottom w:val="single" w:sz="8" w:color="0000FF"/>
            </w:tcBorders>
            <w:gridSpan w:val="9"/>
          </w:tcPr>
          <w:p>
            <w:pPr>
              <w:spacing w:after="0"/>
              <w:rPr>
                <w:rFonts w:ascii="Arial" w:cs="Arial" w:eastAsia="Arial" w:hAnsi="Arial"/>
                <w:sz w:val="17"/>
                <w:szCs w:val="17"/>
                <w:color w:val="0000FF"/>
              </w:rPr>
            </w:pPr>
            <w:hyperlink w:anchor="page209">
              <w:r>
                <w:rPr>
                  <w:rFonts w:ascii="Arial" w:cs="Arial" w:eastAsia="Arial" w:hAnsi="Arial"/>
                  <w:sz w:val="17"/>
                  <w:szCs w:val="17"/>
                  <w:color w:val="0000FF"/>
                </w:rPr>
                <w:t>Certification of the Chief Executive Officer and the Chief Financial Officer pursuant to Section 906 of the Sarbanes-</w:t>
              </w:r>
            </w:hyperlink>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740" w:type="dxa"/>
            <w:vAlign w:val="bottom"/>
            <w:gridSpan w:val="9"/>
          </w:tcPr>
          <w:p>
            <w:pPr>
              <w:spacing w:after="0" w:line="172" w:lineRule="exact"/>
              <w:rPr>
                <w:rFonts w:ascii="Arial" w:cs="Arial" w:eastAsia="Arial" w:hAnsi="Arial"/>
                <w:sz w:val="17"/>
                <w:szCs w:val="17"/>
                <w:color w:val="0000FF"/>
              </w:rPr>
            </w:pPr>
            <w:hyperlink w:anchor="page209">
              <w:r>
                <w:rPr>
                  <w:rFonts w:ascii="Arial" w:cs="Arial" w:eastAsia="Arial" w:hAnsi="Arial"/>
                  <w:sz w:val="17"/>
                  <w:szCs w:val="17"/>
                  <w:color w:val="0000FF"/>
                </w:rPr>
                <w:t>Oxley Act of 2002.</w:t>
              </w:r>
            </w:hyperlink>
          </w:p>
        </w:tc>
      </w:tr>
      <w:tr>
        <w:trPr>
          <w:trHeight w:val="20"/>
        </w:trPr>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7340" w:type="dxa"/>
            <w:vAlign w:val="bottom"/>
            <w:gridSpan w:val="7"/>
          </w:tcPr>
          <w:p>
            <w:pPr>
              <w:spacing w:after="0" w:line="20" w:lineRule="exact"/>
              <w:rPr>
                <w:sz w:val="1"/>
                <w:szCs w:val="1"/>
                <w:color w:val="auto"/>
              </w:rPr>
            </w:pPr>
          </w:p>
        </w:tc>
      </w:tr>
      <w:tr>
        <w:trPr>
          <w:trHeight w:val="248"/>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101++</w:t>
            </w:r>
          </w:p>
        </w:tc>
        <w:tc>
          <w:tcPr>
            <w:tcW w:w="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740" w:type="dxa"/>
            <w:vAlign w:val="bottom"/>
            <w:gridSpan w:val="9"/>
          </w:tcPr>
          <w:p>
            <w:pPr>
              <w:spacing w:after="0"/>
              <w:rPr>
                <w:sz w:val="20"/>
                <w:szCs w:val="20"/>
                <w:color w:val="auto"/>
              </w:rPr>
            </w:pPr>
            <w:r>
              <w:rPr>
                <w:rFonts w:ascii="Arial" w:cs="Arial" w:eastAsia="Arial" w:hAnsi="Arial"/>
                <w:sz w:val="17"/>
                <w:szCs w:val="17"/>
                <w:color w:val="auto"/>
              </w:rPr>
              <w:t>The following materials from Biogen Inc.’s Annual Report on Form 10-K for the year ended December 31, 2017,</w:t>
            </w: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740" w:type="dxa"/>
            <w:vAlign w:val="bottom"/>
            <w:gridSpan w:val="9"/>
          </w:tcPr>
          <w:p>
            <w:pPr>
              <w:spacing w:after="0" w:line="192" w:lineRule="exact"/>
              <w:rPr>
                <w:sz w:val="20"/>
                <w:szCs w:val="20"/>
                <w:color w:val="auto"/>
              </w:rPr>
            </w:pPr>
            <w:r>
              <w:rPr>
                <w:rFonts w:ascii="Arial" w:cs="Arial" w:eastAsia="Arial" w:hAnsi="Arial"/>
                <w:sz w:val="17"/>
                <w:szCs w:val="17"/>
                <w:color w:val="auto"/>
              </w:rPr>
              <w:t>formatted in XBRL (Extensible Business Reporting Language): (i) the Consolidated Statements of Income, (ii) the</w:t>
            </w: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740" w:type="dxa"/>
            <w:vAlign w:val="bottom"/>
            <w:gridSpan w:val="9"/>
          </w:tcPr>
          <w:p>
            <w:pPr>
              <w:spacing w:after="0" w:line="192" w:lineRule="exact"/>
              <w:rPr>
                <w:sz w:val="20"/>
                <w:szCs w:val="20"/>
                <w:color w:val="auto"/>
              </w:rPr>
            </w:pPr>
            <w:r>
              <w:rPr>
                <w:rFonts w:ascii="Arial" w:cs="Arial" w:eastAsia="Arial" w:hAnsi="Arial"/>
                <w:sz w:val="17"/>
                <w:szCs w:val="17"/>
                <w:color w:val="auto"/>
              </w:rPr>
              <w:t>Consolidated Statements of Comprehensive Income, (iii) the Consolidated Balance Sheets, (iv) the Consolidated</w:t>
            </w: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740" w:type="dxa"/>
            <w:vAlign w:val="bottom"/>
            <w:gridSpan w:val="9"/>
          </w:tcPr>
          <w:p>
            <w:pPr>
              <w:spacing w:after="0" w:line="192" w:lineRule="exact"/>
              <w:rPr>
                <w:sz w:val="20"/>
                <w:szCs w:val="20"/>
                <w:color w:val="auto"/>
              </w:rPr>
            </w:pPr>
            <w:r>
              <w:rPr>
                <w:rFonts w:ascii="Arial" w:cs="Arial" w:eastAsia="Arial" w:hAnsi="Arial"/>
                <w:sz w:val="17"/>
                <w:szCs w:val="17"/>
                <w:color w:val="auto"/>
              </w:rPr>
              <w:t>Statements of Cash Flows, (v) the Consolidated Statements of Equity and (vi) Notes to Consolidated Financial</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740" w:type="dxa"/>
            <w:vAlign w:val="bottom"/>
            <w:gridSpan w:val="9"/>
          </w:tcPr>
          <w:p>
            <w:pPr>
              <w:spacing w:after="0"/>
              <w:rPr>
                <w:sz w:val="20"/>
                <w:szCs w:val="20"/>
                <w:color w:val="auto"/>
              </w:rPr>
            </w:pPr>
            <w:r>
              <w:rPr>
                <w:rFonts w:ascii="Arial" w:cs="Arial" w:eastAsia="Arial" w:hAnsi="Arial"/>
                <w:sz w:val="17"/>
                <w:szCs w:val="17"/>
                <w:color w:val="auto"/>
              </w:rPr>
              <w:t>Statements.</w:t>
            </w:r>
          </w:p>
        </w:tc>
      </w:tr>
    </w:tbl>
    <w:p>
      <w:pPr>
        <w:spacing w:after="0" w:line="372" w:lineRule="exact"/>
        <w:rPr>
          <w:sz w:val="20"/>
          <w:szCs w:val="20"/>
          <w:color w:val="auto"/>
        </w:rPr>
      </w:pPr>
    </w:p>
    <w:p>
      <w:pPr>
        <w:jc w:val="both"/>
        <w:ind w:left="720" w:hanging="564"/>
        <w:spacing w:after="0" w:line="241" w:lineRule="auto"/>
        <w:tabs>
          <w:tab w:leader="none" w:pos="7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References to “our” filings mean filings made by Biogen Inc. and filings made by IDEC Pharmaceuticals Corporation prior to the merger with Biogen, Inc. Unless otherwise indicated exhibits were previously filed with the Securities and Exchange Commission under Commission File Number 0-19311 and are incorporated herein by reference.</w:t>
      </w:r>
    </w:p>
    <w:p>
      <w:pPr>
        <w:spacing w:after="0" w:line="167" w:lineRule="exact"/>
        <w:rPr>
          <w:sz w:val="20"/>
          <w:szCs w:val="20"/>
          <w:color w:val="auto"/>
        </w:rPr>
      </w:pPr>
    </w:p>
    <w:p>
      <w:pPr>
        <w:ind w:left="720" w:hanging="564"/>
        <w:spacing w:after="0"/>
        <w:tabs>
          <w:tab w:leader="none" w:pos="7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Management contract or compensatory plan or arrangement.</w:t>
      </w:r>
    </w:p>
    <w:p>
      <w:pPr>
        <w:spacing w:after="0" w:line="176" w:lineRule="exact"/>
        <w:rPr>
          <w:sz w:val="20"/>
          <w:szCs w:val="20"/>
          <w:color w:val="auto"/>
        </w:rPr>
      </w:pPr>
    </w:p>
    <w:p>
      <w:pPr>
        <w:ind w:left="720" w:hanging="564"/>
        <w:spacing w:after="0"/>
        <w:tabs>
          <w:tab w:leader="none" w:pos="720" w:val="left"/>
        </w:tabs>
        <w:numPr>
          <w:ilvl w:val="1"/>
          <w:numId w:val="90"/>
        </w:numPr>
        <w:rPr>
          <w:rFonts w:ascii="Arial" w:cs="Arial" w:eastAsia="Arial" w:hAnsi="Arial"/>
          <w:sz w:val="17"/>
          <w:szCs w:val="17"/>
          <w:color w:val="auto"/>
        </w:rPr>
      </w:pPr>
      <w:r>
        <w:rPr>
          <w:rFonts w:ascii="Arial" w:cs="Arial" w:eastAsia="Arial" w:hAnsi="Arial"/>
          <w:sz w:val="17"/>
          <w:szCs w:val="17"/>
          <w:color w:val="auto"/>
        </w:rPr>
        <w:t>Confidential treatment has been granted or requested with respect to portions of this exhibit.</w:t>
      </w:r>
    </w:p>
    <w:p>
      <w:pPr>
        <w:spacing w:after="0" w:line="175" w:lineRule="exact"/>
        <w:rPr>
          <w:rFonts w:ascii="Arial" w:cs="Arial" w:eastAsia="Arial" w:hAnsi="Arial"/>
          <w:sz w:val="17"/>
          <w:szCs w:val="17"/>
          <w:color w:val="auto"/>
        </w:rPr>
      </w:pPr>
    </w:p>
    <w:p>
      <w:pPr>
        <w:ind w:left="160"/>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6"/>
          <w:szCs w:val="16"/>
          <w:color w:val="auto"/>
        </w:rPr>
        <w:t>Filed herewith.</w:t>
      </w:r>
    </w:p>
    <w:p>
      <w:pPr>
        <w:spacing w:after="0" w:line="175" w:lineRule="exact"/>
        <w:rPr>
          <w:rFonts w:ascii="Arial" w:cs="Arial" w:eastAsia="Arial" w:hAnsi="Arial"/>
          <w:sz w:val="17"/>
          <w:szCs w:val="17"/>
          <w:color w:val="auto"/>
        </w:rPr>
      </w:pPr>
    </w:p>
    <w:p>
      <w:pPr>
        <w:ind w:left="260" w:hanging="232"/>
        <w:spacing w:after="0"/>
        <w:tabs>
          <w:tab w:leader="none" w:pos="2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+Furnished herewith.</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1400"/>
          </w:cols>
          <w:pgMar w:left="240" w:top="119" w:right="259" w:bottom="1440" w:gutter="0" w:footer="0" w:header="0"/>
        </w:sectPr>
      </w:pPr>
    </w:p>
    <w:bookmarkStart w:id="100" w:name="page101"/>
    <w:bookmarkEnd w:id="10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3" w:lineRule="exact"/>
        <w:rPr>
          <w:sz w:val="20"/>
          <w:szCs w:val="20"/>
          <w:color w:val="auto"/>
        </w:rPr>
      </w:pPr>
    </w:p>
    <w:p>
      <w:pPr>
        <w:jc w:val="center"/>
        <w:ind w:right="-539"/>
        <w:spacing w:after="0"/>
        <w:rPr>
          <w:sz w:val="20"/>
          <w:szCs w:val="20"/>
          <w:color w:val="auto"/>
        </w:rPr>
      </w:pPr>
      <w:r>
        <w:rPr>
          <w:rFonts w:ascii="Arial" w:cs="Arial" w:eastAsia="Arial" w:hAnsi="Arial"/>
          <w:sz w:val="20"/>
          <w:szCs w:val="20"/>
          <w:b w:val="1"/>
          <w:bCs w:val="1"/>
          <w:color w:val="1C5A7D"/>
        </w:rPr>
        <w:t>SIGNATURES</w:t>
      </w:r>
    </w:p>
    <w:p>
      <w:pPr>
        <w:spacing w:after="0" w:line="109" w:lineRule="exact"/>
        <w:rPr>
          <w:sz w:val="20"/>
          <w:szCs w:val="20"/>
          <w:color w:val="auto"/>
        </w:rPr>
      </w:pPr>
    </w:p>
    <w:p>
      <w:pPr>
        <w:ind w:firstLine="410"/>
        <w:spacing w:after="0" w:line="262"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5" w:lineRule="exact"/>
        <w:rPr>
          <w:sz w:val="20"/>
          <w:szCs w:val="20"/>
          <w:color w:val="auto"/>
        </w:rPr>
      </w:pPr>
    </w:p>
    <w:p>
      <w:pPr>
        <w:ind w:left="7400"/>
        <w:spacing w:after="0"/>
        <w:rPr>
          <w:sz w:val="20"/>
          <w:szCs w:val="20"/>
          <w:color w:val="auto"/>
        </w:rPr>
      </w:pPr>
      <w:r>
        <w:rPr>
          <w:rFonts w:ascii="Arial" w:cs="Arial" w:eastAsia="Arial" w:hAnsi="Arial"/>
          <w:sz w:val="17"/>
          <w:szCs w:val="17"/>
          <w:b w:val="1"/>
          <w:bCs w:val="1"/>
          <w:color w:val="auto"/>
        </w:rPr>
        <w:t>BIOGEN INC.</w:t>
      </w:r>
    </w:p>
    <w:p>
      <w:pPr>
        <w:spacing w:after="0" w:line="375" w:lineRule="exact"/>
        <w:rPr>
          <w:sz w:val="20"/>
          <w:szCs w:val="20"/>
          <w:color w:val="auto"/>
        </w:rPr>
      </w:pPr>
    </w:p>
    <w:p>
      <w:pPr>
        <w:ind w:left="7400"/>
        <w:spacing w:after="0"/>
        <w:tabs>
          <w:tab w:leader="none" w:pos="8020" w:val="left"/>
          <w:tab w:leader="none" w:pos="84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tab/>
        <w:t>M</w:t>
      </w:r>
      <w:r>
        <w:rPr>
          <w:rFonts w:ascii="Arial" w:cs="Arial" w:eastAsia="Arial" w:hAnsi="Arial"/>
          <w:sz w:val="13"/>
          <w:szCs w:val="13"/>
          <w:color w:val="auto"/>
        </w:rPr>
        <w:t>ICHEL</w:t>
      </w:r>
      <w:r>
        <w:rPr>
          <w:rFonts w:ascii="Arial" w:cs="Arial" w:eastAsia="Arial" w:hAnsi="Arial"/>
          <w:sz w:val="17"/>
          <w:szCs w:val="17"/>
          <w:color w:val="auto"/>
        </w:rPr>
        <w:t xml:space="preserve"> V</w:t>
      </w:r>
      <w:r>
        <w:rPr>
          <w:rFonts w:ascii="Arial" w:cs="Arial" w:eastAsia="Arial" w:hAnsi="Arial"/>
          <w:sz w:val="13"/>
          <w:szCs w:val="13"/>
          <w:color w:val="auto"/>
        </w:rPr>
        <w:t>OUNATSOS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5092065</wp:posOffset>
            </wp:positionH>
            <wp:positionV relativeFrom="paragraph">
              <wp:posOffset>14605</wp:posOffset>
            </wp:positionV>
            <wp:extent cx="216281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2">
                      <a:extLst>
                        <a:ext uri="{28A0092B-C50C-407E-A947-70E740481C1C}"/>
                      </a:extLst>
                    </a:blip>
                    <a:srcRect/>
                    <a:stretch>
                      <a:fillRect/>
                    </a:stretch>
                  </pic:blipFill>
                  <pic:spPr bwMode="auto">
                    <a:xfrm>
                      <a:off x="0" y="0"/>
                      <a:ext cx="2162810" cy="8255"/>
                    </a:xfrm>
                    <a:prstGeom prst="rect">
                      <a:avLst/>
                    </a:prstGeom>
                    <a:noFill/>
                  </pic:spPr>
                </pic:pic>
              </a:graphicData>
            </a:graphic>
          </wp:anchor>
        </w:drawing>
      </w:r>
    </w:p>
    <w:p>
      <w:pPr>
        <w:spacing w:after="0" w:line="41" w:lineRule="exact"/>
        <w:rPr>
          <w:sz w:val="20"/>
          <w:szCs w:val="20"/>
          <w:color w:val="auto"/>
        </w:rPr>
      </w:pPr>
    </w:p>
    <w:p>
      <w:pPr>
        <w:ind w:left="8040"/>
        <w:spacing w:after="0"/>
        <w:rPr>
          <w:sz w:val="20"/>
          <w:szCs w:val="20"/>
          <w:color w:val="auto"/>
        </w:rPr>
      </w:pPr>
      <w:r>
        <w:rPr>
          <w:rFonts w:ascii="Arial" w:cs="Arial" w:eastAsia="Arial" w:hAnsi="Arial"/>
          <w:sz w:val="17"/>
          <w:szCs w:val="17"/>
          <w:color w:val="auto"/>
        </w:rPr>
        <w:t>Michel Vounatsos</w:t>
      </w:r>
    </w:p>
    <w:p>
      <w:pPr>
        <w:spacing w:after="0" w:line="61" w:lineRule="exact"/>
        <w:rPr>
          <w:sz w:val="20"/>
          <w:szCs w:val="20"/>
          <w:color w:val="auto"/>
        </w:rPr>
      </w:pPr>
    </w:p>
    <w:p>
      <w:pPr>
        <w:ind w:left="8040"/>
        <w:spacing w:after="0"/>
        <w:rPr>
          <w:sz w:val="20"/>
          <w:szCs w:val="20"/>
          <w:color w:val="auto"/>
        </w:rPr>
      </w:pPr>
      <w:r>
        <w:rPr>
          <w:rFonts w:ascii="Arial" w:cs="Arial" w:eastAsia="Arial" w:hAnsi="Arial"/>
          <w:sz w:val="17"/>
          <w:szCs w:val="17"/>
          <w:color w:val="auto"/>
        </w:rPr>
        <w:t>Chief Executive Officer</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 2018</w:t>
      </w:r>
    </w:p>
    <w:p>
      <w:pPr>
        <w:spacing w:after="0" w:line="240"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0900"/>
          </w:cols>
          <w:pgMar w:left="240" w:top="144" w:right="759" w:bottom="1440" w:gutter="0" w:footer="0" w:header="0"/>
        </w:sectPr>
      </w:pPr>
    </w:p>
    <w:bookmarkStart w:id="101" w:name="page102"/>
    <w:bookmarkEnd w:id="10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2" w:lineRule="exact"/>
        <w:rPr>
          <w:sz w:val="20"/>
          <w:szCs w:val="20"/>
          <w:color w:val="auto"/>
        </w:rPr>
      </w:pPr>
    </w:p>
    <w:p>
      <w:pPr>
        <w:ind w:firstLine="410"/>
        <w:spacing w:after="0" w:line="262"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360"/>
          </w:cols>
          <w:pgMar w:left="240" w:top="144" w:right="299" w:bottom="1440" w:gutter="0" w:footer="0" w:header="0"/>
        </w:sectPr>
      </w:pPr>
    </w:p>
    <w:p>
      <w:pPr>
        <w:spacing w:after="0" w:line="280" w:lineRule="exact"/>
        <w:rPr>
          <w:sz w:val="20"/>
          <w:szCs w:val="20"/>
          <w:color w:val="auto"/>
        </w:rPr>
      </w:pPr>
    </w:p>
    <w:p>
      <w:pPr>
        <w:jc w:val="right"/>
        <w:ind w:right="1940"/>
        <w:spacing w:after="0"/>
        <w:rPr>
          <w:sz w:val="20"/>
          <w:szCs w:val="20"/>
          <w:color w:val="auto"/>
        </w:rPr>
      </w:pPr>
      <w:r>
        <w:rPr>
          <w:rFonts w:ascii="Arial" w:cs="Arial" w:eastAsia="Arial" w:hAnsi="Arial"/>
          <w:sz w:val="14"/>
          <w:szCs w:val="14"/>
          <w:b w:val="1"/>
          <w:bCs w:val="1"/>
          <w:u w:val="single" w:color="auto"/>
          <w:color w:val="auto"/>
        </w:rPr>
        <w:t>Name</w:t>
      </w:r>
    </w:p>
    <w:p>
      <w:pPr>
        <w:spacing w:after="0" w:line="170"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tab/>
        <w:t>M</w:t>
      </w:r>
      <w:r>
        <w:rPr>
          <w:rFonts w:ascii="Arial" w:cs="Arial" w:eastAsia="Arial" w:hAnsi="Arial"/>
          <w:sz w:val="13"/>
          <w:szCs w:val="13"/>
          <w:color w:val="auto"/>
        </w:rPr>
        <w:t>ICHEL</w:t>
      </w:r>
      <w:r>
        <w:rPr>
          <w:rFonts w:ascii="Arial" w:cs="Arial" w:eastAsia="Arial" w:hAnsi="Arial"/>
          <w:sz w:val="17"/>
          <w:szCs w:val="17"/>
          <w:color w:val="auto"/>
        </w:rPr>
        <w:t xml:space="preserve"> V</w:t>
      </w:r>
      <w:r>
        <w:rPr>
          <w:rFonts w:ascii="Arial" w:cs="Arial" w:eastAsia="Arial" w:hAnsi="Arial"/>
          <w:sz w:val="13"/>
          <w:szCs w:val="13"/>
          <w:color w:val="auto"/>
        </w:rPr>
        <w:t>OUNATSOS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0492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3">
                      <a:extLst>
                        <a:ext uri="{28A0092B-C50C-407E-A947-70E740481C1C}"/>
                      </a:extLst>
                    </a:blip>
                    <a:srcRect/>
                    <a:stretch>
                      <a:fillRect/>
                    </a:stretch>
                  </pic:blipFill>
                  <pic:spPr bwMode="auto">
                    <a:xfrm>
                      <a:off x="0" y="0"/>
                      <a:ext cx="3049270" cy="825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Michel Vounatsos</w:t>
      </w:r>
    </w:p>
    <w:p>
      <w:pPr>
        <w:spacing w:after="0" w:line="163"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tab/>
        <w:t>Jeffrey D. Capello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0492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4">
                      <a:extLst>
                        <a:ext uri="{28A0092B-C50C-407E-A947-70E740481C1C}"/>
                      </a:extLst>
                    </a:blip>
                    <a:srcRect/>
                    <a:stretch>
                      <a:fillRect/>
                    </a:stretch>
                  </pic:blipFill>
                  <pic:spPr bwMode="auto">
                    <a:xfrm>
                      <a:off x="0" y="0"/>
                      <a:ext cx="3049270" cy="825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Jeffrey D. Capello</w:t>
      </w:r>
    </w:p>
    <w:p>
      <w:pPr>
        <w:spacing w:after="0" w:line="176"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tab/>
        <w:t>G</w:t>
      </w:r>
      <w:r>
        <w:rPr>
          <w:rFonts w:ascii="Arial" w:cs="Arial" w:eastAsia="Arial" w:hAnsi="Arial"/>
          <w:sz w:val="13"/>
          <w:szCs w:val="13"/>
          <w:color w:val="auto"/>
        </w:rPr>
        <w:t>REGORY</w:t>
      </w:r>
      <w:r>
        <w:rPr>
          <w:rFonts w:ascii="Arial" w:cs="Arial" w:eastAsia="Arial" w:hAnsi="Arial"/>
          <w:sz w:val="17"/>
          <w:szCs w:val="17"/>
          <w:color w:val="auto"/>
        </w:rPr>
        <w:t xml:space="preserve"> F. C</w:t>
      </w:r>
      <w:r>
        <w:rPr>
          <w:rFonts w:ascii="Arial" w:cs="Arial" w:eastAsia="Arial" w:hAnsi="Arial"/>
          <w:sz w:val="13"/>
          <w:szCs w:val="13"/>
          <w:color w:val="auto"/>
        </w:rPr>
        <w:t>OVINO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0492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5">
                      <a:extLst>
                        <a:ext uri="{28A0092B-C50C-407E-A947-70E740481C1C}"/>
                      </a:extLst>
                    </a:blip>
                    <a:srcRect/>
                    <a:stretch>
                      <a:fillRect/>
                    </a:stretch>
                  </pic:blipFill>
                  <pic:spPr bwMode="auto">
                    <a:xfrm>
                      <a:off x="0" y="0"/>
                      <a:ext cx="3049270" cy="825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Gregory F. Covino</w:t>
      </w:r>
    </w:p>
    <w:p>
      <w:pPr>
        <w:spacing w:after="0" w:line="163"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tab/>
        <w:t>S</w:t>
      </w:r>
      <w:r>
        <w:rPr>
          <w:rFonts w:ascii="Arial" w:cs="Arial" w:eastAsia="Arial" w:hAnsi="Arial"/>
          <w:sz w:val="13"/>
          <w:szCs w:val="13"/>
          <w:color w:val="auto"/>
        </w:rPr>
        <w:t>TELIOS</w:t>
      </w:r>
      <w:r>
        <w:rPr>
          <w:rFonts w:ascii="Arial" w:cs="Arial" w:eastAsia="Arial" w:hAnsi="Arial"/>
          <w:sz w:val="17"/>
          <w:szCs w:val="17"/>
          <w:color w:val="auto"/>
        </w:rPr>
        <w:t xml:space="preserve"> P</w:t>
      </w:r>
      <w:r>
        <w:rPr>
          <w:rFonts w:ascii="Arial" w:cs="Arial" w:eastAsia="Arial" w:hAnsi="Arial"/>
          <w:sz w:val="13"/>
          <w:szCs w:val="13"/>
          <w:color w:val="auto"/>
        </w:rPr>
        <w:t>APADOPOULOS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0492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6">
                      <a:extLst>
                        <a:ext uri="{28A0092B-C50C-407E-A947-70E740481C1C}"/>
                      </a:extLst>
                    </a:blip>
                    <a:srcRect/>
                    <a:stretch>
                      <a:fillRect/>
                    </a:stretch>
                  </pic:blipFill>
                  <pic:spPr bwMode="auto">
                    <a:xfrm>
                      <a:off x="0" y="0"/>
                      <a:ext cx="3049270" cy="825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Stelios Papadopoulos</w:t>
      </w:r>
    </w:p>
    <w:p>
      <w:pPr>
        <w:spacing w:after="0" w:line="163"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tab/>
        <w:t>A</w:t>
      </w:r>
      <w:r>
        <w:rPr>
          <w:rFonts w:ascii="Arial" w:cs="Arial" w:eastAsia="Arial" w:hAnsi="Arial"/>
          <w:sz w:val="13"/>
          <w:szCs w:val="13"/>
          <w:color w:val="auto"/>
        </w:rPr>
        <w:t>LEXANDER</w:t>
      </w:r>
      <w:r>
        <w:rPr>
          <w:rFonts w:ascii="Arial" w:cs="Arial" w:eastAsia="Arial" w:hAnsi="Arial"/>
          <w:sz w:val="17"/>
          <w:szCs w:val="17"/>
          <w:color w:val="auto"/>
        </w:rPr>
        <w:t xml:space="preserve"> J</w:t>
      </w:r>
      <w:r>
        <w:rPr>
          <w:rFonts w:ascii="Arial" w:cs="Arial" w:eastAsia="Arial" w:hAnsi="Arial"/>
          <w:sz w:val="13"/>
          <w:szCs w:val="13"/>
          <w:color w:val="auto"/>
        </w:rPr>
        <w:t>.</w:t>
      </w:r>
      <w:r>
        <w:rPr>
          <w:rFonts w:ascii="Arial" w:cs="Arial" w:eastAsia="Arial" w:hAnsi="Arial"/>
          <w:sz w:val="17"/>
          <w:szCs w:val="17"/>
          <w:color w:val="auto"/>
        </w:rPr>
        <w:t xml:space="preserve"> D</w:t>
      </w:r>
      <w:r>
        <w:rPr>
          <w:rFonts w:ascii="Arial" w:cs="Arial" w:eastAsia="Arial" w:hAnsi="Arial"/>
          <w:sz w:val="13"/>
          <w:szCs w:val="13"/>
          <w:color w:val="auto"/>
        </w:rPr>
        <w:t>ENNER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0492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7">
                      <a:extLst>
                        <a:ext uri="{28A0092B-C50C-407E-A947-70E740481C1C}"/>
                      </a:extLst>
                    </a:blip>
                    <a:srcRect/>
                    <a:stretch>
                      <a:fillRect/>
                    </a:stretch>
                  </pic:blipFill>
                  <pic:spPr bwMode="auto">
                    <a:xfrm>
                      <a:off x="0" y="0"/>
                      <a:ext cx="3049270" cy="8255"/>
                    </a:xfrm>
                    <a:prstGeom prst="rect">
                      <a:avLst/>
                    </a:prstGeom>
                    <a:noFill/>
                  </pic:spPr>
                </pic:pic>
              </a:graphicData>
            </a:graphic>
          </wp:anchor>
        </w:drawing>
      </w:r>
    </w:p>
    <w:p>
      <w:pPr>
        <w:spacing w:after="0" w:line="41" w:lineRule="exact"/>
        <w:rPr>
          <w:sz w:val="20"/>
          <w:szCs w:val="20"/>
          <w:color w:val="auto"/>
        </w:rPr>
      </w:pPr>
    </w:p>
    <w:p>
      <w:pPr>
        <w:ind w:left="60"/>
        <w:spacing w:after="0"/>
        <w:rPr>
          <w:sz w:val="20"/>
          <w:szCs w:val="20"/>
          <w:color w:val="auto"/>
        </w:rPr>
      </w:pPr>
      <w:r>
        <w:rPr>
          <w:rFonts w:ascii="Arial" w:cs="Arial" w:eastAsia="Arial" w:hAnsi="Arial"/>
          <w:sz w:val="17"/>
          <w:szCs w:val="17"/>
          <w:color w:val="auto"/>
        </w:rPr>
        <w:t>Alexander J. Denner</w:t>
      </w:r>
    </w:p>
    <w:p>
      <w:pPr>
        <w:spacing w:after="0" w:line="163"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tab/>
        <w:t>C</w:t>
      </w:r>
      <w:r>
        <w:rPr>
          <w:rFonts w:ascii="Arial" w:cs="Arial" w:eastAsia="Arial" w:hAnsi="Arial"/>
          <w:sz w:val="13"/>
          <w:szCs w:val="13"/>
          <w:color w:val="auto"/>
        </w:rPr>
        <w:t>AROLINE</w:t>
      </w:r>
      <w:r>
        <w:rPr>
          <w:rFonts w:ascii="Arial" w:cs="Arial" w:eastAsia="Arial" w:hAnsi="Arial"/>
          <w:sz w:val="17"/>
          <w:szCs w:val="17"/>
          <w:color w:val="auto"/>
        </w:rPr>
        <w:t xml:space="preserve"> D. D</w:t>
      </w:r>
      <w:r>
        <w:rPr>
          <w:rFonts w:ascii="Arial" w:cs="Arial" w:eastAsia="Arial" w:hAnsi="Arial"/>
          <w:sz w:val="13"/>
          <w:szCs w:val="13"/>
          <w:color w:val="auto"/>
        </w:rPr>
        <w:t>ORSA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0492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8">
                      <a:extLst>
                        <a:ext uri="{28A0092B-C50C-407E-A947-70E740481C1C}"/>
                      </a:extLst>
                    </a:blip>
                    <a:srcRect/>
                    <a:stretch>
                      <a:fillRect/>
                    </a:stretch>
                  </pic:blipFill>
                  <pic:spPr bwMode="auto">
                    <a:xfrm>
                      <a:off x="0" y="0"/>
                      <a:ext cx="3049270" cy="825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Caroline D. Dorsa</w:t>
      </w:r>
    </w:p>
    <w:p>
      <w:pPr>
        <w:spacing w:after="0" w:line="163"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tab/>
        <w:t>N</w:t>
      </w:r>
      <w:r>
        <w:rPr>
          <w:rFonts w:ascii="Arial" w:cs="Arial" w:eastAsia="Arial" w:hAnsi="Arial"/>
          <w:sz w:val="13"/>
          <w:szCs w:val="13"/>
          <w:color w:val="auto"/>
        </w:rPr>
        <w:t>ANCY</w:t>
      </w:r>
      <w:r>
        <w:rPr>
          <w:rFonts w:ascii="Arial" w:cs="Arial" w:eastAsia="Arial" w:hAnsi="Arial"/>
          <w:sz w:val="17"/>
          <w:szCs w:val="17"/>
          <w:color w:val="auto"/>
        </w:rPr>
        <w:t xml:space="preserve"> L. L</w:t>
      </w:r>
      <w:r>
        <w:rPr>
          <w:rFonts w:ascii="Arial" w:cs="Arial" w:eastAsia="Arial" w:hAnsi="Arial"/>
          <w:sz w:val="13"/>
          <w:szCs w:val="13"/>
          <w:color w:val="auto"/>
        </w:rPr>
        <w:t>EAMING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0492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9">
                      <a:extLst>
                        <a:ext uri="{28A0092B-C50C-407E-A947-70E740481C1C}"/>
                      </a:extLst>
                    </a:blip>
                    <a:srcRect/>
                    <a:stretch>
                      <a:fillRect/>
                    </a:stretch>
                  </pic:blipFill>
                  <pic:spPr bwMode="auto">
                    <a:xfrm>
                      <a:off x="0" y="0"/>
                      <a:ext cx="3049270" cy="825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Nancy L. Leaming</w:t>
      </w:r>
    </w:p>
    <w:p>
      <w:pPr>
        <w:spacing w:after="0" w:line="163"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tab/>
        <w:t>R</w:t>
      </w:r>
      <w:r>
        <w:rPr>
          <w:rFonts w:ascii="Arial" w:cs="Arial" w:eastAsia="Arial" w:hAnsi="Arial"/>
          <w:sz w:val="13"/>
          <w:szCs w:val="13"/>
          <w:color w:val="auto"/>
        </w:rPr>
        <w:t>ICHARD</w:t>
      </w:r>
      <w:r>
        <w:rPr>
          <w:rFonts w:ascii="Arial" w:cs="Arial" w:eastAsia="Arial" w:hAnsi="Arial"/>
          <w:sz w:val="17"/>
          <w:szCs w:val="17"/>
          <w:color w:val="auto"/>
        </w:rPr>
        <w:t xml:space="preserve"> C</w:t>
      </w:r>
      <w:r>
        <w:rPr>
          <w:rFonts w:ascii="Arial" w:cs="Arial" w:eastAsia="Arial" w:hAnsi="Arial"/>
          <w:sz w:val="13"/>
          <w:szCs w:val="13"/>
          <w:color w:val="auto"/>
        </w:rPr>
        <w:t>.</w:t>
      </w:r>
      <w:r>
        <w:rPr>
          <w:rFonts w:ascii="Arial" w:cs="Arial" w:eastAsia="Arial" w:hAnsi="Arial"/>
          <w:sz w:val="17"/>
          <w:szCs w:val="17"/>
          <w:color w:val="auto"/>
        </w:rPr>
        <w:t xml:space="preserve"> M</w:t>
      </w:r>
      <w:r>
        <w:rPr>
          <w:rFonts w:ascii="Arial" w:cs="Arial" w:eastAsia="Arial" w:hAnsi="Arial"/>
          <w:sz w:val="13"/>
          <w:szCs w:val="13"/>
          <w:color w:val="auto"/>
        </w:rPr>
        <w:t>ULLIGAN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0492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0">
                      <a:extLst>
                        <a:ext uri="{28A0092B-C50C-407E-A947-70E740481C1C}"/>
                      </a:extLst>
                    </a:blip>
                    <a:srcRect/>
                    <a:stretch>
                      <a:fillRect/>
                    </a:stretch>
                  </pic:blipFill>
                  <pic:spPr bwMode="auto">
                    <a:xfrm>
                      <a:off x="0" y="0"/>
                      <a:ext cx="3049270" cy="825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Richard C. Mulligan</w:t>
      </w:r>
    </w:p>
    <w:p>
      <w:pPr>
        <w:spacing w:after="0" w:line="163"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tab/>
        <w:t>R</w:t>
      </w:r>
      <w:r>
        <w:rPr>
          <w:rFonts w:ascii="Arial" w:cs="Arial" w:eastAsia="Arial" w:hAnsi="Arial"/>
          <w:sz w:val="13"/>
          <w:szCs w:val="13"/>
          <w:color w:val="auto"/>
        </w:rPr>
        <w:t>OBERT</w:t>
      </w:r>
      <w:r>
        <w:rPr>
          <w:rFonts w:ascii="Arial" w:cs="Arial" w:eastAsia="Arial" w:hAnsi="Arial"/>
          <w:sz w:val="17"/>
          <w:szCs w:val="17"/>
          <w:color w:val="auto"/>
        </w:rPr>
        <w:t xml:space="preserve"> W. P</w:t>
      </w:r>
      <w:r>
        <w:rPr>
          <w:rFonts w:ascii="Arial" w:cs="Arial" w:eastAsia="Arial" w:hAnsi="Arial"/>
          <w:sz w:val="13"/>
          <w:szCs w:val="13"/>
          <w:color w:val="auto"/>
        </w:rPr>
        <w:t>ANGIA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0492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1">
                      <a:extLst>
                        <a:ext uri="{28A0092B-C50C-407E-A947-70E740481C1C}"/>
                      </a:extLst>
                    </a:blip>
                    <a:srcRect/>
                    <a:stretch>
                      <a:fillRect/>
                    </a:stretch>
                  </pic:blipFill>
                  <pic:spPr bwMode="auto">
                    <a:xfrm>
                      <a:off x="0" y="0"/>
                      <a:ext cx="3049270" cy="825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Robert W. Pangia</w:t>
      </w:r>
    </w:p>
    <w:p>
      <w:pPr>
        <w:spacing w:after="0" w:line="176"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tab/>
        <w:t>B</w:t>
      </w:r>
      <w:r>
        <w:rPr>
          <w:rFonts w:ascii="Arial" w:cs="Arial" w:eastAsia="Arial" w:hAnsi="Arial"/>
          <w:sz w:val="13"/>
          <w:szCs w:val="13"/>
          <w:color w:val="auto"/>
        </w:rPr>
        <w:t>RIAN</w:t>
      </w:r>
      <w:r>
        <w:rPr>
          <w:rFonts w:ascii="Arial" w:cs="Arial" w:eastAsia="Arial" w:hAnsi="Arial"/>
          <w:sz w:val="17"/>
          <w:szCs w:val="17"/>
          <w:color w:val="auto"/>
        </w:rPr>
        <w:t xml:space="preserve"> S. P</w:t>
      </w:r>
      <w:r>
        <w:rPr>
          <w:rFonts w:ascii="Arial" w:cs="Arial" w:eastAsia="Arial" w:hAnsi="Arial"/>
          <w:sz w:val="13"/>
          <w:szCs w:val="13"/>
          <w:color w:val="auto"/>
        </w:rPr>
        <w:t>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0492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2">
                      <a:extLst>
                        <a:ext uri="{28A0092B-C50C-407E-A947-70E740481C1C}"/>
                      </a:extLst>
                    </a:blip>
                    <a:srcRect/>
                    <a:stretch>
                      <a:fillRect/>
                    </a:stretch>
                  </pic:blipFill>
                  <pic:spPr bwMode="auto">
                    <a:xfrm>
                      <a:off x="0" y="0"/>
                      <a:ext cx="3049270" cy="825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Brian S. Posner</w:t>
      </w:r>
    </w:p>
    <w:p>
      <w:pPr>
        <w:spacing w:after="0" w:line="176"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tab/>
        <w:t>E</w:t>
      </w:r>
      <w:r>
        <w:rPr>
          <w:rFonts w:ascii="Arial" w:cs="Arial" w:eastAsia="Arial" w:hAnsi="Arial"/>
          <w:sz w:val="13"/>
          <w:szCs w:val="13"/>
          <w:color w:val="auto"/>
        </w:rPr>
        <w:t>RIC</w:t>
      </w:r>
      <w:r>
        <w:rPr>
          <w:rFonts w:ascii="Arial" w:cs="Arial" w:eastAsia="Arial" w:hAnsi="Arial"/>
          <w:sz w:val="17"/>
          <w:szCs w:val="17"/>
          <w:color w:val="auto"/>
        </w:rPr>
        <w:t xml:space="preserve"> K. R</w:t>
      </w:r>
      <w:r>
        <w:rPr>
          <w:rFonts w:ascii="Arial" w:cs="Arial" w:eastAsia="Arial" w:hAnsi="Arial"/>
          <w:sz w:val="13"/>
          <w:szCs w:val="13"/>
          <w:color w:val="auto"/>
        </w:rPr>
        <w:t>OWINSKY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0492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3">
                      <a:extLst>
                        <a:ext uri="{28A0092B-C50C-407E-A947-70E740481C1C}"/>
                      </a:extLst>
                    </a:blip>
                    <a:srcRect/>
                    <a:stretch>
                      <a:fillRect/>
                    </a:stretch>
                  </pic:blipFill>
                  <pic:spPr bwMode="auto">
                    <a:xfrm>
                      <a:off x="0" y="0"/>
                      <a:ext cx="3049270" cy="825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Eric K. Rowinsky</w:t>
      </w:r>
    </w:p>
    <w:p>
      <w:pPr>
        <w:spacing w:after="0" w:line="176"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tab/>
        <w:t>L</w:t>
      </w:r>
      <w:r>
        <w:rPr>
          <w:rFonts w:ascii="Arial" w:cs="Arial" w:eastAsia="Arial" w:hAnsi="Arial"/>
          <w:sz w:val="13"/>
          <w:szCs w:val="13"/>
          <w:color w:val="auto"/>
        </w:rPr>
        <w:t>YNN</w:t>
      </w:r>
      <w:r>
        <w:rPr>
          <w:rFonts w:ascii="Arial" w:cs="Arial" w:eastAsia="Arial" w:hAnsi="Arial"/>
          <w:sz w:val="17"/>
          <w:szCs w:val="17"/>
          <w:color w:val="auto"/>
        </w:rPr>
        <w:t xml:space="preserve"> S</w:t>
      </w:r>
      <w:r>
        <w:rPr>
          <w:rFonts w:ascii="Arial" w:cs="Arial" w:eastAsia="Arial" w:hAnsi="Arial"/>
          <w:sz w:val="13"/>
          <w:szCs w:val="13"/>
          <w:color w:val="auto"/>
        </w:rPr>
        <w:t>CHENK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0492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4">
                      <a:extLst>
                        <a:ext uri="{28A0092B-C50C-407E-A947-70E740481C1C}"/>
                      </a:extLst>
                    </a:blip>
                    <a:srcRect/>
                    <a:stretch>
                      <a:fillRect/>
                    </a:stretch>
                  </pic:blipFill>
                  <pic:spPr bwMode="auto">
                    <a:xfrm>
                      <a:off x="0" y="0"/>
                      <a:ext cx="3049270" cy="825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Lynn Schenk</w:t>
      </w:r>
    </w:p>
    <w:p>
      <w:pPr>
        <w:spacing w:after="0" w:line="176"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tab/>
        <w:t>S</w:t>
      </w:r>
      <w:r>
        <w:rPr>
          <w:rFonts w:ascii="Arial" w:cs="Arial" w:eastAsia="Arial" w:hAnsi="Arial"/>
          <w:sz w:val="13"/>
          <w:szCs w:val="13"/>
          <w:color w:val="auto"/>
        </w:rPr>
        <w:t>TEPHEN</w:t>
      </w:r>
      <w:r>
        <w:rPr>
          <w:rFonts w:ascii="Arial" w:cs="Arial" w:eastAsia="Arial" w:hAnsi="Arial"/>
          <w:sz w:val="17"/>
          <w:szCs w:val="17"/>
          <w:color w:val="auto"/>
        </w:rPr>
        <w:t xml:space="preserve"> A. S</w:t>
      </w:r>
      <w:r>
        <w:rPr>
          <w:rFonts w:ascii="Arial" w:cs="Arial" w:eastAsia="Arial" w:hAnsi="Arial"/>
          <w:sz w:val="13"/>
          <w:szCs w:val="13"/>
          <w:color w:val="auto"/>
        </w:rPr>
        <w:t>HERWIN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0492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5">
                      <a:extLst>
                        <a:ext uri="{28A0092B-C50C-407E-A947-70E740481C1C}"/>
                      </a:extLst>
                    </a:blip>
                    <a:srcRect/>
                    <a:stretch>
                      <a:fillRect/>
                    </a:stretch>
                  </pic:blipFill>
                  <pic:spPr bwMode="auto">
                    <a:xfrm>
                      <a:off x="0" y="0"/>
                      <a:ext cx="3049270" cy="825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Stephen A. Sherwin</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u w:val="single" w:color="auto"/>
          <w:color w:val="auto"/>
        </w:rPr>
        <w:t>Capacity</w:t>
      </w:r>
    </w:p>
    <w:p>
      <w:pPr>
        <w:spacing w:after="0" w:line="192"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Director and Chief Executive Officer</w:t>
      </w:r>
    </w:p>
    <w:p>
      <w:pPr>
        <w:jc w:val="center"/>
        <w:ind w:right="80"/>
        <w:spacing w:after="0"/>
        <w:rPr>
          <w:sz w:val="20"/>
          <w:szCs w:val="20"/>
          <w:color w:val="auto"/>
        </w:rPr>
      </w:pPr>
      <w:r>
        <w:rPr>
          <w:rFonts w:ascii="Arial" w:cs="Arial" w:eastAsia="Arial" w:hAnsi="Arial"/>
          <w:sz w:val="17"/>
          <w:szCs w:val="17"/>
          <w:color w:val="auto"/>
        </w:rPr>
        <w:t>(principal executive officer)</w:t>
      </w:r>
    </w:p>
    <w:p>
      <w:pPr>
        <w:spacing w:after="0" w:line="224"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Executive Vice President and Chief Financial</w:t>
      </w:r>
    </w:p>
    <w:p>
      <w:pPr>
        <w:jc w:val="center"/>
        <w:ind w:right="80"/>
        <w:spacing w:after="0"/>
        <w:rPr>
          <w:sz w:val="20"/>
          <w:szCs w:val="20"/>
          <w:color w:val="auto"/>
        </w:rPr>
      </w:pPr>
      <w:r>
        <w:rPr>
          <w:rFonts w:ascii="Arial" w:cs="Arial" w:eastAsia="Arial" w:hAnsi="Arial"/>
          <w:sz w:val="17"/>
          <w:szCs w:val="17"/>
          <w:color w:val="auto"/>
        </w:rPr>
        <w:t>Officer (principal financial officer)</w:t>
      </w:r>
    </w:p>
    <w:p>
      <w:pPr>
        <w:spacing w:after="0" w:line="240"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Vice President, Finance, Chief Accounting Officer</w:t>
      </w:r>
    </w:p>
    <w:p>
      <w:pPr>
        <w:spacing w:after="0" w:line="8"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(principal accounting officer)</w:t>
      </w:r>
    </w:p>
    <w:p>
      <w:pPr>
        <w:spacing w:after="0" w:line="330" w:lineRule="exact"/>
        <w:rPr>
          <w:sz w:val="20"/>
          <w:szCs w:val="20"/>
          <w:color w:val="auto"/>
        </w:rPr>
      </w:pPr>
    </w:p>
    <w:p>
      <w:pPr>
        <w:ind w:left="60"/>
        <w:spacing w:after="0"/>
        <w:rPr>
          <w:sz w:val="20"/>
          <w:szCs w:val="20"/>
          <w:color w:val="auto"/>
        </w:rPr>
      </w:pPr>
      <w:r>
        <w:rPr>
          <w:rFonts w:ascii="Arial" w:cs="Arial" w:eastAsia="Arial" w:hAnsi="Arial"/>
          <w:sz w:val="17"/>
          <w:szCs w:val="17"/>
          <w:color w:val="auto"/>
        </w:rPr>
        <w:t>Director and Chairman of the Board of Directors</w:t>
      </w:r>
    </w:p>
    <w:p>
      <w:pPr>
        <w:spacing w:after="0" w:line="200" w:lineRule="exact"/>
        <w:rPr>
          <w:sz w:val="20"/>
          <w:szCs w:val="20"/>
          <w:color w:val="auto"/>
        </w:rPr>
      </w:pPr>
    </w:p>
    <w:p>
      <w:pPr>
        <w:spacing w:after="0" w:line="219"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19"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19"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19"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19"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19"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32"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32"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32"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Director</w:t>
      </w:r>
    </w:p>
    <w:p>
      <w:pPr>
        <w:spacing w:after="0" w:line="39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ind w:left="500"/>
        <w:spacing w:after="0"/>
        <w:rPr>
          <w:sz w:val="20"/>
          <w:szCs w:val="20"/>
          <w:color w:val="auto"/>
        </w:rPr>
      </w:pPr>
      <w:r>
        <w:rPr>
          <w:rFonts w:ascii="Arial" w:cs="Arial" w:eastAsia="Arial" w:hAnsi="Arial"/>
          <w:sz w:val="14"/>
          <w:szCs w:val="14"/>
          <w:b w:val="1"/>
          <w:bCs w:val="1"/>
          <w:u w:val="single" w:color="auto"/>
          <w:color w:val="auto"/>
        </w:rPr>
        <w:t>Date</w:t>
      </w: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February 1, 2018</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February 1, 2018</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February 1, 2018</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February 1, 2018</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February 1, 2018</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February 1, 2018</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February 1, 2018</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February 1, 2018</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February 1, 2018</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February 1, 2018</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February 1, 2018</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February 1, 2018</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February 1, 2018</w:t>
      </w:r>
    </w:p>
    <w:p>
      <w:pPr>
        <w:sectPr>
          <w:pgSz w:w="11900" w:h="16838" w:orient="portrait"/>
          <w:cols w:equalWidth="0" w:num="3">
            <w:col w:w="4520" w:space="720"/>
            <w:col w:w="3800" w:space="720"/>
            <w:col w:w="1600"/>
          </w:cols>
          <w:pgMar w:left="240" w:top="144" w:right="299" w:bottom="1440" w:gutter="0" w:footer="0" w:header="0"/>
          <w:type w:val="continuous"/>
        </w:sectPr>
      </w:pPr>
    </w:p>
    <w:bookmarkStart w:id="102" w:name="page103"/>
    <w:bookmarkEnd w:id="10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CONSOLIDATED FINANCIAL STATEMENTS</w:t>
      </w:r>
    </w:p>
    <w:p>
      <w:pPr>
        <w:spacing w:after="0" w:line="303"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9940" w:type="dxa"/>
            <w:vAlign w:val="bottom"/>
          </w:tcPr>
          <w:p>
            <w:pPr>
              <w:spacing w:after="0"/>
              <w:rPr>
                <w:sz w:val="16"/>
                <w:szCs w:val="16"/>
                <w:color w:val="auto"/>
              </w:rPr>
            </w:pPr>
          </w:p>
        </w:tc>
        <w:tc>
          <w:tcPr>
            <w:tcW w:w="14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Page Number</w:t>
            </w:r>
          </w:p>
        </w:tc>
      </w:tr>
      <w:tr>
        <w:trPr>
          <w:trHeight w:val="228"/>
        </w:trPr>
        <w:tc>
          <w:tcPr>
            <w:tcW w:w="9940" w:type="dxa"/>
            <w:vAlign w:val="bottom"/>
          </w:tcPr>
          <w:p>
            <w:pPr>
              <w:spacing w:after="0"/>
              <w:rPr>
                <w:sz w:val="20"/>
                <w:szCs w:val="20"/>
                <w:color w:val="auto"/>
              </w:rPr>
            </w:pPr>
            <w:r>
              <w:rPr>
                <w:rFonts w:ascii="Arial" w:cs="Arial" w:eastAsia="Arial" w:hAnsi="Arial"/>
                <w:sz w:val="17"/>
                <w:szCs w:val="17"/>
                <w:color w:val="auto"/>
              </w:rPr>
              <w:t>Consolidated Statements of Income</w:t>
            </w:r>
          </w:p>
        </w:tc>
        <w:tc>
          <w:tcPr>
            <w:tcW w:w="1460" w:type="dxa"/>
            <w:vAlign w:val="bottom"/>
          </w:tcPr>
          <w:p>
            <w:pPr>
              <w:jc w:val="right"/>
              <w:spacing w:after="0"/>
              <w:rPr>
                <w:sz w:val="20"/>
                <w:szCs w:val="20"/>
                <w:color w:val="auto"/>
              </w:rPr>
            </w:pPr>
            <w:r>
              <w:rPr>
                <w:rFonts w:ascii="Arial" w:cs="Arial" w:eastAsia="Arial" w:hAnsi="Arial"/>
                <w:sz w:val="17"/>
                <w:szCs w:val="17"/>
                <w:color w:val="auto"/>
              </w:rPr>
              <w:t>F-2</w:t>
            </w:r>
          </w:p>
        </w:tc>
      </w:tr>
      <w:tr>
        <w:trPr>
          <w:trHeight w:val="256"/>
        </w:trPr>
        <w:tc>
          <w:tcPr>
            <w:tcW w:w="9940" w:type="dxa"/>
            <w:vAlign w:val="bottom"/>
          </w:tcPr>
          <w:p>
            <w:pPr>
              <w:spacing w:after="0"/>
              <w:rPr>
                <w:sz w:val="20"/>
                <w:szCs w:val="20"/>
                <w:color w:val="auto"/>
              </w:rPr>
            </w:pPr>
            <w:r>
              <w:rPr>
                <w:rFonts w:ascii="Arial" w:cs="Arial" w:eastAsia="Arial" w:hAnsi="Arial"/>
                <w:sz w:val="17"/>
                <w:szCs w:val="17"/>
                <w:color w:val="auto"/>
              </w:rPr>
              <w:t>Consolidated Statements of Comprehensive Income</w:t>
            </w:r>
          </w:p>
        </w:tc>
        <w:tc>
          <w:tcPr>
            <w:tcW w:w="1460" w:type="dxa"/>
            <w:vAlign w:val="bottom"/>
          </w:tcPr>
          <w:p>
            <w:pPr>
              <w:jc w:val="right"/>
              <w:spacing w:after="0"/>
              <w:rPr>
                <w:sz w:val="20"/>
                <w:szCs w:val="20"/>
                <w:color w:val="auto"/>
              </w:rPr>
            </w:pPr>
            <w:r>
              <w:rPr>
                <w:rFonts w:ascii="Arial" w:cs="Arial" w:eastAsia="Arial" w:hAnsi="Arial"/>
                <w:sz w:val="17"/>
                <w:szCs w:val="17"/>
                <w:color w:val="auto"/>
              </w:rPr>
              <w:t>F-3</w:t>
            </w:r>
          </w:p>
        </w:tc>
      </w:tr>
      <w:tr>
        <w:trPr>
          <w:trHeight w:val="243"/>
        </w:trPr>
        <w:tc>
          <w:tcPr>
            <w:tcW w:w="9940" w:type="dxa"/>
            <w:vAlign w:val="bottom"/>
          </w:tcPr>
          <w:p>
            <w:pPr>
              <w:spacing w:after="0"/>
              <w:rPr>
                <w:sz w:val="20"/>
                <w:szCs w:val="20"/>
                <w:color w:val="auto"/>
              </w:rPr>
            </w:pPr>
            <w:r>
              <w:rPr>
                <w:rFonts w:ascii="Arial" w:cs="Arial" w:eastAsia="Arial" w:hAnsi="Arial"/>
                <w:sz w:val="17"/>
                <w:szCs w:val="17"/>
                <w:color w:val="auto"/>
              </w:rPr>
              <w:t>Consolidated Balance Sheets</w:t>
            </w:r>
          </w:p>
        </w:tc>
        <w:tc>
          <w:tcPr>
            <w:tcW w:w="1460" w:type="dxa"/>
            <w:vAlign w:val="bottom"/>
          </w:tcPr>
          <w:p>
            <w:pPr>
              <w:jc w:val="right"/>
              <w:spacing w:after="0"/>
              <w:rPr>
                <w:sz w:val="20"/>
                <w:szCs w:val="20"/>
                <w:color w:val="auto"/>
              </w:rPr>
            </w:pPr>
            <w:r>
              <w:rPr>
                <w:rFonts w:ascii="Arial" w:cs="Arial" w:eastAsia="Arial" w:hAnsi="Arial"/>
                <w:sz w:val="17"/>
                <w:szCs w:val="17"/>
                <w:color w:val="auto"/>
              </w:rPr>
              <w:t>F-4</w:t>
            </w:r>
          </w:p>
        </w:tc>
      </w:tr>
      <w:tr>
        <w:trPr>
          <w:trHeight w:val="243"/>
        </w:trPr>
        <w:tc>
          <w:tcPr>
            <w:tcW w:w="9940" w:type="dxa"/>
            <w:vAlign w:val="bottom"/>
          </w:tcPr>
          <w:p>
            <w:pPr>
              <w:spacing w:after="0"/>
              <w:rPr>
                <w:sz w:val="20"/>
                <w:szCs w:val="20"/>
                <w:color w:val="auto"/>
              </w:rPr>
            </w:pPr>
            <w:r>
              <w:rPr>
                <w:rFonts w:ascii="Arial" w:cs="Arial" w:eastAsia="Arial" w:hAnsi="Arial"/>
                <w:sz w:val="17"/>
                <w:szCs w:val="17"/>
                <w:color w:val="auto"/>
              </w:rPr>
              <w:t>Consolidated Statements of Cash Flows</w:t>
            </w:r>
          </w:p>
        </w:tc>
        <w:tc>
          <w:tcPr>
            <w:tcW w:w="1460" w:type="dxa"/>
            <w:vAlign w:val="bottom"/>
          </w:tcPr>
          <w:p>
            <w:pPr>
              <w:jc w:val="right"/>
              <w:spacing w:after="0"/>
              <w:rPr>
                <w:sz w:val="20"/>
                <w:szCs w:val="20"/>
                <w:color w:val="auto"/>
              </w:rPr>
            </w:pPr>
            <w:r>
              <w:rPr>
                <w:rFonts w:ascii="Arial" w:cs="Arial" w:eastAsia="Arial" w:hAnsi="Arial"/>
                <w:sz w:val="17"/>
                <w:szCs w:val="17"/>
                <w:color w:val="auto"/>
              </w:rPr>
              <w:t>F-5</w:t>
            </w:r>
          </w:p>
        </w:tc>
      </w:tr>
      <w:tr>
        <w:trPr>
          <w:trHeight w:val="243"/>
        </w:trPr>
        <w:tc>
          <w:tcPr>
            <w:tcW w:w="9940" w:type="dxa"/>
            <w:vAlign w:val="bottom"/>
          </w:tcPr>
          <w:p>
            <w:pPr>
              <w:spacing w:after="0"/>
              <w:rPr>
                <w:sz w:val="20"/>
                <w:szCs w:val="20"/>
                <w:color w:val="auto"/>
              </w:rPr>
            </w:pPr>
            <w:r>
              <w:rPr>
                <w:rFonts w:ascii="Arial" w:cs="Arial" w:eastAsia="Arial" w:hAnsi="Arial"/>
                <w:sz w:val="17"/>
                <w:szCs w:val="17"/>
                <w:color w:val="auto"/>
              </w:rPr>
              <w:t>Consolidated Statements of Equity</w:t>
            </w:r>
          </w:p>
        </w:tc>
        <w:tc>
          <w:tcPr>
            <w:tcW w:w="1460" w:type="dxa"/>
            <w:vAlign w:val="bottom"/>
          </w:tcPr>
          <w:p>
            <w:pPr>
              <w:jc w:val="right"/>
              <w:spacing w:after="0"/>
              <w:rPr>
                <w:sz w:val="20"/>
                <w:szCs w:val="20"/>
                <w:color w:val="auto"/>
              </w:rPr>
            </w:pPr>
            <w:r>
              <w:rPr>
                <w:rFonts w:ascii="Arial" w:cs="Arial" w:eastAsia="Arial" w:hAnsi="Arial"/>
                <w:sz w:val="17"/>
                <w:szCs w:val="17"/>
                <w:color w:val="auto"/>
              </w:rPr>
              <w:t>F-6</w:t>
            </w:r>
          </w:p>
        </w:tc>
      </w:tr>
      <w:tr>
        <w:trPr>
          <w:trHeight w:val="243"/>
        </w:trPr>
        <w:tc>
          <w:tcPr>
            <w:tcW w:w="9940" w:type="dxa"/>
            <w:vAlign w:val="bottom"/>
          </w:tcPr>
          <w:p>
            <w:pPr>
              <w:spacing w:after="0"/>
              <w:rPr>
                <w:sz w:val="20"/>
                <w:szCs w:val="20"/>
                <w:color w:val="auto"/>
              </w:rPr>
            </w:pPr>
            <w:r>
              <w:rPr>
                <w:rFonts w:ascii="Arial" w:cs="Arial" w:eastAsia="Arial" w:hAnsi="Arial"/>
                <w:sz w:val="17"/>
                <w:szCs w:val="17"/>
                <w:color w:val="auto"/>
              </w:rPr>
              <w:t>Notes to Consolidated Financial Statements</w:t>
            </w:r>
          </w:p>
        </w:tc>
        <w:tc>
          <w:tcPr>
            <w:tcW w:w="1460" w:type="dxa"/>
            <w:vAlign w:val="bottom"/>
          </w:tcPr>
          <w:p>
            <w:pPr>
              <w:jc w:val="right"/>
              <w:spacing w:after="0"/>
              <w:rPr>
                <w:sz w:val="20"/>
                <w:szCs w:val="20"/>
                <w:color w:val="auto"/>
              </w:rPr>
            </w:pPr>
            <w:r>
              <w:rPr>
                <w:rFonts w:ascii="Arial" w:cs="Arial" w:eastAsia="Arial" w:hAnsi="Arial"/>
                <w:sz w:val="17"/>
                <w:szCs w:val="17"/>
                <w:color w:val="auto"/>
              </w:rPr>
              <w:t>F-9</w:t>
            </w:r>
          </w:p>
        </w:tc>
      </w:tr>
      <w:tr>
        <w:trPr>
          <w:trHeight w:val="243"/>
        </w:trPr>
        <w:tc>
          <w:tcPr>
            <w:tcW w:w="9940" w:type="dxa"/>
            <w:vAlign w:val="bottom"/>
          </w:tcPr>
          <w:p>
            <w:pPr>
              <w:spacing w:after="0"/>
              <w:rPr>
                <w:sz w:val="20"/>
                <w:szCs w:val="20"/>
                <w:color w:val="auto"/>
              </w:rPr>
            </w:pPr>
            <w:r>
              <w:rPr>
                <w:rFonts w:ascii="Arial" w:cs="Arial" w:eastAsia="Arial" w:hAnsi="Arial"/>
                <w:sz w:val="17"/>
                <w:szCs w:val="17"/>
                <w:color w:val="auto"/>
              </w:rPr>
              <w:t>Report of Independent Registered Public Accounting Firm</w:t>
            </w:r>
          </w:p>
        </w:tc>
        <w:tc>
          <w:tcPr>
            <w:tcW w:w="1460" w:type="dxa"/>
            <w:vAlign w:val="bottom"/>
          </w:tcPr>
          <w:p>
            <w:pPr>
              <w:jc w:val="right"/>
              <w:spacing w:after="0"/>
              <w:rPr>
                <w:sz w:val="20"/>
                <w:szCs w:val="20"/>
                <w:color w:val="auto"/>
              </w:rPr>
            </w:pPr>
            <w:r>
              <w:rPr>
                <w:rFonts w:ascii="Arial" w:cs="Arial" w:eastAsia="Arial" w:hAnsi="Arial"/>
                <w:sz w:val="17"/>
                <w:szCs w:val="17"/>
                <w:color w:val="auto"/>
              </w:rPr>
              <w:t>F-77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F- 1</w:t>
      </w:r>
    </w:p>
    <w:p>
      <w:pPr>
        <w:sectPr>
          <w:pgSz w:w="11900" w:h="16838" w:orient="portrait"/>
          <w:cols w:equalWidth="0" w:num="1">
            <w:col w:w="11420"/>
          </w:cols>
          <w:pgMar w:left="240" w:top="144" w:right="239" w:bottom="1440" w:gutter="0" w:footer="0" w:header="0"/>
        </w:sectPr>
      </w:pPr>
    </w:p>
    <w:bookmarkStart w:id="103" w:name="page104"/>
    <w:bookmarkEnd w:id="10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CONSOLIDATED STATEMENTS OF INCOME</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(In millions, except per share amounts)</w:t>
      </w:r>
    </w:p>
    <w:p>
      <w:pPr>
        <w:sectPr>
          <w:pgSz w:w="11900" w:h="16838" w:orient="portrait"/>
          <w:cols w:equalWidth="0" w:num="1">
            <w:col w:w="11400"/>
          </w:cols>
          <w:pgMar w:left="240" w:top="144"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Revenues:</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7"/>
          <w:szCs w:val="17"/>
          <w:color w:val="auto"/>
        </w:rPr>
        <w:t>Product, net</w:t>
      </w:r>
    </w:p>
    <w:p>
      <w:pPr>
        <w:spacing w:after="0" w:line="61" w:lineRule="exact"/>
        <w:rPr>
          <w:sz w:val="20"/>
          <w:szCs w:val="20"/>
          <w:color w:val="auto"/>
        </w:rPr>
      </w:pPr>
    </w:p>
    <w:p>
      <w:pPr>
        <w:ind w:left="160" w:right="1940"/>
        <w:spacing w:after="0" w:line="314" w:lineRule="auto"/>
        <w:rPr>
          <w:sz w:val="20"/>
          <w:szCs w:val="20"/>
          <w:color w:val="auto"/>
        </w:rPr>
      </w:pPr>
      <w:r>
        <w:rPr>
          <w:rFonts w:ascii="Arial" w:cs="Arial" w:eastAsia="Arial" w:hAnsi="Arial"/>
          <w:sz w:val="17"/>
          <w:szCs w:val="17"/>
          <w:color w:val="auto"/>
        </w:rPr>
        <w:t>Revenues from anti-CD20 therapeutic programs Other</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Total revenues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Cost and expenses:</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Cost of sales, excluding amortization of acquired intangible assets</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Research and development</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Selling, general and administrative</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Amortization of acquired intangible assets</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Acquired in-process research and development</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Collaboration profit (loss) sharing</w:t>
      </w:r>
    </w:p>
    <w:p>
      <w:pPr>
        <w:spacing w:after="0" w:line="61" w:lineRule="exact"/>
        <w:rPr>
          <w:sz w:val="20"/>
          <w:szCs w:val="20"/>
          <w:color w:val="auto"/>
        </w:rPr>
      </w:pPr>
    </w:p>
    <w:p>
      <w:pPr>
        <w:ind w:left="160" w:right="420"/>
        <w:spacing w:after="0" w:line="314" w:lineRule="auto"/>
        <w:rPr>
          <w:sz w:val="20"/>
          <w:szCs w:val="20"/>
          <w:color w:val="auto"/>
        </w:rPr>
      </w:pPr>
      <w:r>
        <w:rPr>
          <w:rFonts w:ascii="Arial" w:cs="Arial" w:eastAsia="Arial" w:hAnsi="Arial"/>
          <w:sz w:val="17"/>
          <w:szCs w:val="17"/>
          <w:color w:val="auto"/>
        </w:rPr>
        <w:t>Loss (gain) on fair value remeasurement of contingent consideration Restructuring charges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TECFIDERA litigation settlement charge</w:t>
      </w:r>
    </w:p>
    <w:p>
      <w:pPr>
        <w:spacing w:after="0" w:line="6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Total cost and expenses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Income from operations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Other income (expense), net</w:t>
      </w:r>
    </w:p>
    <w:p>
      <w:pPr>
        <w:spacing w:after="0" w:line="61" w:lineRule="exact"/>
        <w:rPr>
          <w:sz w:val="20"/>
          <w:szCs w:val="20"/>
          <w:color w:val="auto"/>
        </w:rPr>
      </w:pPr>
    </w:p>
    <w:p>
      <w:pPr>
        <w:ind w:left="20"/>
        <w:spacing w:after="0" w:line="314" w:lineRule="auto"/>
        <w:rPr>
          <w:sz w:val="20"/>
          <w:szCs w:val="20"/>
          <w:color w:val="auto"/>
        </w:rPr>
      </w:pPr>
      <w:r>
        <w:rPr>
          <w:rFonts w:ascii="Arial" w:cs="Arial" w:eastAsia="Arial" w:hAnsi="Arial"/>
          <w:sz w:val="17"/>
          <w:szCs w:val="17"/>
          <w:color w:val="auto"/>
        </w:rPr>
        <w:t>Income before income tax expense and equity in loss of investee, net of tax Income tax expense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color w:val="auto"/>
        </w:rPr>
        <w:t>Equity in loss of investee, net of tax</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income</w:t>
      </w:r>
    </w:p>
    <w:p>
      <w:pPr>
        <w:spacing w:after="0" w:line="61" w:lineRule="exact"/>
        <w:rPr>
          <w:sz w:val="20"/>
          <w:szCs w:val="20"/>
          <w:color w:val="auto"/>
        </w:rPr>
      </w:pPr>
    </w:p>
    <w:p>
      <w:pPr>
        <w:ind w:left="20" w:right="680"/>
        <w:spacing w:after="0" w:line="322" w:lineRule="auto"/>
        <w:rPr>
          <w:sz w:val="20"/>
          <w:szCs w:val="20"/>
          <w:color w:val="auto"/>
        </w:rPr>
      </w:pPr>
      <w:r>
        <w:rPr>
          <w:rFonts w:ascii="Arial" w:cs="Arial" w:eastAsia="Arial" w:hAnsi="Arial"/>
          <w:sz w:val="17"/>
          <w:szCs w:val="17"/>
          <w:color w:val="auto"/>
        </w:rPr>
        <w:t>Net income (loss) attributable to noncontrolling interests, net of tax Net income attributable to Biogen Inc.</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income per share: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7"/>
          <w:szCs w:val="17"/>
          <w:color w:val="auto"/>
        </w:rPr>
        <w:t>Basic earnings per share attributable to Biogen Inc.</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Diluted earnings per share attributable to Biogen Inc.</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7"/>
          <w:szCs w:val="17"/>
          <w:color w:val="auto"/>
        </w:rPr>
        <w:t>Weighted-average shares used in calculating:</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7"/>
          <w:szCs w:val="17"/>
          <w:color w:val="auto"/>
        </w:rPr>
        <w:t>Basic earnings per share attributable to Biogen Inc.</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Diluted earnings per share attributable to Biogen Inc.</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left="1380"/>
        <w:spacing w:after="0"/>
        <w:rPr>
          <w:sz w:val="20"/>
          <w:szCs w:val="20"/>
          <w:color w:val="auto"/>
        </w:rPr>
      </w:pPr>
      <w:r>
        <w:rPr>
          <w:rFonts w:ascii="Arial" w:cs="Arial" w:eastAsia="Arial" w:hAnsi="Arial"/>
          <w:sz w:val="14"/>
          <w:szCs w:val="14"/>
          <w:b w:val="1"/>
          <w:bCs w:val="1"/>
          <w:color w:val="auto"/>
        </w:rPr>
        <w:t>For the Years Ended December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40" w:type="dxa"/>
            <w:vAlign w:val="bottom"/>
            <w:tcBorders>
              <w:top w:val="single" w:sz="8" w:color="auto"/>
              <w:bottom w:val="single" w:sz="8" w:color="auto"/>
            </w:tcBorders>
            <w:shd w:val="clear" w:color="auto" w:fill="DDDDDD"/>
          </w:tcPr>
          <w:p>
            <w:pPr>
              <w:spacing w:after="0"/>
              <w:rPr>
                <w:sz w:val="22"/>
                <w:szCs w:val="22"/>
                <w:color w:val="auto"/>
              </w:rPr>
            </w:pPr>
          </w:p>
        </w:tc>
        <w:tc>
          <w:tcPr>
            <w:tcW w:w="1480" w:type="dxa"/>
            <w:vAlign w:val="bottom"/>
            <w:tcBorders>
              <w:top w:val="single" w:sz="8" w:color="auto"/>
              <w:bottom w:val="single" w:sz="8" w:color="auto"/>
            </w:tcBorders>
            <w:shd w:val="clear" w:color="auto" w:fill="DDDDDD"/>
          </w:tcPr>
          <w:p>
            <w:pPr>
              <w:jc w:val="right"/>
              <w:ind w:right="575"/>
              <w:spacing w:after="0"/>
              <w:rPr>
                <w:sz w:val="20"/>
                <w:szCs w:val="20"/>
                <w:color w:val="auto"/>
              </w:rPr>
            </w:pPr>
            <w:r>
              <w:rPr>
                <w:rFonts w:ascii="Arial" w:cs="Arial" w:eastAsia="Arial" w:hAnsi="Arial"/>
                <w:sz w:val="14"/>
                <w:szCs w:val="14"/>
                <w:b w:val="1"/>
                <w:bCs w:val="1"/>
                <w:color w:val="2573BA"/>
              </w:rPr>
              <w:t>2017</w:t>
            </w:r>
          </w:p>
        </w:tc>
        <w:tc>
          <w:tcPr>
            <w:tcW w:w="100" w:type="dxa"/>
            <w:vAlign w:val="bottom"/>
            <w:tcBorders>
              <w:top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2015</w:t>
            </w:r>
          </w:p>
        </w:tc>
      </w:tr>
      <w:tr>
        <w:trPr>
          <w:trHeight w:val="497"/>
        </w:trPr>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80" w:type="dxa"/>
            <w:vAlign w:val="bottom"/>
            <w:shd w:val="clear" w:color="auto" w:fill="DDDDDD"/>
          </w:tcPr>
          <w:p>
            <w:pPr>
              <w:jc w:val="right"/>
              <w:ind w:right="35"/>
              <w:spacing w:after="0"/>
              <w:rPr>
                <w:sz w:val="20"/>
                <w:szCs w:val="20"/>
                <w:color w:val="auto"/>
              </w:rPr>
            </w:pPr>
            <w:r>
              <w:rPr>
                <w:rFonts w:ascii="Arial" w:cs="Arial" w:eastAsia="Arial" w:hAnsi="Arial"/>
                <w:sz w:val="17"/>
                <w:szCs w:val="17"/>
                <w:color w:val="2573BA"/>
              </w:rPr>
              <w:t>10,354.7</w:t>
            </w:r>
          </w:p>
        </w:tc>
        <w:tc>
          <w:tcPr>
            <w:tcW w:w="480" w:type="dxa"/>
            <w:vAlign w:val="bottom"/>
            <w:gridSpan w:val="2"/>
          </w:tcPr>
          <w:p>
            <w:pPr>
              <w:jc w:val="right"/>
              <w:ind w:right="175"/>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9,817.9</w:t>
            </w:r>
          </w:p>
        </w:tc>
        <w:tc>
          <w:tcPr>
            <w:tcW w:w="120" w:type="dxa"/>
            <w:vAlign w:val="bottom"/>
          </w:tcPr>
          <w:p>
            <w:pPr>
              <w:spacing w:after="0"/>
              <w:rPr>
                <w:sz w:val="24"/>
                <w:szCs w:val="24"/>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9,188.5</w:t>
            </w:r>
          </w:p>
        </w:tc>
      </w:tr>
      <w:tr>
        <w:trPr>
          <w:trHeight w:val="256"/>
        </w:trPr>
        <w:tc>
          <w:tcPr>
            <w:tcW w:w="140" w:type="dxa"/>
            <w:vAlign w:val="bottom"/>
            <w:shd w:val="clear" w:color="auto" w:fill="DDDDDD"/>
          </w:tcPr>
          <w:p>
            <w:pPr>
              <w:spacing w:after="0"/>
              <w:rPr>
                <w:sz w:val="22"/>
                <w:szCs w:val="22"/>
                <w:color w:val="auto"/>
              </w:rPr>
            </w:pPr>
          </w:p>
        </w:tc>
        <w:tc>
          <w:tcPr>
            <w:tcW w:w="1480" w:type="dxa"/>
            <w:vAlign w:val="bottom"/>
            <w:shd w:val="clear" w:color="auto" w:fill="DDDDDD"/>
          </w:tcPr>
          <w:p>
            <w:pPr>
              <w:jc w:val="right"/>
              <w:ind w:right="35"/>
              <w:spacing w:after="0"/>
              <w:rPr>
                <w:sz w:val="20"/>
                <w:szCs w:val="20"/>
                <w:color w:val="auto"/>
              </w:rPr>
            </w:pPr>
            <w:r>
              <w:rPr>
                <w:rFonts w:ascii="Arial" w:cs="Arial" w:eastAsia="Arial" w:hAnsi="Arial"/>
                <w:sz w:val="17"/>
                <w:szCs w:val="17"/>
                <w:color w:val="2573BA"/>
              </w:rPr>
              <w:t>1,559.2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1,314.5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1,339.2</w:t>
            </w:r>
          </w:p>
        </w:tc>
      </w:tr>
      <w:tr>
        <w:trPr>
          <w:trHeight w:val="263"/>
        </w:trPr>
        <w:tc>
          <w:tcPr>
            <w:tcW w:w="140" w:type="dxa"/>
            <w:vAlign w:val="bottom"/>
            <w:tcBorders>
              <w:bottom w:val="single" w:sz="8" w:color="auto"/>
            </w:tcBorders>
            <w:shd w:val="clear" w:color="auto" w:fill="DDDDDD"/>
          </w:tcPr>
          <w:p>
            <w:pPr>
              <w:spacing w:after="0"/>
              <w:rPr>
                <w:sz w:val="22"/>
                <w:szCs w:val="22"/>
                <w:color w:val="auto"/>
              </w:rPr>
            </w:pPr>
          </w:p>
        </w:tc>
        <w:tc>
          <w:tcPr>
            <w:tcW w:w="1480" w:type="dxa"/>
            <w:vAlign w:val="bottom"/>
            <w:tcBorders>
              <w:bottom w:val="single" w:sz="8" w:color="auto"/>
            </w:tcBorders>
            <w:shd w:val="clear" w:color="auto" w:fill="DDDDDD"/>
          </w:tcPr>
          <w:p>
            <w:pPr>
              <w:jc w:val="right"/>
              <w:ind w:right="35"/>
              <w:spacing w:after="0"/>
              <w:rPr>
                <w:sz w:val="20"/>
                <w:szCs w:val="20"/>
                <w:color w:val="auto"/>
              </w:rPr>
            </w:pPr>
            <w:r>
              <w:rPr>
                <w:rFonts w:ascii="Arial" w:cs="Arial" w:eastAsia="Arial" w:hAnsi="Arial"/>
                <w:sz w:val="17"/>
                <w:szCs w:val="17"/>
                <w:color w:val="2573BA"/>
              </w:rPr>
              <w:t>360.0</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316.4</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236.1</w:t>
            </w:r>
          </w:p>
        </w:tc>
      </w:tr>
      <w:tr>
        <w:trPr>
          <w:trHeight w:val="236"/>
        </w:trPr>
        <w:tc>
          <w:tcPr>
            <w:tcW w:w="140" w:type="dxa"/>
            <w:vAlign w:val="bottom"/>
            <w:tcBorders>
              <w:bottom w:val="single" w:sz="8" w:color="auto"/>
            </w:tcBorders>
            <w:shd w:val="clear" w:color="auto" w:fill="DDDDDD"/>
          </w:tcPr>
          <w:p>
            <w:pPr>
              <w:spacing w:after="0"/>
              <w:rPr>
                <w:sz w:val="20"/>
                <w:szCs w:val="20"/>
                <w:color w:val="auto"/>
              </w:rPr>
            </w:pPr>
          </w:p>
        </w:tc>
        <w:tc>
          <w:tcPr>
            <w:tcW w:w="1480" w:type="dxa"/>
            <w:vAlign w:val="bottom"/>
            <w:tcBorders>
              <w:bottom w:val="single" w:sz="8" w:color="auto"/>
            </w:tcBorders>
            <w:shd w:val="clear" w:color="auto" w:fill="DDDDDD"/>
          </w:tcPr>
          <w:p>
            <w:pPr>
              <w:jc w:val="right"/>
              <w:ind w:right="35"/>
              <w:spacing w:after="0"/>
              <w:rPr>
                <w:sz w:val="20"/>
                <w:szCs w:val="20"/>
                <w:color w:val="auto"/>
              </w:rPr>
            </w:pPr>
            <w:r>
              <w:rPr>
                <w:rFonts w:ascii="Arial" w:cs="Arial" w:eastAsia="Arial" w:hAnsi="Arial"/>
                <w:sz w:val="17"/>
                <w:szCs w:val="17"/>
                <w:color w:val="2573BA"/>
              </w:rPr>
              <w:t>12,273.9</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11,448.8</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10,763.8</w:t>
            </w:r>
          </w:p>
        </w:tc>
      </w:tr>
      <w:tr>
        <w:trPr>
          <w:trHeight w:val="512"/>
        </w:trPr>
        <w:tc>
          <w:tcPr>
            <w:tcW w:w="140" w:type="dxa"/>
            <w:vAlign w:val="bottom"/>
            <w:shd w:val="clear" w:color="auto" w:fill="DDDDDD"/>
          </w:tcPr>
          <w:p>
            <w:pPr>
              <w:spacing w:after="0"/>
              <w:rPr>
                <w:sz w:val="24"/>
                <w:szCs w:val="24"/>
                <w:color w:val="auto"/>
              </w:rPr>
            </w:pPr>
          </w:p>
        </w:tc>
        <w:tc>
          <w:tcPr>
            <w:tcW w:w="1480" w:type="dxa"/>
            <w:vAlign w:val="bottom"/>
            <w:shd w:val="clear" w:color="auto" w:fill="DDDDDD"/>
          </w:tcPr>
          <w:p>
            <w:pPr>
              <w:jc w:val="right"/>
              <w:ind w:right="35"/>
              <w:spacing w:after="0"/>
              <w:rPr>
                <w:sz w:val="20"/>
                <w:szCs w:val="20"/>
                <w:color w:val="auto"/>
              </w:rPr>
            </w:pPr>
            <w:r>
              <w:rPr>
                <w:rFonts w:ascii="Arial" w:cs="Arial" w:eastAsia="Arial" w:hAnsi="Arial"/>
                <w:sz w:val="17"/>
                <w:szCs w:val="17"/>
                <w:color w:val="2573BA"/>
              </w:rPr>
              <w:t>1,630.0</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1,478.7</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1,240.4</w:t>
            </w:r>
          </w:p>
        </w:tc>
      </w:tr>
      <w:tr>
        <w:trPr>
          <w:trHeight w:val="242"/>
        </w:trPr>
        <w:tc>
          <w:tcPr>
            <w:tcW w:w="140" w:type="dxa"/>
            <w:vAlign w:val="bottom"/>
          </w:tcPr>
          <w:p>
            <w:pPr>
              <w:spacing w:after="0"/>
              <w:rPr>
                <w:sz w:val="21"/>
                <w:szCs w:val="21"/>
                <w:color w:val="auto"/>
              </w:rPr>
            </w:pPr>
          </w:p>
        </w:tc>
        <w:tc>
          <w:tcPr>
            <w:tcW w:w="1480" w:type="dxa"/>
            <w:vAlign w:val="bottom"/>
          </w:tcPr>
          <w:p>
            <w:pPr>
              <w:jc w:val="right"/>
              <w:ind w:right="35"/>
              <w:spacing w:after="0"/>
              <w:rPr>
                <w:sz w:val="20"/>
                <w:szCs w:val="20"/>
                <w:color w:val="auto"/>
              </w:rPr>
            </w:pPr>
            <w:r>
              <w:rPr>
                <w:rFonts w:ascii="Arial" w:cs="Arial" w:eastAsia="Arial" w:hAnsi="Arial"/>
                <w:sz w:val="17"/>
                <w:szCs w:val="17"/>
                <w:color w:val="2573BA"/>
              </w:rPr>
              <w:t>2,253.6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1,973.3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2,012.8</w:t>
            </w:r>
          </w:p>
        </w:tc>
      </w:tr>
      <w:tr>
        <w:trPr>
          <w:trHeight w:val="256"/>
        </w:trPr>
        <w:tc>
          <w:tcPr>
            <w:tcW w:w="140" w:type="dxa"/>
            <w:vAlign w:val="bottom"/>
          </w:tcPr>
          <w:p>
            <w:pPr>
              <w:spacing w:after="0"/>
              <w:rPr>
                <w:sz w:val="22"/>
                <w:szCs w:val="22"/>
                <w:color w:val="auto"/>
              </w:rPr>
            </w:pPr>
          </w:p>
        </w:tc>
        <w:tc>
          <w:tcPr>
            <w:tcW w:w="1480" w:type="dxa"/>
            <w:vAlign w:val="bottom"/>
          </w:tcPr>
          <w:p>
            <w:pPr>
              <w:jc w:val="right"/>
              <w:ind w:right="35"/>
              <w:spacing w:after="0"/>
              <w:rPr>
                <w:sz w:val="20"/>
                <w:szCs w:val="20"/>
                <w:color w:val="auto"/>
              </w:rPr>
            </w:pPr>
            <w:r>
              <w:rPr>
                <w:rFonts w:ascii="Arial" w:cs="Arial" w:eastAsia="Arial" w:hAnsi="Arial"/>
                <w:sz w:val="17"/>
                <w:szCs w:val="17"/>
                <w:color w:val="2573BA"/>
              </w:rPr>
              <w:t>1,935.5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1,947.9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2,113.1</w:t>
            </w:r>
          </w:p>
        </w:tc>
      </w:tr>
      <w:tr>
        <w:trPr>
          <w:trHeight w:val="256"/>
        </w:trPr>
        <w:tc>
          <w:tcPr>
            <w:tcW w:w="140" w:type="dxa"/>
            <w:vAlign w:val="bottom"/>
          </w:tcPr>
          <w:p>
            <w:pPr>
              <w:spacing w:after="0"/>
              <w:rPr>
                <w:sz w:val="22"/>
                <w:szCs w:val="22"/>
                <w:color w:val="auto"/>
              </w:rPr>
            </w:pPr>
          </w:p>
        </w:tc>
        <w:tc>
          <w:tcPr>
            <w:tcW w:w="1480" w:type="dxa"/>
            <w:vAlign w:val="bottom"/>
          </w:tcPr>
          <w:p>
            <w:pPr>
              <w:jc w:val="right"/>
              <w:ind w:right="35"/>
              <w:spacing w:after="0"/>
              <w:rPr>
                <w:sz w:val="20"/>
                <w:szCs w:val="20"/>
                <w:color w:val="auto"/>
              </w:rPr>
            </w:pPr>
            <w:r>
              <w:rPr>
                <w:rFonts w:ascii="Arial" w:cs="Arial" w:eastAsia="Arial" w:hAnsi="Arial"/>
                <w:sz w:val="17"/>
                <w:szCs w:val="17"/>
                <w:color w:val="2573BA"/>
              </w:rPr>
              <w:t>814.7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385.6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382.6</w:t>
            </w:r>
          </w:p>
        </w:tc>
      </w:tr>
      <w:tr>
        <w:trPr>
          <w:trHeight w:val="256"/>
        </w:trPr>
        <w:tc>
          <w:tcPr>
            <w:tcW w:w="140" w:type="dxa"/>
            <w:vAlign w:val="bottom"/>
          </w:tcPr>
          <w:p>
            <w:pPr>
              <w:spacing w:after="0"/>
              <w:rPr>
                <w:sz w:val="22"/>
                <w:szCs w:val="22"/>
                <w:color w:val="auto"/>
              </w:rPr>
            </w:pPr>
          </w:p>
        </w:tc>
        <w:tc>
          <w:tcPr>
            <w:tcW w:w="1480" w:type="dxa"/>
            <w:vAlign w:val="bottom"/>
          </w:tcPr>
          <w:p>
            <w:pPr>
              <w:jc w:val="right"/>
              <w:ind w:right="35"/>
              <w:spacing w:after="0"/>
              <w:rPr>
                <w:sz w:val="20"/>
                <w:szCs w:val="20"/>
                <w:color w:val="auto"/>
              </w:rPr>
            </w:pPr>
            <w:r>
              <w:rPr>
                <w:rFonts w:ascii="Arial" w:cs="Arial" w:eastAsia="Arial" w:hAnsi="Arial"/>
                <w:sz w:val="17"/>
                <w:szCs w:val="17"/>
                <w:color w:val="2573BA"/>
              </w:rPr>
              <w:t>120.0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56"/>
        </w:trPr>
        <w:tc>
          <w:tcPr>
            <w:tcW w:w="140" w:type="dxa"/>
            <w:vAlign w:val="bottom"/>
          </w:tcPr>
          <w:p>
            <w:pPr>
              <w:spacing w:after="0"/>
              <w:rPr>
                <w:sz w:val="22"/>
                <w:szCs w:val="22"/>
                <w:color w:val="auto"/>
              </w:rPr>
            </w:pPr>
          </w:p>
        </w:tc>
        <w:tc>
          <w:tcPr>
            <w:tcW w:w="1480" w:type="dxa"/>
            <w:vAlign w:val="bottom"/>
          </w:tcPr>
          <w:p>
            <w:pPr>
              <w:jc w:val="right"/>
              <w:ind w:right="35"/>
              <w:spacing w:after="0"/>
              <w:rPr>
                <w:sz w:val="20"/>
                <w:szCs w:val="20"/>
                <w:color w:val="auto"/>
              </w:rPr>
            </w:pPr>
            <w:r>
              <w:rPr>
                <w:rFonts w:ascii="Arial" w:cs="Arial" w:eastAsia="Arial" w:hAnsi="Arial"/>
                <w:sz w:val="17"/>
                <w:szCs w:val="17"/>
                <w:color w:val="2573BA"/>
              </w:rPr>
              <w:t>112.3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10.2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56"/>
        </w:trPr>
        <w:tc>
          <w:tcPr>
            <w:tcW w:w="140" w:type="dxa"/>
            <w:vAlign w:val="bottom"/>
          </w:tcPr>
          <w:p>
            <w:pPr>
              <w:spacing w:after="0"/>
              <w:rPr>
                <w:sz w:val="22"/>
                <w:szCs w:val="22"/>
                <w:color w:val="auto"/>
              </w:rPr>
            </w:pPr>
          </w:p>
        </w:tc>
        <w:tc>
          <w:tcPr>
            <w:tcW w:w="1480" w:type="dxa"/>
            <w:vAlign w:val="bottom"/>
          </w:tcPr>
          <w:p>
            <w:pPr>
              <w:jc w:val="right"/>
              <w:ind w:right="35"/>
              <w:spacing w:after="0"/>
              <w:rPr>
                <w:sz w:val="20"/>
                <w:szCs w:val="20"/>
                <w:color w:val="auto"/>
              </w:rPr>
            </w:pPr>
            <w:r>
              <w:rPr>
                <w:rFonts w:ascii="Arial" w:cs="Arial" w:eastAsia="Arial" w:hAnsi="Arial"/>
                <w:sz w:val="17"/>
                <w:szCs w:val="17"/>
                <w:color w:val="2573BA"/>
              </w:rPr>
              <w:t>62.7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14.8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30.5</w:t>
            </w:r>
          </w:p>
        </w:tc>
      </w:tr>
      <w:tr>
        <w:trPr>
          <w:trHeight w:val="256"/>
        </w:trPr>
        <w:tc>
          <w:tcPr>
            <w:tcW w:w="140" w:type="dxa"/>
            <w:vAlign w:val="bottom"/>
          </w:tcPr>
          <w:p>
            <w:pPr>
              <w:spacing w:after="0"/>
              <w:rPr>
                <w:sz w:val="22"/>
                <w:szCs w:val="22"/>
                <w:color w:val="auto"/>
              </w:rPr>
            </w:pPr>
          </w:p>
        </w:tc>
        <w:tc>
          <w:tcPr>
            <w:tcW w:w="1480" w:type="dxa"/>
            <w:vAlign w:val="bottom"/>
          </w:tcPr>
          <w:p>
            <w:pPr>
              <w:jc w:val="right"/>
              <w:ind w:right="35"/>
              <w:spacing w:after="0"/>
              <w:rPr>
                <w:sz w:val="20"/>
                <w:szCs w:val="20"/>
                <w:color w:val="auto"/>
              </w:rPr>
            </w:pPr>
            <w:r>
              <w:rPr>
                <w:rFonts w:ascii="Arial" w:cs="Arial" w:eastAsia="Arial" w:hAnsi="Arial"/>
                <w:sz w:val="17"/>
                <w:szCs w:val="17"/>
                <w:color w:val="2573BA"/>
              </w:rPr>
              <w:t>0.9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33.1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93.4</w:t>
            </w:r>
          </w:p>
        </w:tc>
      </w:tr>
      <w:tr>
        <w:trPr>
          <w:trHeight w:val="263"/>
        </w:trPr>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2573BA"/>
              </w:rPr>
              <w:t>—</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454.8</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r>
      <w:tr>
        <w:trPr>
          <w:trHeight w:val="236"/>
        </w:trPr>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2573BA"/>
              </w:rPr>
              <w:t>6,929.7</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6,298.4</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5,872.8</w:t>
            </w:r>
          </w:p>
        </w:tc>
      </w:tr>
      <w:tr>
        <w:trPr>
          <w:trHeight w:val="229"/>
        </w:trPr>
        <w:tc>
          <w:tcPr>
            <w:tcW w:w="140" w:type="dxa"/>
            <w:vAlign w:val="bottom"/>
          </w:tcPr>
          <w:p>
            <w:pPr>
              <w:spacing w:after="0"/>
              <w:rPr>
                <w:sz w:val="19"/>
                <w:szCs w:val="19"/>
                <w:color w:val="auto"/>
              </w:rPr>
            </w:pPr>
          </w:p>
        </w:tc>
        <w:tc>
          <w:tcPr>
            <w:tcW w:w="1480" w:type="dxa"/>
            <w:vAlign w:val="bottom"/>
          </w:tcPr>
          <w:p>
            <w:pPr>
              <w:jc w:val="right"/>
              <w:ind w:right="35"/>
              <w:spacing w:after="0"/>
              <w:rPr>
                <w:sz w:val="20"/>
                <w:szCs w:val="20"/>
                <w:color w:val="auto"/>
              </w:rPr>
            </w:pPr>
            <w:r>
              <w:rPr>
                <w:rFonts w:ascii="Arial" w:cs="Arial" w:eastAsia="Arial" w:hAnsi="Arial"/>
                <w:sz w:val="17"/>
                <w:szCs w:val="17"/>
                <w:color w:val="2573BA"/>
              </w:rPr>
              <w:t>5,344.2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5,150.4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4,891.0</w:t>
            </w:r>
          </w:p>
        </w:tc>
      </w:tr>
      <w:tr>
        <w:trPr>
          <w:trHeight w:val="263"/>
        </w:trPr>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(215.4)</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(217.4)</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(123.7)</w:t>
            </w:r>
          </w:p>
        </w:tc>
      </w:tr>
      <w:tr>
        <w:trPr>
          <w:trHeight w:val="229"/>
        </w:trPr>
        <w:tc>
          <w:tcPr>
            <w:tcW w:w="140" w:type="dxa"/>
            <w:vAlign w:val="bottom"/>
          </w:tcPr>
          <w:p>
            <w:pPr>
              <w:spacing w:after="0"/>
              <w:rPr>
                <w:sz w:val="19"/>
                <w:szCs w:val="19"/>
                <w:color w:val="auto"/>
              </w:rPr>
            </w:pPr>
          </w:p>
        </w:tc>
        <w:tc>
          <w:tcPr>
            <w:tcW w:w="1480" w:type="dxa"/>
            <w:vAlign w:val="bottom"/>
          </w:tcPr>
          <w:p>
            <w:pPr>
              <w:jc w:val="right"/>
              <w:ind w:right="35"/>
              <w:spacing w:after="0"/>
              <w:rPr>
                <w:sz w:val="20"/>
                <w:szCs w:val="20"/>
                <w:color w:val="auto"/>
              </w:rPr>
            </w:pPr>
            <w:r>
              <w:rPr>
                <w:rFonts w:ascii="Arial" w:cs="Arial" w:eastAsia="Arial" w:hAnsi="Arial"/>
                <w:sz w:val="17"/>
                <w:szCs w:val="17"/>
                <w:color w:val="2573BA"/>
              </w:rPr>
              <w:t>5,128.8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4,933.0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4,767.3</w:t>
            </w:r>
          </w:p>
        </w:tc>
      </w:tr>
      <w:tr>
        <w:trPr>
          <w:trHeight w:val="256"/>
        </w:trPr>
        <w:tc>
          <w:tcPr>
            <w:tcW w:w="140" w:type="dxa"/>
            <w:vAlign w:val="bottom"/>
          </w:tcPr>
          <w:p>
            <w:pPr>
              <w:spacing w:after="0"/>
              <w:rPr>
                <w:sz w:val="22"/>
                <w:szCs w:val="22"/>
                <w:color w:val="auto"/>
              </w:rPr>
            </w:pPr>
          </w:p>
        </w:tc>
        <w:tc>
          <w:tcPr>
            <w:tcW w:w="1480" w:type="dxa"/>
            <w:vAlign w:val="bottom"/>
          </w:tcPr>
          <w:p>
            <w:pPr>
              <w:jc w:val="right"/>
              <w:ind w:right="35"/>
              <w:spacing w:after="0"/>
              <w:rPr>
                <w:sz w:val="20"/>
                <w:szCs w:val="20"/>
                <w:color w:val="auto"/>
              </w:rPr>
            </w:pPr>
            <w:r>
              <w:rPr>
                <w:rFonts w:ascii="Arial" w:cs="Arial" w:eastAsia="Arial" w:hAnsi="Arial"/>
                <w:sz w:val="17"/>
                <w:szCs w:val="17"/>
                <w:color w:val="2573BA"/>
              </w:rPr>
              <w:t>2,458.7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1,237.3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1,161.6</w:t>
            </w:r>
          </w:p>
        </w:tc>
      </w:tr>
      <w:tr>
        <w:trPr>
          <w:trHeight w:val="263"/>
        </w:trPr>
        <w:tc>
          <w:tcPr>
            <w:tcW w:w="140" w:type="dxa"/>
            <w:vAlign w:val="bottom"/>
          </w:tcPr>
          <w:p>
            <w:pPr>
              <w:spacing w:after="0"/>
              <w:rPr>
                <w:sz w:val="22"/>
                <w:szCs w:val="22"/>
                <w:color w:val="auto"/>
              </w:rPr>
            </w:pPr>
          </w:p>
        </w:tc>
        <w:tc>
          <w:tcPr>
            <w:tcW w:w="1480" w:type="dxa"/>
            <w:vAlign w:val="bottom"/>
          </w:tcPr>
          <w:p>
            <w:pPr>
              <w:jc w:val="right"/>
              <w:ind w:right="35"/>
              <w:spacing w:after="0"/>
              <w:rPr>
                <w:sz w:val="20"/>
                <w:szCs w:val="20"/>
                <w:color w:val="auto"/>
              </w:rPr>
            </w:pPr>
            <w:r>
              <w:rPr>
                <w:rFonts w:ascii="Arial" w:cs="Arial" w:eastAsia="Arial" w:hAnsi="Arial"/>
                <w:sz w:val="17"/>
                <w:szCs w:val="17"/>
                <w:color w:val="2573BA"/>
              </w:rPr>
              <w:t>—</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12.5</w:t>
            </w:r>
          </w:p>
        </w:tc>
      </w:tr>
      <w:tr>
        <w:trPr>
          <w:trHeight w:val="229"/>
        </w:trPr>
        <w:tc>
          <w:tcPr>
            <w:tcW w:w="1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2573BA"/>
              </w:rPr>
              <w:t>2,670.1</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3,695.7</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3,593.2</w:t>
            </w:r>
          </w:p>
        </w:tc>
      </w:tr>
      <w:tr>
        <w:trPr>
          <w:trHeight w:val="263"/>
        </w:trPr>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2573BA"/>
              </w:rPr>
              <w:t>131.0</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46.2</w:t>
            </w:r>
          </w:p>
        </w:tc>
      </w:tr>
      <w:tr>
        <w:trPr>
          <w:trHeight w:val="276"/>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w:t>
            </w:r>
          </w:p>
        </w:tc>
        <w:tc>
          <w:tcPr>
            <w:tcW w:w="14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2573BA"/>
              </w:rPr>
              <w:t>2,539.1</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3,702.8</w:t>
            </w:r>
          </w:p>
        </w:tc>
        <w:tc>
          <w:tcPr>
            <w:tcW w:w="120" w:type="dxa"/>
            <w:vAlign w:val="bottom"/>
          </w:tcPr>
          <w:p>
            <w:pPr>
              <w:spacing w:after="0"/>
              <w:rPr>
                <w:sz w:val="24"/>
                <w:szCs w:val="24"/>
                <w:color w:val="auto"/>
              </w:rPr>
            </w:pPr>
          </w:p>
        </w:tc>
        <w:tc>
          <w:tcPr>
            <w:tcW w:w="3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3,547.0</w:t>
            </w:r>
          </w:p>
        </w:tc>
      </w:tr>
      <w:tr>
        <w:trPr>
          <w:trHeight w:val="518"/>
        </w:trPr>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80" w:type="dxa"/>
            <w:vAlign w:val="bottom"/>
            <w:tcBorders>
              <w:bottom w:val="single" w:sz="8" w:color="auto"/>
            </w:tcBorders>
            <w:shd w:val="clear" w:color="auto" w:fill="DDDDDD"/>
          </w:tcPr>
          <w:p>
            <w:pPr>
              <w:jc w:val="right"/>
              <w:ind w:right="35"/>
              <w:spacing w:after="0"/>
              <w:rPr>
                <w:sz w:val="20"/>
                <w:szCs w:val="20"/>
                <w:color w:val="auto"/>
              </w:rPr>
            </w:pPr>
            <w:r>
              <w:rPr>
                <w:rFonts w:ascii="Arial" w:cs="Arial" w:eastAsia="Arial" w:hAnsi="Arial"/>
                <w:sz w:val="17"/>
                <w:szCs w:val="17"/>
                <w:color w:val="2573BA"/>
              </w:rPr>
              <w:t>11.94</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16.96</w:t>
            </w:r>
          </w:p>
        </w:tc>
        <w:tc>
          <w:tcPr>
            <w:tcW w:w="120" w:type="dxa"/>
            <w:vAlign w:val="bottom"/>
          </w:tcPr>
          <w:p>
            <w:pPr>
              <w:spacing w:after="0"/>
              <w:rPr>
                <w:sz w:val="24"/>
                <w:szCs w:val="24"/>
                <w:color w:val="auto"/>
              </w:rPr>
            </w:pPr>
          </w:p>
        </w:tc>
        <w:tc>
          <w:tcPr>
            <w:tcW w:w="3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15.38</w:t>
            </w:r>
          </w:p>
        </w:tc>
      </w:tr>
      <w:tr>
        <w:trPr>
          <w:trHeight w:val="262"/>
        </w:trPr>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80" w:type="dxa"/>
            <w:vAlign w:val="bottom"/>
            <w:shd w:val="clear" w:color="auto" w:fill="DDDDDD"/>
          </w:tcPr>
          <w:p>
            <w:pPr>
              <w:jc w:val="right"/>
              <w:ind w:right="35"/>
              <w:spacing w:after="0"/>
              <w:rPr>
                <w:sz w:val="20"/>
                <w:szCs w:val="20"/>
                <w:color w:val="auto"/>
              </w:rPr>
            </w:pPr>
            <w:r>
              <w:rPr>
                <w:rFonts w:ascii="Arial" w:cs="Arial" w:eastAsia="Arial" w:hAnsi="Arial"/>
                <w:sz w:val="17"/>
                <w:szCs w:val="17"/>
                <w:color w:val="2573BA"/>
              </w:rPr>
              <w:t>11.92</w:t>
            </w:r>
          </w:p>
        </w:tc>
        <w:tc>
          <w:tcPr>
            <w:tcW w:w="480" w:type="dxa"/>
            <w:vAlign w:val="bottom"/>
            <w:gridSpan w:val="2"/>
          </w:tcPr>
          <w:p>
            <w:pPr>
              <w:jc w:val="right"/>
              <w:ind w:right="175"/>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16.93</w:t>
            </w:r>
          </w:p>
        </w:tc>
        <w:tc>
          <w:tcPr>
            <w:tcW w:w="120" w:type="dxa"/>
            <w:vAlign w:val="bottom"/>
          </w:tcPr>
          <w:p>
            <w:pPr>
              <w:spacing w:after="0"/>
              <w:rPr>
                <w:sz w:val="22"/>
                <w:szCs w:val="22"/>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15.34</w:t>
            </w:r>
          </w:p>
        </w:tc>
      </w:tr>
      <w:tr>
        <w:trPr>
          <w:trHeight w:val="518"/>
        </w:trPr>
        <w:tc>
          <w:tcPr>
            <w:tcW w:w="140" w:type="dxa"/>
            <w:vAlign w:val="bottom"/>
            <w:tcBorders>
              <w:top w:val="single" w:sz="8" w:color="auto"/>
              <w:bottom w:val="single" w:sz="8" w:color="auto"/>
            </w:tcBorders>
            <w:shd w:val="clear" w:color="auto" w:fill="DDDDDD"/>
          </w:tcPr>
          <w:p>
            <w:pPr>
              <w:spacing w:after="0"/>
              <w:rPr>
                <w:sz w:val="24"/>
                <w:szCs w:val="24"/>
                <w:color w:val="auto"/>
              </w:rPr>
            </w:pPr>
          </w:p>
        </w:tc>
        <w:tc>
          <w:tcPr>
            <w:tcW w:w="1480" w:type="dxa"/>
            <w:vAlign w:val="bottom"/>
            <w:tcBorders>
              <w:top w:val="single" w:sz="8" w:color="auto"/>
              <w:bottom w:val="single" w:sz="8" w:color="auto"/>
            </w:tcBorders>
            <w:shd w:val="clear" w:color="auto" w:fill="DDDDDD"/>
          </w:tcPr>
          <w:p>
            <w:pPr>
              <w:jc w:val="right"/>
              <w:ind w:right="35"/>
              <w:spacing w:after="0"/>
              <w:rPr>
                <w:sz w:val="20"/>
                <w:szCs w:val="20"/>
                <w:color w:val="auto"/>
              </w:rPr>
            </w:pPr>
            <w:r>
              <w:rPr>
                <w:rFonts w:ascii="Arial" w:cs="Arial" w:eastAsia="Arial" w:hAnsi="Arial"/>
                <w:sz w:val="17"/>
                <w:szCs w:val="17"/>
                <w:color w:val="2573BA"/>
              </w:rPr>
              <w:t>212.6</w:t>
            </w:r>
          </w:p>
        </w:tc>
        <w:tc>
          <w:tcPr>
            <w:tcW w:w="100" w:type="dxa"/>
            <w:vAlign w:val="bottom"/>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218.4</w:t>
            </w:r>
          </w:p>
        </w:tc>
        <w:tc>
          <w:tcPr>
            <w:tcW w:w="120" w:type="dxa"/>
            <w:vAlign w:val="bottom"/>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230.7</w:t>
            </w:r>
          </w:p>
        </w:tc>
      </w:tr>
      <w:tr>
        <w:trPr>
          <w:trHeight w:val="222"/>
        </w:trPr>
        <w:tc>
          <w:tcPr>
            <w:tcW w:w="140" w:type="dxa"/>
            <w:vAlign w:val="bottom"/>
            <w:tcBorders>
              <w:bottom w:val="single" w:sz="8" w:color="auto"/>
            </w:tcBorders>
            <w:shd w:val="clear" w:color="auto" w:fill="DDDDDD"/>
          </w:tcPr>
          <w:p>
            <w:pPr>
              <w:spacing w:after="0"/>
              <w:rPr>
                <w:sz w:val="19"/>
                <w:szCs w:val="19"/>
                <w:color w:val="auto"/>
              </w:rPr>
            </w:pPr>
          </w:p>
        </w:tc>
        <w:tc>
          <w:tcPr>
            <w:tcW w:w="1480" w:type="dxa"/>
            <w:vAlign w:val="bottom"/>
            <w:tcBorders>
              <w:bottom w:val="single" w:sz="8" w:color="auto"/>
            </w:tcBorders>
            <w:shd w:val="clear" w:color="auto" w:fill="DDDDDD"/>
          </w:tcPr>
          <w:p>
            <w:pPr>
              <w:jc w:val="right"/>
              <w:ind w:right="35"/>
              <w:spacing w:after="0"/>
              <w:rPr>
                <w:sz w:val="20"/>
                <w:szCs w:val="20"/>
                <w:color w:val="auto"/>
              </w:rPr>
            </w:pPr>
            <w:r>
              <w:rPr>
                <w:rFonts w:ascii="Arial" w:cs="Arial" w:eastAsia="Arial" w:hAnsi="Arial"/>
                <w:sz w:val="17"/>
                <w:szCs w:val="17"/>
                <w:color w:val="2573BA"/>
              </w:rPr>
              <w:t>213.0</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218.8</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231.2</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-3992245</wp:posOffset>
            </wp:positionV>
            <wp:extent cx="1032510" cy="29356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6">
                      <a:extLst>
                        <a:ext uri="{28A0092B-C50C-407E-A947-70E740481C1C}"/>
                      </a:extLst>
                    </a:blip>
                    <a:srcRect/>
                    <a:stretch>
                      <a:fillRect/>
                    </a:stretch>
                  </pic:blipFill>
                  <pic:spPr bwMode="auto">
                    <a:xfrm>
                      <a:off x="0" y="0"/>
                      <a:ext cx="1032510" cy="29356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20" w:space="680"/>
            <w:col w:w="5000"/>
          </w:cols>
          <w:pgMar w:left="240" w:top="144"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accompanying notes to these consolidated financial statements.</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F- 2</w:t>
      </w:r>
    </w:p>
    <w:p>
      <w:pPr>
        <w:sectPr>
          <w:pgSz w:w="11900" w:h="16838" w:orient="portrait"/>
          <w:cols w:equalWidth="0" w:num="1">
            <w:col w:w="11400"/>
          </w:cols>
          <w:pgMar w:left="240" w:top="144" w:right="259" w:bottom="1440" w:gutter="0" w:footer="0" w:header="0"/>
          <w:type w:val="continuous"/>
        </w:sectPr>
      </w:pPr>
    </w:p>
    <w:bookmarkStart w:id="104" w:name="page105"/>
    <w:bookmarkEnd w:id="10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99" w:lineRule="exact"/>
        <w:rPr>
          <w:sz w:val="20"/>
          <w:szCs w:val="20"/>
          <w:color w:val="auto"/>
        </w:rPr>
      </w:pPr>
    </w:p>
    <w:p>
      <w:pPr>
        <w:jc w:val="center"/>
        <w:ind w:left="2900"/>
        <w:spacing w:after="0" w:line="287" w:lineRule="auto"/>
        <w:rPr>
          <w:sz w:val="20"/>
          <w:szCs w:val="20"/>
          <w:color w:val="auto"/>
        </w:rPr>
      </w:pPr>
      <w:r>
        <w:rPr>
          <w:rFonts w:ascii="Arial" w:cs="Arial" w:eastAsia="Arial" w:hAnsi="Arial"/>
          <w:sz w:val="20"/>
          <w:szCs w:val="20"/>
          <w:b w:val="1"/>
          <w:bCs w:val="1"/>
          <w:color w:val="1C5A7D"/>
        </w:rPr>
        <w:t>BIOGEN INC. AND SUBSIDIARIES CONSOLIDATED STATEMENTS OF COMPREHENSIVE INCOME (In millions)</w:t>
      </w:r>
    </w:p>
    <w:p>
      <w:pPr>
        <w:sectPr>
          <w:pgSz w:w="11900" w:h="16838" w:orient="portrait"/>
          <w:cols w:equalWidth="0" w:num="1">
            <w:col w:w="11420"/>
          </w:cols>
          <w:pgMar w:left="240" w:top="14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income attributable to Biogen Inc.</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7"/>
          <w:szCs w:val="17"/>
          <w:color w:val="auto"/>
        </w:rPr>
        <w:t>Other comprehensive income:</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Unrealized gains (losses) on securities available for sale:</w:t>
      </w:r>
    </w:p>
    <w:p>
      <w:pPr>
        <w:spacing w:after="0" w:line="6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Unrealized gains (losses) recognized during the period, net of tax</w:t>
      </w:r>
    </w:p>
    <w:p>
      <w:pPr>
        <w:spacing w:after="0" w:line="48" w:lineRule="exact"/>
        <w:rPr>
          <w:sz w:val="20"/>
          <w:szCs w:val="20"/>
          <w:color w:val="auto"/>
        </w:rPr>
      </w:pPr>
    </w:p>
    <w:p>
      <w:pPr>
        <w:ind w:left="260"/>
        <w:spacing w:after="0" w:line="246" w:lineRule="auto"/>
        <w:rPr>
          <w:sz w:val="20"/>
          <w:szCs w:val="20"/>
          <w:color w:val="auto"/>
        </w:rPr>
      </w:pPr>
      <w:r>
        <w:rPr>
          <w:rFonts w:ascii="Arial" w:cs="Arial" w:eastAsia="Arial" w:hAnsi="Arial"/>
          <w:sz w:val="17"/>
          <w:szCs w:val="17"/>
          <w:color w:val="auto"/>
        </w:rPr>
        <w:t>Less: reclassification adjustment for (gains) losses included in net income, net of tax</w:t>
      </w:r>
    </w:p>
    <w:p>
      <w:pPr>
        <w:spacing w:after="0" w:line="4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Unrealized gains (losses) on securities available for sale, net of tax</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Unrealized gains (losses) on cash flow hedges:</w:t>
      </w:r>
    </w:p>
    <w:p>
      <w:pPr>
        <w:spacing w:after="0" w:line="6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Unrealized gains (losses) recognized during the period, net of tax</w:t>
      </w:r>
    </w:p>
    <w:p>
      <w:pPr>
        <w:spacing w:after="0" w:line="48" w:lineRule="exact"/>
        <w:rPr>
          <w:sz w:val="20"/>
          <w:szCs w:val="20"/>
          <w:color w:val="auto"/>
        </w:rPr>
      </w:pPr>
    </w:p>
    <w:p>
      <w:pPr>
        <w:ind w:left="260"/>
        <w:spacing w:after="0" w:line="246" w:lineRule="auto"/>
        <w:rPr>
          <w:sz w:val="20"/>
          <w:szCs w:val="20"/>
          <w:color w:val="auto"/>
        </w:rPr>
      </w:pPr>
      <w:r>
        <w:rPr>
          <w:rFonts w:ascii="Arial" w:cs="Arial" w:eastAsia="Arial" w:hAnsi="Arial"/>
          <w:sz w:val="17"/>
          <w:szCs w:val="17"/>
          <w:color w:val="auto"/>
        </w:rPr>
        <w:t>Less: reclassification adjustment for (gains) losses included in net income, net of tax</w:t>
      </w:r>
    </w:p>
    <w:p>
      <w:pPr>
        <w:spacing w:after="0" w:line="4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Unrealized gains (losses) on cash flow hedges, net of tax</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Unrealized gains (losses) on pension benefit obligation, net of tax</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Currency translation adjustment</w:t>
      </w:r>
    </w:p>
    <w:p>
      <w:pPr>
        <w:spacing w:after="0" w:line="61" w:lineRule="exact"/>
        <w:rPr>
          <w:sz w:val="20"/>
          <w:szCs w:val="20"/>
          <w:color w:val="auto"/>
        </w:rPr>
      </w:pPr>
    </w:p>
    <w:p>
      <w:pPr>
        <w:ind w:left="20" w:right="2460"/>
        <w:spacing w:after="0" w:line="334" w:lineRule="auto"/>
        <w:rPr>
          <w:sz w:val="20"/>
          <w:szCs w:val="20"/>
          <w:color w:val="auto"/>
        </w:rPr>
      </w:pPr>
      <w:r>
        <w:rPr>
          <w:rFonts w:ascii="Arial" w:cs="Arial" w:eastAsia="Arial" w:hAnsi="Arial"/>
          <w:sz w:val="16"/>
          <w:szCs w:val="16"/>
          <w:color w:val="auto"/>
        </w:rPr>
        <w:t>Total other comprehensive income (loss), net of tax Comprehensive income attributable to Biogen Inc.</w:t>
      </w:r>
    </w:p>
    <w:p>
      <w:pPr>
        <w:ind w:left="20" w:right="380"/>
        <w:spacing w:after="0" w:line="341" w:lineRule="auto"/>
        <w:rPr>
          <w:sz w:val="20"/>
          <w:szCs w:val="20"/>
          <w:color w:val="auto"/>
        </w:rPr>
      </w:pPr>
      <w:r>
        <w:rPr>
          <w:rFonts w:ascii="Arial" w:cs="Arial" w:eastAsia="Arial" w:hAnsi="Arial"/>
          <w:sz w:val="17"/>
          <w:szCs w:val="17"/>
          <w:color w:val="auto"/>
        </w:rPr>
        <w:t>Comprehensive income (loss) attributable to noncontrolling interests, net of tax Comprehensive income</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For the Years Ended December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00" w:type="dxa"/>
            <w:vAlign w:val="bottom"/>
            <w:tcBorders>
              <w:top w:val="single" w:sz="8" w:color="auto"/>
              <w:bottom w:val="single" w:sz="8" w:color="auto"/>
            </w:tcBorders>
            <w:shd w:val="clear" w:color="auto" w:fill="DDDDDD"/>
          </w:tcPr>
          <w:p>
            <w:pPr>
              <w:spacing w:after="0"/>
              <w:rPr>
                <w:sz w:val="22"/>
                <w:szCs w:val="22"/>
                <w:color w:val="auto"/>
              </w:rPr>
            </w:pPr>
          </w:p>
        </w:tc>
        <w:tc>
          <w:tcPr>
            <w:tcW w:w="1120" w:type="dxa"/>
            <w:vAlign w:val="bottom"/>
            <w:tcBorders>
              <w:top w:val="single" w:sz="8" w:color="auto"/>
              <w:bottom w:val="single" w:sz="8" w:color="auto"/>
            </w:tcBorders>
            <w:shd w:val="clear" w:color="auto" w:fill="DDDDDD"/>
          </w:tcPr>
          <w:p>
            <w:pPr>
              <w:jc w:val="right"/>
              <w:ind w:right="476"/>
              <w:spacing w:after="0"/>
              <w:rPr>
                <w:sz w:val="20"/>
                <w:szCs w:val="20"/>
                <w:color w:val="auto"/>
              </w:rPr>
            </w:pPr>
            <w:r>
              <w:rPr>
                <w:rFonts w:ascii="Arial" w:cs="Arial" w:eastAsia="Arial" w:hAnsi="Arial"/>
                <w:sz w:val="14"/>
                <w:szCs w:val="14"/>
                <w:b w:val="1"/>
                <w:bCs w:val="1"/>
                <w:color w:val="2573BA"/>
              </w:rPr>
              <w:t>2017</w:t>
            </w:r>
          </w:p>
        </w:tc>
        <w:tc>
          <w:tcPr>
            <w:tcW w:w="100" w:type="dxa"/>
            <w:vAlign w:val="bottom"/>
            <w:tcBorders>
              <w:top w:val="single" w:sz="8" w:color="auto"/>
              <w:bottom w:val="single" w:sz="8" w:color="auto"/>
            </w:tcBorders>
            <w:shd w:val="clear" w:color="auto" w:fill="DDDDDD"/>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2015</w:t>
            </w:r>
          </w:p>
        </w:tc>
      </w:tr>
      <w:tr>
        <w:trPr>
          <w:trHeight w:val="235"/>
        </w:trPr>
        <w:tc>
          <w:tcPr>
            <w:tcW w:w="400" w:type="dxa"/>
            <w:vAlign w:val="bottom"/>
            <w:shd w:val="clear" w:color="auto" w:fill="DDDDDD"/>
          </w:tcPr>
          <w:p>
            <w:pPr>
              <w:jc w:val="right"/>
              <w:ind w:right="195"/>
              <w:spacing w:after="0"/>
              <w:rPr>
                <w:sz w:val="20"/>
                <w:szCs w:val="20"/>
                <w:color w:val="auto"/>
              </w:rPr>
            </w:pPr>
            <w:r>
              <w:rPr>
                <w:rFonts w:ascii="Arial" w:cs="Arial" w:eastAsia="Arial" w:hAnsi="Arial"/>
                <w:sz w:val="17"/>
                <w:szCs w:val="17"/>
                <w:color w:val="2573BA"/>
              </w:rPr>
              <w:t>$</w:t>
            </w:r>
          </w:p>
        </w:tc>
        <w:tc>
          <w:tcPr>
            <w:tcW w:w="1220" w:type="dxa"/>
            <w:vAlign w:val="bottom"/>
            <w:gridSpan w:val="2"/>
            <w:shd w:val="clear" w:color="auto" w:fill="DDDDDD"/>
          </w:tcPr>
          <w:p>
            <w:pPr>
              <w:jc w:val="right"/>
              <w:ind w:right="100"/>
              <w:spacing w:after="0"/>
              <w:rPr>
                <w:sz w:val="20"/>
                <w:szCs w:val="20"/>
                <w:color w:val="auto"/>
              </w:rPr>
            </w:pPr>
            <w:r>
              <w:rPr>
                <w:rFonts w:ascii="Arial" w:cs="Arial" w:eastAsia="Arial" w:hAnsi="Arial"/>
                <w:sz w:val="17"/>
                <w:szCs w:val="17"/>
                <w:color w:val="2573BA"/>
              </w:rPr>
              <w:t>2,539.1</w:t>
            </w:r>
          </w:p>
        </w:tc>
        <w:tc>
          <w:tcPr>
            <w:tcW w:w="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3,702.8</w:t>
            </w:r>
          </w:p>
        </w:tc>
        <w:tc>
          <w:tcPr>
            <w:tcW w:w="100" w:type="dxa"/>
            <w:vAlign w:val="bottom"/>
          </w:tcPr>
          <w:p>
            <w:pPr>
              <w:spacing w:after="0"/>
              <w:rPr>
                <w:sz w:val="20"/>
                <w:szCs w:val="20"/>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3,547.0</w:t>
            </w:r>
          </w:p>
        </w:tc>
      </w:tr>
      <w:tr>
        <w:trPr>
          <w:trHeight w:val="768"/>
        </w:trPr>
        <w:tc>
          <w:tcPr>
            <w:tcW w:w="400" w:type="dxa"/>
            <w:vAlign w:val="bottom"/>
            <w:tcBorders>
              <w:top w:val="single" w:sz="8" w:color="auto"/>
            </w:tcBorders>
            <w:shd w:val="clear" w:color="auto" w:fill="DDDDDD"/>
          </w:tcPr>
          <w:p>
            <w:pPr>
              <w:spacing w:after="0"/>
              <w:rPr>
                <w:sz w:val="24"/>
                <w:szCs w:val="24"/>
                <w:color w:val="auto"/>
              </w:rPr>
            </w:pPr>
          </w:p>
        </w:tc>
        <w:tc>
          <w:tcPr>
            <w:tcW w:w="1220" w:type="dxa"/>
            <w:vAlign w:val="bottom"/>
            <w:tcBorders>
              <w:top w:val="single" w:sz="8" w:color="auto"/>
            </w:tcBorders>
            <w:gridSpan w:val="2"/>
            <w:shd w:val="clear" w:color="auto" w:fill="DDDDDD"/>
          </w:tcPr>
          <w:p>
            <w:pPr>
              <w:jc w:val="right"/>
              <w:ind w:right="40"/>
              <w:spacing w:after="0"/>
              <w:rPr>
                <w:sz w:val="20"/>
                <w:szCs w:val="20"/>
                <w:color w:val="auto"/>
              </w:rPr>
            </w:pPr>
            <w:r>
              <w:rPr>
                <w:rFonts w:ascii="Arial" w:cs="Arial" w:eastAsia="Arial" w:hAnsi="Arial"/>
                <w:sz w:val="17"/>
                <w:szCs w:val="17"/>
                <w:color w:val="2573BA"/>
              </w:rPr>
              <w:t>(3.5)</w:t>
            </w: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w:t>
            </w:r>
          </w:p>
        </w:tc>
      </w:tr>
      <w:tr>
        <w:trPr>
          <w:trHeight w:val="428"/>
        </w:trPr>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12.7</w:t>
            </w:r>
          </w:p>
        </w:tc>
        <w:tc>
          <w:tcPr>
            <w:tcW w:w="100" w:type="dxa"/>
            <w:vAlign w:val="bottom"/>
            <w:tcBorders>
              <w:bottom w:val="single" w:sz="8" w:color="auto"/>
            </w:tcBorders>
            <w:shd w:val="clear" w:color="auto" w:fill="DDDDDD"/>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1.3</w:t>
            </w:r>
          </w:p>
        </w:tc>
      </w:tr>
      <w:tr>
        <w:trPr>
          <w:trHeight w:val="236"/>
        </w:trPr>
        <w:tc>
          <w:tcPr>
            <w:tcW w:w="4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2573BA"/>
              </w:rPr>
              <w:t>9.2</w:t>
            </w:r>
          </w:p>
        </w:tc>
        <w:tc>
          <w:tcPr>
            <w:tcW w:w="100" w:type="dxa"/>
            <w:vAlign w:val="bottom"/>
            <w:shd w:val="clear" w:color="auto" w:fill="DDDDDD"/>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(0.4)</w:t>
            </w:r>
          </w:p>
        </w:tc>
      </w:tr>
      <w:tr>
        <w:trPr>
          <w:trHeight w:val="519"/>
        </w:trPr>
        <w:tc>
          <w:tcPr>
            <w:tcW w:w="400" w:type="dxa"/>
            <w:vAlign w:val="bottom"/>
            <w:shd w:val="clear" w:color="auto" w:fill="DDDDDD"/>
          </w:tcPr>
          <w:p>
            <w:pPr>
              <w:spacing w:after="0"/>
              <w:rPr>
                <w:sz w:val="24"/>
                <w:szCs w:val="24"/>
                <w:color w:val="auto"/>
              </w:rPr>
            </w:pPr>
          </w:p>
        </w:tc>
        <w:tc>
          <w:tcPr>
            <w:tcW w:w="1220" w:type="dxa"/>
            <w:vAlign w:val="bottom"/>
            <w:gridSpan w:val="2"/>
            <w:shd w:val="clear" w:color="auto" w:fill="DDDDDD"/>
          </w:tcPr>
          <w:p>
            <w:pPr>
              <w:jc w:val="right"/>
              <w:ind w:right="40"/>
              <w:spacing w:after="0"/>
              <w:rPr>
                <w:sz w:val="20"/>
                <w:szCs w:val="20"/>
                <w:color w:val="auto"/>
              </w:rPr>
            </w:pPr>
            <w:r>
              <w:rPr>
                <w:rFonts w:ascii="Arial" w:cs="Arial" w:eastAsia="Arial" w:hAnsi="Arial"/>
                <w:sz w:val="17"/>
                <w:szCs w:val="17"/>
                <w:color w:val="2573BA"/>
              </w:rPr>
              <w:t>(193.8)</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51.6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110.8</w:t>
            </w:r>
          </w:p>
        </w:tc>
      </w:tr>
      <w:tr>
        <w:trPr>
          <w:trHeight w:val="428"/>
        </w:trPr>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31.5</w:t>
            </w: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(172.3)</w:t>
            </w:r>
          </w:p>
        </w:tc>
      </w:tr>
      <w:tr>
        <w:trPr>
          <w:trHeight w:val="229"/>
        </w:trPr>
        <w:tc>
          <w:tcPr>
            <w:tcW w:w="40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2573BA"/>
              </w:rPr>
              <w:t>(162.3)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47.6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(61.5)</w:t>
            </w:r>
          </w:p>
        </w:tc>
      </w:tr>
      <w:tr>
        <w:trPr>
          <w:trHeight w:val="256"/>
        </w:trPr>
        <w:tc>
          <w:tcPr>
            <w:tcW w:w="400" w:type="dxa"/>
            <w:vAlign w:val="bottom"/>
          </w:tcPr>
          <w:p>
            <w:pPr>
              <w:spacing w:after="0"/>
              <w:rPr>
                <w:sz w:val="22"/>
                <w:szCs w:val="22"/>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2573BA"/>
              </w:rPr>
              <w:t>(4.1)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263"/>
        </w:trPr>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2573BA"/>
              </w:rPr>
              <w:t>158.7</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(138.6)</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(96.4)</w:t>
            </w:r>
          </w:p>
        </w:tc>
      </w:tr>
      <w:tr>
        <w:trPr>
          <w:trHeight w:val="236"/>
        </w:trPr>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2573BA"/>
              </w:rPr>
              <w:t>1.5</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(95.9)</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(164.5)</w:t>
            </w:r>
          </w:p>
        </w:tc>
      </w:tr>
      <w:tr>
        <w:trPr>
          <w:trHeight w:val="229"/>
        </w:trPr>
        <w:tc>
          <w:tcPr>
            <w:tcW w:w="4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2573BA"/>
              </w:rPr>
              <w:t>2,540.6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3,606.9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3,382.5</w:t>
            </w:r>
          </w:p>
        </w:tc>
      </w:tr>
      <w:tr>
        <w:trPr>
          <w:trHeight w:val="263"/>
        </w:trPr>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2573BA"/>
              </w:rPr>
              <w:t>131.0</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46.2</w:t>
            </w:r>
          </w:p>
        </w:tc>
      </w:tr>
      <w:tr>
        <w:trPr>
          <w:trHeight w:val="236"/>
        </w:trPr>
        <w:tc>
          <w:tcPr>
            <w:tcW w:w="400" w:type="dxa"/>
            <w:vAlign w:val="bottom"/>
          </w:tcPr>
          <w:p>
            <w:pPr>
              <w:jc w:val="right"/>
              <w:ind w:right="195"/>
              <w:spacing w:after="0"/>
              <w:rPr>
                <w:sz w:val="20"/>
                <w:szCs w:val="20"/>
                <w:color w:val="auto"/>
              </w:rPr>
            </w:pPr>
            <w:r>
              <w:rPr>
                <w:rFonts w:ascii="Arial" w:cs="Arial" w:eastAsia="Arial" w:hAnsi="Arial"/>
                <w:sz w:val="17"/>
                <w:szCs w:val="17"/>
                <w:color w:val="2573BA"/>
              </w:rPr>
              <w:t>$</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2573BA"/>
              </w:rPr>
              <w:t>2,671.6</w:t>
            </w:r>
          </w:p>
        </w:tc>
        <w:tc>
          <w:tcPr>
            <w:tcW w:w="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3,599.8</w:t>
            </w:r>
          </w:p>
        </w:tc>
        <w:tc>
          <w:tcPr>
            <w:tcW w:w="100" w:type="dxa"/>
            <w:vAlign w:val="bottom"/>
          </w:tcPr>
          <w:p>
            <w:pPr>
              <w:spacing w:after="0"/>
              <w:rPr>
                <w:sz w:val="20"/>
                <w:szCs w:val="20"/>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3,428.7</w:t>
            </w:r>
          </w:p>
        </w:tc>
      </w:tr>
      <w:tr>
        <w:trPr>
          <w:trHeight w:val="20"/>
        </w:trPr>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-2366010</wp:posOffset>
            </wp:positionV>
            <wp:extent cx="1024890" cy="23501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7">
                      <a:extLst>
                        <a:ext uri="{28A0092B-C50C-407E-A947-70E740481C1C}"/>
                      </a:extLst>
                    </a:blip>
                    <a:srcRect/>
                    <a:stretch>
                      <a:fillRect/>
                    </a:stretch>
                  </pic:blipFill>
                  <pic:spPr bwMode="auto">
                    <a:xfrm>
                      <a:off x="0" y="0"/>
                      <a:ext cx="1024890" cy="2350135"/>
                    </a:xfrm>
                    <a:prstGeom prst="rect">
                      <a:avLst/>
                    </a:prstGeom>
                    <a:noFill/>
                  </pic:spPr>
                </pic:pic>
              </a:graphicData>
            </a:graphic>
          </wp:anchor>
        </w:drawing>
      </w:r>
    </w:p>
    <w:p>
      <w:pPr>
        <w:spacing w:after="0" w:line="242" w:lineRule="exact"/>
        <w:rPr>
          <w:sz w:val="20"/>
          <w:szCs w:val="20"/>
          <w:color w:val="auto"/>
        </w:rPr>
      </w:pPr>
    </w:p>
    <w:p>
      <w:pPr>
        <w:sectPr>
          <w:pgSz w:w="11900" w:h="16838" w:orient="portrait"/>
          <w:cols w:equalWidth="0" w:num="2">
            <w:col w:w="6340" w:space="60"/>
            <w:col w:w="5020"/>
          </w:cols>
          <w:pgMar w:left="240" w:top="14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these consolidated financial statements.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F- 3</w:t>
      </w:r>
    </w:p>
    <w:p>
      <w:pPr>
        <w:sectPr>
          <w:pgSz w:w="11900" w:h="16838" w:orient="portrait"/>
          <w:cols w:equalWidth="0" w:num="1">
            <w:col w:w="11420"/>
          </w:cols>
          <w:pgMar w:left="240" w:top="144" w:right="239" w:bottom="1440" w:gutter="0" w:footer="0" w:header="0"/>
          <w:type w:val="continuous"/>
        </w:sectPr>
      </w:pPr>
    </w:p>
    <w:bookmarkStart w:id="105" w:name="page106"/>
    <w:bookmarkEnd w:id="10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Current assets:</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Cash and cash equivalents</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Marketable securities</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Accounts receivable, net</w:t>
      </w:r>
    </w:p>
    <w:p>
      <w:pPr>
        <w:spacing w:after="0" w:line="61" w:lineRule="exact"/>
        <w:rPr>
          <w:sz w:val="20"/>
          <w:szCs w:val="20"/>
          <w:color w:val="auto"/>
        </w:rPr>
      </w:pPr>
    </w:p>
    <w:p>
      <w:pPr>
        <w:ind w:left="160"/>
        <w:spacing w:after="0" w:line="314" w:lineRule="auto"/>
        <w:rPr>
          <w:sz w:val="20"/>
          <w:szCs w:val="20"/>
          <w:color w:val="auto"/>
        </w:rPr>
      </w:pPr>
      <w:r>
        <w:rPr>
          <w:rFonts w:ascii="Arial" w:cs="Arial" w:eastAsia="Arial" w:hAnsi="Arial"/>
          <w:sz w:val="17"/>
          <w:szCs w:val="17"/>
          <w:color w:val="auto"/>
        </w:rPr>
        <w:t>Due from anti-CD20 therapeutic programs Inventory</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Other current assets</w:t>
      </w:r>
    </w:p>
    <w:p>
      <w:pPr>
        <w:spacing w:after="0" w:line="6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Total current assets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Marketable securities</w:t>
      </w:r>
    </w:p>
    <w:p>
      <w:pPr>
        <w:spacing w:after="0" w:line="61" w:lineRule="exact"/>
        <w:rPr>
          <w:sz w:val="20"/>
          <w:szCs w:val="20"/>
          <w:color w:val="auto"/>
        </w:rPr>
      </w:pPr>
    </w:p>
    <w:p>
      <w:pPr>
        <w:ind w:left="20" w:right="700"/>
        <w:spacing w:after="0" w:line="346" w:lineRule="auto"/>
        <w:rPr>
          <w:sz w:val="20"/>
          <w:szCs w:val="20"/>
          <w:color w:val="auto"/>
        </w:rPr>
      </w:pPr>
      <w:r>
        <w:rPr>
          <w:rFonts w:ascii="Arial" w:cs="Arial" w:eastAsia="Arial" w:hAnsi="Arial"/>
          <w:sz w:val="17"/>
          <w:szCs w:val="17"/>
          <w:color w:val="auto"/>
        </w:rPr>
        <w:t>Property, plant and equipment, net Intangible assets, net Goodwill</w:t>
      </w:r>
    </w:p>
    <w:p>
      <w:pPr>
        <w:spacing w:after="0" w:line="205" w:lineRule="exact"/>
        <w:rPr>
          <w:sz w:val="20"/>
          <w:szCs w:val="20"/>
          <w:color w:val="auto"/>
        </w:rPr>
      </w:pPr>
    </w:p>
    <w:p>
      <w:pPr>
        <w:ind w:left="360" w:right="1080" w:hanging="332"/>
        <w:spacing w:after="0" w:line="325" w:lineRule="auto"/>
        <w:rPr>
          <w:sz w:val="20"/>
          <w:szCs w:val="20"/>
          <w:color w:val="auto"/>
        </w:rPr>
      </w:pPr>
      <w:r>
        <w:rPr>
          <w:rFonts w:ascii="Arial" w:cs="Arial" w:eastAsia="Arial" w:hAnsi="Arial"/>
          <w:sz w:val="17"/>
          <w:szCs w:val="17"/>
          <w:color w:val="auto"/>
        </w:rPr>
        <w:t>Investments and other assets Total assets</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jc w:val="center"/>
        <w:ind w:right="3800"/>
        <w:spacing w:after="0"/>
        <w:rPr>
          <w:sz w:val="20"/>
          <w:szCs w:val="20"/>
          <w:color w:val="auto"/>
        </w:rPr>
      </w:pPr>
      <w:r>
        <w:rPr>
          <w:rFonts w:ascii="Arial" w:cs="Arial" w:eastAsia="Arial" w:hAnsi="Arial"/>
          <w:sz w:val="20"/>
          <w:szCs w:val="20"/>
          <w:b w:val="1"/>
          <w:bCs w:val="1"/>
          <w:color w:val="1C5A7D"/>
        </w:rPr>
        <w:t>BIOGEN INC. AND SUBSIDIARIES</w:t>
      </w:r>
    </w:p>
    <w:p>
      <w:pPr>
        <w:spacing w:after="0" w:line="39" w:lineRule="exact"/>
        <w:rPr>
          <w:sz w:val="20"/>
          <w:szCs w:val="20"/>
          <w:color w:val="auto"/>
        </w:rPr>
      </w:pPr>
    </w:p>
    <w:p>
      <w:pPr>
        <w:jc w:val="center"/>
        <w:ind w:right="3800"/>
        <w:spacing w:after="0"/>
        <w:rPr>
          <w:sz w:val="20"/>
          <w:szCs w:val="20"/>
          <w:color w:val="auto"/>
        </w:rPr>
      </w:pPr>
      <w:r>
        <w:rPr>
          <w:rFonts w:ascii="Arial" w:cs="Arial" w:eastAsia="Arial" w:hAnsi="Arial"/>
          <w:sz w:val="20"/>
          <w:szCs w:val="20"/>
          <w:b w:val="1"/>
          <w:bCs w:val="1"/>
          <w:color w:val="1C5A7D"/>
        </w:rPr>
        <w:t>CONSOLIDATED BALANCE SHEETS</w:t>
      </w:r>
    </w:p>
    <w:p>
      <w:pPr>
        <w:spacing w:after="0" w:line="13" w:lineRule="exact"/>
        <w:rPr>
          <w:sz w:val="20"/>
          <w:szCs w:val="20"/>
          <w:color w:val="auto"/>
        </w:rPr>
      </w:pPr>
    </w:p>
    <w:p>
      <w:pPr>
        <w:jc w:val="center"/>
        <w:ind w:right="3800"/>
        <w:spacing w:after="0"/>
        <w:rPr>
          <w:sz w:val="20"/>
          <w:szCs w:val="20"/>
          <w:color w:val="auto"/>
        </w:rPr>
      </w:pPr>
      <w:r>
        <w:rPr>
          <w:rFonts w:ascii="Arial" w:cs="Arial" w:eastAsia="Arial" w:hAnsi="Arial"/>
          <w:sz w:val="20"/>
          <w:szCs w:val="20"/>
          <w:b w:val="1"/>
          <w:bCs w:val="1"/>
          <w:color w:val="1C5A7D"/>
        </w:rPr>
        <w:t>(In millions, except per share amounts)</w:t>
      </w:r>
    </w:p>
    <w:p>
      <w:pPr>
        <w:spacing w:after="0" w:line="149" w:lineRule="exact"/>
        <w:rPr>
          <w:sz w:val="20"/>
          <w:szCs w:val="20"/>
          <w:color w:val="auto"/>
        </w:rPr>
      </w:pPr>
    </w:p>
    <w:p>
      <w:pPr>
        <w:ind w:left="5100"/>
        <w:spacing w:after="0"/>
        <w:rPr>
          <w:sz w:val="20"/>
          <w:szCs w:val="20"/>
          <w:color w:val="auto"/>
        </w:rPr>
      </w:pPr>
      <w:r>
        <w:rPr>
          <w:rFonts w:ascii="Arial" w:cs="Arial" w:eastAsia="Arial" w:hAnsi="Arial"/>
          <w:sz w:val="14"/>
          <w:szCs w:val="14"/>
          <w:b w:val="1"/>
          <w:bCs w:val="1"/>
          <w:color w:val="auto"/>
        </w:rPr>
        <w:t>As of December 31,</w:t>
      </w:r>
    </w:p>
    <w:p>
      <w:pPr>
        <w:spacing w:after="0" w:line="19" w:lineRule="exact"/>
        <w:rPr>
          <w:sz w:val="20"/>
          <w:szCs w:val="20"/>
          <w:color w:val="auto"/>
        </w:rPr>
      </w:pPr>
    </w:p>
    <w:tbl>
      <w:tblPr>
        <w:tblLayout w:type="fixed"/>
        <w:tblInd w:w="1560" w:type="dxa"/>
        <w:tblCellMar>
          <w:top w:w="0" w:type="dxa"/>
          <w:left w:w="0" w:type="dxa"/>
          <w:bottom w:w="0" w:type="dxa"/>
          <w:right w:w="0" w:type="dxa"/>
        </w:tblCellMar>
      </w:tblPr>
      <w:tr>
        <w:trPr>
          <w:trHeight w:val="253"/>
        </w:trPr>
        <w:tc>
          <w:tcPr>
            <w:tcW w:w="2280" w:type="dxa"/>
            <w:vAlign w:val="bottom"/>
          </w:tcPr>
          <w:p>
            <w:pPr>
              <w:spacing w:after="0"/>
              <w:rPr>
                <w:sz w:val="21"/>
                <w:szCs w:val="21"/>
                <w:color w:val="auto"/>
              </w:rPr>
            </w:pPr>
          </w:p>
        </w:tc>
        <w:tc>
          <w:tcPr>
            <w:tcW w:w="440" w:type="dxa"/>
            <w:vAlign w:val="bottom"/>
            <w:tcBorders>
              <w:top w:val="single" w:sz="8" w:color="auto"/>
              <w:bottom w:val="single" w:sz="8" w:color="auto"/>
            </w:tcBorders>
            <w:shd w:val="clear" w:color="auto" w:fill="DDDDDD"/>
          </w:tcPr>
          <w:p>
            <w:pPr>
              <w:spacing w:after="0"/>
              <w:rPr>
                <w:sz w:val="21"/>
                <w:szCs w:val="21"/>
                <w:color w:val="auto"/>
              </w:rPr>
            </w:pPr>
          </w:p>
        </w:tc>
        <w:tc>
          <w:tcPr>
            <w:tcW w:w="1400" w:type="dxa"/>
            <w:vAlign w:val="bottom"/>
            <w:tcBorders>
              <w:top w:val="single" w:sz="8" w:color="auto"/>
              <w:bottom w:val="single" w:sz="8" w:color="auto"/>
            </w:tcBorders>
            <w:shd w:val="clear" w:color="auto" w:fill="DDDDDD"/>
          </w:tcPr>
          <w:p>
            <w:pPr>
              <w:jc w:val="right"/>
              <w:ind w:right="676"/>
              <w:spacing w:after="0"/>
              <w:rPr>
                <w:sz w:val="20"/>
                <w:szCs w:val="20"/>
                <w:color w:val="auto"/>
              </w:rPr>
            </w:pPr>
            <w:r>
              <w:rPr>
                <w:rFonts w:ascii="Arial" w:cs="Arial" w:eastAsia="Arial" w:hAnsi="Arial"/>
                <w:sz w:val="14"/>
                <w:szCs w:val="14"/>
                <w:b w:val="1"/>
                <w:bCs w:val="1"/>
                <w:color w:val="2573BA"/>
              </w:rPr>
              <w:t>2017</w:t>
            </w: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2016</w:t>
            </w:r>
          </w:p>
        </w:tc>
      </w:tr>
      <w:tr>
        <w:trPr>
          <w:trHeight w:val="223"/>
        </w:trPr>
        <w:tc>
          <w:tcPr>
            <w:tcW w:w="228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505"/>
        </w:trPr>
        <w:tc>
          <w:tcPr>
            <w:tcW w:w="2280" w:type="dxa"/>
            <w:vAlign w:val="bottom"/>
          </w:tcPr>
          <w:p>
            <w:pPr>
              <w:spacing w:after="0"/>
              <w:rPr>
                <w:sz w:val="24"/>
                <w:szCs w:val="24"/>
                <w:color w:val="auto"/>
              </w:rPr>
            </w:pP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1,573.8</w:t>
            </w:r>
          </w:p>
        </w:tc>
        <w:tc>
          <w:tcPr>
            <w:tcW w:w="540" w:type="dxa"/>
            <w:vAlign w:val="bottom"/>
            <w:gridSpan w:val="2"/>
          </w:tcPr>
          <w:p>
            <w:pPr>
              <w:jc w:val="right"/>
              <w:ind w:right="235"/>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2,326.5</w:t>
            </w:r>
          </w:p>
        </w:tc>
      </w:tr>
      <w:tr>
        <w:trPr>
          <w:trHeight w:val="256"/>
        </w:trPr>
        <w:tc>
          <w:tcPr>
            <w:tcW w:w="2280" w:type="dxa"/>
            <w:vAlign w:val="bottom"/>
          </w:tcPr>
          <w:p>
            <w:pPr>
              <w:spacing w:after="0"/>
              <w:rPr>
                <w:sz w:val="22"/>
                <w:szCs w:val="22"/>
                <w:color w:val="auto"/>
              </w:rPr>
            </w:pP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2,115.2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2,568.6</w:t>
            </w:r>
          </w:p>
        </w:tc>
      </w:tr>
      <w:tr>
        <w:trPr>
          <w:trHeight w:val="256"/>
        </w:trPr>
        <w:tc>
          <w:tcPr>
            <w:tcW w:w="2280" w:type="dxa"/>
            <w:vAlign w:val="bottom"/>
          </w:tcPr>
          <w:p>
            <w:pPr>
              <w:spacing w:after="0"/>
              <w:rPr>
                <w:sz w:val="22"/>
                <w:szCs w:val="22"/>
                <w:color w:val="auto"/>
              </w:rPr>
            </w:pP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1,787.0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1,441.6</w:t>
            </w:r>
          </w:p>
        </w:tc>
      </w:tr>
      <w:tr>
        <w:trPr>
          <w:trHeight w:val="256"/>
        </w:trPr>
        <w:tc>
          <w:tcPr>
            <w:tcW w:w="2280" w:type="dxa"/>
            <w:vAlign w:val="bottom"/>
          </w:tcPr>
          <w:p>
            <w:pPr>
              <w:spacing w:after="0"/>
              <w:rPr>
                <w:sz w:val="22"/>
                <w:szCs w:val="22"/>
                <w:color w:val="auto"/>
              </w:rPr>
            </w:pP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532.6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300.6</w:t>
            </w:r>
          </w:p>
        </w:tc>
      </w:tr>
      <w:tr>
        <w:trPr>
          <w:trHeight w:val="256"/>
        </w:trPr>
        <w:tc>
          <w:tcPr>
            <w:tcW w:w="2280" w:type="dxa"/>
            <w:vAlign w:val="bottom"/>
          </w:tcPr>
          <w:p>
            <w:pPr>
              <w:spacing w:after="0"/>
              <w:rPr>
                <w:sz w:val="22"/>
                <w:szCs w:val="22"/>
                <w:color w:val="auto"/>
              </w:rPr>
            </w:pP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902.7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1,001.6</w:t>
            </w:r>
          </w:p>
        </w:tc>
      </w:tr>
      <w:tr>
        <w:trPr>
          <w:trHeight w:val="263"/>
        </w:trPr>
        <w:tc>
          <w:tcPr>
            <w:tcW w:w="2280" w:type="dxa"/>
            <w:vAlign w:val="bottom"/>
          </w:tcPr>
          <w:p>
            <w:pPr>
              <w:spacing w:after="0"/>
              <w:rPr>
                <w:sz w:val="22"/>
                <w:szCs w:val="22"/>
                <w:color w:val="auto"/>
              </w:rPr>
            </w:pPr>
          </w:p>
        </w:tc>
        <w:tc>
          <w:tcPr>
            <w:tcW w:w="440" w:type="dxa"/>
            <w:vAlign w:val="bottom"/>
            <w:tcBorders>
              <w:bottom w:val="single" w:sz="8" w:color="auto"/>
            </w:tcBorders>
            <w:shd w:val="clear" w:color="auto" w:fill="DDDDDD"/>
          </w:tcPr>
          <w:p>
            <w:pPr>
              <w:spacing w:after="0"/>
              <w:rPr>
                <w:sz w:val="22"/>
                <w:szCs w:val="22"/>
                <w:color w:val="auto"/>
              </w:rPr>
            </w:pPr>
          </w:p>
        </w:tc>
        <w:tc>
          <w:tcPr>
            <w:tcW w:w="1400" w:type="dxa"/>
            <w:vAlign w:val="bottom"/>
            <w:tcBorders>
              <w:bottom w:val="single" w:sz="8" w:color="auto"/>
            </w:tcBorders>
            <w:shd w:val="clear" w:color="auto" w:fill="DDDDDD"/>
          </w:tcPr>
          <w:p>
            <w:pPr>
              <w:jc w:val="right"/>
              <w:ind w:right="16"/>
              <w:spacing w:after="0"/>
              <w:rPr>
                <w:sz w:val="20"/>
                <w:szCs w:val="20"/>
                <w:color w:val="auto"/>
              </w:rPr>
            </w:pPr>
            <w:r>
              <w:rPr>
                <w:rFonts w:ascii="Arial" w:cs="Arial" w:eastAsia="Arial" w:hAnsi="Arial"/>
                <w:sz w:val="17"/>
                <w:szCs w:val="17"/>
                <w:color w:val="2573BA"/>
              </w:rPr>
              <w:t>962.0</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1,093.3</w:t>
            </w:r>
          </w:p>
        </w:tc>
      </w:tr>
      <w:tr>
        <w:trPr>
          <w:trHeight w:val="229"/>
        </w:trPr>
        <w:tc>
          <w:tcPr>
            <w:tcW w:w="2280" w:type="dxa"/>
            <w:vAlign w:val="bottom"/>
          </w:tcPr>
          <w:p>
            <w:pPr>
              <w:spacing w:after="0"/>
              <w:rPr>
                <w:sz w:val="19"/>
                <w:szCs w:val="19"/>
                <w:color w:val="auto"/>
              </w:rPr>
            </w:pPr>
          </w:p>
        </w:tc>
        <w:tc>
          <w:tcPr>
            <w:tcW w:w="440" w:type="dxa"/>
            <w:vAlign w:val="bottom"/>
            <w:shd w:val="clear" w:color="auto" w:fill="DDDDDD"/>
          </w:tcPr>
          <w:p>
            <w:pPr>
              <w:spacing w:after="0"/>
              <w:rPr>
                <w:sz w:val="19"/>
                <w:szCs w:val="19"/>
                <w:color w:val="auto"/>
              </w:rPr>
            </w:pPr>
          </w:p>
        </w:tc>
        <w:tc>
          <w:tcPr>
            <w:tcW w:w="14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7,873.3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8,732.2</w:t>
            </w:r>
          </w:p>
        </w:tc>
      </w:tr>
      <w:tr>
        <w:trPr>
          <w:trHeight w:val="256"/>
        </w:trPr>
        <w:tc>
          <w:tcPr>
            <w:tcW w:w="2280" w:type="dxa"/>
            <w:vAlign w:val="bottom"/>
          </w:tcPr>
          <w:p>
            <w:pPr>
              <w:spacing w:after="0"/>
              <w:rPr>
                <w:sz w:val="22"/>
                <w:szCs w:val="22"/>
                <w:color w:val="auto"/>
              </w:rPr>
            </w:pP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3,057.3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2,829.4</w:t>
            </w:r>
          </w:p>
        </w:tc>
      </w:tr>
      <w:tr>
        <w:trPr>
          <w:trHeight w:val="256"/>
        </w:trPr>
        <w:tc>
          <w:tcPr>
            <w:tcW w:w="2280" w:type="dxa"/>
            <w:vAlign w:val="bottom"/>
          </w:tcPr>
          <w:p>
            <w:pPr>
              <w:spacing w:after="0"/>
              <w:rPr>
                <w:sz w:val="22"/>
                <w:szCs w:val="22"/>
                <w:color w:val="auto"/>
              </w:rPr>
            </w:pP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3,182.4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2,501.8</w:t>
            </w:r>
          </w:p>
        </w:tc>
      </w:tr>
      <w:tr>
        <w:trPr>
          <w:trHeight w:val="256"/>
        </w:trPr>
        <w:tc>
          <w:tcPr>
            <w:tcW w:w="2280" w:type="dxa"/>
            <w:vAlign w:val="bottom"/>
          </w:tcPr>
          <w:p>
            <w:pPr>
              <w:spacing w:after="0"/>
              <w:rPr>
                <w:sz w:val="22"/>
                <w:szCs w:val="22"/>
                <w:color w:val="auto"/>
              </w:rPr>
            </w:pP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3,879.6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3,808.3</w:t>
            </w:r>
          </w:p>
        </w:tc>
      </w:tr>
      <w:tr>
        <w:trPr>
          <w:trHeight w:val="256"/>
        </w:trPr>
        <w:tc>
          <w:tcPr>
            <w:tcW w:w="2280" w:type="dxa"/>
            <w:vAlign w:val="bottom"/>
          </w:tcPr>
          <w:p>
            <w:pPr>
              <w:spacing w:after="0"/>
              <w:rPr>
                <w:sz w:val="22"/>
                <w:szCs w:val="22"/>
                <w:color w:val="auto"/>
              </w:rPr>
            </w:pP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4,632.5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3,669.3</w:t>
            </w:r>
          </w:p>
        </w:tc>
      </w:tr>
      <w:tr>
        <w:trPr>
          <w:trHeight w:val="263"/>
        </w:trPr>
        <w:tc>
          <w:tcPr>
            <w:tcW w:w="2280" w:type="dxa"/>
            <w:vAlign w:val="bottom"/>
          </w:tcPr>
          <w:p>
            <w:pPr>
              <w:spacing w:after="0"/>
              <w:rPr>
                <w:sz w:val="22"/>
                <w:szCs w:val="22"/>
                <w:color w:val="auto"/>
              </w:rPr>
            </w:pPr>
          </w:p>
        </w:tc>
        <w:tc>
          <w:tcPr>
            <w:tcW w:w="440" w:type="dxa"/>
            <w:vAlign w:val="bottom"/>
            <w:tcBorders>
              <w:bottom w:val="single" w:sz="8" w:color="auto"/>
            </w:tcBorders>
            <w:shd w:val="clear" w:color="auto" w:fill="DDDDDD"/>
          </w:tcPr>
          <w:p>
            <w:pPr>
              <w:spacing w:after="0"/>
              <w:rPr>
                <w:sz w:val="22"/>
                <w:szCs w:val="22"/>
                <w:color w:val="auto"/>
              </w:rPr>
            </w:pPr>
          </w:p>
        </w:tc>
        <w:tc>
          <w:tcPr>
            <w:tcW w:w="1400" w:type="dxa"/>
            <w:vAlign w:val="bottom"/>
            <w:tcBorders>
              <w:bottom w:val="single" w:sz="8" w:color="auto"/>
            </w:tcBorders>
            <w:shd w:val="clear" w:color="auto" w:fill="DDDDDD"/>
          </w:tcPr>
          <w:p>
            <w:pPr>
              <w:jc w:val="right"/>
              <w:ind w:right="16"/>
              <w:spacing w:after="0"/>
              <w:rPr>
                <w:sz w:val="20"/>
                <w:szCs w:val="20"/>
                <w:color w:val="auto"/>
              </w:rPr>
            </w:pPr>
            <w:r>
              <w:rPr>
                <w:rFonts w:ascii="Arial" w:cs="Arial" w:eastAsia="Arial" w:hAnsi="Arial"/>
                <w:sz w:val="17"/>
                <w:szCs w:val="17"/>
                <w:color w:val="2573BA"/>
              </w:rPr>
              <w:t>1,027.5</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1,335.8</w:t>
            </w:r>
          </w:p>
        </w:tc>
      </w:tr>
      <w:tr>
        <w:trPr>
          <w:trHeight w:val="236"/>
        </w:trPr>
        <w:tc>
          <w:tcPr>
            <w:tcW w:w="2280" w:type="dxa"/>
            <w:vAlign w:val="bottom"/>
          </w:tcPr>
          <w:p>
            <w:pPr>
              <w:spacing w:after="0"/>
              <w:rPr>
                <w:sz w:val="20"/>
                <w:szCs w:val="20"/>
                <w:color w:val="auto"/>
              </w:rPr>
            </w:pPr>
          </w:p>
        </w:tc>
        <w:tc>
          <w:tcPr>
            <w:tcW w:w="440" w:type="dxa"/>
            <w:vAlign w:val="bottom"/>
            <w:tcBorders>
              <w:bottom w:val="single" w:sz="8" w:color="auto"/>
            </w:tcBorders>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tcBorders>
              <w:bottom w:val="single" w:sz="8" w:color="auto"/>
            </w:tcBorders>
            <w:shd w:val="clear" w:color="auto" w:fill="DDDDDD"/>
          </w:tcPr>
          <w:p>
            <w:pPr>
              <w:jc w:val="right"/>
              <w:ind w:right="16"/>
              <w:spacing w:after="0"/>
              <w:rPr>
                <w:sz w:val="20"/>
                <w:szCs w:val="20"/>
                <w:color w:val="auto"/>
              </w:rPr>
            </w:pPr>
            <w:r>
              <w:rPr>
                <w:rFonts w:ascii="Arial" w:cs="Arial" w:eastAsia="Arial" w:hAnsi="Arial"/>
                <w:sz w:val="17"/>
                <w:szCs w:val="17"/>
                <w:color w:val="2573BA"/>
              </w:rPr>
              <w:t>23,652.6</w:t>
            </w: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22,876.8</w:t>
            </w:r>
          </w:p>
        </w:tc>
      </w:tr>
    </w:tbl>
    <w:p>
      <w:pPr>
        <w:spacing w:after="0" w:line="5" w:lineRule="exact"/>
        <w:rPr>
          <w:sz w:val="20"/>
          <w:szCs w:val="20"/>
          <w:color w:val="auto"/>
        </w:rPr>
      </w:pPr>
    </w:p>
    <w:p>
      <w:pPr>
        <w:ind w:left="860"/>
        <w:spacing w:after="0"/>
        <w:rPr>
          <w:sz w:val="20"/>
          <w:szCs w:val="20"/>
          <w:color w:val="auto"/>
        </w:rPr>
      </w:pPr>
      <w:r>
        <w:rPr>
          <w:rFonts w:ascii="Arial" w:cs="Arial" w:eastAsia="Arial" w:hAnsi="Arial"/>
          <w:sz w:val="17"/>
          <w:szCs w:val="17"/>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2439035</wp:posOffset>
            </wp:positionH>
            <wp:positionV relativeFrom="paragraph">
              <wp:posOffset>-118110</wp:posOffset>
            </wp:positionV>
            <wp:extent cx="23907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8">
                      <a:extLst>
                        <a:ext uri="{28A0092B-C50C-407E-A947-70E740481C1C}"/>
                      </a:extLst>
                    </a:blip>
                    <a:srcRect/>
                    <a:stretch>
                      <a:fillRect/>
                    </a:stretch>
                  </pic:blipFill>
                  <pic:spPr bwMode="auto">
                    <a:xfrm>
                      <a:off x="0" y="0"/>
                      <a:ext cx="2390775" cy="8255"/>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3340" w:space="480"/>
            <w:col w:w="7600"/>
          </w:cols>
          <w:pgMar w:left="240" w:top="144" w:right="239" w:bottom="1440" w:gutter="0" w:footer="0" w:header="0"/>
        </w:sectPr>
      </w:pPr>
    </w:p>
    <w:tbl>
      <w:tblPr>
        <w:tblLayout w:type="fixed"/>
        <w:tblInd w:w="20" w:type="dxa"/>
        <w:tblCellMar>
          <w:top w:w="0" w:type="dxa"/>
          <w:left w:w="0" w:type="dxa"/>
          <w:bottom w:w="0" w:type="dxa"/>
          <w:right w:w="0" w:type="dxa"/>
        </w:tblCellMar>
      </w:tblPr>
      <w:tr>
        <w:trPr>
          <w:trHeight w:val="224"/>
        </w:trPr>
        <w:tc>
          <w:tcPr>
            <w:tcW w:w="7640" w:type="dxa"/>
            <w:vAlign w:val="bottom"/>
          </w:tcPr>
          <w:p>
            <w:pPr>
              <w:spacing w:after="0"/>
              <w:rPr>
                <w:sz w:val="20"/>
                <w:szCs w:val="20"/>
                <w:color w:val="auto"/>
              </w:rPr>
            </w:pPr>
            <w:r>
              <w:rPr>
                <w:rFonts w:ascii="Arial" w:cs="Arial" w:eastAsia="Arial" w:hAnsi="Arial"/>
                <w:sz w:val="17"/>
                <w:szCs w:val="17"/>
                <w:color w:val="auto"/>
              </w:rPr>
              <w:t>Current liabilities:</w:t>
            </w:r>
          </w:p>
        </w:tc>
        <w:tc>
          <w:tcPr>
            <w:tcW w:w="600" w:type="dxa"/>
            <w:vAlign w:val="bottom"/>
            <w:shd w:val="clear" w:color="auto" w:fill="DDDDDD"/>
          </w:tcPr>
          <w:p>
            <w:pPr>
              <w:spacing w:after="0"/>
              <w:rPr>
                <w:sz w:val="19"/>
                <w:szCs w:val="19"/>
                <w:color w:val="auto"/>
              </w:rPr>
            </w:pPr>
          </w:p>
        </w:tc>
        <w:tc>
          <w:tcPr>
            <w:tcW w:w="1240" w:type="dxa"/>
            <w:vAlign w:val="bottom"/>
            <w:shd w:val="clear" w:color="auto" w:fill="DDDDDD"/>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68"/>
        </w:trPr>
        <w:tc>
          <w:tcPr>
            <w:tcW w:w="7640" w:type="dxa"/>
            <w:vAlign w:val="bottom"/>
          </w:tcPr>
          <w:p>
            <w:pPr>
              <w:ind w:left="140"/>
              <w:spacing w:after="0"/>
              <w:rPr>
                <w:sz w:val="20"/>
                <w:szCs w:val="20"/>
                <w:color w:val="auto"/>
              </w:rPr>
            </w:pPr>
            <w:r>
              <w:rPr>
                <w:rFonts w:ascii="Arial" w:cs="Arial" w:eastAsia="Arial" w:hAnsi="Arial"/>
                <w:sz w:val="17"/>
                <w:szCs w:val="17"/>
                <w:color w:val="auto"/>
              </w:rPr>
              <w:t>Current portion of notes payable and other financing arrangements</w:t>
            </w:r>
          </w:p>
        </w:tc>
        <w:tc>
          <w:tcPr>
            <w:tcW w:w="600" w:type="dxa"/>
            <w:vAlign w:val="bottom"/>
            <w:shd w:val="clear" w:color="auto" w:fill="DDDDDD"/>
          </w:tcPr>
          <w:p>
            <w:pPr>
              <w:jc w:val="right"/>
              <w:ind w:right="395"/>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3.2</w:t>
            </w:r>
          </w:p>
        </w:tc>
        <w:tc>
          <w:tcPr>
            <w:tcW w:w="70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4.7</w:t>
            </w:r>
          </w:p>
        </w:tc>
      </w:tr>
      <w:tr>
        <w:trPr>
          <w:trHeight w:val="256"/>
        </w:trPr>
        <w:tc>
          <w:tcPr>
            <w:tcW w:w="7640" w:type="dxa"/>
            <w:vAlign w:val="bottom"/>
          </w:tcPr>
          <w:p>
            <w:pPr>
              <w:ind w:left="140"/>
              <w:spacing w:after="0"/>
              <w:rPr>
                <w:sz w:val="20"/>
                <w:szCs w:val="20"/>
                <w:color w:val="auto"/>
              </w:rPr>
            </w:pPr>
            <w:r>
              <w:rPr>
                <w:rFonts w:ascii="Arial" w:cs="Arial" w:eastAsia="Arial" w:hAnsi="Arial"/>
                <w:sz w:val="17"/>
                <w:szCs w:val="17"/>
                <w:color w:val="auto"/>
              </w:rPr>
              <w:t>Taxes payable</w:t>
            </w:r>
          </w:p>
        </w:tc>
        <w:tc>
          <w:tcPr>
            <w:tcW w:w="600" w:type="dxa"/>
            <w:vAlign w:val="bottom"/>
            <w:shd w:val="clear" w:color="auto" w:fill="DDDDDD"/>
          </w:tcPr>
          <w:p>
            <w:pPr>
              <w:spacing w:after="0"/>
              <w:rPr>
                <w:sz w:val="22"/>
                <w:szCs w:val="22"/>
                <w:color w:val="auto"/>
              </w:rPr>
            </w:pPr>
          </w:p>
        </w:tc>
        <w:tc>
          <w:tcPr>
            <w:tcW w:w="124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68.2</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231.9</w:t>
            </w:r>
          </w:p>
        </w:tc>
      </w:tr>
      <w:tr>
        <w:trPr>
          <w:trHeight w:val="256"/>
        </w:trPr>
        <w:tc>
          <w:tcPr>
            <w:tcW w:w="7640" w:type="dxa"/>
            <w:vAlign w:val="bottom"/>
          </w:tcPr>
          <w:p>
            <w:pPr>
              <w:ind w:left="140"/>
              <w:spacing w:after="0"/>
              <w:rPr>
                <w:sz w:val="20"/>
                <w:szCs w:val="20"/>
                <w:color w:val="auto"/>
              </w:rPr>
            </w:pPr>
            <w:r>
              <w:rPr>
                <w:rFonts w:ascii="Arial" w:cs="Arial" w:eastAsia="Arial" w:hAnsi="Arial"/>
                <w:sz w:val="17"/>
                <w:szCs w:val="17"/>
                <w:color w:val="auto"/>
              </w:rPr>
              <w:t>Accounts payable</w:t>
            </w:r>
          </w:p>
        </w:tc>
        <w:tc>
          <w:tcPr>
            <w:tcW w:w="600" w:type="dxa"/>
            <w:vAlign w:val="bottom"/>
            <w:shd w:val="clear" w:color="auto" w:fill="DDDDDD"/>
          </w:tcPr>
          <w:p>
            <w:pPr>
              <w:spacing w:after="0"/>
              <w:rPr>
                <w:sz w:val="22"/>
                <w:szCs w:val="22"/>
                <w:color w:val="auto"/>
              </w:rPr>
            </w:pPr>
          </w:p>
        </w:tc>
        <w:tc>
          <w:tcPr>
            <w:tcW w:w="124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395.5</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279.8</w:t>
            </w:r>
          </w:p>
        </w:tc>
      </w:tr>
      <w:tr>
        <w:trPr>
          <w:trHeight w:val="263"/>
        </w:trPr>
        <w:tc>
          <w:tcPr>
            <w:tcW w:w="7640" w:type="dxa"/>
            <w:vAlign w:val="bottom"/>
          </w:tcPr>
          <w:p>
            <w:pPr>
              <w:ind w:left="140"/>
              <w:spacing w:after="0"/>
              <w:rPr>
                <w:sz w:val="20"/>
                <w:szCs w:val="20"/>
                <w:color w:val="auto"/>
              </w:rPr>
            </w:pPr>
            <w:r>
              <w:rPr>
                <w:rFonts w:ascii="Arial" w:cs="Arial" w:eastAsia="Arial" w:hAnsi="Arial"/>
                <w:sz w:val="17"/>
                <w:szCs w:val="17"/>
                <w:color w:val="auto"/>
              </w:rPr>
              <w:t>Accrued expenses and other</w:t>
            </w:r>
          </w:p>
        </w:tc>
        <w:tc>
          <w:tcPr>
            <w:tcW w:w="600" w:type="dxa"/>
            <w:vAlign w:val="bottom"/>
            <w:tcBorders>
              <w:bottom w:val="single" w:sz="8" w:color="auto"/>
            </w:tcBorders>
            <w:shd w:val="clear" w:color="auto" w:fill="DDDDDD"/>
          </w:tcPr>
          <w:p>
            <w:pPr>
              <w:spacing w:after="0"/>
              <w:rPr>
                <w:sz w:val="22"/>
                <w:szCs w:val="22"/>
                <w:color w:val="auto"/>
              </w:rPr>
            </w:pPr>
          </w:p>
        </w:tc>
        <w:tc>
          <w:tcPr>
            <w:tcW w:w="1240" w:type="dxa"/>
            <w:vAlign w:val="bottom"/>
            <w:tcBorders>
              <w:bottom w:val="single" w:sz="8" w:color="auto"/>
            </w:tcBorders>
            <w:shd w:val="clear" w:color="auto" w:fill="DDDDDD"/>
          </w:tcPr>
          <w:p>
            <w:pPr>
              <w:jc w:val="right"/>
              <w:ind w:right="15"/>
              <w:spacing w:after="0"/>
              <w:rPr>
                <w:sz w:val="20"/>
                <w:szCs w:val="20"/>
                <w:color w:val="auto"/>
              </w:rPr>
            </w:pPr>
            <w:r>
              <w:rPr>
                <w:rFonts w:ascii="Arial" w:cs="Arial" w:eastAsia="Arial" w:hAnsi="Arial"/>
                <w:sz w:val="17"/>
                <w:szCs w:val="17"/>
                <w:color w:val="2573BA"/>
              </w:rPr>
              <w:t>2,901.3</w:t>
            </w:r>
          </w:p>
        </w:tc>
        <w:tc>
          <w:tcPr>
            <w:tcW w:w="10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2,903.5</w:t>
            </w:r>
          </w:p>
        </w:tc>
      </w:tr>
      <w:tr>
        <w:trPr>
          <w:trHeight w:val="229"/>
        </w:trPr>
        <w:tc>
          <w:tcPr>
            <w:tcW w:w="7640" w:type="dxa"/>
            <w:vAlign w:val="bottom"/>
          </w:tcPr>
          <w:p>
            <w:pPr>
              <w:ind w:left="340"/>
              <w:spacing w:after="0"/>
              <w:rPr>
                <w:sz w:val="20"/>
                <w:szCs w:val="20"/>
                <w:color w:val="auto"/>
              </w:rPr>
            </w:pPr>
            <w:r>
              <w:rPr>
                <w:rFonts w:ascii="Arial" w:cs="Arial" w:eastAsia="Arial" w:hAnsi="Arial"/>
                <w:sz w:val="17"/>
                <w:szCs w:val="17"/>
                <w:color w:val="auto"/>
              </w:rPr>
              <w:t>Total current liabilities</w:t>
            </w:r>
          </w:p>
        </w:tc>
        <w:tc>
          <w:tcPr>
            <w:tcW w:w="600" w:type="dxa"/>
            <w:vAlign w:val="bottom"/>
            <w:shd w:val="clear" w:color="auto" w:fill="DDDDDD"/>
          </w:tcPr>
          <w:p>
            <w:pPr>
              <w:spacing w:after="0"/>
              <w:rPr>
                <w:sz w:val="19"/>
                <w:szCs w:val="19"/>
                <w:color w:val="auto"/>
              </w:rPr>
            </w:pPr>
          </w:p>
        </w:tc>
        <w:tc>
          <w:tcPr>
            <w:tcW w:w="124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3,368.2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3,419.9</w:t>
            </w:r>
          </w:p>
        </w:tc>
      </w:tr>
      <w:tr>
        <w:trPr>
          <w:trHeight w:val="256"/>
        </w:trPr>
        <w:tc>
          <w:tcPr>
            <w:tcW w:w="7640" w:type="dxa"/>
            <w:vAlign w:val="bottom"/>
          </w:tcPr>
          <w:p>
            <w:pPr>
              <w:spacing w:after="0"/>
              <w:rPr>
                <w:sz w:val="20"/>
                <w:szCs w:val="20"/>
                <w:color w:val="auto"/>
              </w:rPr>
            </w:pPr>
            <w:r>
              <w:rPr>
                <w:rFonts w:ascii="Arial" w:cs="Arial" w:eastAsia="Arial" w:hAnsi="Arial"/>
                <w:sz w:val="17"/>
                <w:szCs w:val="17"/>
                <w:color w:val="auto"/>
              </w:rPr>
              <w:t>Notes payable and other financing arrangements</w:t>
            </w:r>
          </w:p>
        </w:tc>
        <w:tc>
          <w:tcPr>
            <w:tcW w:w="600" w:type="dxa"/>
            <w:vAlign w:val="bottom"/>
            <w:shd w:val="clear" w:color="auto" w:fill="DDDDDD"/>
          </w:tcPr>
          <w:p>
            <w:pPr>
              <w:spacing w:after="0"/>
              <w:rPr>
                <w:sz w:val="22"/>
                <w:szCs w:val="22"/>
                <w:color w:val="auto"/>
              </w:rPr>
            </w:pPr>
          </w:p>
        </w:tc>
        <w:tc>
          <w:tcPr>
            <w:tcW w:w="124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5,935.0</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6,512.7</w:t>
            </w:r>
          </w:p>
        </w:tc>
      </w:tr>
      <w:tr>
        <w:trPr>
          <w:trHeight w:val="256"/>
        </w:trPr>
        <w:tc>
          <w:tcPr>
            <w:tcW w:w="7640" w:type="dxa"/>
            <w:vAlign w:val="bottom"/>
          </w:tcPr>
          <w:p>
            <w:pPr>
              <w:spacing w:after="0"/>
              <w:rPr>
                <w:sz w:val="20"/>
                <w:szCs w:val="20"/>
                <w:color w:val="auto"/>
              </w:rPr>
            </w:pPr>
            <w:r>
              <w:rPr>
                <w:rFonts w:ascii="Arial" w:cs="Arial" w:eastAsia="Arial" w:hAnsi="Arial"/>
                <w:sz w:val="17"/>
                <w:szCs w:val="17"/>
                <w:color w:val="auto"/>
              </w:rPr>
              <w:t>Deferred tax liability</w:t>
            </w:r>
          </w:p>
        </w:tc>
        <w:tc>
          <w:tcPr>
            <w:tcW w:w="600" w:type="dxa"/>
            <w:vAlign w:val="bottom"/>
            <w:shd w:val="clear" w:color="auto" w:fill="DDDDDD"/>
          </w:tcPr>
          <w:p>
            <w:pPr>
              <w:spacing w:after="0"/>
              <w:rPr>
                <w:sz w:val="22"/>
                <w:szCs w:val="22"/>
                <w:color w:val="auto"/>
              </w:rPr>
            </w:pPr>
          </w:p>
        </w:tc>
        <w:tc>
          <w:tcPr>
            <w:tcW w:w="124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122.6</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93.1</w:t>
            </w:r>
          </w:p>
        </w:tc>
      </w:tr>
      <w:tr>
        <w:trPr>
          <w:trHeight w:val="263"/>
        </w:trPr>
        <w:tc>
          <w:tcPr>
            <w:tcW w:w="7640" w:type="dxa"/>
            <w:vAlign w:val="bottom"/>
          </w:tcPr>
          <w:p>
            <w:pPr>
              <w:spacing w:after="0"/>
              <w:rPr>
                <w:sz w:val="20"/>
                <w:szCs w:val="20"/>
                <w:color w:val="auto"/>
              </w:rPr>
            </w:pPr>
            <w:r>
              <w:rPr>
                <w:rFonts w:ascii="Arial" w:cs="Arial" w:eastAsia="Arial" w:hAnsi="Arial"/>
                <w:sz w:val="17"/>
                <w:szCs w:val="17"/>
                <w:color w:val="auto"/>
              </w:rPr>
              <w:t>Other long-term liabilities</w:t>
            </w:r>
          </w:p>
        </w:tc>
        <w:tc>
          <w:tcPr>
            <w:tcW w:w="600" w:type="dxa"/>
            <w:vAlign w:val="bottom"/>
            <w:tcBorders>
              <w:bottom w:val="single" w:sz="8" w:color="auto"/>
            </w:tcBorders>
            <w:shd w:val="clear" w:color="auto" w:fill="DDDDDD"/>
          </w:tcPr>
          <w:p>
            <w:pPr>
              <w:spacing w:after="0"/>
              <w:rPr>
                <w:sz w:val="22"/>
                <w:szCs w:val="22"/>
                <w:color w:val="auto"/>
              </w:rPr>
            </w:pPr>
          </w:p>
        </w:tc>
        <w:tc>
          <w:tcPr>
            <w:tcW w:w="1240" w:type="dxa"/>
            <w:vAlign w:val="bottom"/>
            <w:tcBorders>
              <w:bottom w:val="single" w:sz="8" w:color="auto"/>
            </w:tcBorders>
            <w:shd w:val="clear" w:color="auto" w:fill="DDDDDD"/>
          </w:tcPr>
          <w:p>
            <w:pPr>
              <w:jc w:val="right"/>
              <w:ind w:right="15"/>
              <w:spacing w:after="0"/>
              <w:rPr>
                <w:sz w:val="20"/>
                <w:szCs w:val="20"/>
                <w:color w:val="auto"/>
              </w:rPr>
            </w:pPr>
            <w:r>
              <w:rPr>
                <w:rFonts w:ascii="Arial" w:cs="Arial" w:eastAsia="Arial" w:hAnsi="Arial"/>
                <w:sz w:val="17"/>
                <w:szCs w:val="17"/>
                <w:color w:val="2573BA"/>
              </w:rPr>
              <w:t>1,628.7</w:t>
            </w:r>
          </w:p>
        </w:tc>
        <w:tc>
          <w:tcPr>
            <w:tcW w:w="10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722.5</w:t>
            </w:r>
          </w:p>
        </w:tc>
      </w:tr>
      <w:tr>
        <w:trPr>
          <w:trHeight w:val="236"/>
        </w:trPr>
        <w:tc>
          <w:tcPr>
            <w:tcW w:w="7640" w:type="dxa"/>
            <w:vAlign w:val="bottom"/>
          </w:tcPr>
          <w:p>
            <w:pPr>
              <w:ind w:left="340"/>
              <w:spacing w:after="0"/>
              <w:rPr>
                <w:sz w:val="20"/>
                <w:szCs w:val="20"/>
                <w:color w:val="auto"/>
              </w:rPr>
            </w:pPr>
            <w:r>
              <w:rPr>
                <w:rFonts w:ascii="Arial" w:cs="Arial" w:eastAsia="Arial" w:hAnsi="Arial"/>
                <w:sz w:val="17"/>
                <w:szCs w:val="17"/>
                <w:color w:val="auto"/>
              </w:rPr>
              <w:t>Total liabilities</w:t>
            </w:r>
          </w:p>
        </w:tc>
        <w:tc>
          <w:tcPr>
            <w:tcW w:w="600" w:type="dxa"/>
            <w:vAlign w:val="bottom"/>
            <w:tcBorders>
              <w:bottom w:val="single" w:sz="8" w:color="auto"/>
            </w:tcBorders>
            <w:shd w:val="clear" w:color="auto" w:fill="DDDDDD"/>
          </w:tcPr>
          <w:p>
            <w:pPr>
              <w:spacing w:after="0"/>
              <w:rPr>
                <w:sz w:val="20"/>
                <w:szCs w:val="20"/>
                <w:color w:val="auto"/>
              </w:rPr>
            </w:pPr>
          </w:p>
        </w:tc>
        <w:tc>
          <w:tcPr>
            <w:tcW w:w="1240" w:type="dxa"/>
            <w:vAlign w:val="bottom"/>
            <w:tcBorders>
              <w:bottom w:val="single" w:sz="8" w:color="auto"/>
            </w:tcBorders>
            <w:shd w:val="clear" w:color="auto" w:fill="DDDDDD"/>
          </w:tcPr>
          <w:p>
            <w:pPr>
              <w:jc w:val="right"/>
              <w:ind w:right="15"/>
              <w:spacing w:after="0"/>
              <w:rPr>
                <w:sz w:val="20"/>
                <w:szCs w:val="20"/>
                <w:color w:val="auto"/>
              </w:rPr>
            </w:pPr>
            <w:r>
              <w:rPr>
                <w:rFonts w:ascii="Arial" w:cs="Arial" w:eastAsia="Arial" w:hAnsi="Arial"/>
                <w:sz w:val="17"/>
                <w:szCs w:val="17"/>
                <w:color w:val="2573BA"/>
              </w:rPr>
              <w:t>11,054.5</w:t>
            </w:r>
          </w:p>
        </w:tc>
        <w:tc>
          <w:tcPr>
            <w:tcW w:w="1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10,748.2</w:t>
            </w:r>
          </w:p>
        </w:tc>
      </w:tr>
      <w:tr>
        <w:trPr>
          <w:trHeight w:val="216"/>
        </w:trPr>
        <w:tc>
          <w:tcPr>
            <w:tcW w:w="7640" w:type="dxa"/>
            <w:vAlign w:val="bottom"/>
          </w:tcPr>
          <w:p>
            <w:pPr>
              <w:spacing w:after="0"/>
              <w:rPr>
                <w:sz w:val="20"/>
                <w:szCs w:val="20"/>
                <w:color w:val="auto"/>
              </w:rPr>
            </w:pPr>
            <w:r>
              <w:rPr>
                <w:rFonts w:ascii="Arial" w:cs="Arial" w:eastAsia="Arial" w:hAnsi="Arial"/>
                <w:sz w:val="17"/>
                <w:szCs w:val="17"/>
                <w:color w:val="auto"/>
              </w:rPr>
              <w:t>Commitments and contingencies</w:t>
            </w:r>
          </w:p>
        </w:tc>
        <w:tc>
          <w:tcPr>
            <w:tcW w:w="600" w:type="dxa"/>
            <w:vAlign w:val="bottom"/>
            <w:shd w:val="clear" w:color="auto" w:fill="DDDDDD"/>
          </w:tcPr>
          <w:p>
            <w:pPr>
              <w:spacing w:after="0"/>
              <w:rPr>
                <w:sz w:val="18"/>
                <w:szCs w:val="18"/>
                <w:color w:val="auto"/>
              </w:rPr>
            </w:pPr>
          </w:p>
        </w:tc>
        <w:tc>
          <w:tcPr>
            <w:tcW w:w="1240" w:type="dxa"/>
            <w:vAlign w:val="bottom"/>
            <w:shd w:val="clear" w:color="auto" w:fill="DDDDDD"/>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6"/>
        </w:trPr>
        <w:tc>
          <w:tcPr>
            <w:tcW w:w="7640" w:type="dxa"/>
            <w:vAlign w:val="bottom"/>
          </w:tcPr>
          <w:p>
            <w:pPr>
              <w:spacing w:after="0"/>
              <w:rPr>
                <w:sz w:val="20"/>
                <w:szCs w:val="20"/>
                <w:color w:val="auto"/>
              </w:rPr>
            </w:pPr>
            <w:r>
              <w:rPr>
                <w:rFonts w:ascii="Arial" w:cs="Arial" w:eastAsia="Arial" w:hAnsi="Arial"/>
                <w:sz w:val="17"/>
                <w:szCs w:val="17"/>
                <w:color w:val="auto"/>
              </w:rPr>
              <w:t>Equity:</w:t>
            </w:r>
          </w:p>
        </w:tc>
        <w:tc>
          <w:tcPr>
            <w:tcW w:w="600" w:type="dxa"/>
            <w:vAlign w:val="bottom"/>
            <w:shd w:val="clear" w:color="auto" w:fill="DDDDDD"/>
          </w:tcPr>
          <w:p>
            <w:pPr>
              <w:spacing w:after="0"/>
              <w:rPr>
                <w:sz w:val="22"/>
                <w:szCs w:val="22"/>
                <w:color w:val="auto"/>
              </w:rPr>
            </w:pPr>
          </w:p>
        </w:tc>
        <w:tc>
          <w:tcPr>
            <w:tcW w:w="1240" w:type="dxa"/>
            <w:vAlign w:val="bottom"/>
            <w:shd w:val="clear" w:color="auto" w:fill="DDDDDD"/>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6"/>
        </w:trPr>
        <w:tc>
          <w:tcPr>
            <w:tcW w:w="7640" w:type="dxa"/>
            <w:vAlign w:val="bottom"/>
          </w:tcPr>
          <w:p>
            <w:pPr>
              <w:spacing w:after="0"/>
              <w:rPr>
                <w:sz w:val="20"/>
                <w:szCs w:val="20"/>
                <w:color w:val="auto"/>
              </w:rPr>
            </w:pPr>
            <w:r>
              <w:rPr>
                <w:rFonts w:ascii="Arial" w:cs="Arial" w:eastAsia="Arial" w:hAnsi="Arial"/>
                <w:sz w:val="17"/>
                <w:szCs w:val="17"/>
                <w:color w:val="auto"/>
              </w:rPr>
              <w:t>Biogen Inc. shareholders’ equity</w:t>
            </w:r>
          </w:p>
        </w:tc>
        <w:tc>
          <w:tcPr>
            <w:tcW w:w="600" w:type="dxa"/>
            <w:vAlign w:val="bottom"/>
            <w:shd w:val="clear" w:color="auto" w:fill="DDDDDD"/>
          </w:tcPr>
          <w:p>
            <w:pPr>
              <w:spacing w:after="0"/>
              <w:rPr>
                <w:sz w:val="22"/>
                <w:szCs w:val="22"/>
                <w:color w:val="auto"/>
              </w:rPr>
            </w:pPr>
          </w:p>
        </w:tc>
        <w:tc>
          <w:tcPr>
            <w:tcW w:w="1240" w:type="dxa"/>
            <w:vAlign w:val="bottom"/>
            <w:shd w:val="clear" w:color="auto" w:fill="DDDDDD"/>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3"/>
        </w:trPr>
        <w:tc>
          <w:tcPr>
            <w:tcW w:w="7640" w:type="dxa"/>
            <w:vAlign w:val="bottom"/>
          </w:tcPr>
          <w:p>
            <w:pPr>
              <w:ind w:left="140"/>
              <w:spacing w:after="0"/>
              <w:rPr>
                <w:sz w:val="20"/>
                <w:szCs w:val="20"/>
                <w:color w:val="auto"/>
              </w:rPr>
            </w:pPr>
            <w:r>
              <w:rPr>
                <w:rFonts w:ascii="Arial" w:cs="Arial" w:eastAsia="Arial" w:hAnsi="Arial"/>
                <w:sz w:val="17"/>
                <w:szCs w:val="17"/>
                <w:color w:val="auto"/>
              </w:rPr>
              <w:t>Preferred stock, par value $0.001 per share</w:t>
            </w:r>
          </w:p>
        </w:tc>
        <w:tc>
          <w:tcPr>
            <w:tcW w:w="600" w:type="dxa"/>
            <w:vAlign w:val="bottom"/>
            <w:shd w:val="clear" w:color="auto" w:fill="DDDDDD"/>
          </w:tcPr>
          <w:p>
            <w:pPr>
              <w:spacing w:after="0"/>
              <w:rPr>
                <w:sz w:val="24"/>
                <w:szCs w:val="24"/>
                <w:color w:val="auto"/>
              </w:rPr>
            </w:pPr>
          </w:p>
        </w:tc>
        <w:tc>
          <w:tcPr>
            <w:tcW w:w="124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42"/>
        </w:trPr>
        <w:tc>
          <w:tcPr>
            <w:tcW w:w="7640" w:type="dxa"/>
            <w:vAlign w:val="bottom"/>
          </w:tcPr>
          <w:p>
            <w:pPr>
              <w:ind w:left="140"/>
              <w:spacing w:after="0"/>
              <w:rPr>
                <w:sz w:val="20"/>
                <w:szCs w:val="20"/>
                <w:color w:val="auto"/>
              </w:rPr>
            </w:pPr>
            <w:r>
              <w:rPr>
                <w:rFonts w:ascii="Arial" w:cs="Arial" w:eastAsia="Arial" w:hAnsi="Arial"/>
                <w:sz w:val="17"/>
                <w:szCs w:val="17"/>
                <w:color w:val="auto"/>
              </w:rPr>
              <w:t>Common stock, par value $0.0005 per share</w:t>
            </w:r>
          </w:p>
        </w:tc>
        <w:tc>
          <w:tcPr>
            <w:tcW w:w="60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7"/>
                <w:szCs w:val="17"/>
                <w:color w:val="2573BA"/>
              </w:rPr>
              <w:t>0.1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0.1</w:t>
            </w:r>
          </w:p>
        </w:tc>
      </w:tr>
      <w:tr>
        <w:trPr>
          <w:trHeight w:val="256"/>
        </w:trPr>
        <w:tc>
          <w:tcPr>
            <w:tcW w:w="7640" w:type="dxa"/>
            <w:vAlign w:val="bottom"/>
          </w:tcPr>
          <w:p>
            <w:pPr>
              <w:ind w:left="140"/>
              <w:spacing w:after="0"/>
              <w:rPr>
                <w:sz w:val="20"/>
                <w:szCs w:val="20"/>
                <w:color w:val="auto"/>
              </w:rPr>
            </w:pPr>
            <w:r>
              <w:rPr>
                <w:rFonts w:ascii="Arial" w:cs="Arial" w:eastAsia="Arial" w:hAnsi="Arial"/>
                <w:sz w:val="17"/>
                <w:szCs w:val="17"/>
                <w:color w:val="auto"/>
              </w:rPr>
              <w:t>Additional paid-in capital</w:t>
            </w:r>
          </w:p>
        </w:tc>
        <w:tc>
          <w:tcPr>
            <w:tcW w:w="600" w:type="dxa"/>
            <w:vAlign w:val="bottom"/>
          </w:tcPr>
          <w:p>
            <w:pPr>
              <w:spacing w:after="0"/>
              <w:rPr>
                <w:sz w:val="22"/>
                <w:szCs w:val="22"/>
                <w:color w:val="auto"/>
              </w:rPr>
            </w:pPr>
          </w:p>
        </w:tc>
        <w:tc>
          <w:tcPr>
            <w:tcW w:w="1240" w:type="dxa"/>
            <w:vAlign w:val="bottom"/>
          </w:tcPr>
          <w:p>
            <w:pPr>
              <w:jc w:val="right"/>
              <w:ind w:right="15"/>
              <w:spacing w:after="0"/>
              <w:rPr>
                <w:sz w:val="20"/>
                <w:szCs w:val="20"/>
                <w:color w:val="auto"/>
              </w:rPr>
            </w:pPr>
            <w:r>
              <w:rPr>
                <w:rFonts w:ascii="Arial" w:cs="Arial" w:eastAsia="Arial" w:hAnsi="Arial"/>
                <w:sz w:val="17"/>
                <w:szCs w:val="17"/>
                <w:color w:val="2573BA"/>
              </w:rPr>
              <w:t>97.8</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56"/>
        </w:trPr>
        <w:tc>
          <w:tcPr>
            <w:tcW w:w="7640" w:type="dxa"/>
            <w:vAlign w:val="bottom"/>
          </w:tcPr>
          <w:p>
            <w:pPr>
              <w:ind w:left="140"/>
              <w:spacing w:after="0"/>
              <w:rPr>
                <w:sz w:val="20"/>
                <w:szCs w:val="20"/>
                <w:color w:val="auto"/>
              </w:rPr>
            </w:pPr>
            <w:r>
              <w:rPr>
                <w:rFonts w:ascii="Arial" w:cs="Arial" w:eastAsia="Arial" w:hAnsi="Arial"/>
                <w:sz w:val="17"/>
                <w:szCs w:val="17"/>
                <w:color w:val="auto"/>
              </w:rPr>
              <w:t>Accumulated other comprehensive loss</w:t>
            </w:r>
          </w:p>
        </w:tc>
        <w:tc>
          <w:tcPr>
            <w:tcW w:w="6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2573BA"/>
              </w:rPr>
              <w:t>(318.4)</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(319.9)</w:t>
            </w:r>
          </w:p>
        </w:tc>
      </w:tr>
      <w:tr>
        <w:trPr>
          <w:trHeight w:val="256"/>
        </w:trPr>
        <w:tc>
          <w:tcPr>
            <w:tcW w:w="7640" w:type="dxa"/>
            <w:vAlign w:val="bottom"/>
          </w:tcPr>
          <w:p>
            <w:pPr>
              <w:ind w:left="140"/>
              <w:spacing w:after="0"/>
              <w:rPr>
                <w:sz w:val="20"/>
                <w:szCs w:val="20"/>
                <w:color w:val="auto"/>
              </w:rPr>
            </w:pPr>
            <w:r>
              <w:rPr>
                <w:rFonts w:ascii="Arial" w:cs="Arial" w:eastAsia="Arial" w:hAnsi="Arial"/>
                <w:sz w:val="17"/>
                <w:szCs w:val="17"/>
                <w:color w:val="auto"/>
              </w:rPr>
              <w:t>Retained earnings</w:t>
            </w:r>
          </w:p>
        </w:tc>
        <w:tc>
          <w:tcPr>
            <w:tcW w:w="600" w:type="dxa"/>
            <w:vAlign w:val="bottom"/>
          </w:tcPr>
          <w:p>
            <w:pPr>
              <w:spacing w:after="0"/>
              <w:rPr>
                <w:sz w:val="22"/>
                <w:szCs w:val="22"/>
                <w:color w:val="auto"/>
              </w:rPr>
            </w:pPr>
          </w:p>
        </w:tc>
        <w:tc>
          <w:tcPr>
            <w:tcW w:w="1240" w:type="dxa"/>
            <w:vAlign w:val="bottom"/>
          </w:tcPr>
          <w:p>
            <w:pPr>
              <w:jc w:val="right"/>
              <w:ind w:right="15"/>
              <w:spacing w:after="0"/>
              <w:rPr>
                <w:sz w:val="20"/>
                <w:szCs w:val="20"/>
                <w:color w:val="auto"/>
              </w:rPr>
            </w:pPr>
            <w:r>
              <w:rPr>
                <w:rFonts w:ascii="Arial" w:cs="Arial" w:eastAsia="Arial" w:hAnsi="Arial"/>
                <w:sz w:val="17"/>
                <w:szCs w:val="17"/>
                <w:color w:val="2573BA"/>
              </w:rPr>
              <w:t>15,810.4</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15,071.6</w:t>
            </w:r>
          </w:p>
        </w:tc>
      </w:tr>
      <w:tr>
        <w:trPr>
          <w:trHeight w:val="263"/>
        </w:trPr>
        <w:tc>
          <w:tcPr>
            <w:tcW w:w="7640" w:type="dxa"/>
            <w:vAlign w:val="bottom"/>
          </w:tcPr>
          <w:p>
            <w:pPr>
              <w:ind w:left="140"/>
              <w:spacing w:after="0"/>
              <w:rPr>
                <w:sz w:val="20"/>
                <w:szCs w:val="20"/>
                <w:color w:val="auto"/>
              </w:rPr>
            </w:pPr>
            <w:r>
              <w:rPr>
                <w:rFonts w:ascii="Arial" w:cs="Arial" w:eastAsia="Arial" w:hAnsi="Arial"/>
                <w:sz w:val="17"/>
                <w:szCs w:val="17"/>
                <w:color w:val="auto"/>
              </w:rPr>
              <w:t>Treasury stock, at cost; 23.8 million and 22.6 million shares, respectively</w:t>
            </w:r>
          </w:p>
        </w:tc>
        <w:tc>
          <w:tcPr>
            <w:tcW w:w="6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(2,977.1)</w:t>
            </w:r>
          </w:p>
        </w:tc>
        <w:tc>
          <w:tcPr>
            <w:tcW w:w="10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(2,611.7)</w:t>
            </w:r>
          </w:p>
        </w:tc>
      </w:tr>
      <w:tr>
        <w:trPr>
          <w:trHeight w:val="229"/>
        </w:trPr>
        <w:tc>
          <w:tcPr>
            <w:tcW w:w="7640" w:type="dxa"/>
            <w:vAlign w:val="bottom"/>
          </w:tcPr>
          <w:p>
            <w:pPr>
              <w:ind w:left="340"/>
              <w:spacing w:after="0"/>
              <w:rPr>
                <w:sz w:val="20"/>
                <w:szCs w:val="20"/>
                <w:color w:val="auto"/>
              </w:rPr>
            </w:pPr>
            <w:r>
              <w:rPr>
                <w:rFonts w:ascii="Arial" w:cs="Arial" w:eastAsia="Arial" w:hAnsi="Arial"/>
                <w:sz w:val="17"/>
                <w:szCs w:val="17"/>
                <w:color w:val="auto"/>
              </w:rPr>
              <w:t>Total Biogen Inc. shareholders’ equity</w:t>
            </w:r>
          </w:p>
        </w:tc>
        <w:tc>
          <w:tcPr>
            <w:tcW w:w="600" w:type="dxa"/>
            <w:vAlign w:val="bottom"/>
          </w:tcPr>
          <w:p>
            <w:pPr>
              <w:spacing w:after="0"/>
              <w:rPr>
                <w:sz w:val="19"/>
                <w:szCs w:val="19"/>
                <w:color w:val="auto"/>
              </w:rPr>
            </w:pPr>
          </w:p>
        </w:tc>
        <w:tc>
          <w:tcPr>
            <w:tcW w:w="1240" w:type="dxa"/>
            <w:vAlign w:val="bottom"/>
          </w:tcPr>
          <w:p>
            <w:pPr>
              <w:jc w:val="right"/>
              <w:ind w:right="15"/>
              <w:spacing w:after="0"/>
              <w:rPr>
                <w:sz w:val="20"/>
                <w:szCs w:val="20"/>
                <w:color w:val="auto"/>
              </w:rPr>
            </w:pPr>
            <w:r>
              <w:rPr>
                <w:rFonts w:ascii="Arial" w:cs="Arial" w:eastAsia="Arial" w:hAnsi="Arial"/>
                <w:sz w:val="17"/>
                <w:szCs w:val="17"/>
                <w:color w:val="2573BA"/>
              </w:rPr>
              <w:t>12,612.8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12,140.1</w:t>
            </w:r>
          </w:p>
        </w:tc>
      </w:tr>
      <w:tr>
        <w:trPr>
          <w:trHeight w:val="263"/>
        </w:trPr>
        <w:tc>
          <w:tcPr>
            <w:tcW w:w="7640" w:type="dxa"/>
            <w:vAlign w:val="bottom"/>
          </w:tcPr>
          <w:p>
            <w:pPr>
              <w:spacing w:after="0"/>
              <w:rPr>
                <w:sz w:val="20"/>
                <w:szCs w:val="20"/>
                <w:color w:val="auto"/>
              </w:rPr>
            </w:pPr>
            <w:r>
              <w:rPr>
                <w:rFonts w:ascii="Arial" w:cs="Arial" w:eastAsia="Arial" w:hAnsi="Arial"/>
                <w:sz w:val="17"/>
                <w:szCs w:val="17"/>
                <w:color w:val="auto"/>
              </w:rPr>
              <w:t>Noncontrolling interests</w:t>
            </w:r>
          </w:p>
        </w:tc>
        <w:tc>
          <w:tcPr>
            <w:tcW w:w="6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(14.7)</w:t>
            </w:r>
          </w:p>
        </w:tc>
        <w:tc>
          <w:tcPr>
            <w:tcW w:w="10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w:t>
            </w:r>
          </w:p>
        </w:tc>
      </w:tr>
      <w:tr>
        <w:trPr>
          <w:trHeight w:val="236"/>
        </w:trPr>
        <w:tc>
          <w:tcPr>
            <w:tcW w:w="7640" w:type="dxa"/>
            <w:vAlign w:val="bottom"/>
          </w:tcPr>
          <w:p>
            <w:pPr>
              <w:ind w:left="340"/>
              <w:spacing w:after="0"/>
              <w:rPr>
                <w:sz w:val="20"/>
                <w:szCs w:val="20"/>
                <w:color w:val="auto"/>
              </w:rPr>
            </w:pPr>
            <w:r>
              <w:rPr>
                <w:rFonts w:ascii="Arial" w:cs="Arial" w:eastAsia="Arial" w:hAnsi="Arial"/>
                <w:sz w:val="17"/>
                <w:szCs w:val="17"/>
                <w:color w:val="auto"/>
              </w:rPr>
              <w:t>Total equity</w:t>
            </w:r>
          </w:p>
        </w:tc>
        <w:tc>
          <w:tcPr>
            <w:tcW w:w="6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2573BA"/>
              </w:rPr>
              <w:t>12,598.1</w:t>
            </w:r>
          </w:p>
        </w:tc>
        <w:tc>
          <w:tcPr>
            <w:tcW w:w="1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12,128.6</w:t>
            </w:r>
          </w:p>
        </w:tc>
      </w:tr>
      <w:tr>
        <w:trPr>
          <w:trHeight w:val="236"/>
        </w:trPr>
        <w:tc>
          <w:tcPr>
            <w:tcW w:w="7640" w:type="dxa"/>
            <w:vAlign w:val="bottom"/>
          </w:tcPr>
          <w:p>
            <w:pPr>
              <w:ind w:left="340"/>
              <w:spacing w:after="0"/>
              <w:rPr>
                <w:sz w:val="20"/>
                <w:szCs w:val="20"/>
                <w:color w:val="auto"/>
              </w:rPr>
            </w:pPr>
            <w:r>
              <w:rPr>
                <w:rFonts w:ascii="Arial" w:cs="Arial" w:eastAsia="Arial" w:hAnsi="Arial"/>
                <w:sz w:val="17"/>
                <w:szCs w:val="17"/>
                <w:color w:val="auto"/>
              </w:rPr>
              <w:t>Total liabilities and equity</w:t>
            </w:r>
          </w:p>
        </w:tc>
        <w:tc>
          <w:tcPr>
            <w:tcW w:w="600" w:type="dxa"/>
            <w:vAlign w:val="bottom"/>
          </w:tcPr>
          <w:p>
            <w:pPr>
              <w:jc w:val="right"/>
              <w:ind w:right="395"/>
              <w:spacing w:after="0"/>
              <w:rPr>
                <w:sz w:val="20"/>
                <w:szCs w:val="20"/>
                <w:color w:val="auto"/>
              </w:rPr>
            </w:pPr>
            <w:r>
              <w:rPr>
                <w:rFonts w:ascii="Arial" w:cs="Arial" w:eastAsia="Arial" w:hAnsi="Arial"/>
                <w:sz w:val="17"/>
                <w:szCs w:val="17"/>
                <w:color w:val="2573BA"/>
              </w:rPr>
              <w:t>$</w:t>
            </w:r>
          </w:p>
        </w:tc>
        <w:tc>
          <w:tcPr>
            <w:tcW w:w="1240" w:type="dxa"/>
            <w:vAlign w:val="bottom"/>
          </w:tcPr>
          <w:p>
            <w:pPr>
              <w:jc w:val="right"/>
              <w:ind w:right="15"/>
              <w:spacing w:after="0"/>
              <w:rPr>
                <w:sz w:val="20"/>
                <w:szCs w:val="20"/>
                <w:color w:val="auto"/>
              </w:rPr>
            </w:pPr>
            <w:r>
              <w:rPr>
                <w:rFonts w:ascii="Arial" w:cs="Arial" w:eastAsia="Arial" w:hAnsi="Arial"/>
                <w:sz w:val="17"/>
                <w:szCs w:val="17"/>
                <w:color w:val="2573BA"/>
              </w:rPr>
              <w:t>23,652.6</w:t>
            </w:r>
          </w:p>
        </w:tc>
        <w:tc>
          <w:tcPr>
            <w:tcW w:w="70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22,876.8</w:t>
            </w:r>
          </w:p>
        </w:tc>
      </w:tr>
      <w:tr>
        <w:trPr>
          <w:trHeight w:val="20"/>
        </w:trPr>
        <w:tc>
          <w:tcPr>
            <w:tcW w:w="76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4864735</wp:posOffset>
            </wp:positionH>
            <wp:positionV relativeFrom="paragraph">
              <wp:posOffset>-1650365</wp:posOffset>
            </wp:positionV>
            <wp:extent cx="1170940" cy="16344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9">
                      <a:extLst>
                        <a:ext uri="{28A0092B-C50C-407E-A947-70E740481C1C}"/>
                      </a:extLst>
                    </a:blip>
                    <a:srcRect/>
                    <a:stretch>
                      <a:fillRect/>
                    </a:stretch>
                  </pic:blipFill>
                  <pic:spPr bwMode="auto">
                    <a:xfrm>
                      <a:off x="0" y="0"/>
                      <a:ext cx="1170940" cy="1634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these consolidated financial statements.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F- 4</w:t>
      </w:r>
    </w:p>
    <w:p>
      <w:pPr>
        <w:sectPr>
          <w:pgSz w:w="11900" w:h="16838" w:orient="portrait"/>
          <w:cols w:equalWidth="0" w:num="1">
            <w:col w:w="11420"/>
          </w:cols>
          <w:pgMar w:left="240" w:top="144" w:right="239" w:bottom="1440" w:gutter="0" w:footer="0" w:header="0"/>
          <w:type w:val="continuous"/>
        </w:sectPr>
      </w:pPr>
    </w:p>
    <w:bookmarkStart w:id="106" w:name="page107"/>
    <w:bookmarkEnd w:id="10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CONSOLIDATED STATEMENTS OF CASH FLOWS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(In millions)</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7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jc w:val="right"/>
              <w:ind w:right="23"/>
              <w:spacing w:after="0"/>
              <w:rPr>
                <w:sz w:val="20"/>
                <w:szCs w:val="20"/>
                <w:color w:val="auto"/>
              </w:rPr>
            </w:pPr>
            <w:r>
              <w:rPr>
                <w:rFonts w:ascii="Arial" w:cs="Arial" w:eastAsia="Arial" w:hAnsi="Arial"/>
                <w:sz w:val="14"/>
                <w:szCs w:val="14"/>
                <w:b w:val="1"/>
                <w:bCs w:val="1"/>
                <w:color w:val="auto"/>
              </w:rPr>
              <w:t>For the Years Ended December 31,</w:t>
            </w:r>
          </w:p>
        </w:tc>
        <w:tc>
          <w:tcPr>
            <w:tcW w:w="920" w:type="dxa"/>
            <w:vAlign w:val="bottom"/>
            <w:tcBorders>
              <w:bottom w:val="single" w:sz="8" w:color="auto"/>
            </w:tcBorders>
          </w:tcPr>
          <w:p>
            <w:pPr>
              <w:spacing w:after="0"/>
              <w:rPr>
                <w:sz w:val="16"/>
                <w:szCs w:val="16"/>
                <w:color w:val="auto"/>
              </w:rPr>
            </w:pPr>
          </w:p>
        </w:tc>
      </w:tr>
      <w:tr>
        <w:trPr>
          <w:trHeight w:val="247"/>
        </w:trPr>
        <w:tc>
          <w:tcPr>
            <w:tcW w:w="7080" w:type="dxa"/>
            <w:vAlign w:val="bottom"/>
          </w:tcPr>
          <w:p>
            <w:pPr>
              <w:spacing w:after="0"/>
              <w:rPr>
                <w:sz w:val="21"/>
                <w:szCs w:val="21"/>
                <w:color w:val="auto"/>
              </w:rPr>
            </w:pPr>
          </w:p>
        </w:tc>
        <w:tc>
          <w:tcPr>
            <w:tcW w:w="320" w:type="dxa"/>
            <w:vAlign w:val="bottom"/>
            <w:tcBorders>
              <w:bottom w:val="single" w:sz="8" w:color="auto"/>
            </w:tcBorders>
            <w:shd w:val="clear" w:color="auto" w:fill="DDDDDD"/>
          </w:tcPr>
          <w:p>
            <w:pPr>
              <w:spacing w:after="0"/>
              <w:rPr>
                <w:sz w:val="21"/>
                <w:szCs w:val="21"/>
                <w:color w:val="auto"/>
              </w:rPr>
            </w:pPr>
          </w:p>
        </w:tc>
        <w:tc>
          <w:tcPr>
            <w:tcW w:w="1080" w:type="dxa"/>
            <w:vAlign w:val="bottom"/>
            <w:tcBorders>
              <w:bottom w:val="single" w:sz="8" w:color="auto"/>
            </w:tcBorders>
            <w:shd w:val="clear" w:color="auto" w:fill="DDDDDD"/>
          </w:tcPr>
          <w:p>
            <w:pPr>
              <w:jc w:val="right"/>
              <w:ind w:right="484"/>
              <w:spacing w:after="0"/>
              <w:rPr>
                <w:sz w:val="20"/>
                <w:szCs w:val="20"/>
                <w:color w:val="auto"/>
              </w:rPr>
            </w:pPr>
            <w:r>
              <w:rPr>
                <w:rFonts w:ascii="Arial" w:cs="Arial" w:eastAsia="Arial" w:hAnsi="Arial"/>
                <w:sz w:val="14"/>
                <w:szCs w:val="14"/>
                <w:b w:val="1"/>
                <w:bCs w:val="1"/>
                <w:color w:val="2573BA"/>
              </w:rPr>
              <w:t>2017</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2015</w:t>
            </w:r>
          </w:p>
        </w:tc>
      </w:tr>
      <w:tr>
        <w:trPr>
          <w:trHeight w:val="200"/>
        </w:trPr>
        <w:tc>
          <w:tcPr>
            <w:tcW w:w="7080" w:type="dxa"/>
            <w:vAlign w:val="bottom"/>
          </w:tcPr>
          <w:p>
            <w:pPr>
              <w:spacing w:after="0"/>
              <w:rPr>
                <w:sz w:val="20"/>
                <w:szCs w:val="20"/>
                <w:color w:val="auto"/>
              </w:rPr>
            </w:pPr>
            <w:r>
              <w:rPr>
                <w:rFonts w:ascii="Arial" w:cs="Arial" w:eastAsia="Arial" w:hAnsi="Arial"/>
                <w:sz w:val="15"/>
                <w:szCs w:val="15"/>
                <w:color w:val="auto"/>
              </w:rPr>
              <w:t>Cash flows from operating activities:</w:t>
            </w:r>
          </w:p>
        </w:tc>
        <w:tc>
          <w:tcPr>
            <w:tcW w:w="320" w:type="dxa"/>
            <w:vAlign w:val="bottom"/>
            <w:shd w:val="clear" w:color="auto" w:fill="DDDDDD"/>
          </w:tcPr>
          <w:p>
            <w:pPr>
              <w:spacing w:after="0"/>
              <w:rPr>
                <w:sz w:val="17"/>
                <w:szCs w:val="17"/>
                <w:color w:val="auto"/>
              </w:rPr>
            </w:pPr>
          </w:p>
        </w:tc>
        <w:tc>
          <w:tcPr>
            <w:tcW w:w="1080" w:type="dxa"/>
            <w:vAlign w:val="bottom"/>
            <w:shd w:val="clear" w:color="auto" w:fill="DDDDDD"/>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95"/>
        </w:trPr>
        <w:tc>
          <w:tcPr>
            <w:tcW w:w="7080" w:type="dxa"/>
            <w:vAlign w:val="bottom"/>
          </w:tcPr>
          <w:p>
            <w:pPr>
              <w:ind w:left="140"/>
              <w:spacing w:after="0"/>
              <w:rPr>
                <w:sz w:val="20"/>
                <w:szCs w:val="20"/>
                <w:color w:val="auto"/>
              </w:rPr>
            </w:pPr>
            <w:r>
              <w:rPr>
                <w:rFonts w:ascii="Arial" w:cs="Arial" w:eastAsia="Arial" w:hAnsi="Arial"/>
                <w:sz w:val="15"/>
                <w:szCs w:val="15"/>
                <w:color w:val="auto"/>
              </w:rPr>
              <w:t>Net income</w:t>
            </w:r>
          </w:p>
        </w:tc>
        <w:tc>
          <w:tcPr>
            <w:tcW w:w="320" w:type="dxa"/>
            <w:vAlign w:val="bottom"/>
            <w:shd w:val="clear" w:color="auto" w:fill="DDDDDD"/>
          </w:tcPr>
          <w:p>
            <w:pPr>
              <w:jc w:val="right"/>
              <w:ind w:right="143"/>
              <w:spacing w:after="0"/>
              <w:rPr>
                <w:sz w:val="20"/>
                <w:szCs w:val="20"/>
                <w:color w:val="auto"/>
              </w:rPr>
            </w:pPr>
            <w:r>
              <w:rPr>
                <w:rFonts w:ascii="Arial" w:cs="Arial" w:eastAsia="Arial" w:hAnsi="Arial"/>
                <w:sz w:val="15"/>
                <w:szCs w:val="15"/>
                <w:color w:val="2573BA"/>
                <w:w w:val="95"/>
              </w:rPr>
              <w:t>$</w:t>
            </w:r>
          </w:p>
        </w:tc>
        <w:tc>
          <w:tcPr>
            <w:tcW w:w="1080" w:type="dxa"/>
            <w:vAlign w:val="bottom"/>
            <w:shd w:val="clear" w:color="auto" w:fill="DDDDDD"/>
          </w:tcPr>
          <w:p>
            <w:pPr>
              <w:jc w:val="right"/>
              <w:ind w:right="44"/>
              <w:spacing w:after="0"/>
              <w:rPr>
                <w:sz w:val="20"/>
                <w:szCs w:val="20"/>
                <w:color w:val="auto"/>
              </w:rPr>
            </w:pPr>
            <w:r>
              <w:rPr>
                <w:rFonts w:ascii="Arial" w:cs="Arial" w:eastAsia="Arial" w:hAnsi="Arial"/>
                <w:sz w:val="15"/>
                <w:szCs w:val="15"/>
                <w:color w:val="2573BA"/>
              </w:rPr>
              <w:t>2,670.1</w:t>
            </w:r>
          </w:p>
        </w:tc>
        <w:tc>
          <w:tcPr>
            <w:tcW w:w="4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3,695.7</w:t>
            </w:r>
          </w:p>
        </w:tc>
        <w:tc>
          <w:tcPr>
            <w:tcW w:w="100" w:type="dxa"/>
            <w:vAlign w:val="bottom"/>
          </w:tcPr>
          <w:p>
            <w:pPr>
              <w:spacing w:after="0"/>
              <w:rPr>
                <w:sz w:val="24"/>
                <w:szCs w:val="24"/>
                <w:color w:val="auto"/>
              </w:rPr>
            </w:pPr>
          </w:p>
        </w:tc>
        <w:tc>
          <w:tcPr>
            <w:tcW w:w="44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3,593.2</w:t>
            </w:r>
          </w:p>
        </w:tc>
      </w:tr>
      <w:tr>
        <w:trPr>
          <w:trHeight w:val="231"/>
        </w:trPr>
        <w:tc>
          <w:tcPr>
            <w:tcW w:w="7080" w:type="dxa"/>
            <w:vAlign w:val="bottom"/>
          </w:tcPr>
          <w:p>
            <w:pPr>
              <w:ind w:left="140"/>
              <w:spacing w:after="0"/>
              <w:rPr>
                <w:sz w:val="20"/>
                <w:szCs w:val="20"/>
                <w:color w:val="auto"/>
              </w:rPr>
            </w:pPr>
            <w:r>
              <w:rPr>
                <w:rFonts w:ascii="Arial" w:cs="Arial" w:eastAsia="Arial" w:hAnsi="Arial"/>
                <w:sz w:val="15"/>
                <w:szCs w:val="15"/>
                <w:color w:val="auto"/>
              </w:rPr>
              <w:t>Adjustments to reconcile net income to net cash flows from operating activities:</w:t>
            </w:r>
          </w:p>
        </w:tc>
        <w:tc>
          <w:tcPr>
            <w:tcW w:w="320" w:type="dxa"/>
            <w:vAlign w:val="bottom"/>
            <w:shd w:val="clear" w:color="auto" w:fill="DDDDDD"/>
          </w:tcPr>
          <w:p>
            <w:pPr>
              <w:spacing w:after="0"/>
              <w:rPr>
                <w:sz w:val="20"/>
                <w:szCs w:val="20"/>
                <w:color w:val="auto"/>
              </w:rPr>
            </w:pPr>
          </w:p>
        </w:tc>
        <w:tc>
          <w:tcPr>
            <w:tcW w:w="1080" w:type="dxa"/>
            <w:vAlign w:val="bottom"/>
            <w:shd w:val="clear" w:color="auto" w:fill="DDDDDD"/>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82"/>
        </w:trPr>
        <w:tc>
          <w:tcPr>
            <w:tcW w:w="7080" w:type="dxa"/>
            <w:vAlign w:val="bottom"/>
          </w:tcPr>
          <w:p>
            <w:pPr>
              <w:ind w:left="340"/>
              <w:spacing w:after="0"/>
              <w:rPr>
                <w:sz w:val="20"/>
                <w:szCs w:val="20"/>
                <w:color w:val="auto"/>
              </w:rPr>
            </w:pPr>
            <w:r>
              <w:rPr>
                <w:rFonts w:ascii="Arial" w:cs="Arial" w:eastAsia="Arial" w:hAnsi="Arial"/>
                <w:sz w:val="15"/>
                <w:szCs w:val="15"/>
                <w:color w:val="auto"/>
              </w:rPr>
              <w:t>Depreciation and amortization</w:t>
            </w:r>
          </w:p>
        </w:tc>
        <w:tc>
          <w:tcPr>
            <w:tcW w:w="320" w:type="dxa"/>
            <w:vAlign w:val="bottom"/>
            <w:shd w:val="clear" w:color="auto" w:fill="DDDDDD"/>
          </w:tcPr>
          <w:p>
            <w:pPr>
              <w:spacing w:after="0"/>
              <w:rPr>
                <w:sz w:val="24"/>
                <w:szCs w:val="24"/>
                <w:color w:val="auto"/>
              </w:rPr>
            </w:pPr>
          </w:p>
        </w:tc>
        <w:tc>
          <w:tcPr>
            <w:tcW w:w="1080" w:type="dxa"/>
            <w:vAlign w:val="bottom"/>
            <w:shd w:val="clear" w:color="auto" w:fill="DDDDDD"/>
          </w:tcPr>
          <w:p>
            <w:pPr>
              <w:jc w:val="right"/>
              <w:ind w:right="44"/>
              <w:spacing w:after="0"/>
              <w:rPr>
                <w:sz w:val="20"/>
                <w:szCs w:val="20"/>
                <w:color w:val="auto"/>
              </w:rPr>
            </w:pPr>
            <w:r>
              <w:rPr>
                <w:rFonts w:ascii="Arial" w:cs="Arial" w:eastAsia="Arial" w:hAnsi="Arial"/>
                <w:sz w:val="15"/>
                <w:szCs w:val="15"/>
                <w:color w:val="2573BA"/>
              </w:rPr>
              <w:t>1,081.0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682.7</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600.4</w:t>
            </w:r>
          </w:p>
        </w:tc>
      </w:tr>
      <w:tr>
        <w:trPr>
          <w:trHeight w:val="256"/>
        </w:trPr>
        <w:tc>
          <w:tcPr>
            <w:tcW w:w="7080" w:type="dxa"/>
            <w:vAlign w:val="bottom"/>
          </w:tcPr>
          <w:p>
            <w:pPr>
              <w:ind w:left="340"/>
              <w:spacing w:after="0"/>
              <w:rPr>
                <w:sz w:val="20"/>
                <w:szCs w:val="20"/>
                <w:color w:val="auto"/>
              </w:rPr>
            </w:pPr>
            <w:r>
              <w:rPr>
                <w:rFonts w:ascii="Arial" w:cs="Arial" w:eastAsia="Arial" w:hAnsi="Arial"/>
                <w:sz w:val="15"/>
                <w:szCs w:val="15"/>
                <w:color w:val="auto"/>
              </w:rPr>
              <w:t>Acquired in-process research and development</w:t>
            </w:r>
          </w:p>
        </w:tc>
        <w:tc>
          <w:tcPr>
            <w:tcW w:w="320" w:type="dxa"/>
            <w:vAlign w:val="bottom"/>
            <w:shd w:val="clear" w:color="auto" w:fill="DDDDDD"/>
          </w:tcPr>
          <w:p>
            <w:pPr>
              <w:spacing w:after="0"/>
              <w:rPr>
                <w:sz w:val="22"/>
                <w:szCs w:val="22"/>
                <w:color w:val="auto"/>
              </w:rPr>
            </w:pPr>
          </w:p>
        </w:tc>
        <w:tc>
          <w:tcPr>
            <w:tcW w:w="1080" w:type="dxa"/>
            <w:vAlign w:val="bottom"/>
            <w:shd w:val="clear" w:color="auto" w:fill="DDDDDD"/>
          </w:tcPr>
          <w:p>
            <w:pPr>
              <w:jc w:val="right"/>
              <w:ind w:right="44"/>
              <w:spacing w:after="0"/>
              <w:rPr>
                <w:sz w:val="20"/>
                <w:szCs w:val="20"/>
                <w:color w:val="auto"/>
              </w:rPr>
            </w:pPr>
            <w:r>
              <w:rPr>
                <w:rFonts w:ascii="Arial" w:cs="Arial" w:eastAsia="Arial" w:hAnsi="Arial"/>
                <w:sz w:val="15"/>
                <w:szCs w:val="15"/>
                <w:color w:val="2573BA"/>
              </w:rPr>
              <w:t>120.0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22"/>
                <w:szCs w:val="22"/>
                <w:color w:val="auto"/>
              </w:rPr>
            </w:pP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w:t>
            </w:r>
          </w:p>
        </w:tc>
      </w:tr>
      <w:tr>
        <w:trPr>
          <w:trHeight w:val="256"/>
        </w:trPr>
        <w:tc>
          <w:tcPr>
            <w:tcW w:w="7080" w:type="dxa"/>
            <w:vAlign w:val="bottom"/>
          </w:tcPr>
          <w:p>
            <w:pPr>
              <w:ind w:left="340"/>
              <w:spacing w:after="0"/>
              <w:rPr>
                <w:sz w:val="20"/>
                <w:szCs w:val="20"/>
                <w:color w:val="auto"/>
              </w:rPr>
            </w:pPr>
            <w:r>
              <w:rPr>
                <w:rFonts w:ascii="Arial" w:cs="Arial" w:eastAsia="Arial" w:hAnsi="Arial"/>
                <w:sz w:val="15"/>
                <w:szCs w:val="15"/>
                <w:color w:val="auto"/>
              </w:rPr>
              <w:t>Share-based compensation</w:t>
            </w:r>
          </w:p>
        </w:tc>
        <w:tc>
          <w:tcPr>
            <w:tcW w:w="320" w:type="dxa"/>
            <w:vAlign w:val="bottom"/>
            <w:shd w:val="clear" w:color="auto" w:fill="DDDDDD"/>
          </w:tcPr>
          <w:p>
            <w:pPr>
              <w:spacing w:after="0"/>
              <w:rPr>
                <w:sz w:val="22"/>
                <w:szCs w:val="22"/>
                <w:color w:val="auto"/>
              </w:rPr>
            </w:pPr>
          </w:p>
        </w:tc>
        <w:tc>
          <w:tcPr>
            <w:tcW w:w="1080" w:type="dxa"/>
            <w:vAlign w:val="bottom"/>
            <w:shd w:val="clear" w:color="auto" w:fill="DDDDDD"/>
          </w:tcPr>
          <w:p>
            <w:pPr>
              <w:jc w:val="right"/>
              <w:ind w:right="44"/>
              <w:spacing w:after="0"/>
              <w:rPr>
                <w:sz w:val="20"/>
                <w:szCs w:val="20"/>
                <w:color w:val="auto"/>
              </w:rPr>
            </w:pPr>
            <w:r>
              <w:rPr>
                <w:rFonts w:ascii="Arial" w:cs="Arial" w:eastAsia="Arial" w:hAnsi="Arial"/>
                <w:sz w:val="15"/>
                <w:szCs w:val="15"/>
                <w:color w:val="2573BA"/>
              </w:rPr>
              <w:t>128.0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154.8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161.4</w:t>
            </w:r>
          </w:p>
        </w:tc>
      </w:tr>
      <w:tr>
        <w:trPr>
          <w:trHeight w:val="256"/>
        </w:trPr>
        <w:tc>
          <w:tcPr>
            <w:tcW w:w="7080" w:type="dxa"/>
            <w:vAlign w:val="bottom"/>
          </w:tcPr>
          <w:p>
            <w:pPr>
              <w:ind w:left="340"/>
              <w:spacing w:after="0"/>
              <w:rPr>
                <w:sz w:val="20"/>
                <w:szCs w:val="20"/>
                <w:color w:val="auto"/>
              </w:rPr>
            </w:pPr>
            <w:r>
              <w:rPr>
                <w:rFonts w:ascii="Arial" w:cs="Arial" w:eastAsia="Arial" w:hAnsi="Arial"/>
                <w:sz w:val="15"/>
                <w:szCs w:val="15"/>
                <w:color w:val="auto"/>
              </w:rPr>
              <w:t>Deferred income taxes</w:t>
            </w:r>
          </w:p>
        </w:tc>
        <w:tc>
          <w:tcPr>
            <w:tcW w:w="320" w:type="dxa"/>
            <w:vAlign w:val="bottom"/>
            <w:shd w:val="clear" w:color="auto" w:fill="DDDDDD"/>
          </w:tcPr>
          <w:p>
            <w:pPr>
              <w:spacing w:after="0"/>
              <w:rPr>
                <w:sz w:val="22"/>
                <w:szCs w:val="22"/>
                <w:color w:val="auto"/>
              </w:rPr>
            </w:pPr>
          </w:p>
        </w:tc>
        <w:tc>
          <w:tcPr>
            <w:tcW w:w="1080" w:type="dxa"/>
            <w:vAlign w:val="bottom"/>
            <w:shd w:val="clear" w:color="auto" w:fill="DDDDDD"/>
          </w:tcPr>
          <w:p>
            <w:pPr>
              <w:jc w:val="right"/>
              <w:ind w:right="44"/>
              <w:spacing w:after="0"/>
              <w:rPr>
                <w:sz w:val="20"/>
                <w:szCs w:val="20"/>
                <w:color w:val="auto"/>
              </w:rPr>
            </w:pPr>
            <w:r>
              <w:rPr>
                <w:rFonts w:ascii="Arial" w:cs="Arial" w:eastAsia="Arial" w:hAnsi="Arial"/>
                <w:sz w:val="15"/>
                <w:szCs w:val="15"/>
                <w:color w:val="2573BA"/>
              </w:rPr>
              <w:t>91.7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(175.0)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(145.6)</w:t>
            </w:r>
          </w:p>
        </w:tc>
      </w:tr>
      <w:tr>
        <w:trPr>
          <w:trHeight w:val="256"/>
        </w:trPr>
        <w:tc>
          <w:tcPr>
            <w:tcW w:w="7080" w:type="dxa"/>
            <w:vAlign w:val="bottom"/>
          </w:tcPr>
          <w:p>
            <w:pPr>
              <w:ind w:left="340"/>
              <w:spacing w:after="0"/>
              <w:rPr>
                <w:sz w:val="20"/>
                <w:szCs w:val="20"/>
                <w:color w:val="auto"/>
              </w:rPr>
            </w:pPr>
            <w:r>
              <w:rPr>
                <w:rFonts w:ascii="Arial" w:cs="Arial" w:eastAsia="Arial" w:hAnsi="Arial"/>
                <w:sz w:val="15"/>
                <w:szCs w:val="15"/>
                <w:color w:val="auto"/>
              </w:rPr>
              <w:t>Contingent consideration</w:t>
            </w:r>
          </w:p>
        </w:tc>
        <w:tc>
          <w:tcPr>
            <w:tcW w:w="320" w:type="dxa"/>
            <w:vAlign w:val="bottom"/>
            <w:shd w:val="clear" w:color="auto" w:fill="DDDDDD"/>
          </w:tcPr>
          <w:p>
            <w:pPr>
              <w:spacing w:after="0"/>
              <w:rPr>
                <w:sz w:val="22"/>
                <w:szCs w:val="22"/>
                <w:color w:val="auto"/>
              </w:rPr>
            </w:pPr>
          </w:p>
        </w:tc>
        <w:tc>
          <w:tcPr>
            <w:tcW w:w="1080" w:type="dxa"/>
            <w:vAlign w:val="bottom"/>
            <w:shd w:val="clear" w:color="auto" w:fill="DDDDDD"/>
          </w:tcPr>
          <w:p>
            <w:pPr>
              <w:jc w:val="right"/>
              <w:ind w:right="44"/>
              <w:spacing w:after="0"/>
              <w:rPr>
                <w:sz w:val="20"/>
                <w:szCs w:val="20"/>
                <w:color w:val="auto"/>
              </w:rPr>
            </w:pPr>
            <w:r>
              <w:rPr>
                <w:rFonts w:ascii="Arial" w:cs="Arial" w:eastAsia="Arial" w:hAnsi="Arial"/>
                <w:sz w:val="15"/>
                <w:szCs w:val="15"/>
                <w:color w:val="2573BA"/>
              </w:rPr>
              <w:t>62.7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14.8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30.5</w:t>
            </w:r>
          </w:p>
        </w:tc>
      </w:tr>
      <w:tr>
        <w:trPr>
          <w:trHeight w:val="256"/>
        </w:trPr>
        <w:tc>
          <w:tcPr>
            <w:tcW w:w="7080" w:type="dxa"/>
            <w:vAlign w:val="bottom"/>
          </w:tcPr>
          <w:p>
            <w:pPr>
              <w:ind w:left="340"/>
              <w:spacing w:after="0"/>
              <w:rPr>
                <w:sz w:val="20"/>
                <w:szCs w:val="20"/>
                <w:color w:val="auto"/>
              </w:rPr>
            </w:pPr>
            <w:r>
              <w:rPr>
                <w:rFonts w:ascii="Arial" w:cs="Arial" w:eastAsia="Arial" w:hAnsi="Arial"/>
                <w:sz w:val="15"/>
                <w:szCs w:val="15"/>
                <w:color w:val="auto"/>
              </w:rPr>
              <w:t>Other</w:t>
            </w:r>
          </w:p>
        </w:tc>
        <w:tc>
          <w:tcPr>
            <w:tcW w:w="320" w:type="dxa"/>
            <w:vAlign w:val="bottom"/>
            <w:shd w:val="clear" w:color="auto" w:fill="DDDDDD"/>
          </w:tcPr>
          <w:p>
            <w:pPr>
              <w:spacing w:after="0"/>
              <w:rPr>
                <w:sz w:val="22"/>
                <w:szCs w:val="22"/>
                <w:color w:val="auto"/>
              </w:rPr>
            </w:pPr>
          </w:p>
        </w:tc>
        <w:tc>
          <w:tcPr>
            <w:tcW w:w="1080" w:type="dxa"/>
            <w:vAlign w:val="bottom"/>
            <w:shd w:val="clear" w:color="auto" w:fill="DDDDDD"/>
          </w:tcPr>
          <w:p>
            <w:pPr>
              <w:jc w:val="right"/>
              <w:ind w:right="44"/>
              <w:spacing w:after="0"/>
              <w:rPr>
                <w:sz w:val="20"/>
                <w:szCs w:val="20"/>
                <w:color w:val="auto"/>
              </w:rPr>
            </w:pPr>
            <w:r>
              <w:rPr>
                <w:rFonts w:ascii="Arial" w:cs="Arial" w:eastAsia="Arial" w:hAnsi="Arial"/>
                <w:sz w:val="15"/>
                <w:szCs w:val="15"/>
                <w:color w:val="2573BA"/>
              </w:rPr>
              <w:t>162.1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89.0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129.9</w:t>
            </w:r>
          </w:p>
        </w:tc>
      </w:tr>
      <w:tr>
        <w:trPr>
          <w:trHeight w:val="231"/>
        </w:trPr>
        <w:tc>
          <w:tcPr>
            <w:tcW w:w="7080" w:type="dxa"/>
            <w:vAlign w:val="bottom"/>
          </w:tcPr>
          <w:p>
            <w:pPr>
              <w:ind w:left="340"/>
              <w:spacing w:after="0"/>
              <w:rPr>
                <w:sz w:val="20"/>
                <w:szCs w:val="20"/>
                <w:color w:val="auto"/>
              </w:rPr>
            </w:pPr>
            <w:r>
              <w:rPr>
                <w:rFonts w:ascii="Arial" w:cs="Arial" w:eastAsia="Arial" w:hAnsi="Arial"/>
                <w:sz w:val="15"/>
                <w:szCs w:val="15"/>
                <w:color w:val="auto"/>
              </w:rPr>
              <w:t>Changes in operating assets and liabilities, net:</w:t>
            </w:r>
          </w:p>
        </w:tc>
        <w:tc>
          <w:tcPr>
            <w:tcW w:w="320" w:type="dxa"/>
            <w:vAlign w:val="bottom"/>
            <w:shd w:val="clear" w:color="auto" w:fill="DDDDDD"/>
          </w:tcPr>
          <w:p>
            <w:pPr>
              <w:spacing w:after="0"/>
              <w:rPr>
                <w:sz w:val="20"/>
                <w:szCs w:val="20"/>
                <w:color w:val="auto"/>
              </w:rPr>
            </w:pPr>
          </w:p>
        </w:tc>
        <w:tc>
          <w:tcPr>
            <w:tcW w:w="1080" w:type="dxa"/>
            <w:vAlign w:val="bottom"/>
            <w:shd w:val="clear" w:color="auto" w:fill="DDDDDD"/>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00"/>
        </w:trPr>
        <w:tc>
          <w:tcPr>
            <w:tcW w:w="7080" w:type="dxa"/>
            <w:vAlign w:val="bottom"/>
          </w:tcPr>
          <w:p>
            <w:pPr>
              <w:ind w:left="540"/>
              <w:spacing w:after="0"/>
              <w:rPr>
                <w:sz w:val="20"/>
                <w:szCs w:val="20"/>
                <w:color w:val="auto"/>
              </w:rPr>
            </w:pPr>
            <w:r>
              <w:rPr>
                <w:rFonts w:ascii="Arial" w:cs="Arial" w:eastAsia="Arial" w:hAnsi="Arial"/>
                <w:sz w:val="15"/>
                <w:szCs w:val="15"/>
                <w:color w:val="auto"/>
              </w:rPr>
              <w:t>Accounts receivable</w:t>
            </w:r>
          </w:p>
        </w:tc>
        <w:tc>
          <w:tcPr>
            <w:tcW w:w="320" w:type="dxa"/>
            <w:vAlign w:val="bottom"/>
            <w:shd w:val="clear" w:color="auto" w:fill="DDDDDD"/>
          </w:tcPr>
          <w:p>
            <w:pPr>
              <w:spacing w:after="0"/>
              <w:rPr>
                <w:sz w:val="24"/>
                <w:szCs w:val="24"/>
                <w:color w:val="auto"/>
              </w:rPr>
            </w:pPr>
          </w:p>
        </w:tc>
        <w:tc>
          <w:tcPr>
            <w:tcW w:w="1080" w:type="dxa"/>
            <w:vAlign w:val="bottom"/>
            <w:shd w:val="clear" w:color="auto" w:fill="DDDDDD"/>
          </w:tcPr>
          <w:p>
            <w:pPr>
              <w:jc w:val="right"/>
              <w:ind w:right="4"/>
              <w:spacing w:after="0"/>
              <w:rPr>
                <w:sz w:val="20"/>
                <w:szCs w:val="20"/>
                <w:color w:val="auto"/>
              </w:rPr>
            </w:pPr>
            <w:r>
              <w:rPr>
                <w:rFonts w:ascii="Arial" w:cs="Arial" w:eastAsia="Arial" w:hAnsi="Arial"/>
                <w:sz w:val="15"/>
                <w:szCs w:val="15"/>
                <w:color w:val="2573BA"/>
              </w:rPr>
              <w:t>(435.6)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(241.4)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29.0</w:t>
            </w:r>
          </w:p>
        </w:tc>
      </w:tr>
      <w:tr>
        <w:trPr>
          <w:trHeight w:val="238"/>
        </w:trPr>
        <w:tc>
          <w:tcPr>
            <w:tcW w:w="7080" w:type="dxa"/>
            <w:vAlign w:val="bottom"/>
          </w:tcPr>
          <w:p>
            <w:pPr>
              <w:ind w:left="540"/>
              <w:spacing w:after="0"/>
              <w:rPr>
                <w:sz w:val="20"/>
                <w:szCs w:val="20"/>
                <w:color w:val="auto"/>
              </w:rPr>
            </w:pPr>
            <w:r>
              <w:rPr>
                <w:rFonts w:ascii="Arial" w:cs="Arial" w:eastAsia="Arial" w:hAnsi="Arial"/>
                <w:sz w:val="15"/>
                <w:szCs w:val="15"/>
                <w:color w:val="auto"/>
              </w:rPr>
              <w:t>Due from anti-CD20 therapeutic programs</w:t>
            </w:r>
          </w:p>
        </w:tc>
        <w:tc>
          <w:tcPr>
            <w:tcW w:w="320" w:type="dxa"/>
            <w:vAlign w:val="bottom"/>
          </w:tcPr>
          <w:p>
            <w:pPr>
              <w:spacing w:after="0"/>
              <w:rPr>
                <w:sz w:val="20"/>
                <w:szCs w:val="20"/>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2573BA"/>
              </w:rPr>
              <w:t>(232.0)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13.9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(31.1)</w:t>
            </w:r>
          </w:p>
        </w:tc>
      </w:tr>
      <w:tr>
        <w:trPr>
          <w:trHeight w:val="256"/>
        </w:trPr>
        <w:tc>
          <w:tcPr>
            <w:tcW w:w="7080" w:type="dxa"/>
            <w:vAlign w:val="bottom"/>
          </w:tcPr>
          <w:p>
            <w:pPr>
              <w:ind w:left="540"/>
              <w:spacing w:after="0"/>
              <w:rPr>
                <w:sz w:val="20"/>
                <w:szCs w:val="20"/>
                <w:color w:val="auto"/>
              </w:rPr>
            </w:pPr>
            <w:r>
              <w:rPr>
                <w:rFonts w:ascii="Arial" w:cs="Arial" w:eastAsia="Arial" w:hAnsi="Arial"/>
                <w:sz w:val="15"/>
                <w:szCs w:val="15"/>
                <w:color w:val="auto"/>
              </w:rPr>
              <w:t>Inventory</w:t>
            </w:r>
          </w:p>
        </w:tc>
        <w:tc>
          <w:tcPr>
            <w:tcW w:w="320" w:type="dxa"/>
            <w:vAlign w:val="bottom"/>
          </w:tcPr>
          <w:p>
            <w:pPr>
              <w:spacing w:after="0"/>
              <w:rPr>
                <w:sz w:val="22"/>
                <w:szCs w:val="22"/>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2573BA"/>
              </w:rPr>
              <w:t>(94.5)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(165.6)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(174.4)</w:t>
            </w:r>
          </w:p>
        </w:tc>
      </w:tr>
      <w:tr>
        <w:trPr>
          <w:trHeight w:val="256"/>
        </w:trPr>
        <w:tc>
          <w:tcPr>
            <w:tcW w:w="7080" w:type="dxa"/>
            <w:vAlign w:val="bottom"/>
          </w:tcPr>
          <w:p>
            <w:pPr>
              <w:ind w:left="540"/>
              <w:spacing w:after="0"/>
              <w:rPr>
                <w:sz w:val="20"/>
                <w:szCs w:val="20"/>
                <w:color w:val="auto"/>
              </w:rPr>
            </w:pPr>
            <w:r>
              <w:rPr>
                <w:rFonts w:ascii="Arial" w:cs="Arial" w:eastAsia="Arial" w:hAnsi="Arial"/>
                <w:sz w:val="15"/>
                <w:szCs w:val="15"/>
                <w:color w:val="auto"/>
              </w:rPr>
              <w:t>Other assets</w:t>
            </w:r>
          </w:p>
        </w:tc>
        <w:tc>
          <w:tcPr>
            <w:tcW w:w="320" w:type="dxa"/>
            <w:vAlign w:val="bottom"/>
          </w:tcPr>
          <w:p>
            <w:pPr>
              <w:spacing w:after="0"/>
              <w:rPr>
                <w:sz w:val="22"/>
                <w:szCs w:val="22"/>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2573BA"/>
              </w:rPr>
              <w:t>(76.6)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59.1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(127.0)</w:t>
            </w:r>
          </w:p>
        </w:tc>
      </w:tr>
      <w:tr>
        <w:trPr>
          <w:trHeight w:val="256"/>
        </w:trPr>
        <w:tc>
          <w:tcPr>
            <w:tcW w:w="7080" w:type="dxa"/>
            <w:vAlign w:val="bottom"/>
          </w:tcPr>
          <w:p>
            <w:pPr>
              <w:ind w:left="540"/>
              <w:spacing w:after="0"/>
              <w:rPr>
                <w:sz w:val="20"/>
                <w:szCs w:val="20"/>
                <w:color w:val="auto"/>
              </w:rPr>
            </w:pPr>
            <w:r>
              <w:rPr>
                <w:rFonts w:ascii="Arial" w:cs="Arial" w:eastAsia="Arial" w:hAnsi="Arial"/>
                <w:sz w:val="15"/>
                <w:szCs w:val="15"/>
                <w:color w:val="auto"/>
              </w:rPr>
              <w:t>Accrued expenses and other current liabilities</w:t>
            </w:r>
          </w:p>
        </w:tc>
        <w:tc>
          <w:tcPr>
            <w:tcW w:w="320" w:type="dxa"/>
            <w:vAlign w:val="bottom"/>
          </w:tcPr>
          <w:p>
            <w:pPr>
              <w:spacing w:after="0"/>
              <w:rPr>
                <w:sz w:val="22"/>
                <w:szCs w:val="22"/>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2573BA"/>
              </w:rPr>
              <w:t>(227.4)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622.3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199.3</w:t>
            </w:r>
          </w:p>
        </w:tc>
      </w:tr>
      <w:tr>
        <w:trPr>
          <w:trHeight w:val="256"/>
        </w:trPr>
        <w:tc>
          <w:tcPr>
            <w:tcW w:w="7080" w:type="dxa"/>
            <w:vAlign w:val="bottom"/>
          </w:tcPr>
          <w:p>
            <w:pPr>
              <w:ind w:left="540"/>
              <w:spacing w:after="0"/>
              <w:rPr>
                <w:sz w:val="20"/>
                <w:szCs w:val="20"/>
                <w:color w:val="auto"/>
              </w:rPr>
            </w:pPr>
            <w:r>
              <w:rPr>
                <w:rFonts w:ascii="Arial" w:cs="Arial" w:eastAsia="Arial" w:hAnsi="Arial"/>
                <w:sz w:val="15"/>
                <w:szCs w:val="15"/>
                <w:color w:val="auto"/>
              </w:rPr>
              <w:t>Income tax assets and liabilities</w:t>
            </w:r>
          </w:p>
        </w:tc>
        <w:tc>
          <w:tcPr>
            <w:tcW w:w="320" w:type="dxa"/>
            <w:vAlign w:val="bottom"/>
          </w:tcPr>
          <w:p>
            <w:pPr>
              <w:spacing w:after="0"/>
              <w:rPr>
                <w:sz w:val="22"/>
                <w:szCs w:val="22"/>
                <w:color w:val="auto"/>
              </w:rPr>
            </w:pPr>
          </w:p>
        </w:tc>
        <w:tc>
          <w:tcPr>
            <w:tcW w:w="1080" w:type="dxa"/>
            <w:vAlign w:val="bottom"/>
          </w:tcPr>
          <w:p>
            <w:pPr>
              <w:jc w:val="right"/>
              <w:ind w:right="44"/>
              <w:spacing w:after="0"/>
              <w:rPr>
                <w:sz w:val="20"/>
                <w:szCs w:val="20"/>
                <w:color w:val="auto"/>
              </w:rPr>
            </w:pPr>
            <w:r>
              <w:rPr>
                <w:rFonts w:ascii="Arial" w:cs="Arial" w:eastAsia="Arial" w:hAnsi="Arial"/>
                <w:sz w:val="15"/>
                <w:szCs w:val="15"/>
                <w:color w:val="2573BA"/>
              </w:rPr>
              <w:t>1,303.9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(232.6)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(429.4)</w:t>
            </w:r>
          </w:p>
        </w:tc>
      </w:tr>
      <w:tr>
        <w:trPr>
          <w:trHeight w:val="267"/>
        </w:trPr>
        <w:tc>
          <w:tcPr>
            <w:tcW w:w="7080" w:type="dxa"/>
            <w:vAlign w:val="bottom"/>
          </w:tcPr>
          <w:p>
            <w:pPr>
              <w:ind w:left="540"/>
              <w:spacing w:after="0"/>
              <w:rPr>
                <w:sz w:val="20"/>
                <w:szCs w:val="20"/>
                <w:color w:val="auto"/>
              </w:rPr>
            </w:pPr>
            <w:r>
              <w:rPr>
                <w:rFonts w:ascii="Arial" w:cs="Arial" w:eastAsia="Arial" w:hAnsi="Arial"/>
                <w:sz w:val="15"/>
                <w:szCs w:val="15"/>
                <w:color w:val="auto"/>
              </w:rPr>
              <w:t>Other liabilities</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2573BA"/>
              </w:rPr>
              <w:t>(2.4)</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69.5</w:t>
            </w: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83.2</w:t>
            </w:r>
          </w:p>
        </w:tc>
      </w:tr>
      <w:tr>
        <w:trPr>
          <w:trHeight w:val="236"/>
        </w:trPr>
        <w:tc>
          <w:tcPr>
            <w:tcW w:w="7080" w:type="dxa"/>
            <w:vAlign w:val="bottom"/>
          </w:tcPr>
          <w:p>
            <w:pPr>
              <w:ind w:left="640"/>
              <w:spacing w:after="0"/>
              <w:rPr>
                <w:sz w:val="20"/>
                <w:szCs w:val="20"/>
                <w:color w:val="auto"/>
              </w:rPr>
            </w:pPr>
            <w:r>
              <w:rPr>
                <w:rFonts w:ascii="Arial" w:cs="Arial" w:eastAsia="Arial" w:hAnsi="Arial"/>
                <w:sz w:val="15"/>
                <w:szCs w:val="15"/>
                <w:color w:val="auto"/>
              </w:rPr>
              <w:t>Net cash flows provided by operating activities</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2573BA"/>
              </w:rPr>
              <w:t>4,551.0</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4,587.2</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3,919.4</w:t>
            </w:r>
          </w:p>
        </w:tc>
      </w:tr>
      <w:tr>
        <w:trPr>
          <w:trHeight w:val="200"/>
        </w:trPr>
        <w:tc>
          <w:tcPr>
            <w:tcW w:w="7080" w:type="dxa"/>
            <w:vAlign w:val="bottom"/>
          </w:tcPr>
          <w:p>
            <w:pPr>
              <w:spacing w:after="0"/>
              <w:rPr>
                <w:sz w:val="20"/>
                <w:szCs w:val="20"/>
                <w:color w:val="auto"/>
              </w:rPr>
            </w:pPr>
            <w:r>
              <w:rPr>
                <w:rFonts w:ascii="Arial" w:cs="Arial" w:eastAsia="Arial" w:hAnsi="Arial"/>
                <w:sz w:val="15"/>
                <w:szCs w:val="15"/>
                <w:color w:val="auto"/>
              </w:rPr>
              <w:t>Cash flows from investing activities:</w:t>
            </w:r>
          </w:p>
        </w:tc>
        <w:tc>
          <w:tcPr>
            <w:tcW w:w="320" w:type="dxa"/>
            <w:vAlign w:val="bottom"/>
            <w:shd w:val="clear" w:color="auto" w:fill="DDDDDD"/>
          </w:tcPr>
          <w:p>
            <w:pPr>
              <w:spacing w:after="0"/>
              <w:rPr>
                <w:sz w:val="17"/>
                <w:szCs w:val="17"/>
                <w:color w:val="auto"/>
              </w:rPr>
            </w:pPr>
          </w:p>
        </w:tc>
        <w:tc>
          <w:tcPr>
            <w:tcW w:w="1080" w:type="dxa"/>
            <w:vAlign w:val="bottom"/>
            <w:shd w:val="clear" w:color="auto" w:fill="DDDDDD"/>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313"/>
        </w:trPr>
        <w:tc>
          <w:tcPr>
            <w:tcW w:w="7080" w:type="dxa"/>
            <w:vAlign w:val="bottom"/>
          </w:tcPr>
          <w:p>
            <w:pPr>
              <w:ind w:left="140"/>
              <w:spacing w:after="0"/>
              <w:rPr>
                <w:sz w:val="20"/>
                <w:szCs w:val="20"/>
                <w:color w:val="auto"/>
              </w:rPr>
            </w:pPr>
            <w:r>
              <w:rPr>
                <w:rFonts w:ascii="Arial" w:cs="Arial" w:eastAsia="Arial" w:hAnsi="Arial"/>
                <w:sz w:val="15"/>
                <w:szCs w:val="15"/>
                <w:color w:val="auto"/>
              </w:rPr>
              <w:t>Proceeds from sales and maturities of marketable securities</w:t>
            </w:r>
          </w:p>
        </w:tc>
        <w:tc>
          <w:tcPr>
            <w:tcW w:w="320" w:type="dxa"/>
            <w:vAlign w:val="bottom"/>
            <w:shd w:val="clear" w:color="auto" w:fill="DDDDDD"/>
          </w:tcPr>
          <w:p>
            <w:pPr>
              <w:spacing w:after="0"/>
              <w:rPr>
                <w:sz w:val="24"/>
                <w:szCs w:val="24"/>
                <w:color w:val="auto"/>
              </w:rPr>
            </w:pPr>
          </w:p>
        </w:tc>
        <w:tc>
          <w:tcPr>
            <w:tcW w:w="1080" w:type="dxa"/>
            <w:vAlign w:val="bottom"/>
            <w:shd w:val="clear" w:color="auto" w:fill="DDDDDD"/>
          </w:tcPr>
          <w:p>
            <w:pPr>
              <w:jc w:val="right"/>
              <w:ind w:right="44"/>
              <w:spacing w:after="0"/>
              <w:rPr>
                <w:sz w:val="20"/>
                <w:szCs w:val="20"/>
                <w:color w:val="auto"/>
              </w:rPr>
            </w:pPr>
            <w:r>
              <w:rPr>
                <w:rFonts w:ascii="Arial" w:cs="Arial" w:eastAsia="Arial" w:hAnsi="Arial"/>
                <w:sz w:val="15"/>
                <w:szCs w:val="15"/>
                <w:color w:val="2573BA"/>
              </w:rPr>
              <w:t>5,565.9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7,378.9</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4,063.0</w:t>
            </w:r>
          </w:p>
        </w:tc>
      </w:tr>
      <w:tr>
        <w:trPr>
          <w:trHeight w:val="238"/>
        </w:trPr>
        <w:tc>
          <w:tcPr>
            <w:tcW w:w="7080" w:type="dxa"/>
            <w:vAlign w:val="bottom"/>
          </w:tcPr>
          <w:p>
            <w:pPr>
              <w:ind w:left="140"/>
              <w:spacing w:after="0"/>
              <w:rPr>
                <w:sz w:val="20"/>
                <w:szCs w:val="20"/>
                <w:color w:val="auto"/>
              </w:rPr>
            </w:pPr>
            <w:r>
              <w:rPr>
                <w:rFonts w:ascii="Arial" w:cs="Arial" w:eastAsia="Arial" w:hAnsi="Arial"/>
                <w:sz w:val="15"/>
                <w:szCs w:val="15"/>
                <w:color w:val="auto"/>
              </w:rPr>
              <w:t>Purchases of marketable securities</w:t>
            </w:r>
          </w:p>
        </w:tc>
        <w:tc>
          <w:tcPr>
            <w:tcW w:w="320" w:type="dxa"/>
            <w:vAlign w:val="bottom"/>
          </w:tcPr>
          <w:p>
            <w:pPr>
              <w:spacing w:after="0"/>
              <w:rPr>
                <w:sz w:val="20"/>
                <w:szCs w:val="20"/>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2573BA"/>
              </w:rPr>
              <w:t>(5,355.2)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(7,913.2)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(6,864.9)</w:t>
            </w:r>
          </w:p>
        </w:tc>
      </w:tr>
      <w:tr>
        <w:trPr>
          <w:trHeight w:val="256"/>
        </w:trPr>
        <w:tc>
          <w:tcPr>
            <w:tcW w:w="7080" w:type="dxa"/>
            <w:vAlign w:val="bottom"/>
          </w:tcPr>
          <w:p>
            <w:pPr>
              <w:ind w:left="140"/>
              <w:spacing w:after="0"/>
              <w:rPr>
                <w:sz w:val="20"/>
                <w:szCs w:val="20"/>
                <w:color w:val="auto"/>
              </w:rPr>
            </w:pPr>
            <w:r>
              <w:rPr>
                <w:rFonts w:ascii="Arial" w:cs="Arial" w:eastAsia="Arial" w:hAnsi="Arial"/>
                <w:sz w:val="15"/>
                <w:szCs w:val="15"/>
                <w:color w:val="auto"/>
              </w:rPr>
              <w:t>Contingent consideration related to Fumapharm AG acquisition</w:t>
            </w:r>
          </w:p>
        </w:tc>
        <w:tc>
          <w:tcPr>
            <w:tcW w:w="320" w:type="dxa"/>
            <w:vAlign w:val="bottom"/>
          </w:tcPr>
          <w:p>
            <w:pPr>
              <w:spacing w:after="0"/>
              <w:rPr>
                <w:sz w:val="22"/>
                <w:szCs w:val="22"/>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2573BA"/>
              </w:rPr>
              <w:t>(1,200.0)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(1,200.0)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(850.0)</w:t>
            </w:r>
          </w:p>
        </w:tc>
      </w:tr>
      <w:tr>
        <w:trPr>
          <w:trHeight w:val="256"/>
        </w:trPr>
        <w:tc>
          <w:tcPr>
            <w:tcW w:w="7080" w:type="dxa"/>
            <w:vAlign w:val="bottom"/>
          </w:tcPr>
          <w:p>
            <w:pPr>
              <w:ind w:left="140"/>
              <w:spacing w:after="0"/>
              <w:rPr>
                <w:sz w:val="20"/>
                <w:szCs w:val="20"/>
                <w:color w:val="auto"/>
              </w:rPr>
            </w:pPr>
            <w:r>
              <w:rPr>
                <w:rFonts w:ascii="Arial" w:cs="Arial" w:eastAsia="Arial" w:hAnsi="Arial"/>
                <w:sz w:val="15"/>
                <w:szCs w:val="15"/>
                <w:color w:val="auto"/>
              </w:rPr>
              <w:t>Acquired in-process research and development</w:t>
            </w:r>
          </w:p>
        </w:tc>
        <w:tc>
          <w:tcPr>
            <w:tcW w:w="320" w:type="dxa"/>
            <w:vAlign w:val="bottom"/>
          </w:tcPr>
          <w:p>
            <w:pPr>
              <w:spacing w:after="0"/>
              <w:rPr>
                <w:sz w:val="22"/>
                <w:szCs w:val="22"/>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2573BA"/>
              </w:rPr>
              <w:t>(120.0)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22"/>
                <w:szCs w:val="22"/>
                <w:color w:val="auto"/>
              </w:rPr>
            </w:pP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w:t>
            </w:r>
          </w:p>
        </w:tc>
      </w:tr>
      <w:tr>
        <w:trPr>
          <w:trHeight w:val="256"/>
        </w:trPr>
        <w:tc>
          <w:tcPr>
            <w:tcW w:w="7080" w:type="dxa"/>
            <w:vAlign w:val="bottom"/>
          </w:tcPr>
          <w:p>
            <w:pPr>
              <w:ind w:left="140"/>
              <w:spacing w:after="0"/>
              <w:rPr>
                <w:sz w:val="20"/>
                <w:szCs w:val="20"/>
                <w:color w:val="auto"/>
              </w:rPr>
            </w:pPr>
            <w:r>
              <w:rPr>
                <w:rFonts w:ascii="Arial" w:cs="Arial" w:eastAsia="Arial" w:hAnsi="Arial"/>
                <w:sz w:val="15"/>
                <w:szCs w:val="15"/>
                <w:color w:val="auto"/>
              </w:rPr>
              <w:t>Acquisitions of businesses, net of cash acquired</w:t>
            </w:r>
          </w:p>
        </w:tc>
        <w:tc>
          <w:tcPr>
            <w:tcW w:w="320" w:type="dxa"/>
            <w:vAlign w:val="bottom"/>
          </w:tcPr>
          <w:p>
            <w:pPr>
              <w:spacing w:after="0"/>
              <w:rPr>
                <w:sz w:val="22"/>
                <w:szCs w:val="22"/>
                <w:color w:val="auto"/>
              </w:rPr>
            </w:pPr>
          </w:p>
        </w:tc>
        <w:tc>
          <w:tcPr>
            <w:tcW w:w="1080" w:type="dxa"/>
            <w:vAlign w:val="bottom"/>
          </w:tcPr>
          <w:p>
            <w:pPr>
              <w:jc w:val="right"/>
              <w:ind w:right="44"/>
              <w:spacing w:after="0"/>
              <w:rPr>
                <w:sz w:val="20"/>
                <w:szCs w:val="20"/>
                <w:color w:val="auto"/>
              </w:rPr>
            </w:pPr>
            <w:r>
              <w:rPr>
                <w:rFonts w:ascii="Arial" w:cs="Arial" w:eastAsia="Arial" w:hAnsi="Arial"/>
                <w:sz w:val="15"/>
                <w:szCs w:val="15"/>
                <w:color w:val="2573BA"/>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(198.8)</w:t>
            </w:r>
          </w:p>
        </w:tc>
      </w:tr>
      <w:tr>
        <w:trPr>
          <w:trHeight w:val="256"/>
        </w:trPr>
        <w:tc>
          <w:tcPr>
            <w:tcW w:w="7080" w:type="dxa"/>
            <w:vAlign w:val="bottom"/>
          </w:tcPr>
          <w:p>
            <w:pPr>
              <w:ind w:left="140"/>
              <w:spacing w:after="0"/>
              <w:rPr>
                <w:sz w:val="20"/>
                <w:szCs w:val="20"/>
                <w:color w:val="auto"/>
              </w:rPr>
            </w:pPr>
            <w:r>
              <w:rPr>
                <w:rFonts w:ascii="Arial" w:cs="Arial" w:eastAsia="Arial" w:hAnsi="Arial"/>
                <w:sz w:val="15"/>
                <w:szCs w:val="15"/>
                <w:color w:val="auto"/>
              </w:rPr>
              <w:t>Purchases of property, plant and equipment</w:t>
            </w:r>
          </w:p>
        </w:tc>
        <w:tc>
          <w:tcPr>
            <w:tcW w:w="320" w:type="dxa"/>
            <w:vAlign w:val="bottom"/>
          </w:tcPr>
          <w:p>
            <w:pPr>
              <w:spacing w:after="0"/>
              <w:rPr>
                <w:sz w:val="22"/>
                <w:szCs w:val="22"/>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2573BA"/>
              </w:rPr>
              <w:t>(867.4)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(616.1)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(643.0)</w:t>
            </w:r>
          </w:p>
        </w:tc>
      </w:tr>
      <w:tr>
        <w:trPr>
          <w:trHeight w:val="256"/>
        </w:trPr>
        <w:tc>
          <w:tcPr>
            <w:tcW w:w="7080" w:type="dxa"/>
            <w:vAlign w:val="bottom"/>
          </w:tcPr>
          <w:p>
            <w:pPr>
              <w:ind w:left="140"/>
              <w:spacing w:after="0"/>
              <w:rPr>
                <w:sz w:val="20"/>
                <w:szCs w:val="20"/>
                <w:color w:val="auto"/>
              </w:rPr>
            </w:pPr>
            <w:r>
              <w:rPr>
                <w:rFonts w:ascii="Arial" w:cs="Arial" w:eastAsia="Arial" w:hAnsi="Arial"/>
                <w:sz w:val="15"/>
                <w:szCs w:val="15"/>
                <w:color w:val="auto"/>
              </w:rPr>
              <w:t>Acquisitions of intangible assets</w:t>
            </w:r>
          </w:p>
        </w:tc>
        <w:tc>
          <w:tcPr>
            <w:tcW w:w="320" w:type="dxa"/>
            <w:vAlign w:val="bottom"/>
          </w:tcPr>
          <w:p>
            <w:pPr>
              <w:spacing w:after="0"/>
              <w:rPr>
                <w:sz w:val="22"/>
                <w:szCs w:val="22"/>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2573BA"/>
              </w:rPr>
              <w:t>(975.4)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(111.6)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(15.4)</w:t>
            </w:r>
          </w:p>
        </w:tc>
      </w:tr>
      <w:tr>
        <w:trPr>
          <w:trHeight w:val="267"/>
        </w:trPr>
        <w:tc>
          <w:tcPr>
            <w:tcW w:w="7080" w:type="dxa"/>
            <w:vAlign w:val="bottom"/>
          </w:tcPr>
          <w:p>
            <w:pPr>
              <w:ind w:left="140"/>
              <w:spacing w:after="0"/>
              <w:rPr>
                <w:sz w:val="20"/>
                <w:szCs w:val="20"/>
                <w:color w:val="auto"/>
              </w:rPr>
            </w:pPr>
            <w:r>
              <w:rPr>
                <w:rFonts w:ascii="Arial" w:cs="Arial" w:eastAsia="Arial" w:hAnsi="Arial"/>
                <w:sz w:val="15"/>
                <w:szCs w:val="15"/>
                <w:color w:val="auto"/>
              </w:rPr>
              <w:t>Other</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2573BA"/>
              </w:rPr>
              <w:t>(11.0)</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(22.8)</w:t>
            </w: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(44.5)</w:t>
            </w:r>
          </w:p>
        </w:tc>
      </w:tr>
      <w:tr>
        <w:trPr>
          <w:trHeight w:val="236"/>
        </w:trPr>
        <w:tc>
          <w:tcPr>
            <w:tcW w:w="7080" w:type="dxa"/>
            <w:vAlign w:val="bottom"/>
          </w:tcPr>
          <w:p>
            <w:pPr>
              <w:ind w:left="640"/>
              <w:spacing w:after="0"/>
              <w:rPr>
                <w:sz w:val="20"/>
                <w:szCs w:val="20"/>
                <w:color w:val="auto"/>
              </w:rPr>
            </w:pPr>
            <w:r>
              <w:rPr>
                <w:rFonts w:ascii="Arial" w:cs="Arial" w:eastAsia="Arial" w:hAnsi="Arial"/>
                <w:sz w:val="15"/>
                <w:szCs w:val="15"/>
                <w:color w:val="auto"/>
              </w:rPr>
              <w:t>Net cash flows used in investing activities</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2573BA"/>
              </w:rPr>
              <w:t>(2,963.1)</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(2,484.8)</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(4,553.6)</w:t>
            </w:r>
          </w:p>
        </w:tc>
      </w:tr>
      <w:tr>
        <w:trPr>
          <w:trHeight w:val="200"/>
        </w:trPr>
        <w:tc>
          <w:tcPr>
            <w:tcW w:w="7080" w:type="dxa"/>
            <w:vAlign w:val="bottom"/>
          </w:tcPr>
          <w:p>
            <w:pPr>
              <w:spacing w:after="0"/>
              <w:rPr>
                <w:sz w:val="20"/>
                <w:szCs w:val="20"/>
                <w:color w:val="auto"/>
              </w:rPr>
            </w:pPr>
            <w:r>
              <w:rPr>
                <w:rFonts w:ascii="Arial" w:cs="Arial" w:eastAsia="Arial" w:hAnsi="Arial"/>
                <w:sz w:val="15"/>
                <w:szCs w:val="15"/>
                <w:color w:val="auto"/>
              </w:rPr>
              <w:t>Cash flows from financing activities:</w:t>
            </w:r>
          </w:p>
        </w:tc>
        <w:tc>
          <w:tcPr>
            <w:tcW w:w="320" w:type="dxa"/>
            <w:vAlign w:val="bottom"/>
            <w:shd w:val="clear" w:color="auto" w:fill="DDDDDD"/>
          </w:tcPr>
          <w:p>
            <w:pPr>
              <w:spacing w:after="0"/>
              <w:rPr>
                <w:sz w:val="17"/>
                <w:szCs w:val="17"/>
                <w:color w:val="auto"/>
              </w:rPr>
            </w:pPr>
          </w:p>
        </w:tc>
        <w:tc>
          <w:tcPr>
            <w:tcW w:w="1080" w:type="dxa"/>
            <w:vAlign w:val="bottom"/>
            <w:shd w:val="clear" w:color="auto" w:fill="DDDDDD"/>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313"/>
        </w:trPr>
        <w:tc>
          <w:tcPr>
            <w:tcW w:w="7080" w:type="dxa"/>
            <w:vAlign w:val="bottom"/>
          </w:tcPr>
          <w:p>
            <w:pPr>
              <w:ind w:left="140"/>
              <w:spacing w:after="0"/>
              <w:rPr>
                <w:sz w:val="20"/>
                <w:szCs w:val="20"/>
                <w:color w:val="auto"/>
              </w:rPr>
            </w:pPr>
            <w:r>
              <w:rPr>
                <w:rFonts w:ascii="Arial" w:cs="Arial" w:eastAsia="Arial" w:hAnsi="Arial"/>
                <w:sz w:val="15"/>
                <w:szCs w:val="15"/>
                <w:color w:val="auto"/>
              </w:rPr>
              <w:t>Purchases of treasury stock</w:t>
            </w:r>
          </w:p>
        </w:tc>
        <w:tc>
          <w:tcPr>
            <w:tcW w:w="320" w:type="dxa"/>
            <w:vAlign w:val="bottom"/>
            <w:shd w:val="clear" w:color="auto" w:fill="DDDDDD"/>
          </w:tcPr>
          <w:p>
            <w:pPr>
              <w:spacing w:after="0"/>
              <w:rPr>
                <w:sz w:val="24"/>
                <w:szCs w:val="24"/>
                <w:color w:val="auto"/>
              </w:rPr>
            </w:pPr>
          </w:p>
        </w:tc>
        <w:tc>
          <w:tcPr>
            <w:tcW w:w="1080" w:type="dxa"/>
            <w:vAlign w:val="bottom"/>
            <w:shd w:val="clear" w:color="auto" w:fill="DDDDDD"/>
          </w:tcPr>
          <w:p>
            <w:pPr>
              <w:jc w:val="right"/>
              <w:ind w:right="4"/>
              <w:spacing w:after="0"/>
              <w:rPr>
                <w:sz w:val="20"/>
                <w:szCs w:val="20"/>
                <w:color w:val="auto"/>
              </w:rPr>
            </w:pPr>
            <w:r>
              <w:rPr>
                <w:rFonts w:ascii="Arial" w:cs="Arial" w:eastAsia="Arial" w:hAnsi="Arial"/>
                <w:sz w:val="15"/>
                <w:szCs w:val="15"/>
                <w:color w:val="2573BA"/>
              </w:rPr>
              <w:t>(1,365.4)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(1,000.0)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(5,000.0)</w:t>
            </w:r>
          </w:p>
        </w:tc>
      </w:tr>
      <w:tr>
        <w:trPr>
          <w:trHeight w:val="238"/>
        </w:trPr>
        <w:tc>
          <w:tcPr>
            <w:tcW w:w="7080" w:type="dxa"/>
            <w:vAlign w:val="bottom"/>
          </w:tcPr>
          <w:p>
            <w:pPr>
              <w:ind w:left="140"/>
              <w:spacing w:after="0"/>
              <w:rPr>
                <w:sz w:val="20"/>
                <w:szCs w:val="20"/>
                <w:color w:val="auto"/>
              </w:rPr>
            </w:pPr>
            <w:r>
              <w:rPr>
                <w:rFonts w:ascii="Arial" w:cs="Arial" w:eastAsia="Arial" w:hAnsi="Arial"/>
                <w:sz w:val="15"/>
                <w:szCs w:val="15"/>
                <w:color w:val="auto"/>
              </w:rPr>
              <w:t>Payments related to issuance of stock for share-based compensation arrangements, net</w:t>
            </w:r>
          </w:p>
        </w:tc>
        <w:tc>
          <w:tcPr>
            <w:tcW w:w="320" w:type="dxa"/>
            <w:vAlign w:val="bottom"/>
          </w:tcPr>
          <w:p>
            <w:pPr>
              <w:spacing w:after="0"/>
              <w:rPr>
                <w:sz w:val="20"/>
                <w:szCs w:val="20"/>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2573BA"/>
              </w:rPr>
              <w:t>(5.3)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(70.9)</w:t>
            </w:r>
          </w:p>
        </w:tc>
      </w:tr>
      <w:tr>
        <w:trPr>
          <w:trHeight w:val="256"/>
        </w:trPr>
        <w:tc>
          <w:tcPr>
            <w:tcW w:w="7080" w:type="dxa"/>
            <w:vAlign w:val="bottom"/>
          </w:tcPr>
          <w:p>
            <w:pPr>
              <w:ind w:left="140"/>
              <w:spacing w:after="0"/>
              <w:rPr>
                <w:sz w:val="20"/>
                <w:szCs w:val="20"/>
                <w:color w:val="auto"/>
              </w:rPr>
            </w:pPr>
            <w:r>
              <w:rPr>
                <w:rFonts w:ascii="Arial" w:cs="Arial" w:eastAsia="Arial" w:hAnsi="Arial"/>
                <w:sz w:val="15"/>
                <w:szCs w:val="15"/>
                <w:color w:val="auto"/>
              </w:rPr>
              <w:t>Net distribution to noncontrolling interest</w:t>
            </w:r>
          </w:p>
        </w:tc>
        <w:tc>
          <w:tcPr>
            <w:tcW w:w="320" w:type="dxa"/>
            <w:vAlign w:val="bottom"/>
          </w:tcPr>
          <w:p>
            <w:pPr>
              <w:spacing w:after="0"/>
              <w:rPr>
                <w:sz w:val="22"/>
                <w:szCs w:val="22"/>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2573BA"/>
              </w:rPr>
              <w:t>(134.1)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(56.1)</w:t>
            </w:r>
          </w:p>
        </w:tc>
      </w:tr>
      <w:tr>
        <w:trPr>
          <w:trHeight w:val="256"/>
        </w:trPr>
        <w:tc>
          <w:tcPr>
            <w:tcW w:w="7080" w:type="dxa"/>
            <w:vAlign w:val="bottom"/>
          </w:tcPr>
          <w:p>
            <w:pPr>
              <w:ind w:left="140"/>
              <w:spacing w:after="0"/>
              <w:rPr>
                <w:sz w:val="20"/>
                <w:szCs w:val="20"/>
                <w:color w:val="auto"/>
              </w:rPr>
            </w:pPr>
            <w:r>
              <w:rPr>
                <w:rFonts w:ascii="Arial" w:cs="Arial" w:eastAsia="Arial" w:hAnsi="Arial"/>
                <w:sz w:val="15"/>
                <w:szCs w:val="15"/>
                <w:color w:val="auto"/>
              </w:rPr>
              <w:t>Proceeds from borrowings</w:t>
            </w:r>
          </w:p>
        </w:tc>
        <w:tc>
          <w:tcPr>
            <w:tcW w:w="320" w:type="dxa"/>
            <w:vAlign w:val="bottom"/>
          </w:tcPr>
          <w:p>
            <w:pPr>
              <w:spacing w:after="0"/>
              <w:rPr>
                <w:sz w:val="22"/>
                <w:szCs w:val="22"/>
                <w:color w:val="auto"/>
              </w:rPr>
            </w:pPr>
          </w:p>
        </w:tc>
        <w:tc>
          <w:tcPr>
            <w:tcW w:w="1080" w:type="dxa"/>
            <w:vAlign w:val="bottom"/>
          </w:tcPr>
          <w:p>
            <w:pPr>
              <w:jc w:val="right"/>
              <w:ind w:right="44"/>
              <w:spacing w:after="0"/>
              <w:rPr>
                <w:sz w:val="20"/>
                <w:szCs w:val="20"/>
                <w:color w:val="auto"/>
              </w:rPr>
            </w:pPr>
            <w:r>
              <w:rPr>
                <w:rFonts w:ascii="Arial" w:cs="Arial" w:eastAsia="Arial" w:hAnsi="Arial"/>
                <w:sz w:val="15"/>
                <w:szCs w:val="15"/>
                <w:color w:val="2573BA"/>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22"/>
                <w:szCs w:val="22"/>
                <w:color w:val="auto"/>
              </w:rPr>
            </w:pP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5,930.5</w:t>
            </w:r>
          </w:p>
        </w:tc>
      </w:tr>
      <w:tr>
        <w:trPr>
          <w:trHeight w:val="256"/>
        </w:trPr>
        <w:tc>
          <w:tcPr>
            <w:tcW w:w="7080" w:type="dxa"/>
            <w:vAlign w:val="bottom"/>
          </w:tcPr>
          <w:p>
            <w:pPr>
              <w:ind w:left="140"/>
              <w:spacing w:after="0"/>
              <w:rPr>
                <w:sz w:val="20"/>
                <w:szCs w:val="20"/>
                <w:color w:val="auto"/>
              </w:rPr>
            </w:pPr>
            <w:r>
              <w:rPr>
                <w:rFonts w:ascii="Arial" w:cs="Arial" w:eastAsia="Arial" w:hAnsi="Arial"/>
                <w:sz w:val="15"/>
                <w:szCs w:val="15"/>
                <w:color w:val="auto"/>
              </w:rPr>
              <w:t>Repayments of borrowings</w:t>
            </w:r>
          </w:p>
        </w:tc>
        <w:tc>
          <w:tcPr>
            <w:tcW w:w="320" w:type="dxa"/>
            <w:vAlign w:val="bottom"/>
          </w:tcPr>
          <w:p>
            <w:pPr>
              <w:spacing w:after="0"/>
              <w:rPr>
                <w:sz w:val="22"/>
                <w:szCs w:val="22"/>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2573BA"/>
              </w:rPr>
              <w:t>(560.9)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(2.1)</w:t>
            </w:r>
          </w:p>
        </w:tc>
      </w:tr>
      <w:tr>
        <w:trPr>
          <w:trHeight w:val="256"/>
        </w:trPr>
        <w:tc>
          <w:tcPr>
            <w:tcW w:w="7080" w:type="dxa"/>
            <w:vAlign w:val="bottom"/>
          </w:tcPr>
          <w:p>
            <w:pPr>
              <w:ind w:left="140"/>
              <w:spacing w:after="0"/>
              <w:rPr>
                <w:sz w:val="20"/>
                <w:szCs w:val="20"/>
                <w:color w:val="auto"/>
              </w:rPr>
            </w:pPr>
            <w:r>
              <w:rPr>
                <w:rFonts w:ascii="Arial" w:cs="Arial" w:eastAsia="Arial" w:hAnsi="Arial"/>
                <w:sz w:val="15"/>
                <w:szCs w:val="15"/>
                <w:color w:val="auto"/>
              </w:rPr>
              <w:t>Net cash contribution to Bioverativ, Inc.</w:t>
            </w:r>
          </w:p>
        </w:tc>
        <w:tc>
          <w:tcPr>
            <w:tcW w:w="320" w:type="dxa"/>
            <w:vAlign w:val="bottom"/>
          </w:tcPr>
          <w:p>
            <w:pPr>
              <w:spacing w:after="0"/>
              <w:rPr>
                <w:sz w:val="22"/>
                <w:szCs w:val="22"/>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2573BA"/>
              </w:rPr>
              <w:t>(302.7)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22"/>
                <w:szCs w:val="22"/>
                <w:color w:val="auto"/>
              </w:rPr>
            </w:pP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w:t>
            </w:r>
          </w:p>
        </w:tc>
      </w:tr>
      <w:tr>
        <w:trPr>
          <w:trHeight w:val="256"/>
        </w:trPr>
        <w:tc>
          <w:tcPr>
            <w:tcW w:w="7080" w:type="dxa"/>
            <w:vAlign w:val="bottom"/>
          </w:tcPr>
          <w:p>
            <w:pPr>
              <w:ind w:left="140"/>
              <w:spacing w:after="0"/>
              <w:rPr>
                <w:sz w:val="20"/>
                <w:szCs w:val="20"/>
                <w:color w:val="auto"/>
              </w:rPr>
            </w:pPr>
            <w:r>
              <w:rPr>
                <w:rFonts w:ascii="Arial" w:cs="Arial" w:eastAsia="Arial" w:hAnsi="Arial"/>
                <w:sz w:val="15"/>
                <w:szCs w:val="15"/>
                <w:color w:val="auto"/>
              </w:rPr>
              <w:t>Contingent consideration payments</w:t>
            </w:r>
          </w:p>
        </w:tc>
        <w:tc>
          <w:tcPr>
            <w:tcW w:w="320" w:type="dxa"/>
            <w:vAlign w:val="bottom"/>
          </w:tcPr>
          <w:p>
            <w:pPr>
              <w:spacing w:after="0"/>
              <w:rPr>
                <w:sz w:val="22"/>
                <w:szCs w:val="22"/>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2573BA"/>
              </w:rPr>
              <w:t>(3.0)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(38.6)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(13.1)</w:t>
            </w:r>
          </w:p>
        </w:tc>
      </w:tr>
      <w:tr>
        <w:trPr>
          <w:trHeight w:val="267"/>
        </w:trPr>
        <w:tc>
          <w:tcPr>
            <w:tcW w:w="7080" w:type="dxa"/>
            <w:vAlign w:val="bottom"/>
          </w:tcPr>
          <w:p>
            <w:pPr>
              <w:ind w:left="140"/>
              <w:spacing w:after="0"/>
              <w:rPr>
                <w:sz w:val="20"/>
                <w:szCs w:val="20"/>
                <w:color w:val="auto"/>
              </w:rPr>
            </w:pPr>
            <w:r>
              <w:rPr>
                <w:rFonts w:ascii="Arial" w:cs="Arial" w:eastAsia="Arial" w:hAnsi="Arial"/>
                <w:sz w:val="15"/>
                <w:szCs w:val="15"/>
                <w:color w:val="auto"/>
              </w:rPr>
              <w:t>Other</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2573BA"/>
              </w:rPr>
              <w:t>(8.6)</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w:t>
            </w: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w:t>
            </w:r>
          </w:p>
        </w:tc>
      </w:tr>
      <w:tr>
        <w:trPr>
          <w:trHeight w:val="236"/>
        </w:trPr>
        <w:tc>
          <w:tcPr>
            <w:tcW w:w="7080" w:type="dxa"/>
            <w:vAlign w:val="bottom"/>
          </w:tcPr>
          <w:p>
            <w:pPr>
              <w:ind w:left="640"/>
              <w:spacing w:after="0"/>
              <w:rPr>
                <w:sz w:val="20"/>
                <w:szCs w:val="20"/>
                <w:color w:val="auto"/>
              </w:rPr>
            </w:pPr>
            <w:r>
              <w:rPr>
                <w:rFonts w:ascii="Arial" w:cs="Arial" w:eastAsia="Arial" w:hAnsi="Arial"/>
                <w:sz w:val="15"/>
                <w:szCs w:val="15"/>
                <w:color w:val="auto"/>
              </w:rPr>
              <w:t>Net cash flows provided by (used in) financing activities</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2573BA"/>
              </w:rPr>
              <w:t>(2,380.0)</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(1,052.6)</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783.1</w:t>
            </w:r>
          </w:p>
        </w:tc>
      </w:tr>
      <w:tr>
        <w:trPr>
          <w:trHeight w:val="225"/>
        </w:trPr>
        <w:tc>
          <w:tcPr>
            <w:tcW w:w="7080" w:type="dxa"/>
            <w:vAlign w:val="bottom"/>
          </w:tcPr>
          <w:p>
            <w:pPr>
              <w:spacing w:after="0"/>
              <w:rPr>
                <w:sz w:val="20"/>
                <w:szCs w:val="20"/>
                <w:color w:val="auto"/>
              </w:rPr>
            </w:pPr>
            <w:r>
              <w:rPr>
                <w:rFonts w:ascii="Arial" w:cs="Arial" w:eastAsia="Arial" w:hAnsi="Arial"/>
                <w:sz w:val="15"/>
                <w:szCs w:val="15"/>
                <w:color w:val="auto"/>
              </w:rPr>
              <w:t>Net increase in cash and cash equivalents</w:t>
            </w:r>
          </w:p>
        </w:tc>
        <w:tc>
          <w:tcPr>
            <w:tcW w:w="320" w:type="dxa"/>
            <w:vAlign w:val="bottom"/>
          </w:tcPr>
          <w:p>
            <w:pPr>
              <w:spacing w:after="0"/>
              <w:rPr>
                <w:sz w:val="19"/>
                <w:szCs w:val="19"/>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2573BA"/>
              </w:rPr>
              <w:t>(792.1)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1,049.8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148.9</w:t>
            </w:r>
          </w:p>
        </w:tc>
      </w:tr>
      <w:tr>
        <w:trPr>
          <w:trHeight w:val="267"/>
        </w:trPr>
        <w:tc>
          <w:tcPr>
            <w:tcW w:w="7080" w:type="dxa"/>
            <w:vAlign w:val="bottom"/>
          </w:tcPr>
          <w:p>
            <w:pPr>
              <w:spacing w:after="0"/>
              <w:rPr>
                <w:sz w:val="20"/>
                <w:szCs w:val="20"/>
                <w:color w:val="auto"/>
              </w:rPr>
            </w:pPr>
            <w:r>
              <w:rPr>
                <w:rFonts w:ascii="Arial" w:cs="Arial" w:eastAsia="Arial" w:hAnsi="Arial"/>
                <w:sz w:val="15"/>
                <w:szCs w:val="15"/>
                <w:color w:val="auto"/>
              </w:rPr>
              <w:t>Effect of exchange rate changes on cash and cash equivalents</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2573BA"/>
              </w:rPr>
              <w:t>39.4</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(31.3)</w:t>
            </w: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(45.8)</w:t>
            </w:r>
          </w:p>
        </w:tc>
      </w:tr>
      <w:tr>
        <w:trPr>
          <w:trHeight w:val="236"/>
        </w:trPr>
        <w:tc>
          <w:tcPr>
            <w:tcW w:w="7080" w:type="dxa"/>
            <w:vAlign w:val="bottom"/>
          </w:tcPr>
          <w:p>
            <w:pPr>
              <w:spacing w:after="0"/>
              <w:rPr>
                <w:sz w:val="20"/>
                <w:szCs w:val="20"/>
                <w:color w:val="auto"/>
              </w:rPr>
            </w:pPr>
            <w:r>
              <w:rPr>
                <w:rFonts w:ascii="Arial" w:cs="Arial" w:eastAsia="Arial" w:hAnsi="Arial"/>
                <w:sz w:val="15"/>
                <w:szCs w:val="15"/>
                <w:color w:val="auto"/>
              </w:rPr>
              <w:t>Cash and cash equivalents, beginning of the year</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2573BA"/>
              </w:rPr>
              <w:t>2,326.5</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1,308.0</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1,204.9</w:t>
            </w:r>
          </w:p>
        </w:tc>
      </w:tr>
      <w:tr>
        <w:trPr>
          <w:trHeight w:val="223"/>
        </w:trPr>
        <w:tc>
          <w:tcPr>
            <w:tcW w:w="7080" w:type="dxa"/>
            <w:vAlign w:val="bottom"/>
          </w:tcPr>
          <w:p>
            <w:pPr>
              <w:spacing w:after="0"/>
              <w:rPr>
                <w:sz w:val="20"/>
                <w:szCs w:val="20"/>
                <w:color w:val="auto"/>
              </w:rPr>
            </w:pPr>
            <w:r>
              <w:rPr>
                <w:rFonts w:ascii="Arial" w:cs="Arial" w:eastAsia="Arial" w:hAnsi="Arial"/>
                <w:sz w:val="15"/>
                <w:szCs w:val="15"/>
                <w:color w:val="auto"/>
              </w:rPr>
              <w:t>Cash and cash equivalents, end of the year</w:t>
            </w:r>
          </w:p>
        </w:tc>
        <w:tc>
          <w:tcPr>
            <w:tcW w:w="320" w:type="dxa"/>
            <w:vAlign w:val="bottom"/>
          </w:tcPr>
          <w:p>
            <w:pPr>
              <w:jc w:val="right"/>
              <w:ind w:right="143"/>
              <w:spacing w:after="0"/>
              <w:rPr>
                <w:sz w:val="20"/>
                <w:szCs w:val="20"/>
                <w:color w:val="auto"/>
              </w:rPr>
            </w:pPr>
            <w:r>
              <w:rPr>
                <w:rFonts w:ascii="Arial" w:cs="Arial" w:eastAsia="Arial" w:hAnsi="Arial"/>
                <w:sz w:val="15"/>
                <w:szCs w:val="15"/>
                <w:color w:val="2573BA"/>
                <w:w w:val="95"/>
              </w:rPr>
              <w:t>$</w:t>
            </w:r>
          </w:p>
        </w:tc>
        <w:tc>
          <w:tcPr>
            <w:tcW w:w="1080" w:type="dxa"/>
            <w:vAlign w:val="bottom"/>
          </w:tcPr>
          <w:p>
            <w:pPr>
              <w:jc w:val="right"/>
              <w:ind w:right="44"/>
              <w:spacing w:after="0"/>
              <w:rPr>
                <w:sz w:val="20"/>
                <w:szCs w:val="20"/>
                <w:color w:val="auto"/>
              </w:rPr>
            </w:pPr>
            <w:r>
              <w:rPr>
                <w:rFonts w:ascii="Arial" w:cs="Arial" w:eastAsia="Arial" w:hAnsi="Arial"/>
                <w:sz w:val="15"/>
                <w:szCs w:val="15"/>
                <w:color w:val="2573BA"/>
              </w:rPr>
              <w:t>1,573.8</w:t>
            </w:r>
          </w:p>
        </w:tc>
        <w:tc>
          <w:tcPr>
            <w:tcW w:w="4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2,326.5</w:t>
            </w:r>
          </w:p>
        </w:tc>
        <w:tc>
          <w:tcPr>
            <w:tcW w:w="100" w:type="dxa"/>
            <w:vAlign w:val="bottom"/>
          </w:tcPr>
          <w:p>
            <w:pPr>
              <w:spacing w:after="0"/>
              <w:rPr>
                <w:sz w:val="19"/>
                <w:szCs w:val="19"/>
                <w:color w:val="auto"/>
              </w:rPr>
            </w:pPr>
          </w:p>
        </w:tc>
        <w:tc>
          <w:tcPr>
            <w:tcW w:w="44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1,308.0</w:t>
            </w:r>
          </w:p>
        </w:tc>
      </w:tr>
      <w:tr>
        <w:trPr>
          <w:trHeight w:val="20"/>
        </w:trPr>
        <w:tc>
          <w:tcPr>
            <w:tcW w:w="70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-5236210</wp:posOffset>
            </wp:positionV>
            <wp:extent cx="886460" cy="52209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0">
                      <a:extLst>
                        <a:ext uri="{28A0092B-C50C-407E-A947-70E740481C1C}"/>
                      </a:extLst>
                    </a:blip>
                    <a:srcRect/>
                    <a:stretch>
                      <a:fillRect/>
                    </a:stretch>
                  </pic:blipFill>
                  <pic:spPr bwMode="auto">
                    <a:xfrm>
                      <a:off x="0" y="0"/>
                      <a:ext cx="886460" cy="5220970"/>
                    </a:xfrm>
                    <a:prstGeom prst="rect">
                      <a:avLst/>
                    </a:prstGeom>
                    <a:noFill/>
                  </pic:spPr>
                </pic:pic>
              </a:graphicData>
            </a:graphic>
          </wp:anchor>
        </w:drawing>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these consolidated financial statements.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F- 5</w:t>
      </w:r>
    </w:p>
    <w:p>
      <w:pPr>
        <w:sectPr>
          <w:pgSz w:w="11900" w:h="16838" w:orient="portrait"/>
          <w:cols w:equalWidth="0" w:num="1">
            <w:col w:w="11420"/>
          </w:cols>
          <w:pgMar w:left="240" w:top="144" w:right="239" w:bottom="1440" w:gutter="0" w:footer="0" w:header="0"/>
        </w:sectPr>
      </w:pPr>
    </w:p>
    <w:bookmarkStart w:id="107" w:name="page108"/>
    <w:bookmarkEnd w:id="10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99"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1C5A7D"/>
        </w:rPr>
        <w:t>BIOGEN INC. AND SUBSIDIARIES</w:t>
      </w:r>
    </w:p>
    <w:p>
      <w:pPr>
        <w:spacing w:after="0" w:line="39"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1C5A7D"/>
        </w:rPr>
        <w:t>CONSOLIDATED STATEMENTS OF EQUITY</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1C5A7D"/>
        </w:rPr>
        <w:t>(In millions)</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120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Preferred stock</w:t>
            </w:r>
          </w:p>
        </w:tc>
        <w:tc>
          <w:tcPr>
            <w:tcW w:w="100" w:type="dxa"/>
            <w:vAlign w:val="bottom"/>
          </w:tcPr>
          <w:p>
            <w:pPr>
              <w:spacing w:after="0"/>
              <w:rPr>
                <w:sz w:val="14"/>
                <w:szCs w:val="14"/>
                <w:color w:val="auto"/>
              </w:rPr>
            </w:pPr>
          </w:p>
        </w:tc>
        <w:tc>
          <w:tcPr>
            <w:tcW w:w="1240" w:type="dxa"/>
            <w:vAlign w:val="bottom"/>
            <w:gridSpan w:val="4"/>
            <w:vMerge w:val="restart"/>
          </w:tcPr>
          <w:p>
            <w:pPr>
              <w:jc w:val="right"/>
              <w:ind w:right="15"/>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Accumulated</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Treasury stock</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200" w:type="dxa"/>
            <w:vAlign w:val="bottom"/>
          </w:tcPr>
          <w:p>
            <w:pPr>
              <w:spacing w:after="0"/>
              <w:rPr>
                <w:sz w:val="13"/>
                <w:szCs w:val="13"/>
                <w:color w:val="auto"/>
              </w:rPr>
            </w:pPr>
          </w:p>
        </w:tc>
        <w:tc>
          <w:tcPr>
            <w:tcW w:w="120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w w:val="99"/>
              </w:rPr>
              <w:t>Additional</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center"/>
              <w:ind w:right="161"/>
              <w:spacing w:after="0" w:line="153" w:lineRule="exact"/>
              <w:rPr>
                <w:sz w:val="20"/>
                <w:szCs w:val="20"/>
                <w:color w:val="auto"/>
              </w:rPr>
            </w:pPr>
            <w:r>
              <w:rPr>
                <w:rFonts w:ascii="Arial" w:cs="Arial" w:eastAsia="Arial" w:hAnsi="Arial"/>
                <w:sz w:val="14"/>
                <w:szCs w:val="14"/>
                <w:b w:val="1"/>
                <w:bCs w:val="1"/>
                <w:color w:val="auto"/>
                <w:w w:val="97"/>
              </w:rPr>
              <w:t>other</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4"/>
            <w:vMerge w:val="continue"/>
          </w:tcPr>
          <w:p>
            <w:pPr>
              <w:spacing w:after="0"/>
              <w:rPr>
                <w:sz w:val="13"/>
                <w:szCs w:val="13"/>
                <w:color w:val="auto"/>
              </w:rPr>
            </w:pPr>
          </w:p>
        </w:tc>
        <w:tc>
          <w:tcPr>
            <w:tcW w:w="10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8"/>
              </w:rPr>
              <w:t>Biogen Inc.</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ind w:right="59"/>
              <w:spacing w:after="0" w:line="135" w:lineRule="exact"/>
              <w:rPr>
                <w:sz w:val="20"/>
                <w:szCs w:val="20"/>
                <w:color w:val="auto"/>
              </w:rPr>
            </w:pPr>
            <w:r>
              <w:rPr>
                <w:rFonts w:ascii="Arial" w:cs="Arial" w:eastAsia="Arial" w:hAnsi="Arial"/>
                <w:sz w:val="14"/>
                <w:szCs w:val="14"/>
                <w:b w:val="1"/>
                <w:bCs w:val="1"/>
                <w:color w:val="auto"/>
                <w:w w:val="95"/>
              </w:rPr>
              <w:t>paid-in</w:t>
            </w:r>
          </w:p>
        </w:tc>
        <w:tc>
          <w:tcPr>
            <w:tcW w:w="100" w:type="dxa"/>
            <w:vAlign w:val="bottom"/>
          </w:tcPr>
          <w:p>
            <w:pPr>
              <w:spacing w:after="0"/>
              <w:rPr>
                <w:sz w:val="11"/>
                <w:szCs w:val="11"/>
                <w:color w:val="auto"/>
              </w:rPr>
            </w:pPr>
          </w:p>
        </w:tc>
        <w:tc>
          <w:tcPr>
            <w:tcW w:w="10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7"/>
              </w:rPr>
              <w:t>comprehensive</w:t>
            </w:r>
          </w:p>
        </w:tc>
        <w:tc>
          <w:tcPr>
            <w:tcW w:w="100" w:type="dxa"/>
            <w:vAlign w:val="bottom"/>
          </w:tcPr>
          <w:p>
            <w:pPr>
              <w:spacing w:after="0"/>
              <w:rPr>
                <w:sz w:val="11"/>
                <w:szCs w:val="11"/>
                <w:color w:val="auto"/>
              </w:rPr>
            </w:pPr>
          </w:p>
        </w:tc>
        <w:tc>
          <w:tcPr>
            <w:tcW w:w="98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Retained</w:t>
            </w: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7"/>
              </w:rPr>
              <w:t>shareholders’</w:t>
            </w:r>
          </w:p>
        </w:tc>
        <w:tc>
          <w:tcPr>
            <w:tcW w:w="112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Noncontrolling</w:t>
            </w:r>
          </w:p>
        </w:tc>
        <w:tc>
          <w:tcPr>
            <w:tcW w:w="880" w:type="dxa"/>
            <w:vAlign w:val="bottom"/>
          </w:tcPr>
          <w:p>
            <w:pPr>
              <w:jc w:val="right"/>
              <w:ind w:right="197"/>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5"/>
                <w:szCs w:val="15"/>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59"/>
              <w:spacing w:after="0"/>
              <w:rPr>
                <w:sz w:val="20"/>
                <w:szCs w:val="20"/>
                <w:color w:val="auto"/>
              </w:rPr>
            </w:pPr>
            <w:r>
              <w:rPr>
                <w:rFonts w:ascii="Arial" w:cs="Arial" w:eastAsia="Arial" w:hAnsi="Arial"/>
                <w:sz w:val="14"/>
                <w:szCs w:val="14"/>
                <w:b w:val="1"/>
                <w:bCs w:val="1"/>
                <w:color w:val="auto"/>
                <w:w w:val="99"/>
              </w:rPr>
              <w:t>capital</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center"/>
              <w:ind w:right="161"/>
              <w:spacing w:after="0"/>
              <w:rPr>
                <w:sz w:val="20"/>
                <w:szCs w:val="20"/>
                <w:color w:val="auto"/>
              </w:rPr>
            </w:pPr>
            <w:r>
              <w:rPr>
                <w:rFonts w:ascii="Arial" w:cs="Arial" w:eastAsia="Arial" w:hAnsi="Arial"/>
                <w:sz w:val="14"/>
                <w:szCs w:val="14"/>
                <w:b w:val="1"/>
                <w:bCs w:val="1"/>
                <w:color w:val="auto"/>
                <w:w w:val="92"/>
              </w:rPr>
              <w:t>loss</w:t>
            </w:r>
          </w:p>
        </w:tc>
        <w:tc>
          <w:tcPr>
            <w:tcW w:w="100" w:type="dxa"/>
            <w:vAlign w:val="bottom"/>
          </w:tcPr>
          <w:p>
            <w:pPr>
              <w:spacing w:after="0"/>
              <w:rPr>
                <w:sz w:val="15"/>
                <w:szCs w:val="15"/>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earnings</w:t>
            </w: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Shares</w:t>
            </w: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equity</w:t>
            </w:r>
          </w:p>
        </w:tc>
        <w:tc>
          <w:tcPr>
            <w:tcW w:w="16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880" w:type="dxa"/>
            <w:vAlign w:val="bottom"/>
          </w:tcPr>
          <w:p>
            <w:pPr>
              <w:jc w:val="right"/>
              <w:ind w:right="157"/>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1200" w:type="dxa"/>
            <w:vAlign w:val="bottom"/>
          </w:tcPr>
          <w:p>
            <w:pPr>
              <w:spacing w:after="0" w:line="185" w:lineRule="exact"/>
              <w:rPr>
                <w:sz w:val="20"/>
                <w:szCs w:val="20"/>
                <w:color w:val="auto"/>
              </w:rPr>
            </w:pPr>
            <w:r>
              <w:rPr>
                <w:rFonts w:ascii="Arial" w:cs="Arial" w:eastAsia="Arial" w:hAnsi="Arial"/>
                <w:sz w:val="17"/>
                <w:szCs w:val="17"/>
                <w:b w:val="1"/>
                <w:bCs w:val="1"/>
                <w:color w:val="auto"/>
              </w:rPr>
              <w:t>Balance,</w:t>
            </w:r>
          </w:p>
        </w:tc>
        <w:tc>
          <w:tcPr>
            <w:tcW w:w="520" w:type="dxa"/>
            <w:vAlign w:val="bottom"/>
            <w:tcBorders>
              <w:top w:val="single" w:sz="8" w:color="auto"/>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200" w:type="dxa"/>
            <w:vAlign w:val="bottom"/>
            <w:tcBorders>
              <w:top w:val="single" w:sz="8" w:color="auto"/>
            </w:tcBorders>
            <w:shd w:val="clear" w:color="auto" w:fill="DDDDDD"/>
          </w:tcPr>
          <w:p>
            <w:pPr>
              <w:spacing w:after="0"/>
              <w:rPr>
                <w:sz w:val="16"/>
                <w:szCs w:val="16"/>
                <w:color w:val="auto"/>
              </w:rPr>
            </w:pPr>
          </w:p>
        </w:tc>
        <w:tc>
          <w:tcPr>
            <w:tcW w:w="380" w:type="dxa"/>
            <w:vAlign w:val="bottom"/>
            <w:tcBorders>
              <w:top w:val="single" w:sz="8" w:color="auto"/>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560" w:type="dxa"/>
            <w:vAlign w:val="bottom"/>
            <w:tcBorders>
              <w:top w:val="single" w:sz="8" w:color="auto"/>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180" w:type="dxa"/>
            <w:vAlign w:val="bottom"/>
            <w:tcBorders>
              <w:top w:val="single" w:sz="8" w:color="auto"/>
            </w:tcBorders>
            <w:shd w:val="clear" w:color="auto" w:fill="DDDDDD"/>
          </w:tcPr>
          <w:p>
            <w:pPr>
              <w:spacing w:after="0"/>
              <w:rPr>
                <w:sz w:val="16"/>
                <w:szCs w:val="16"/>
                <w:color w:val="auto"/>
              </w:rPr>
            </w:pPr>
          </w:p>
        </w:tc>
        <w:tc>
          <w:tcPr>
            <w:tcW w:w="400" w:type="dxa"/>
            <w:vAlign w:val="bottom"/>
            <w:tcBorders>
              <w:top w:val="single" w:sz="8" w:color="auto"/>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140" w:type="dxa"/>
            <w:vAlign w:val="bottom"/>
            <w:tcBorders>
              <w:top w:val="single" w:sz="8" w:color="auto"/>
            </w:tcBorders>
            <w:shd w:val="clear" w:color="auto" w:fill="DDDDDD"/>
          </w:tcPr>
          <w:p>
            <w:pPr>
              <w:spacing w:after="0"/>
              <w:rPr>
                <w:sz w:val="16"/>
                <w:szCs w:val="16"/>
                <w:color w:val="auto"/>
              </w:rPr>
            </w:pPr>
          </w:p>
        </w:tc>
        <w:tc>
          <w:tcPr>
            <w:tcW w:w="600" w:type="dxa"/>
            <w:vAlign w:val="bottom"/>
            <w:tcBorders>
              <w:top w:val="single" w:sz="8" w:color="auto"/>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240" w:type="dxa"/>
            <w:vAlign w:val="bottom"/>
            <w:tcBorders>
              <w:top w:val="single" w:sz="8" w:color="auto"/>
            </w:tcBorders>
            <w:shd w:val="clear" w:color="auto" w:fill="DDDDDD"/>
          </w:tcPr>
          <w:p>
            <w:pPr>
              <w:spacing w:after="0"/>
              <w:rPr>
                <w:sz w:val="16"/>
                <w:szCs w:val="16"/>
                <w:color w:val="auto"/>
              </w:rPr>
            </w:pPr>
          </w:p>
        </w:tc>
        <w:tc>
          <w:tcPr>
            <w:tcW w:w="820" w:type="dxa"/>
            <w:vAlign w:val="bottom"/>
            <w:tcBorders>
              <w:top w:val="single" w:sz="8" w:color="auto"/>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880" w:type="dxa"/>
            <w:vAlign w:val="bottom"/>
            <w:tcBorders>
              <w:top w:val="single" w:sz="8" w:color="auto"/>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520" w:type="dxa"/>
            <w:vAlign w:val="bottom"/>
            <w:tcBorders>
              <w:top w:val="single" w:sz="8" w:color="auto"/>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840" w:type="dxa"/>
            <w:vAlign w:val="bottom"/>
            <w:tcBorders>
              <w:top w:val="single" w:sz="8" w:color="auto"/>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960" w:type="dxa"/>
            <w:vAlign w:val="bottom"/>
            <w:tcBorders>
              <w:top w:val="single" w:sz="8" w:color="auto"/>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160" w:type="dxa"/>
            <w:vAlign w:val="bottom"/>
            <w:tcBorders>
              <w:top w:val="single" w:sz="8" w:color="auto"/>
            </w:tcBorders>
            <w:shd w:val="clear" w:color="auto" w:fill="DDDDDD"/>
          </w:tcPr>
          <w:p>
            <w:pPr>
              <w:spacing w:after="0"/>
              <w:rPr>
                <w:sz w:val="16"/>
                <w:szCs w:val="16"/>
                <w:color w:val="auto"/>
              </w:rPr>
            </w:pPr>
          </w:p>
        </w:tc>
        <w:tc>
          <w:tcPr>
            <w:tcW w:w="860" w:type="dxa"/>
            <w:vAlign w:val="bottom"/>
            <w:tcBorders>
              <w:top w:val="single" w:sz="8" w:color="auto"/>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880" w:type="dxa"/>
            <w:vAlign w:val="bottom"/>
            <w:tcBorders>
              <w:top w:val="single" w:sz="8" w:color="auto"/>
            </w:tcBorders>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b w:val="1"/>
                <w:bCs w:val="1"/>
                <w:color w:val="auto"/>
              </w:rPr>
              <w:t>December 31,</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6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9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200" w:type="dxa"/>
            <w:vAlign w:val="bottom"/>
          </w:tcPr>
          <w:p>
            <w:pPr>
              <w:spacing w:after="0"/>
              <w:rPr>
                <w:sz w:val="20"/>
                <w:szCs w:val="20"/>
                <w:color w:val="auto"/>
              </w:rPr>
            </w:pPr>
            <w:r>
              <w:rPr>
                <w:rFonts w:ascii="Arial" w:cs="Arial" w:eastAsia="Arial" w:hAnsi="Arial"/>
                <w:sz w:val="17"/>
                <w:szCs w:val="17"/>
                <w:b w:val="1"/>
                <w:bCs w:val="1"/>
                <w:color w:val="auto"/>
              </w:rPr>
              <w:t>2016</w:t>
            </w:r>
          </w:p>
        </w:tc>
        <w:tc>
          <w:tcPr>
            <w:tcW w:w="520" w:type="dxa"/>
            <w:vAlign w:val="bottom"/>
            <w:shd w:val="clear" w:color="auto" w:fill="DDDDDD"/>
          </w:tcPr>
          <w:p>
            <w:pPr>
              <w:ind w:left="220"/>
              <w:spacing w:after="0"/>
              <w:rPr>
                <w:sz w:val="20"/>
                <w:szCs w:val="20"/>
                <w:color w:val="auto"/>
              </w:rPr>
            </w:pPr>
            <w:r>
              <w:rPr>
                <w:rFonts w:ascii="Arial" w:cs="Arial" w:eastAsia="Arial" w:hAnsi="Arial"/>
                <w:sz w:val="17"/>
                <w:szCs w:val="17"/>
                <w:color w:val="2573BA"/>
              </w:rPr>
              <w:t>—</w:t>
            </w:r>
          </w:p>
        </w:tc>
        <w:tc>
          <w:tcPr>
            <w:tcW w:w="300" w:type="dxa"/>
            <w:vAlign w:val="bottom"/>
            <w:gridSpan w:val="2"/>
            <w:shd w:val="clear" w:color="auto" w:fill="DDDDDD"/>
          </w:tcPr>
          <w:p>
            <w:pPr>
              <w:ind w:left="120"/>
              <w:spacing w:after="0"/>
              <w:rPr>
                <w:sz w:val="20"/>
                <w:szCs w:val="20"/>
                <w:color w:val="auto"/>
              </w:rPr>
            </w:pPr>
            <w:r>
              <w:rPr>
                <w:rFonts w:ascii="Arial" w:cs="Arial" w:eastAsia="Arial" w:hAnsi="Arial"/>
                <w:sz w:val="17"/>
                <w:szCs w:val="17"/>
                <w:color w:val="2573BA"/>
              </w:rPr>
              <w:t>$</w:t>
            </w:r>
          </w:p>
        </w:tc>
        <w:tc>
          <w:tcPr>
            <w:tcW w:w="380" w:type="dxa"/>
            <w:vAlign w:val="bottom"/>
            <w:shd w:val="clear" w:color="auto" w:fill="DDDDDD"/>
          </w:tcPr>
          <w:p>
            <w:pPr>
              <w:ind w:left="100"/>
              <w:spacing w:after="0"/>
              <w:rPr>
                <w:sz w:val="20"/>
                <w:szCs w:val="20"/>
                <w:color w:val="auto"/>
              </w:rPr>
            </w:pPr>
            <w:r>
              <w:rPr>
                <w:rFonts w:ascii="Arial" w:cs="Arial" w:eastAsia="Arial" w:hAnsi="Arial"/>
                <w:sz w:val="17"/>
                <w:szCs w:val="17"/>
                <w:color w:val="2573BA"/>
              </w:rPr>
              <w:t>—</w:t>
            </w:r>
          </w:p>
        </w:tc>
        <w:tc>
          <w:tcPr>
            <w:tcW w:w="660" w:type="dxa"/>
            <w:vAlign w:val="bottom"/>
            <w:gridSpan w:val="2"/>
            <w:shd w:val="clear" w:color="auto" w:fill="DDDDDD"/>
          </w:tcPr>
          <w:p>
            <w:pPr>
              <w:jc w:val="right"/>
              <w:ind w:right="20"/>
              <w:spacing w:after="0"/>
              <w:rPr>
                <w:sz w:val="20"/>
                <w:szCs w:val="20"/>
                <w:color w:val="auto"/>
              </w:rPr>
            </w:pPr>
            <w:r>
              <w:rPr>
                <w:rFonts w:ascii="Arial" w:cs="Arial" w:eastAsia="Arial" w:hAnsi="Arial"/>
                <w:sz w:val="17"/>
                <w:szCs w:val="17"/>
                <w:color w:val="2573BA"/>
              </w:rPr>
              <w:t>238.5</w:t>
            </w:r>
          </w:p>
        </w:tc>
        <w:tc>
          <w:tcPr>
            <w:tcW w:w="280" w:type="dxa"/>
            <w:vAlign w:val="bottom"/>
            <w:gridSpan w:val="2"/>
            <w:shd w:val="clear" w:color="auto" w:fill="DDDDDD"/>
          </w:tcPr>
          <w:p>
            <w:pPr>
              <w:ind w:left="120"/>
              <w:spacing w:after="0"/>
              <w:rPr>
                <w:sz w:val="20"/>
                <w:szCs w:val="20"/>
                <w:color w:val="auto"/>
              </w:rPr>
            </w:pPr>
            <w:r>
              <w:rPr>
                <w:rFonts w:ascii="Arial" w:cs="Arial" w:eastAsia="Arial" w:hAnsi="Arial"/>
                <w:sz w:val="17"/>
                <w:szCs w:val="17"/>
                <w:color w:val="2573BA"/>
              </w:rPr>
              <w:t>$</w:t>
            </w:r>
          </w:p>
        </w:tc>
        <w:tc>
          <w:tcPr>
            <w:tcW w:w="40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0.1</w:t>
            </w:r>
          </w:p>
        </w:tc>
        <w:tc>
          <w:tcPr>
            <w:tcW w:w="240" w:type="dxa"/>
            <w:vAlign w:val="bottom"/>
            <w:gridSpan w:val="2"/>
            <w:shd w:val="clear" w:color="auto" w:fill="DDDDDD"/>
          </w:tcPr>
          <w:p>
            <w:pPr>
              <w:ind w:left="140"/>
              <w:spacing w:after="0"/>
              <w:rPr>
                <w:sz w:val="20"/>
                <w:szCs w:val="20"/>
                <w:color w:val="auto"/>
              </w:rPr>
            </w:pPr>
            <w:r>
              <w:rPr>
                <w:rFonts w:ascii="Arial" w:cs="Arial" w:eastAsia="Arial" w:hAnsi="Arial"/>
                <w:sz w:val="17"/>
                <w:szCs w:val="17"/>
                <w:color w:val="2573BA"/>
                <w:w w:val="84"/>
              </w:rPr>
              <w:t>$</w:t>
            </w:r>
          </w:p>
        </w:tc>
        <w:tc>
          <w:tcPr>
            <w:tcW w:w="600" w:type="dxa"/>
            <w:vAlign w:val="bottom"/>
            <w:shd w:val="clear" w:color="auto" w:fill="DDDDDD"/>
          </w:tcPr>
          <w:p>
            <w:pPr>
              <w:jc w:val="right"/>
              <w:ind w:right="39"/>
              <w:spacing w:after="0"/>
              <w:rPr>
                <w:sz w:val="20"/>
                <w:szCs w:val="20"/>
                <w:color w:val="auto"/>
              </w:rPr>
            </w:pPr>
            <w:r>
              <w:rPr>
                <w:rFonts w:ascii="Arial" w:cs="Arial" w:eastAsia="Arial" w:hAnsi="Arial"/>
                <w:sz w:val="17"/>
                <w:szCs w:val="17"/>
                <w:color w:val="2573BA"/>
              </w:rPr>
              <w:t>—</w:t>
            </w:r>
          </w:p>
        </w:tc>
        <w:tc>
          <w:tcPr>
            <w:tcW w:w="340" w:type="dxa"/>
            <w:vAlign w:val="bottom"/>
            <w:gridSpan w:val="2"/>
            <w:shd w:val="clear" w:color="auto" w:fill="DDDDDD"/>
          </w:tcPr>
          <w:p>
            <w:pPr>
              <w:jc w:val="right"/>
              <w:ind w:right="46"/>
              <w:spacing w:after="0"/>
              <w:rPr>
                <w:sz w:val="20"/>
                <w:szCs w:val="20"/>
                <w:color w:val="auto"/>
              </w:rPr>
            </w:pPr>
            <w:r>
              <w:rPr>
                <w:rFonts w:ascii="Arial" w:cs="Arial" w:eastAsia="Arial" w:hAnsi="Arial"/>
                <w:sz w:val="17"/>
                <w:szCs w:val="17"/>
                <w:color w:val="2573BA"/>
              </w:rPr>
              <w:t>$</w:t>
            </w:r>
          </w:p>
        </w:tc>
        <w:tc>
          <w:tcPr>
            <w:tcW w:w="820" w:type="dxa"/>
            <w:vAlign w:val="bottom"/>
            <w:shd w:val="clear" w:color="auto" w:fill="DDDDDD"/>
          </w:tcPr>
          <w:p>
            <w:pPr>
              <w:jc w:val="right"/>
              <w:ind w:right="1"/>
              <w:spacing w:after="0"/>
              <w:rPr>
                <w:sz w:val="20"/>
                <w:szCs w:val="20"/>
                <w:color w:val="auto"/>
              </w:rPr>
            </w:pPr>
            <w:r>
              <w:rPr>
                <w:rFonts w:ascii="Arial" w:cs="Arial" w:eastAsia="Arial" w:hAnsi="Arial"/>
                <w:sz w:val="17"/>
                <w:szCs w:val="17"/>
                <w:color w:val="2573BA"/>
              </w:rPr>
              <w:t>(319.9)</w:t>
            </w:r>
          </w:p>
        </w:tc>
        <w:tc>
          <w:tcPr>
            <w:tcW w:w="980" w:type="dxa"/>
            <w:vAlign w:val="bottom"/>
            <w:gridSpan w:val="2"/>
            <w:shd w:val="clear" w:color="auto" w:fill="DDDDDD"/>
          </w:tcPr>
          <w:p>
            <w:pPr>
              <w:jc w:val="right"/>
              <w:ind w:right="21"/>
              <w:spacing w:after="0"/>
              <w:rPr>
                <w:sz w:val="20"/>
                <w:szCs w:val="20"/>
                <w:color w:val="auto"/>
              </w:rPr>
            </w:pPr>
            <w:r>
              <w:rPr>
                <w:rFonts w:ascii="Arial" w:cs="Arial" w:eastAsia="Arial" w:hAnsi="Arial"/>
                <w:sz w:val="17"/>
                <w:szCs w:val="17"/>
                <w:color w:val="2573BA"/>
              </w:rPr>
              <w:t>$15,071.6</w:t>
            </w:r>
          </w:p>
        </w:tc>
        <w:tc>
          <w:tcPr>
            <w:tcW w:w="100" w:type="dxa"/>
            <w:vAlign w:val="bottom"/>
            <w:shd w:val="clear" w:color="auto" w:fill="DDDDDD"/>
          </w:tcPr>
          <w:p>
            <w:pPr>
              <w:spacing w:after="0"/>
              <w:rPr>
                <w:sz w:val="19"/>
                <w:szCs w:val="19"/>
                <w:color w:val="auto"/>
              </w:rPr>
            </w:pPr>
          </w:p>
        </w:tc>
        <w:tc>
          <w:tcPr>
            <w:tcW w:w="5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(22.6)</w:t>
            </w:r>
          </w:p>
        </w:tc>
        <w:tc>
          <w:tcPr>
            <w:tcW w:w="100" w:type="dxa"/>
            <w:vAlign w:val="bottom"/>
            <w:shd w:val="clear" w:color="auto" w:fill="DDDDDD"/>
          </w:tcPr>
          <w:p>
            <w:pPr>
              <w:spacing w:after="0"/>
              <w:rPr>
                <w:sz w:val="19"/>
                <w:szCs w:val="19"/>
                <w:color w:val="auto"/>
              </w:rPr>
            </w:pPr>
          </w:p>
        </w:tc>
        <w:tc>
          <w:tcPr>
            <w:tcW w:w="8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$(2,611.7)</w:t>
            </w:r>
          </w:p>
        </w:tc>
        <w:tc>
          <w:tcPr>
            <w:tcW w:w="10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38"/>
              <w:spacing w:after="0"/>
              <w:rPr>
                <w:sz w:val="20"/>
                <w:szCs w:val="20"/>
                <w:color w:val="auto"/>
              </w:rPr>
            </w:pPr>
            <w:r>
              <w:rPr>
                <w:rFonts w:ascii="Arial" w:cs="Arial" w:eastAsia="Arial" w:hAnsi="Arial"/>
                <w:sz w:val="17"/>
                <w:szCs w:val="17"/>
                <w:color w:val="2573BA"/>
              </w:rPr>
              <w:t>$ 12,140.1</w:t>
            </w:r>
          </w:p>
        </w:tc>
        <w:tc>
          <w:tcPr>
            <w:tcW w:w="100" w:type="dxa"/>
            <w:vAlign w:val="bottom"/>
            <w:shd w:val="clear" w:color="auto" w:fill="DDDDDD"/>
          </w:tcPr>
          <w:p>
            <w:pPr>
              <w:spacing w:after="0"/>
              <w:rPr>
                <w:sz w:val="19"/>
                <w:szCs w:val="19"/>
                <w:color w:val="auto"/>
              </w:rPr>
            </w:pPr>
          </w:p>
        </w:tc>
        <w:tc>
          <w:tcPr>
            <w:tcW w:w="16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w:t>
            </w:r>
          </w:p>
        </w:tc>
        <w:tc>
          <w:tcPr>
            <w:tcW w:w="8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(11.5)</w:t>
            </w:r>
          </w:p>
        </w:tc>
        <w:tc>
          <w:tcPr>
            <w:tcW w:w="100" w:type="dxa"/>
            <w:vAlign w:val="bottom"/>
            <w:shd w:val="clear" w:color="auto" w:fill="DDDDDD"/>
          </w:tcPr>
          <w:p>
            <w:pPr>
              <w:spacing w:after="0"/>
              <w:rPr>
                <w:sz w:val="19"/>
                <w:szCs w:val="19"/>
                <w:color w:val="auto"/>
              </w:rPr>
            </w:pPr>
          </w:p>
        </w:tc>
        <w:tc>
          <w:tcPr>
            <w:tcW w:w="88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$12,128.6</w:t>
            </w:r>
          </w:p>
        </w:tc>
        <w:tc>
          <w:tcPr>
            <w:tcW w:w="0" w:type="dxa"/>
            <w:vAlign w:val="bottom"/>
          </w:tcPr>
          <w:p>
            <w:pPr>
              <w:spacing w:after="0"/>
              <w:rPr>
                <w:sz w:val="1"/>
                <w:szCs w:val="1"/>
                <w:color w:val="auto"/>
              </w:rPr>
            </w:pPr>
          </w:p>
        </w:tc>
      </w:tr>
      <w:tr>
        <w:trPr>
          <w:trHeight w:val="256"/>
        </w:trPr>
        <w:tc>
          <w:tcPr>
            <w:tcW w:w="1200" w:type="dxa"/>
            <w:vAlign w:val="bottom"/>
          </w:tcPr>
          <w:p>
            <w:pPr>
              <w:spacing w:after="0"/>
              <w:rPr>
                <w:sz w:val="20"/>
                <w:szCs w:val="20"/>
                <w:color w:val="auto"/>
              </w:rPr>
            </w:pPr>
            <w:r>
              <w:rPr>
                <w:rFonts w:ascii="Arial" w:cs="Arial" w:eastAsia="Arial" w:hAnsi="Arial"/>
                <w:sz w:val="17"/>
                <w:szCs w:val="17"/>
                <w:color w:val="auto"/>
              </w:rPr>
              <w:t>Net income</w:t>
            </w:r>
          </w:p>
        </w:tc>
        <w:tc>
          <w:tcPr>
            <w:tcW w:w="52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200" w:type="dxa"/>
            <w:vAlign w:val="bottom"/>
            <w:shd w:val="clear" w:color="auto" w:fill="DDDDDD"/>
          </w:tcPr>
          <w:p>
            <w:pPr>
              <w:spacing w:after="0"/>
              <w:rPr>
                <w:sz w:val="22"/>
                <w:szCs w:val="22"/>
                <w:color w:val="auto"/>
              </w:rPr>
            </w:pPr>
          </w:p>
        </w:tc>
        <w:tc>
          <w:tcPr>
            <w:tcW w:w="38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56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180" w:type="dxa"/>
            <w:vAlign w:val="bottom"/>
            <w:shd w:val="clear" w:color="auto" w:fill="DDDDDD"/>
          </w:tcPr>
          <w:p>
            <w:pPr>
              <w:spacing w:after="0"/>
              <w:rPr>
                <w:sz w:val="22"/>
                <w:szCs w:val="22"/>
                <w:color w:val="auto"/>
              </w:rPr>
            </w:pPr>
          </w:p>
        </w:tc>
        <w:tc>
          <w:tcPr>
            <w:tcW w:w="40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140" w:type="dxa"/>
            <w:vAlign w:val="bottom"/>
            <w:shd w:val="clear" w:color="auto" w:fill="DDDDDD"/>
          </w:tcPr>
          <w:p>
            <w:pPr>
              <w:spacing w:after="0"/>
              <w:rPr>
                <w:sz w:val="22"/>
                <w:szCs w:val="22"/>
                <w:color w:val="auto"/>
              </w:rPr>
            </w:pPr>
          </w:p>
        </w:tc>
        <w:tc>
          <w:tcPr>
            <w:tcW w:w="60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240" w:type="dxa"/>
            <w:vAlign w:val="bottom"/>
            <w:shd w:val="clear" w:color="auto" w:fill="DDDDDD"/>
          </w:tcPr>
          <w:p>
            <w:pPr>
              <w:spacing w:after="0"/>
              <w:rPr>
                <w:sz w:val="22"/>
                <w:szCs w:val="22"/>
                <w:color w:val="auto"/>
              </w:rPr>
            </w:pPr>
          </w:p>
        </w:tc>
        <w:tc>
          <w:tcPr>
            <w:tcW w:w="820" w:type="dxa"/>
            <w:vAlign w:val="bottom"/>
            <w:shd w:val="clear" w:color="auto" w:fill="DDDDDD"/>
          </w:tcPr>
          <w:p>
            <w:pPr>
              <w:spacing w:after="0"/>
              <w:rPr>
                <w:sz w:val="22"/>
                <w:szCs w:val="22"/>
                <w:color w:val="auto"/>
              </w:rPr>
            </w:pPr>
          </w:p>
        </w:tc>
        <w:tc>
          <w:tcPr>
            <w:tcW w:w="980" w:type="dxa"/>
            <w:vAlign w:val="bottom"/>
            <w:gridSpan w:val="2"/>
            <w:shd w:val="clear" w:color="auto" w:fill="DDDDDD"/>
          </w:tcPr>
          <w:p>
            <w:pPr>
              <w:jc w:val="right"/>
              <w:ind w:right="21"/>
              <w:spacing w:after="0"/>
              <w:rPr>
                <w:sz w:val="20"/>
                <w:szCs w:val="20"/>
                <w:color w:val="auto"/>
              </w:rPr>
            </w:pPr>
            <w:r>
              <w:rPr>
                <w:rFonts w:ascii="Arial" w:cs="Arial" w:eastAsia="Arial" w:hAnsi="Arial"/>
                <w:sz w:val="17"/>
                <w:szCs w:val="17"/>
                <w:color w:val="2573BA"/>
              </w:rPr>
              <w:t>2,539.1</w:t>
            </w:r>
          </w:p>
        </w:tc>
        <w:tc>
          <w:tcPr>
            <w:tcW w:w="100" w:type="dxa"/>
            <w:vAlign w:val="bottom"/>
            <w:shd w:val="clear" w:color="auto" w:fill="DDDDDD"/>
          </w:tcPr>
          <w:p>
            <w:pPr>
              <w:spacing w:after="0"/>
              <w:rPr>
                <w:sz w:val="22"/>
                <w:szCs w:val="22"/>
                <w:color w:val="auto"/>
              </w:rPr>
            </w:pPr>
          </w:p>
        </w:tc>
        <w:tc>
          <w:tcPr>
            <w:tcW w:w="52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84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960" w:type="dxa"/>
            <w:vAlign w:val="bottom"/>
            <w:shd w:val="clear" w:color="auto" w:fill="DDDDDD"/>
          </w:tcPr>
          <w:p>
            <w:pPr>
              <w:jc w:val="right"/>
              <w:ind w:right="38"/>
              <w:spacing w:after="0"/>
              <w:rPr>
                <w:sz w:val="20"/>
                <w:szCs w:val="20"/>
                <w:color w:val="auto"/>
              </w:rPr>
            </w:pPr>
            <w:r>
              <w:rPr>
                <w:rFonts w:ascii="Arial" w:cs="Arial" w:eastAsia="Arial" w:hAnsi="Arial"/>
                <w:sz w:val="17"/>
                <w:szCs w:val="17"/>
                <w:color w:val="2573BA"/>
              </w:rPr>
              <w:t>2,539.1</w:t>
            </w:r>
          </w:p>
        </w:tc>
        <w:tc>
          <w:tcPr>
            <w:tcW w:w="100" w:type="dxa"/>
            <w:vAlign w:val="bottom"/>
            <w:shd w:val="clear" w:color="auto" w:fill="DDDDDD"/>
          </w:tcPr>
          <w:p>
            <w:pPr>
              <w:spacing w:after="0"/>
              <w:rPr>
                <w:sz w:val="22"/>
                <w:szCs w:val="22"/>
                <w:color w:val="auto"/>
              </w:rPr>
            </w:pPr>
          </w:p>
        </w:tc>
        <w:tc>
          <w:tcPr>
            <w:tcW w:w="160" w:type="dxa"/>
            <w:vAlign w:val="bottom"/>
            <w:shd w:val="clear" w:color="auto" w:fill="DDDDDD"/>
          </w:tcPr>
          <w:p>
            <w:pPr>
              <w:spacing w:after="0"/>
              <w:rPr>
                <w:sz w:val="22"/>
                <w:szCs w:val="22"/>
                <w:color w:val="auto"/>
              </w:rPr>
            </w:pPr>
          </w:p>
        </w:tc>
        <w:tc>
          <w:tcPr>
            <w:tcW w:w="86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131.0</w:t>
            </w:r>
          </w:p>
        </w:tc>
        <w:tc>
          <w:tcPr>
            <w:tcW w:w="100" w:type="dxa"/>
            <w:vAlign w:val="bottom"/>
            <w:shd w:val="clear" w:color="auto" w:fill="DDDDDD"/>
          </w:tcPr>
          <w:p>
            <w:pPr>
              <w:spacing w:after="0"/>
              <w:rPr>
                <w:sz w:val="22"/>
                <w:szCs w:val="22"/>
                <w:color w:val="auto"/>
              </w:rPr>
            </w:pPr>
          </w:p>
        </w:tc>
        <w:tc>
          <w:tcPr>
            <w:tcW w:w="88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2,670.1</w:t>
            </w:r>
          </w:p>
        </w:tc>
        <w:tc>
          <w:tcPr>
            <w:tcW w:w="0" w:type="dxa"/>
            <w:vAlign w:val="bottom"/>
          </w:tcPr>
          <w:p>
            <w:pPr>
              <w:spacing w:after="0"/>
              <w:rPr>
                <w:sz w:val="1"/>
                <w:szCs w:val="1"/>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7"/>
                <w:szCs w:val="17"/>
                <w:color w:val="auto"/>
              </w:rPr>
              <w:t>Other</w:t>
            </w:r>
          </w:p>
        </w:tc>
        <w:tc>
          <w:tcPr>
            <w:tcW w:w="5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38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5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4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6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8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8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5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9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8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8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comprehensive</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6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9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income (loss),</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6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9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00" w:type="dxa"/>
            <w:vAlign w:val="bottom"/>
          </w:tcPr>
          <w:p>
            <w:pPr>
              <w:spacing w:after="0"/>
              <w:rPr>
                <w:sz w:val="20"/>
                <w:szCs w:val="20"/>
                <w:color w:val="auto"/>
              </w:rPr>
            </w:pPr>
            <w:r>
              <w:rPr>
                <w:rFonts w:ascii="Arial" w:cs="Arial" w:eastAsia="Arial" w:hAnsi="Arial"/>
                <w:sz w:val="17"/>
                <w:szCs w:val="17"/>
                <w:color w:val="auto"/>
              </w:rPr>
              <w:t>net of tax</w:t>
            </w:r>
          </w:p>
        </w:tc>
        <w:tc>
          <w:tcPr>
            <w:tcW w:w="5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3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56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4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6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40" w:type="dxa"/>
            <w:vAlign w:val="bottom"/>
            <w:shd w:val="clear" w:color="auto" w:fill="DDDDDD"/>
          </w:tcPr>
          <w:p>
            <w:pPr>
              <w:spacing w:after="0"/>
              <w:rPr>
                <w:sz w:val="17"/>
                <w:szCs w:val="17"/>
                <w:color w:val="auto"/>
              </w:rPr>
            </w:pPr>
          </w:p>
        </w:tc>
        <w:tc>
          <w:tcPr>
            <w:tcW w:w="820" w:type="dxa"/>
            <w:vAlign w:val="bottom"/>
            <w:shd w:val="clear" w:color="auto" w:fill="DDDDDD"/>
          </w:tcPr>
          <w:p>
            <w:pPr>
              <w:jc w:val="right"/>
              <w:ind w:right="61"/>
              <w:spacing w:after="0"/>
              <w:rPr>
                <w:sz w:val="20"/>
                <w:szCs w:val="20"/>
                <w:color w:val="auto"/>
              </w:rPr>
            </w:pPr>
            <w:r>
              <w:rPr>
                <w:rFonts w:ascii="Arial" w:cs="Arial" w:eastAsia="Arial" w:hAnsi="Arial"/>
                <w:sz w:val="17"/>
                <w:szCs w:val="17"/>
                <w:color w:val="2573BA"/>
              </w:rPr>
              <w:t>1.5</w:t>
            </w:r>
          </w:p>
        </w:tc>
        <w:tc>
          <w:tcPr>
            <w:tcW w:w="100" w:type="dxa"/>
            <w:vAlign w:val="bottom"/>
            <w:shd w:val="clear" w:color="auto" w:fill="DDDDDD"/>
          </w:tcPr>
          <w:p>
            <w:pPr>
              <w:spacing w:after="0"/>
              <w:rPr>
                <w:sz w:val="17"/>
                <w:szCs w:val="17"/>
                <w:color w:val="auto"/>
              </w:rPr>
            </w:pPr>
          </w:p>
        </w:tc>
        <w:tc>
          <w:tcPr>
            <w:tcW w:w="8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5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84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960" w:type="dxa"/>
            <w:vAlign w:val="bottom"/>
            <w:shd w:val="clear" w:color="auto" w:fill="DDDDDD"/>
          </w:tcPr>
          <w:p>
            <w:pPr>
              <w:jc w:val="right"/>
              <w:ind w:right="38"/>
              <w:spacing w:after="0"/>
              <w:rPr>
                <w:sz w:val="20"/>
                <w:szCs w:val="20"/>
                <w:color w:val="auto"/>
              </w:rPr>
            </w:pPr>
            <w:r>
              <w:rPr>
                <w:rFonts w:ascii="Arial" w:cs="Arial" w:eastAsia="Arial" w:hAnsi="Arial"/>
                <w:sz w:val="17"/>
                <w:szCs w:val="17"/>
                <w:color w:val="2573BA"/>
              </w:rPr>
              <w:t>1.5</w:t>
            </w:r>
          </w:p>
        </w:tc>
        <w:tc>
          <w:tcPr>
            <w:tcW w:w="10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960" w:type="dxa"/>
            <w:vAlign w:val="bottom"/>
            <w:gridSpan w:val="2"/>
            <w:shd w:val="clear" w:color="auto" w:fill="DDDDDD"/>
          </w:tcPr>
          <w:p>
            <w:pPr>
              <w:jc w:val="right"/>
              <w:ind w:right="240"/>
              <w:spacing w:after="0"/>
              <w:rPr>
                <w:sz w:val="20"/>
                <w:szCs w:val="20"/>
                <w:color w:val="auto"/>
              </w:rPr>
            </w:pPr>
            <w:r>
              <w:rPr>
                <w:rFonts w:ascii="Arial" w:cs="Arial" w:eastAsia="Arial" w:hAnsi="Arial"/>
                <w:sz w:val="17"/>
                <w:szCs w:val="17"/>
                <w:color w:val="2573BA"/>
              </w:rPr>
              <w:t>—</w:t>
            </w:r>
          </w:p>
        </w:tc>
        <w:tc>
          <w:tcPr>
            <w:tcW w:w="88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1.5</w:t>
            </w:r>
          </w:p>
        </w:tc>
        <w:tc>
          <w:tcPr>
            <w:tcW w:w="0" w:type="dxa"/>
            <w:vAlign w:val="bottom"/>
          </w:tcPr>
          <w:p>
            <w:pPr>
              <w:spacing w:after="0"/>
              <w:rPr>
                <w:sz w:val="1"/>
                <w:szCs w:val="1"/>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7"/>
                <w:szCs w:val="17"/>
                <w:color w:val="auto"/>
              </w:rPr>
              <w:t>Capital</w:t>
            </w:r>
          </w:p>
        </w:tc>
        <w:tc>
          <w:tcPr>
            <w:tcW w:w="5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38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5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4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6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8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8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5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9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8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8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contribution by</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6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9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noncontrolling</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6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9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00" w:type="dxa"/>
            <w:vAlign w:val="bottom"/>
          </w:tcPr>
          <w:p>
            <w:pPr>
              <w:spacing w:after="0"/>
              <w:rPr>
                <w:sz w:val="20"/>
                <w:szCs w:val="20"/>
                <w:color w:val="auto"/>
              </w:rPr>
            </w:pPr>
            <w:r>
              <w:rPr>
                <w:rFonts w:ascii="Arial" w:cs="Arial" w:eastAsia="Arial" w:hAnsi="Arial"/>
                <w:sz w:val="17"/>
                <w:szCs w:val="17"/>
                <w:color w:val="auto"/>
              </w:rPr>
              <w:t>interest</w:t>
            </w:r>
          </w:p>
        </w:tc>
        <w:tc>
          <w:tcPr>
            <w:tcW w:w="5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3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56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4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6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40" w:type="dxa"/>
            <w:vAlign w:val="bottom"/>
            <w:shd w:val="clear" w:color="auto" w:fill="DDDDDD"/>
          </w:tcPr>
          <w:p>
            <w:pPr>
              <w:spacing w:after="0"/>
              <w:rPr>
                <w:sz w:val="17"/>
                <w:szCs w:val="17"/>
                <w:color w:val="auto"/>
              </w:rPr>
            </w:pPr>
          </w:p>
        </w:tc>
        <w:tc>
          <w:tcPr>
            <w:tcW w:w="8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8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5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84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060" w:type="dxa"/>
            <w:vAlign w:val="bottom"/>
            <w:gridSpan w:val="2"/>
            <w:shd w:val="clear" w:color="auto" w:fill="DDDDDD"/>
          </w:tcPr>
          <w:p>
            <w:pPr>
              <w:jc w:val="right"/>
              <w:ind w:right="220"/>
              <w:spacing w:after="0"/>
              <w:rPr>
                <w:sz w:val="20"/>
                <w:szCs w:val="20"/>
                <w:color w:val="auto"/>
              </w:rPr>
            </w:pPr>
            <w:r>
              <w:rPr>
                <w:rFonts w:ascii="Arial" w:cs="Arial" w:eastAsia="Arial" w:hAnsi="Arial"/>
                <w:sz w:val="17"/>
                <w:szCs w:val="17"/>
                <w:color w:val="2573BA"/>
              </w:rPr>
              <w:t>—</w:t>
            </w:r>
          </w:p>
        </w:tc>
        <w:tc>
          <w:tcPr>
            <w:tcW w:w="160" w:type="dxa"/>
            <w:vAlign w:val="bottom"/>
            <w:shd w:val="clear" w:color="auto" w:fill="DDDDDD"/>
          </w:tcPr>
          <w:p>
            <w:pPr>
              <w:spacing w:after="0"/>
              <w:rPr>
                <w:sz w:val="17"/>
                <w:szCs w:val="17"/>
                <w:color w:val="auto"/>
              </w:rPr>
            </w:pPr>
          </w:p>
        </w:tc>
        <w:tc>
          <w:tcPr>
            <w:tcW w:w="860" w:type="dxa"/>
            <w:vAlign w:val="bottom"/>
            <w:shd w:val="clear" w:color="auto" w:fill="DDDDDD"/>
          </w:tcPr>
          <w:p>
            <w:pPr>
              <w:jc w:val="right"/>
              <w:ind w:right="57"/>
              <w:spacing w:after="0"/>
              <w:rPr>
                <w:sz w:val="20"/>
                <w:szCs w:val="20"/>
                <w:color w:val="auto"/>
              </w:rPr>
            </w:pPr>
            <w:r>
              <w:rPr>
                <w:rFonts w:ascii="Arial" w:cs="Arial" w:eastAsia="Arial" w:hAnsi="Arial"/>
                <w:sz w:val="17"/>
                <w:szCs w:val="17"/>
                <w:color w:val="2573BA"/>
              </w:rPr>
              <w:t>15.8</w:t>
            </w:r>
          </w:p>
        </w:tc>
        <w:tc>
          <w:tcPr>
            <w:tcW w:w="100" w:type="dxa"/>
            <w:vAlign w:val="bottom"/>
            <w:shd w:val="clear" w:color="auto" w:fill="DDDDDD"/>
          </w:tcPr>
          <w:p>
            <w:pPr>
              <w:spacing w:after="0"/>
              <w:rPr>
                <w:sz w:val="17"/>
                <w:szCs w:val="17"/>
                <w:color w:val="auto"/>
              </w:rPr>
            </w:pPr>
          </w:p>
        </w:tc>
        <w:tc>
          <w:tcPr>
            <w:tcW w:w="88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15.8</w:t>
            </w:r>
          </w:p>
        </w:tc>
        <w:tc>
          <w:tcPr>
            <w:tcW w:w="0" w:type="dxa"/>
            <w:vAlign w:val="bottom"/>
          </w:tcPr>
          <w:p>
            <w:pPr>
              <w:spacing w:after="0"/>
              <w:rPr>
                <w:sz w:val="1"/>
                <w:szCs w:val="1"/>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7"/>
                <w:szCs w:val="17"/>
                <w:color w:val="auto"/>
              </w:rPr>
              <w:t>Distribution to</w:t>
            </w:r>
          </w:p>
        </w:tc>
        <w:tc>
          <w:tcPr>
            <w:tcW w:w="5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38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5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4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6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8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8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5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9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8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8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noncontrolling</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6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9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00" w:type="dxa"/>
            <w:vAlign w:val="bottom"/>
          </w:tcPr>
          <w:p>
            <w:pPr>
              <w:spacing w:after="0"/>
              <w:rPr>
                <w:sz w:val="20"/>
                <w:szCs w:val="20"/>
                <w:color w:val="auto"/>
              </w:rPr>
            </w:pPr>
            <w:r>
              <w:rPr>
                <w:rFonts w:ascii="Arial" w:cs="Arial" w:eastAsia="Arial" w:hAnsi="Arial"/>
                <w:sz w:val="17"/>
                <w:szCs w:val="17"/>
                <w:color w:val="auto"/>
              </w:rPr>
              <w:t>interest</w:t>
            </w:r>
          </w:p>
        </w:tc>
        <w:tc>
          <w:tcPr>
            <w:tcW w:w="5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3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56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4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6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40" w:type="dxa"/>
            <w:vAlign w:val="bottom"/>
            <w:shd w:val="clear" w:color="auto" w:fill="DDDDDD"/>
          </w:tcPr>
          <w:p>
            <w:pPr>
              <w:spacing w:after="0"/>
              <w:rPr>
                <w:sz w:val="17"/>
                <w:szCs w:val="17"/>
                <w:color w:val="auto"/>
              </w:rPr>
            </w:pPr>
          </w:p>
        </w:tc>
        <w:tc>
          <w:tcPr>
            <w:tcW w:w="8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8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5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84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060" w:type="dxa"/>
            <w:vAlign w:val="bottom"/>
            <w:gridSpan w:val="2"/>
            <w:shd w:val="clear" w:color="auto" w:fill="DDDDDD"/>
          </w:tcPr>
          <w:p>
            <w:pPr>
              <w:jc w:val="right"/>
              <w:ind w:right="220"/>
              <w:spacing w:after="0"/>
              <w:rPr>
                <w:sz w:val="20"/>
                <w:szCs w:val="20"/>
                <w:color w:val="auto"/>
              </w:rPr>
            </w:pPr>
            <w:r>
              <w:rPr>
                <w:rFonts w:ascii="Arial" w:cs="Arial" w:eastAsia="Arial" w:hAnsi="Arial"/>
                <w:sz w:val="17"/>
                <w:szCs w:val="17"/>
                <w:color w:val="2573BA"/>
              </w:rPr>
              <w:t>—</w:t>
            </w:r>
          </w:p>
        </w:tc>
        <w:tc>
          <w:tcPr>
            <w:tcW w:w="160" w:type="dxa"/>
            <w:vAlign w:val="bottom"/>
            <w:shd w:val="clear" w:color="auto" w:fill="DDDDDD"/>
          </w:tcPr>
          <w:p>
            <w:pPr>
              <w:spacing w:after="0"/>
              <w:rPr>
                <w:sz w:val="17"/>
                <w:szCs w:val="17"/>
                <w:color w:val="auto"/>
              </w:rPr>
            </w:pPr>
          </w:p>
        </w:tc>
        <w:tc>
          <w:tcPr>
            <w:tcW w:w="8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(150.0)</w:t>
            </w:r>
          </w:p>
        </w:tc>
        <w:tc>
          <w:tcPr>
            <w:tcW w:w="100" w:type="dxa"/>
            <w:vAlign w:val="bottom"/>
            <w:shd w:val="clear" w:color="auto" w:fill="DDDDDD"/>
          </w:tcPr>
          <w:p>
            <w:pPr>
              <w:spacing w:after="0"/>
              <w:rPr>
                <w:sz w:val="17"/>
                <w:szCs w:val="17"/>
                <w:color w:val="auto"/>
              </w:rPr>
            </w:pPr>
          </w:p>
        </w:tc>
        <w:tc>
          <w:tcPr>
            <w:tcW w:w="88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(150.0)</w:t>
            </w:r>
          </w:p>
        </w:tc>
        <w:tc>
          <w:tcPr>
            <w:tcW w:w="0" w:type="dxa"/>
            <w:vAlign w:val="bottom"/>
          </w:tcPr>
          <w:p>
            <w:pPr>
              <w:spacing w:after="0"/>
              <w:rPr>
                <w:sz w:val="1"/>
                <w:szCs w:val="1"/>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7"/>
                <w:szCs w:val="17"/>
                <w:color w:val="auto"/>
              </w:rPr>
              <w:t>Repurchase of</w:t>
            </w:r>
          </w:p>
        </w:tc>
        <w:tc>
          <w:tcPr>
            <w:tcW w:w="5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38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5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4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6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8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8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5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9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8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8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common stock</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6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9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pursuant to the</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6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9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2016 Share</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6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9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Repurchase</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6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9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Program, at</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6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9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00" w:type="dxa"/>
            <w:vAlign w:val="bottom"/>
          </w:tcPr>
          <w:p>
            <w:pPr>
              <w:spacing w:after="0"/>
              <w:rPr>
                <w:sz w:val="20"/>
                <w:szCs w:val="20"/>
                <w:color w:val="auto"/>
              </w:rPr>
            </w:pPr>
            <w:r>
              <w:rPr>
                <w:rFonts w:ascii="Arial" w:cs="Arial" w:eastAsia="Arial" w:hAnsi="Arial"/>
                <w:sz w:val="17"/>
                <w:szCs w:val="17"/>
                <w:color w:val="auto"/>
              </w:rPr>
              <w:t>cost</w:t>
            </w:r>
          </w:p>
        </w:tc>
        <w:tc>
          <w:tcPr>
            <w:tcW w:w="5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3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56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4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6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40" w:type="dxa"/>
            <w:vAlign w:val="bottom"/>
            <w:shd w:val="clear" w:color="auto" w:fill="DDDDDD"/>
          </w:tcPr>
          <w:p>
            <w:pPr>
              <w:spacing w:after="0"/>
              <w:rPr>
                <w:sz w:val="17"/>
                <w:szCs w:val="17"/>
                <w:color w:val="auto"/>
              </w:rPr>
            </w:pPr>
          </w:p>
        </w:tc>
        <w:tc>
          <w:tcPr>
            <w:tcW w:w="8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8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5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(3.7)</w:t>
            </w:r>
          </w:p>
        </w:tc>
        <w:tc>
          <w:tcPr>
            <w:tcW w:w="100" w:type="dxa"/>
            <w:vAlign w:val="bottom"/>
            <w:shd w:val="clear" w:color="auto" w:fill="DDDDDD"/>
          </w:tcPr>
          <w:p>
            <w:pPr>
              <w:spacing w:after="0"/>
              <w:rPr>
                <w:sz w:val="17"/>
                <w:szCs w:val="17"/>
                <w:color w:val="auto"/>
              </w:rPr>
            </w:pPr>
          </w:p>
        </w:tc>
        <w:tc>
          <w:tcPr>
            <w:tcW w:w="8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(1,000.0)</w:t>
            </w:r>
          </w:p>
        </w:tc>
        <w:tc>
          <w:tcPr>
            <w:tcW w:w="100" w:type="dxa"/>
            <w:vAlign w:val="bottom"/>
            <w:shd w:val="clear" w:color="auto" w:fill="DDDDDD"/>
          </w:tcPr>
          <w:p>
            <w:pPr>
              <w:spacing w:after="0"/>
              <w:rPr>
                <w:sz w:val="17"/>
                <w:szCs w:val="17"/>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(1,000.0)</w:t>
            </w:r>
          </w:p>
        </w:tc>
        <w:tc>
          <w:tcPr>
            <w:tcW w:w="10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86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88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(1,000.0)</w:t>
            </w:r>
          </w:p>
        </w:tc>
        <w:tc>
          <w:tcPr>
            <w:tcW w:w="0" w:type="dxa"/>
            <w:vAlign w:val="bottom"/>
          </w:tcPr>
          <w:p>
            <w:pPr>
              <w:spacing w:after="0"/>
              <w:rPr>
                <w:sz w:val="1"/>
                <w:szCs w:val="1"/>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7"/>
                <w:szCs w:val="17"/>
                <w:color w:val="auto"/>
              </w:rPr>
              <w:t>Retirement of</w:t>
            </w:r>
          </w:p>
        </w:tc>
        <w:tc>
          <w:tcPr>
            <w:tcW w:w="5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38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5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4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6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8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8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5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9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8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8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common stock</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6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9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pursuant to the</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6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9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2016 Share</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6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9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Repurchase</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6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9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Program, at</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6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9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00" w:type="dxa"/>
            <w:vAlign w:val="bottom"/>
          </w:tcPr>
          <w:p>
            <w:pPr>
              <w:spacing w:after="0"/>
              <w:rPr>
                <w:sz w:val="20"/>
                <w:szCs w:val="20"/>
                <w:color w:val="auto"/>
              </w:rPr>
            </w:pPr>
            <w:r>
              <w:rPr>
                <w:rFonts w:ascii="Arial" w:cs="Arial" w:eastAsia="Arial" w:hAnsi="Arial"/>
                <w:sz w:val="17"/>
                <w:szCs w:val="17"/>
                <w:color w:val="auto"/>
              </w:rPr>
              <w:t>cost</w:t>
            </w:r>
          </w:p>
        </w:tc>
        <w:tc>
          <w:tcPr>
            <w:tcW w:w="5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3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5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(3.7)</w:t>
            </w:r>
          </w:p>
        </w:tc>
        <w:tc>
          <w:tcPr>
            <w:tcW w:w="10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40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w:t>
            </w:r>
          </w:p>
        </w:tc>
        <w:tc>
          <w:tcPr>
            <w:tcW w:w="10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60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(36.0)</w:t>
            </w:r>
          </w:p>
        </w:tc>
        <w:tc>
          <w:tcPr>
            <w:tcW w:w="100" w:type="dxa"/>
            <w:vAlign w:val="bottom"/>
            <w:shd w:val="clear" w:color="auto" w:fill="DDDDDD"/>
          </w:tcPr>
          <w:p>
            <w:pPr>
              <w:spacing w:after="0"/>
              <w:rPr>
                <w:sz w:val="17"/>
                <w:szCs w:val="17"/>
                <w:color w:val="auto"/>
              </w:rPr>
            </w:pPr>
          </w:p>
        </w:tc>
        <w:tc>
          <w:tcPr>
            <w:tcW w:w="240" w:type="dxa"/>
            <w:vAlign w:val="bottom"/>
            <w:shd w:val="clear" w:color="auto" w:fill="DDDDDD"/>
          </w:tcPr>
          <w:p>
            <w:pPr>
              <w:spacing w:after="0"/>
              <w:rPr>
                <w:sz w:val="17"/>
                <w:szCs w:val="17"/>
                <w:color w:val="auto"/>
              </w:rPr>
            </w:pPr>
          </w:p>
        </w:tc>
        <w:tc>
          <w:tcPr>
            <w:tcW w:w="820" w:type="dxa"/>
            <w:vAlign w:val="bottom"/>
            <w:shd w:val="clear" w:color="auto" w:fill="DDDDDD"/>
          </w:tcPr>
          <w:p>
            <w:pPr>
              <w:spacing w:after="0"/>
              <w:rPr>
                <w:sz w:val="17"/>
                <w:szCs w:val="17"/>
                <w:color w:val="auto"/>
              </w:rPr>
            </w:pPr>
          </w:p>
        </w:tc>
        <w:tc>
          <w:tcPr>
            <w:tcW w:w="980" w:type="dxa"/>
            <w:vAlign w:val="bottom"/>
            <w:gridSpan w:val="2"/>
            <w:shd w:val="clear" w:color="auto" w:fill="DDDDDD"/>
          </w:tcPr>
          <w:p>
            <w:pPr>
              <w:jc w:val="right"/>
              <w:spacing w:after="0"/>
              <w:rPr>
                <w:sz w:val="20"/>
                <w:szCs w:val="20"/>
                <w:color w:val="auto"/>
              </w:rPr>
            </w:pPr>
            <w:r>
              <w:rPr>
                <w:rFonts w:ascii="Arial" w:cs="Arial" w:eastAsia="Arial" w:hAnsi="Arial"/>
                <w:sz w:val="17"/>
                <w:szCs w:val="17"/>
                <w:color w:val="2573BA"/>
              </w:rPr>
              <w:t>(964.0)</w:t>
            </w:r>
          </w:p>
        </w:tc>
        <w:tc>
          <w:tcPr>
            <w:tcW w:w="100" w:type="dxa"/>
            <w:vAlign w:val="bottom"/>
            <w:shd w:val="clear" w:color="auto" w:fill="DDDDDD"/>
          </w:tcPr>
          <w:p>
            <w:pPr>
              <w:spacing w:after="0"/>
              <w:rPr>
                <w:sz w:val="17"/>
                <w:szCs w:val="17"/>
                <w:color w:val="auto"/>
              </w:rPr>
            </w:pPr>
          </w:p>
        </w:tc>
        <w:tc>
          <w:tcPr>
            <w:tcW w:w="52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3.7</w:t>
            </w:r>
          </w:p>
        </w:tc>
        <w:tc>
          <w:tcPr>
            <w:tcW w:w="100" w:type="dxa"/>
            <w:vAlign w:val="bottom"/>
            <w:shd w:val="clear" w:color="auto" w:fill="DDDDDD"/>
          </w:tcPr>
          <w:p>
            <w:pPr>
              <w:spacing w:after="0"/>
              <w:rPr>
                <w:sz w:val="17"/>
                <w:szCs w:val="17"/>
                <w:color w:val="auto"/>
              </w:rPr>
            </w:pPr>
          </w:p>
        </w:tc>
        <w:tc>
          <w:tcPr>
            <w:tcW w:w="8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1,000.0</w:t>
            </w:r>
          </w:p>
        </w:tc>
        <w:tc>
          <w:tcPr>
            <w:tcW w:w="100" w:type="dxa"/>
            <w:vAlign w:val="bottom"/>
            <w:shd w:val="clear" w:color="auto" w:fill="DDDDDD"/>
          </w:tcPr>
          <w:p>
            <w:pPr>
              <w:spacing w:after="0"/>
              <w:rPr>
                <w:sz w:val="17"/>
                <w:szCs w:val="17"/>
                <w:color w:val="auto"/>
              </w:rPr>
            </w:pPr>
          </w:p>
        </w:tc>
        <w:tc>
          <w:tcPr>
            <w:tcW w:w="1060" w:type="dxa"/>
            <w:vAlign w:val="bottom"/>
            <w:gridSpan w:val="2"/>
            <w:shd w:val="clear" w:color="auto" w:fill="DDDDDD"/>
          </w:tcPr>
          <w:p>
            <w:pPr>
              <w:jc w:val="right"/>
              <w:ind w:right="220"/>
              <w:spacing w:after="0"/>
              <w:rPr>
                <w:sz w:val="20"/>
                <w:szCs w:val="20"/>
                <w:color w:val="auto"/>
              </w:rPr>
            </w:pPr>
            <w:r>
              <w:rPr>
                <w:rFonts w:ascii="Arial" w:cs="Arial" w:eastAsia="Arial" w:hAnsi="Arial"/>
                <w:sz w:val="17"/>
                <w:szCs w:val="17"/>
                <w:color w:val="2573BA"/>
              </w:rPr>
              <w:t>—</w:t>
            </w:r>
          </w:p>
        </w:tc>
        <w:tc>
          <w:tcPr>
            <w:tcW w:w="160" w:type="dxa"/>
            <w:vAlign w:val="bottom"/>
            <w:shd w:val="clear" w:color="auto" w:fill="DDDDDD"/>
          </w:tcPr>
          <w:p>
            <w:pPr>
              <w:spacing w:after="0"/>
              <w:rPr>
                <w:sz w:val="17"/>
                <w:szCs w:val="17"/>
                <w:color w:val="auto"/>
              </w:rPr>
            </w:pPr>
          </w:p>
        </w:tc>
        <w:tc>
          <w:tcPr>
            <w:tcW w:w="86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88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0" w:type="dxa"/>
            <w:vAlign w:val="bottom"/>
          </w:tcPr>
          <w:p>
            <w:pPr>
              <w:spacing w:after="0"/>
              <w:rPr>
                <w:sz w:val="1"/>
                <w:szCs w:val="1"/>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7"/>
                <w:szCs w:val="17"/>
                <w:color w:val="auto"/>
              </w:rPr>
              <w:t>Repurchase of</w:t>
            </w:r>
          </w:p>
        </w:tc>
        <w:tc>
          <w:tcPr>
            <w:tcW w:w="5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38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5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4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6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8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8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5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9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8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8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common stock</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6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9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pursuant to the</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6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9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2011 Share</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6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9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Repurchase</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6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9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Program, at</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6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9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00" w:type="dxa"/>
            <w:vAlign w:val="bottom"/>
          </w:tcPr>
          <w:p>
            <w:pPr>
              <w:spacing w:after="0"/>
              <w:rPr>
                <w:sz w:val="20"/>
                <w:szCs w:val="20"/>
                <w:color w:val="auto"/>
              </w:rPr>
            </w:pPr>
            <w:r>
              <w:rPr>
                <w:rFonts w:ascii="Arial" w:cs="Arial" w:eastAsia="Arial" w:hAnsi="Arial"/>
                <w:sz w:val="17"/>
                <w:szCs w:val="17"/>
                <w:color w:val="auto"/>
              </w:rPr>
              <w:t>cost</w:t>
            </w:r>
          </w:p>
        </w:tc>
        <w:tc>
          <w:tcPr>
            <w:tcW w:w="5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3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56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4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6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40" w:type="dxa"/>
            <w:vAlign w:val="bottom"/>
            <w:shd w:val="clear" w:color="auto" w:fill="DDDDDD"/>
          </w:tcPr>
          <w:p>
            <w:pPr>
              <w:spacing w:after="0"/>
              <w:rPr>
                <w:sz w:val="17"/>
                <w:szCs w:val="17"/>
                <w:color w:val="auto"/>
              </w:rPr>
            </w:pPr>
          </w:p>
        </w:tc>
        <w:tc>
          <w:tcPr>
            <w:tcW w:w="8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8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5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(1.2)</w:t>
            </w:r>
          </w:p>
        </w:tc>
        <w:tc>
          <w:tcPr>
            <w:tcW w:w="100" w:type="dxa"/>
            <w:vAlign w:val="bottom"/>
            <w:shd w:val="clear" w:color="auto" w:fill="DDDDDD"/>
          </w:tcPr>
          <w:p>
            <w:pPr>
              <w:spacing w:after="0"/>
              <w:rPr>
                <w:sz w:val="17"/>
                <w:szCs w:val="17"/>
                <w:color w:val="auto"/>
              </w:rPr>
            </w:pPr>
          </w:p>
        </w:tc>
        <w:tc>
          <w:tcPr>
            <w:tcW w:w="8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(365.4)</w:t>
            </w:r>
          </w:p>
        </w:tc>
        <w:tc>
          <w:tcPr>
            <w:tcW w:w="100" w:type="dxa"/>
            <w:vAlign w:val="bottom"/>
            <w:shd w:val="clear" w:color="auto" w:fill="DDDDDD"/>
          </w:tcPr>
          <w:p>
            <w:pPr>
              <w:spacing w:after="0"/>
              <w:rPr>
                <w:sz w:val="17"/>
                <w:szCs w:val="17"/>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(365.4)</w:t>
            </w:r>
          </w:p>
        </w:tc>
        <w:tc>
          <w:tcPr>
            <w:tcW w:w="10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86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88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(365.4)</w:t>
            </w:r>
          </w:p>
        </w:tc>
        <w:tc>
          <w:tcPr>
            <w:tcW w:w="0" w:type="dxa"/>
            <w:vAlign w:val="bottom"/>
          </w:tcPr>
          <w:p>
            <w:pPr>
              <w:spacing w:after="0"/>
              <w:rPr>
                <w:sz w:val="1"/>
                <w:szCs w:val="1"/>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7"/>
                <w:szCs w:val="17"/>
                <w:color w:val="auto"/>
              </w:rPr>
              <w:t>Issuance of</w:t>
            </w:r>
          </w:p>
        </w:tc>
        <w:tc>
          <w:tcPr>
            <w:tcW w:w="5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38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5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4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6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8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8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5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9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8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8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common stock</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6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9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under stock</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6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9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option and</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6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9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stock purchase</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6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9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00" w:type="dxa"/>
            <w:vAlign w:val="bottom"/>
          </w:tcPr>
          <w:p>
            <w:pPr>
              <w:spacing w:after="0"/>
              <w:rPr>
                <w:sz w:val="20"/>
                <w:szCs w:val="20"/>
                <w:color w:val="auto"/>
              </w:rPr>
            </w:pPr>
            <w:r>
              <w:rPr>
                <w:rFonts w:ascii="Arial" w:cs="Arial" w:eastAsia="Arial" w:hAnsi="Arial"/>
                <w:sz w:val="17"/>
                <w:szCs w:val="17"/>
                <w:color w:val="auto"/>
              </w:rPr>
              <w:t>plans</w:t>
            </w:r>
          </w:p>
        </w:tc>
        <w:tc>
          <w:tcPr>
            <w:tcW w:w="5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3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56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0.2</w:t>
            </w:r>
          </w:p>
        </w:tc>
        <w:tc>
          <w:tcPr>
            <w:tcW w:w="10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40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w:t>
            </w:r>
          </w:p>
        </w:tc>
        <w:tc>
          <w:tcPr>
            <w:tcW w:w="10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600" w:type="dxa"/>
            <w:vAlign w:val="bottom"/>
            <w:shd w:val="clear" w:color="auto" w:fill="DDDDDD"/>
          </w:tcPr>
          <w:p>
            <w:pPr>
              <w:jc w:val="right"/>
              <w:ind w:right="39"/>
              <w:spacing w:after="0"/>
              <w:rPr>
                <w:sz w:val="20"/>
                <w:szCs w:val="20"/>
                <w:color w:val="auto"/>
              </w:rPr>
            </w:pPr>
            <w:r>
              <w:rPr>
                <w:rFonts w:ascii="Arial" w:cs="Arial" w:eastAsia="Arial" w:hAnsi="Arial"/>
                <w:sz w:val="17"/>
                <w:szCs w:val="17"/>
                <w:color w:val="2573BA"/>
              </w:rPr>
              <w:t>40.5</w:t>
            </w:r>
          </w:p>
        </w:tc>
        <w:tc>
          <w:tcPr>
            <w:tcW w:w="100" w:type="dxa"/>
            <w:vAlign w:val="bottom"/>
            <w:shd w:val="clear" w:color="auto" w:fill="DDDDDD"/>
          </w:tcPr>
          <w:p>
            <w:pPr>
              <w:spacing w:after="0"/>
              <w:rPr>
                <w:sz w:val="17"/>
                <w:szCs w:val="17"/>
                <w:color w:val="auto"/>
              </w:rPr>
            </w:pPr>
          </w:p>
        </w:tc>
        <w:tc>
          <w:tcPr>
            <w:tcW w:w="240" w:type="dxa"/>
            <w:vAlign w:val="bottom"/>
            <w:shd w:val="clear" w:color="auto" w:fill="DDDDDD"/>
          </w:tcPr>
          <w:p>
            <w:pPr>
              <w:spacing w:after="0"/>
              <w:rPr>
                <w:sz w:val="17"/>
                <w:szCs w:val="17"/>
                <w:color w:val="auto"/>
              </w:rPr>
            </w:pPr>
          </w:p>
        </w:tc>
        <w:tc>
          <w:tcPr>
            <w:tcW w:w="8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980" w:type="dxa"/>
            <w:vAlign w:val="bottom"/>
            <w:gridSpan w:val="2"/>
            <w:shd w:val="clear" w:color="auto" w:fill="DDDDDD"/>
          </w:tcPr>
          <w:p>
            <w:pPr>
              <w:jc w:val="right"/>
              <w:ind w:right="200"/>
              <w:spacing w:after="0"/>
              <w:rPr>
                <w:sz w:val="20"/>
                <w:szCs w:val="20"/>
                <w:color w:val="auto"/>
              </w:rPr>
            </w:pPr>
            <w:r>
              <w:rPr>
                <w:rFonts w:ascii="Arial" w:cs="Arial" w:eastAsia="Arial" w:hAnsi="Arial"/>
                <w:sz w:val="17"/>
                <w:szCs w:val="17"/>
                <w:color w:val="2573BA"/>
              </w:rPr>
              <w:t>—</w:t>
            </w:r>
          </w:p>
        </w:tc>
        <w:tc>
          <w:tcPr>
            <w:tcW w:w="5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84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960" w:type="dxa"/>
            <w:vAlign w:val="bottom"/>
            <w:shd w:val="clear" w:color="auto" w:fill="DDDDDD"/>
          </w:tcPr>
          <w:p>
            <w:pPr>
              <w:jc w:val="right"/>
              <w:ind w:right="38"/>
              <w:spacing w:after="0"/>
              <w:rPr>
                <w:sz w:val="20"/>
                <w:szCs w:val="20"/>
                <w:color w:val="auto"/>
              </w:rPr>
            </w:pPr>
            <w:r>
              <w:rPr>
                <w:rFonts w:ascii="Arial" w:cs="Arial" w:eastAsia="Arial" w:hAnsi="Arial"/>
                <w:sz w:val="17"/>
                <w:szCs w:val="17"/>
                <w:color w:val="2573BA"/>
              </w:rPr>
              <w:t>40.5</w:t>
            </w:r>
          </w:p>
        </w:tc>
        <w:tc>
          <w:tcPr>
            <w:tcW w:w="10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86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88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40.5</w:t>
            </w:r>
          </w:p>
        </w:tc>
        <w:tc>
          <w:tcPr>
            <w:tcW w:w="0" w:type="dxa"/>
            <w:vAlign w:val="bottom"/>
          </w:tcPr>
          <w:p>
            <w:pPr>
              <w:spacing w:after="0"/>
              <w:rPr>
                <w:sz w:val="1"/>
                <w:szCs w:val="1"/>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7"/>
                <w:szCs w:val="17"/>
                <w:color w:val="auto"/>
              </w:rPr>
              <w:t>Issuance of</w:t>
            </w:r>
          </w:p>
        </w:tc>
        <w:tc>
          <w:tcPr>
            <w:tcW w:w="5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38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5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4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6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8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8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5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9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8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8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common stock</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6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9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under stock</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6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9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00" w:type="dxa"/>
            <w:vAlign w:val="bottom"/>
          </w:tcPr>
          <w:p>
            <w:pPr>
              <w:spacing w:after="0"/>
              <w:rPr>
                <w:sz w:val="20"/>
                <w:szCs w:val="20"/>
                <w:color w:val="auto"/>
              </w:rPr>
            </w:pPr>
            <w:r>
              <w:rPr>
                <w:rFonts w:ascii="Arial" w:cs="Arial" w:eastAsia="Arial" w:hAnsi="Arial"/>
                <w:sz w:val="17"/>
                <w:szCs w:val="17"/>
                <w:color w:val="auto"/>
              </w:rPr>
              <w:t>award plan</w:t>
            </w:r>
          </w:p>
        </w:tc>
        <w:tc>
          <w:tcPr>
            <w:tcW w:w="5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3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56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0.3</w:t>
            </w:r>
          </w:p>
        </w:tc>
        <w:tc>
          <w:tcPr>
            <w:tcW w:w="10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40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w:t>
            </w:r>
          </w:p>
        </w:tc>
        <w:tc>
          <w:tcPr>
            <w:tcW w:w="10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600" w:type="dxa"/>
            <w:vAlign w:val="bottom"/>
            <w:shd w:val="clear" w:color="auto" w:fill="DDDDDD"/>
          </w:tcPr>
          <w:p>
            <w:pPr>
              <w:jc w:val="right"/>
              <w:ind w:right="39"/>
              <w:spacing w:after="0"/>
              <w:rPr>
                <w:sz w:val="20"/>
                <w:szCs w:val="20"/>
                <w:color w:val="auto"/>
              </w:rPr>
            </w:pPr>
            <w:r>
              <w:rPr>
                <w:rFonts w:ascii="Arial" w:cs="Arial" w:eastAsia="Arial" w:hAnsi="Arial"/>
                <w:sz w:val="17"/>
                <w:szCs w:val="17"/>
                <w:color w:val="2573BA"/>
              </w:rPr>
              <w:t>(44.8)</w:t>
            </w:r>
          </w:p>
        </w:tc>
        <w:tc>
          <w:tcPr>
            <w:tcW w:w="100" w:type="dxa"/>
            <w:vAlign w:val="bottom"/>
            <w:shd w:val="clear" w:color="auto" w:fill="DDDDDD"/>
          </w:tcPr>
          <w:p>
            <w:pPr>
              <w:spacing w:after="0"/>
              <w:rPr>
                <w:sz w:val="17"/>
                <w:szCs w:val="17"/>
                <w:color w:val="auto"/>
              </w:rPr>
            </w:pPr>
          </w:p>
        </w:tc>
        <w:tc>
          <w:tcPr>
            <w:tcW w:w="240" w:type="dxa"/>
            <w:vAlign w:val="bottom"/>
            <w:shd w:val="clear" w:color="auto" w:fill="DDDDDD"/>
          </w:tcPr>
          <w:p>
            <w:pPr>
              <w:spacing w:after="0"/>
              <w:rPr>
                <w:sz w:val="17"/>
                <w:szCs w:val="17"/>
                <w:color w:val="auto"/>
              </w:rPr>
            </w:pPr>
          </w:p>
        </w:tc>
        <w:tc>
          <w:tcPr>
            <w:tcW w:w="820" w:type="dxa"/>
            <w:vAlign w:val="bottom"/>
            <w:shd w:val="clear" w:color="auto" w:fill="DDDDDD"/>
          </w:tcPr>
          <w:p>
            <w:pPr>
              <w:spacing w:after="0"/>
              <w:rPr>
                <w:sz w:val="17"/>
                <w:szCs w:val="17"/>
                <w:color w:val="auto"/>
              </w:rPr>
            </w:pPr>
          </w:p>
        </w:tc>
        <w:tc>
          <w:tcPr>
            <w:tcW w:w="980" w:type="dxa"/>
            <w:vAlign w:val="bottom"/>
            <w:gridSpan w:val="2"/>
            <w:shd w:val="clear" w:color="auto" w:fill="DDDDDD"/>
          </w:tcPr>
          <w:p>
            <w:pPr>
              <w:jc w:val="right"/>
              <w:spacing w:after="0"/>
              <w:rPr>
                <w:sz w:val="20"/>
                <w:szCs w:val="20"/>
                <w:color w:val="auto"/>
              </w:rPr>
            </w:pPr>
            <w:r>
              <w:rPr>
                <w:rFonts w:ascii="Arial" w:cs="Arial" w:eastAsia="Arial" w:hAnsi="Arial"/>
                <w:sz w:val="17"/>
                <w:szCs w:val="17"/>
                <w:color w:val="2573BA"/>
              </w:rPr>
              <w:t>(1.0)</w:t>
            </w:r>
          </w:p>
        </w:tc>
        <w:tc>
          <w:tcPr>
            <w:tcW w:w="100" w:type="dxa"/>
            <w:vAlign w:val="bottom"/>
            <w:shd w:val="clear" w:color="auto" w:fill="DDDDDD"/>
          </w:tcPr>
          <w:p>
            <w:pPr>
              <w:spacing w:after="0"/>
              <w:rPr>
                <w:sz w:val="17"/>
                <w:szCs w:val="17"/>
                <w:color w:val="auto"/>
              </w:rPr>
            </w:pPr>
          </w:p>
        </w:tc>
        <w:tc>
          <w:tcPr>
            <w:tcW w:w="5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84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(45.8)</w:t>
            </w:r>
          </w:p>
        </w:tc>
        <w:tc>
          <w:tcPr>
            <w:tcW w:w="10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86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88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(45.8)</w:t>
            </w:r>
          </w:p>
        </w:tc>
        <w:tc>
          <w:tcPr>
            <w:tcW w:w="0" w:type="dxa"/>
            <w:vAlign w:val="bottom"/>
          </w:tcPr>
          <w:p>
            <w:pPr>
              <w:spacing w:after="0"/>
              <w:rPr>
                <w:sz w:val="1"/>
                <w:szCs w:val="1"/>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7"/>
                <w:szCs w:val="17"/>
                <w:color w:val="auto"/>
              </w:rPr>
              <w:t>Compensation</w:t>
            </w:r>
          </w:p>
        </w:tc>
        <w:tc>
          <w:tcPr>
            <w:tcW w:w="5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38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5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4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6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8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8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5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9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8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8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related to</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6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9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share-based</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6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9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00" w:type="dxa"/>
            <w:vAlign w:val="bottom"/>
          </w:tcPr>
          <w:p>
            <w:pPr>
              <w:spacing w:after="0"/>
              <w:rPr>
                <w:sz w:val="20"/>
                <w:szCs w:val="20"/>
                <w:color w:val="auto"/>
              </w:rPr>
            </w:pPr>
            <w:r>
              <w:rPr>
                <w:rFonts w:ascii="Arial" w:cs="Arial" w:eastAsia="Arial" w:hAnsi="Arial"/>
                <w:sz w:val="17"/>
                <w:szCs w:val="17"/>
                <w:color w:val="auto"/>
              </w:rPr>
              <w:t>payments</w:t>
            </w:r>
          </w:p>
        </w:tc>
        <w:tc>
          <w:tcPr>
            <w:tcW w:w="5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3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56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4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600" w:type="dxa"/>
            <w:vAlign w:val="bottom"/>
            <w:shd w:val="clear" w:color="auto" w:fill="DDDDDD"/>
          </w:tcPr>
          <w:p>
            <w:pPr>
              <w:jc w:val="right"/>
              <w:ind w:right="39"/>
              <w:spacing w:after="0"/>
              <w:rPr>
                <w:sz w:val="20"/>
                <w:szCs w:val="20"/>
                <w:color w:val="auto"/>
              </w:rPr>
            </w:pPr>
            <w:r>
              <w:rPr>
                <w:rFonts w:ascii="Arial" w:cs="Arial" w:eastAsia="Arial" w:hAnsi="Arial"/>
                <w:sz w:val="17"/>
                <w:szCs w:val="17"/>
                <w:color w:val="2573BA"/>
              </w:rPr>
              <w:t>138.1</w:t>
            </w:r>
          </w:p>
        </w:tc>
        <w:tc>
          <w:tcPr>
            <w:tcW w:w="100" w:type="dxa"/>
            <w:vAlign w:val="bottom"/>
            <w:shd w:val="clear" w:color="auto" w:fill="DDDDDD"/>
          </w:tcPr>
          <w:p>
            <w:pPr>
              <w:spacing w:after="0"/>
              <w:rPr>
                <w:sz w:val="17"/>
                <w:szCs w:val="17"/>
                <w:color w:val="auto"/>
              </w:rPr>
            </w:pPr>
          </w:p>
        </w:tc>
        <w:tc>
          <w:tcPr>
            <w:tcW w:w="240" w:type="dxa"/>
            <w:vAlign w:val="bottom"/>
            <w:shd w:val="clear" w:color="auto" w:fill="DDDDDD"/>
          </w:tcPr>
          <w:p>
            <w:pPr>
              <w:spacing w:after="0"/>
              <w:rPr>
                <w:sz w:val="17"/>
                <w:szCs w:val="17"/>
                <w:color w:val="auto"/>
              </w:rPr>
            </w:pPr>
          </w:p>
        </w:tc>
        <w:tc>
          <w:tcPr>
            <w:tcW w:w="8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8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5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84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960" w:type="dxa"/>
            <w:vAlign w:val="bottom"/>
            <w:shd w:val="clear" w:color="auto" w:fill="DDDDDD"/>
          </w:tcPr>
          <w:p>
            <w:pPr>
              <w:jc w:val="right"/>
              <w:ind w:right="38"/>
              <w:spacing w:after="0"/>
              <w:rPr>
                <w:sz w:val="20"/>
                <w:szCs w:val="20"/>
                <w:color w:val="auto"/>
              </w:rPr>
            </w:pPr>
            <w:r>
              <w:rPr>
                <w:rFonts w:ascii="Arial" w:cs="Arial" w:eastAsia="Arial" w:hAnsi="Arial"/>
                <w:sz w:val="17"/>
                <w:szCs w:val="17"/>
                <w:color w:val="2573BA"/>
              </w:rPr>
              <w:t>138.1</w:t>
            </w:r>
          </w:p>
        </w:tc>
        <w:tc>
          <w:tcPr>
            <w:tcW w:w="10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86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88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138.1</w:t>
            </w:r>
          </w:p>
        </w:tc>
        <w:tc>
          <w:tcPr>
            <w:tcW w:w="0" w:type="dxa"/>
            <w:vAlign w:val="bottom"/>
          </w:tcPr>
          <w:p>
            <w:pPr>
              <w:spacing w:after="0"/>
              <w:rPr>
                <w:sz w:val="1"/>
                <w:szCs w:val="1"/>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7"/>
                <w:szCs w:val="17"/>
                <w:color w:val="auto"/>
              </w:rPr>
              <w:t>Hemophilia</w:t>
            </w:r>
          </w:p>
        </w:tc>
        <w:tc>
          <w:tcPr>
            <w:tcW w:w="5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38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5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4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6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8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8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5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9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8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8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spin-off</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6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9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00" w:type="dxa"/>
            <w:vAlign w:val="bottom"/>
          </w:tcPr>
          <w:p>
            <w:pPr>
              <w:spacing w:after="0"/>
              <w:rPr>
                <w:sz w:val="20"/>
                <w:szCs w:val="20"/>
                <w:color w:val="auto"/>
              </w:rPr>
            </w:pPr>
            <w:r>
              <w:rPr>
                <w:rFonts w:ascii="Arial" w:cs="Arial" w:eastAsia="Arial" w:hAnsi="Arial"/>
                <w:sz w:val="17"/>
                <w:szCs w:val="17"/>
                <w:color w:val="auto"/>
              </w:rPr>
              <w:t>adjustment</w:t>
            </w:r>
          </w:p>
        </w:tc>
        <w:tc>
          <w:tcPr>
            <w:tcW w:w="5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3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56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4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6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40" w:type="dxa"/>
            <w:vAlign w:val="bottom"/>
            <w:shd w:val="clear" w:color="auto" w:fill="DDDDDD"/>
          </w:tcPr>
          <w:p>
            <w:pPr>
              <w:spacing w:after="0"/>
              <w:rPr>
                <w:sz w:val="17"/>
                <w:szCs w:val="17"/>
                <w:color w:val="auto"/>
              </w:rPr>
            </w:pPr>
          </w:p>
        </w:tc>
        <w:tc>
          <w:tcPr>
            <w:tcW w:w="820" w:type="dxa"/>
            <w:vAlign w:val="bottom"/>
            <w:shd w:val="clear" w:color="auto" w:fill="DDDDDD"/>
          </w:tcPr>
          <w:p>
            <w:pPr>
              <w:spacing w:after="0"/>
              <w:rPr>
                <w:sz w:val="17"/>
                <w:szCs w:val="17"/>
                <w:color w:val="auto"/>
              </w:rPr>
            </w:pPr>
          </w:p>
        </w:tc>
        <w:tc>
          <w:tcPr>
            <w:tcW w:w="980" w:type="dxa"/>
            <w:vAlign w:val="bottom"/>
            <w:gridSpan w:val="2"/>
            <w:shd w:val="clear" w:color="auto" w:fill="DDDDDD"/>
          </w:tcPr>
          <w:p>
            <w:pPr>
              <w:jc w:val="right"/>
              <w:spacing w:after="0"/>
              <w:rPr>
                <w:sz w:val="20"/>
                <w:szCs w:val="20"/>
                <w:color w:val="auto"/>
              </w:rPr>
            </w:pPr>
            <w:r>
              <w:rPr>
                <w:rFonts w:ascii="Arial" w:cs="Arial" w:eastAsia="Arial" w:hAnsi="Arial"/>
                <w:sz w:val="17"/>
                <w:szCs w:val="17"/>
                <w:color w:val="2573BA"/>
              </w:rPr>
              <w:t>(852.8)</w:t>
            </w:r>
          </w:p>
        </w:tc>
        <w:tc>
          <w:tcPr>
            <w:tcW w:w="100" w:type="dxa"/>
            <w:vAlign w:val="bottom"/>
            <w:shd w:val="clear" w:color="auto" w:fill="DDDDDD"/>
          </w:tcPr>
          <w:p>
            <w:pPr>
              <w:spacing w:after="0"/>
              <w:rPr>
                <w:sz w:val="17"/>
                <w:szCs w:val="17"/>
                <w:color w:val="auto"/>
              </w:rPr>
            </w:pPr>
          </w:p>
        </w:tc>
        <w:tc>
          <w:tcPr>
            <w:tcW w:w="5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84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(852.8)</w:t>
            </w:r>
          </w:p>
        </w:tc>
        <w:tc>
          <w:tcPr>
            <w:tcW w:w="10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86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88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(852.8)</w:t>
            </w:r>
          </w:p>
        </w:tc>
        <w:tc>
          <w:tcPr>
            <w:tcW w:w="0" w:type="dxa"/>
            <w:vAlign w:val="bottom"/>
          </w:tcPr>
          <w:p>
            <w:pPr>
              <w:spacing w:after="0"/>
              <w:rPr>
                <w:sz w:val="1"/>
                <w:szCs w:val="1"/>
                <w:color w:val="auto"/>
              </w:rPr>
            </w:pPr>
          </w:p>
        </w:tc>
      </w:tr>
      <w:tr>
        <w:trPr>
          <w:trHeight w:val="263"/>
        </w:trPr>
        <w:tc>
          <w:tcPr>
            <w:tcW w:w="1200" w:type="dxa"/>
            <w:vAlign w:val="bottom"/>
          </w:tcPr>
          <w:p>
            <w:pPr>
              <w:spacing w:after="0"/>
              <w:rPr>
                <w:sz w:val="20"/>
                <w:szCs w:val="20"/>
                <w:color w:val="auto"/>
              </w:rPr>
            </w:pPr>
            <w:r>
              <w:rPr>
                <w:rFonts w:ascii="Arial" w:cs="Arial" w:eastAsia="Arial" w:hAnsi="Arial"/>
                <w:sz w:val="17"/>
                <w:szCs w:val="17"/>
                <w:color w:val="auto"/>
              </w:rPr>
              <w:t>Tax benefit</w:t>
            </w:r>
          </w:p>
        </w:tc>
        <w:tc>
          <w:tcPr>
            <w:tcW w:w="520" w:type="dxa"/>
            <w:vAlign w:val="bottom"/>
            <w:tcBorders>
              <w:bottom w:val="single" w:sz="8" w:color="auto"/>
            </w:tcBorders>
            <w:shd w:val="clear" w:color="auto" w:fill="DDDDDD"/>
          </w:tcPr>
          <w:p>
            <w:pPr>
              <w:spacing w:after="0"/>
              <w:rPr>
                <w:sz w:val="22"/>
                <w:szCs w:val="22"/>
                <w:color w:val="auto"/>
              </w:rPr>
            </w:pPr>
          </w:p>
        </w:tc>
        <w:tc>
          <w:tcPr>
            <w:tcW w:w="100" w:type="dxa"/>
            <w:vAlign w:val="bottom"/>
            <w:tcBorders>
              <w:bottom w:val="single" w:sz="8" w:color="DDDDDD"/>
            </w:tcBorders>
            <w:shd w:val="clear" w:color="auto" w:fill="DDDDDD"/>
          </w:tcPr>
          <w:p>
            <w:pPr>
              <w:spacing w:after="0"/>
              <w:rPr>
                <w:sz w:val="22"/>
                <w:szCs w:val="22"/>
                <w:color w:val="auto"/>
              </w:rPr>
            </w:pPr>
          </w:p>
        </w:tc>
        <w:tc>
          <w:tcPr>
            <w:tcW w:w="200" w:type="dxa"/>
            <w:vAlign w:val="bottom"/>
            <w:tcBorders>
              <w:bottom w:val="single" w:sz="8" w:color="auto"/>
            </w:tcBorders>
            <w:shd w:val="clear" w:color="auto" w:fill="DDDDDD"/>
          </w:tcPr>
          <w:p>
            <w:pPr>
              <w:spacing w:after="0"/>
              <w:rPr>
                <w:sz w:val="22"/>
                <w:szCs w:val="22"/>
                <w:color w:val="auto"/>
              </w:rPr>
            </w:pPr>
          </w:p>
        </w:tc>
        <w:tc>
          <w:tcPr>
            <w:tcW w:w="380" w:type="dxa"/>
            <w:vAlign w:val="bottom"/>
            <w:tcBorders>
              <w:bottom w:val="single" w:sz="8" w:color="auto"/>
            </w:tcBorders>
            <w:shd w:val="clear" w:color="auto" w:fill="DDDDDD"/>
          </w:tcPr>
          <w:p>
            <w:pPr>
              <w:spacing w:after="0"/>
              <w:rPr>
                <w:sz w:val="22"/>
                <w:szCs w:val="22"/>
                <w:color w:val="auto"/>
              </w:rPr>
            </w:pPr>
          </w:p>
        </w:tc>
        <w:tc>
          <w:tcPr>
            <w:tcW w:w="100" w:type="dxa"/>
            <w:vAlign w:val="bottom"/>
            <w:tcBorders>
              <w:bottom w:val="single" w:sz="8" w:color="DDDDDD"/>
            </w:tcBorders>
            <w:shd w:val="clear" w:color="auto" w:fill="DDDDDD"/>
          </w:tcPr>
          <w:p>
            <w:pPr>
              <w:spacing w:after="0"/>
              <w:rPr>
                <w:sz w:val="22"/>
                <w:szCs w:val="22"/>
                <w:color w:val="auto"/>
              </w:rPr>
            </w:pPr>
          </w:p>
        </w:tc>
        <w:tc>
          <w:tcPr>
            <w:tcW w:w="560" w:type="dxa"/>
            <w:vAlign w:val="bottom"/>
            <w:tcBorders>
              <w:bottom w:val="single" w:sz="8" w:color="auto"/>
            </w:tcBorders>
            <w:shd w:val="clear" w:color="auto" w:fill="DDDDDD"/>
          </w:tcPr>
          <w:p>
            <w:pPr>
              <w:spacing w:after="0"/>
              <w:rPr>
                <w:sz w:val="22"/>
                <w:szCs w:val="22"/>
                <w:color w:val="auto"/>
              </w:rPr>
            </w:pPr>
          </w:p>
        </w:tc>
        <w:tc>
          <w:tcPr>
            <w:tcW w:w="100" w:type="dxa"/>
            <w:vAlign w:val="bottom"/>
            <w:tcBorders>
              <w:bottom w:val="single" w:sz="8" w:color="DDDDDD"/>
            </w:tcBorders>
            <w:shd w:val="clear" w:color="auto" w:fill="DDDDDD"/>
          </w:tcPr>
          <w:p>
            <w:pPr>
              <w:spacing w:after="0"/>
              <w:rPr>
                <w:sz w:val="22"/>
                <w:szCs w:val="22"/>
                <w:color w:val="auto"/>
              </w:rPr>
            </w:pPr>
          </w:p>
        </w:tc>
        <w:tc>
          <w:tcPr>
            <w:tcW w:w="180" w:type="dxa"/>
            <w:vAlign w:val="bottom"/>
            <w:tcBorders>
              <w:bottom w:val="single" w:sz="8" w:color="auto"/>
            </w:tcBorders>
            <w:shd w:val="clear" w:color="auto" w:fill="DDDDDD"/>
          </w:tcPr>
          <w:p>
            <w:pPr>
              <w:spacing w:after="0"/>
              <w:rPr>
                <w:sz w:val="22"/>
                <w:szCs w:val="22"/>
                <w:color w:val="auto"/>
              </w:rPr>
            </w:pPr>
          </w:p>
        </w:tc>
        <w:tc>
          <w:tcPr>
            <w:tcW w:w="400" w:type="dxa"/>
            <w:vAlign w:val="bottom"/>
            <w:tcBorders>
              <w:bottom w:val="single" w:sz="8" w:color="auto"/>
            </w:tcBorders>
            <w:shd w:val="clear" w:color="auto" w:fill="DDDDDD"/>
          </w:tcPr>
          <w:p>
            <w:pPr>
              <w:spacing w:after="0"/>
              <w:rPr>
                <w:sz w:val="22"/>
                <w:szCs w:val="22"/>
                <w:color w:val="auto"/>
              </w:rPr>
            </w:pPr>
          </w:p>
        </w:tc>
        <w:tc>
          <w:tcPr>
            <w:tcW w:w="100" w:type="dxa"/>
            <w:vAlign w:val="bottom"/>
            <w:tcBorders>
              <w:bottom w:val="single" w:sz="8" w:color="DDDDDD"/>
            </w:tcBorders>
            <w:shd w:val="clear" w:color="auto" w:fill="DDDDDD"/>
          </w:tcPr>
          <w:p>
            <w:pPr>
              <w:spacing w:after="0"/>
              <w:rPr>
                <w:sz w:val="22"/>
                <w:szCs w:val="22"/>
                <w:color w:val="auto"/>
              </w:rPr>
            </w:pPr>
          </w:p>
        </w:tc>
        <w:tc>
          <w:tcPr>
            <w:tcW w:w="140" w:type="dxa"/>
            <w:vAlign w:val="bottom"/>
            <w:tcBorders>
              <w:bottom w:val="single" w:sz="8" w:color="auto"/>
            </w:tcBorders>
            <w:shd w:val="clear" w:color="auto" w:fill="DDDDDD"/>
          </w:tcPr>
          <w:p>
            <w:pPr>
              <w:spacing w:after="0"/>
              <w:rPr>
                <w:sz w:val="22"/>
                <w:szCs w:val="22"/>
                <w:color w:val="auto"/>
              </w:rPr>
            </w:pPr>
          </w:p>
        </w:tc>
        <w:tc>
          <w:tcPr>
            <w:tcW w:w="600" w:type="dxa"/>
            <w:vAlign w:val="bottom"/>
            <w:tcBorders>
              <w:bottom w:val="single" w:sz="8" w:color="auto"/>
            </w:tcBorders>
            <w:shd w:val="clear" w:color="auto" w:fill="DDDDDD"/>
          </w:tcPr>
          <w:p>
            <w:pPr>
              <w:spacing w:after="0"/>
              <w:rPr>
                <w:sz w:val="22"/>
                <w:szCs w:val="22"/>
                <w:color w:val="auto"/>
              </w:rPr>
            </w:pPr>
          </w:p>
        </w:tc>
        <w:tc>
          <w:tcPr>
            <w:tcW w:w="100" w:type="dxa"/>
            <w:vAlign w:val="bottom"/>
            <w:tcBorders>
              <w:bottom w:val="single" w:sz="8" w:color="DDDDDD"/>
            </w:tcBorders>
            <w:shd w:val="clear" w:color="auto" w:fill="DDDDDD"/>
          </w:tcPr>
          <w:p>
            <w:pPr>
              <w:spacing w:after="0"/>
              <w:rPr>
                <w:sz w:val="22"/>
                <w:szCs w:val="22"/>
                <w:color w:val="auto"/>
              </w:rPr>
            </w:pPr>
          </w:p>
        </w:tc>
        <w:tc>
          <w:tcPr>
            <w:tcW w:w="240" w:type="dxa"/>
            <w:vAlign w:val="bottom"/>
            <w:tcBorders>
              <w:bottom w:val="single" w:sz="8" w:color="auto"/>
            </w:tcBorders>
            <w:shd w:val="clear" w:color="auto" w:fill="DDDDDD"/>
          </w:tcPr>
          <w:p>
            <w:pPr>
              <w:spacing w:after="0"/>
              <w:rPr>
                <w:sz w:val="22"/>
                <w:szCs w:val="22"/>
                <w:color w:val="auto"/>
              </w:rPr>
            </w:pPr>
          </w:p>
        </w:tc>
        <w:tc>
          <w:tcPr>
            <w:tcW w:w="820" w:type="dxa"/>
            <w:vAlign w:val="bottom"/>
            <w:tcBorders>
              <w:bottom w:val="single" w:sz="8" w:color="auto"/>
            </w:tcBorders>
            <w:shd w:val="clear" w:color="auto" w:fill="DDDDDD"/>
          </w:tcPr>
          <w:p>
            <w:pPr>
              <w:spacing w:after="0"/>
              <w:rPr>
                <w:sz w:val="22"/>
                <w:szCs w:val="22"/>
                <w:color w:val="auto"/>
              </w:rPr>
            </w:pPr>
          </w:p>
        </w:tc>
        <w:tc>
          <w:tcPr>
            <w:tcW w:w="100" w:type="dxa"/>
            <w:vAlign w:val="bottom"/>
            <w:tcBorders>
              <w:bottom w:val="single" w:sz="8" w:color="DDDDDD"/>
            </w:tcBorders>
            <w:shd w:val="clear" w:color="auto" w:fill="DDDDDD"/>
          </w:tcPr>
          <w:p>
            <w:pPr>
              <w:spacing w:after="0"/>
              <w:rPr>
                <w:sz w:val="22"/>
                <w:szCs w:val="22"/>
                <w:color w:val="auto"/>
              </w:rPr>
            </w:pPr>
          </w:p>
        </w:tc>
        <w:tc>
          <w:tcPr>
            <w:tcW w:w="880" w:type="dxa"/>
            <w:vAlign w:val="bottom"/>
            <w:tcBorders>
              <w:bottom w:val="single" w:sz="8" w:color="auto"/>
            </w:tcBorders>
            <w:shd w:val="clear" w:color="auto" w:fill="DDDDDD"/>
          </w:tcPr>
          <w:p>
            <w:pPr>
              <w:jc w:val="right"/>
              <w:ind w:right="21"/>
              <w:spacing w:after="0"/>
              <w:rPr>
                <w:sz w:val="20"/>
                <w:szCs w:val="20"/>
                <w:color w:val="auto"/>
              </w:rPr>
            </w:pPr>
            <w:r>
              <w:rPr>
                <w:rFonts w:ascii="Arial" w:cs="Arial" w:eastAsia="Arial" w:hAnsi="Arial"/>
                <w:sz w:val="17"/>
                <w:szCs w:val="17"/>
                <w:color w:val="2573BA"/>
              </w:rPr>
              <w:t>17.5</w:t>
            </w:r>
          </w:p>
        </w:tc>
        <w:tc>
          <w:tcPr>
            <w:tcW w:w="100" w:type="dxa"/>
            <w:vAlign w:val="bottom"/>
            <w:tcBorders>
              <w:bottom w:val="single" w:sz="8" w:color="DDDDDD"/>
            </w:tcBorders>
            <w:shd w:val="clear" w:color="auto" w:fill="DDDDDD"/>
          </w:tcPr>
          <w:p>
            <w:pPr>
              <w:spacing w:after="0"/>
              <w:rPr>
                <w:sz w:val="22"/>
                <w:szCs w:val="22"/>
                <w:color w:val="auto"/>
              </w:rPr>
            </w:pPr>
          </w:p>
        </w:tc>
        <w:tc>
          <w:tcPr>
            <w:tcW w:w="520" w:type="dxa"/>
            <w:vAlign w:val="bottom"/>
            <w:tcBorders>
              <w:bottom w:val="single" w:sz="8" w:color="auto"/>
            </w:tcBorders>
            <w:shd w:val="clear" w:color="auto" w:fill="DDDDDD"/>
          </w:tcPr>
          <w:p>
            <w:pPr>
              <w:spacing w:after="0"/>
              <w:rPr>
                <w:sz w:val="22"/>
                <w:szCs w:val="22"/>
                <w:color w:val="auto"/>
              </w:rPr>
            </w:pPr>
          </w:p>
        </w:tc>
        <w:tc>
          <w:tcPr>
            <w:tcW w:w="100" w:type="dxa"/>
            <w:vAlign w:val="bottom"/>
            <w:tcBorders>
              <w:bottom w:val="single" w:sz="8" w:color="DDDDDD"/>
            </w:tcBorders>
            <w:shd w:val="clear" w:color="auto" w:fill="DDDDDD"/>
          </w:tcPr>
          <w:p>
            <w:pPr>
              <w:spacing w:after="0"/>
              <w:rPr>
                <w:sz w:val="22"/>
                <w:szCs w:val="22"/>
                <w:color w:val="auto"/>
              </w:rPr>
            </w:pPr>
          </w:p>
        </w:tc>
        <w:tc>
          <w:tcPr>
            <w:tcW w:w="840" w:type="dxa"/>
            <w:vAlign w:val="bottom"/>
            <w:tcBorders>
              <w:bottom w:val="single" w:sz="8" w:color="auto"/>
            </w:tcBorders>
            <w:shd w:val="clear" w:color="auto" w:fill="DDDDDD"/>
          </w:tcPr>
          <w:p>
            <w:pPr>
              <w:spacing w:after="0"/>
              <w:rPr>
                <w:sz w:val="22"/>
                <w:szCs w:val="22"/>
                <w:color w:val="auto"/>
              </w:rPr>
            </w:pPr>
          </w:p>
        </w:tc>
        <w:tc>
          <w:tcPr>
            <w:tcW w:w="100" w:type="dxa"/>
            <w:vAlign w:val="bottom"/>
            <w:tcBorders>
              <w:bottom w:val="single" w:sz="8" w:color="DDDDDD"/>
            </w:tcBorders>
            <w:shd w:val="clear" w:color="auto" w:fill="DDDDDD"/>
          </w:tcPr>
          <w:p>
            <w:pPr>
              <w:spacing w:after="0"/>
              <w:rPr>
                <w:sz w:val="22"/>
                <w:szCs w:val="22"/>
                <w:color w:val="auto"/>
              </w:rPr>
            </w:pPr>
          </w:p>
        </w:tc>
        <w:tc>
          <w:tcPr>
            <w:tcW w:w="960" w:type="dxa"/>
            <w:vAlign w:val="bottom"/>
            <w:tcBorders>
              <w:bottom w:val="single" w:sz="8" w:color="auto"/>
            </w:tcBorders>
            <w:shd w:val="clear" w:color="auto" w:fill="DDDDDD"/>
          </w:tcPr>
          <w:p>
            <w:pPr>
              <w:jc w:val="right"/>
              <w:ind w:right="38"/>
              <w:spacing w:after="0"/>
              <w:rPr>
                <w:sz w:val="20"/>
                <w:szCs w:val="20"/>
                <w:color w:val="auto"/>
              </w:rPr>
            </w:pPr>
            <w:r>
              <w:rPr>
                <w:rFonts w:ascii="Arial" w:cs="Arial" w:eastAsia="Arial" w:hAnsi="Arial"/>
                <w:sz w:val="17"/>
                <w:szCs w:val="17"/>
                <w:color w:val="2573BA"/>
              </w:rPr>
              <w:t>17.5</w:t>
            </w:r>
          </w:p>
        </w:tc>
        <w:tc>
          <w:tcPr>
            <w:tcW w:w="100" w:type="dxa"/>
            <w:vAlign w:val="bottom"/>
            <w:tcBorders>
              <w:bottom w:val="single" w:sz="8" w:color="DDDDDD"/>
            </w:tcBorders>
            <w:shd w:val="clear" w:color="auto" w:fill="DDDDDD"/>
          </w:tcPr>
          <w:p>
            <w:pPr>
              <w:spacing w:after="0"/>
              <w:rPr>
                <w:sz w:val="22"/>
                <w:szCs w:val="22"/>
                <w:color w:val="auto"/>
              </w:rPr>
            </w:pPr>
          </w:p>
        </w:tc>
        <w:tc>
          <w:tcPr>
            <w:tcW w:w="160" w:type="dxa"/>
            <w:vAlign w:val="bottom"/>
            <w:tcBorders>
              <w:bottom w:val="single" w:sz="8" w:color="auto"/>
            </w:tcBorders>
            <w:shd w:val="clear" w:color="auto" w:fill="DDDDDD"/>
          </w:tcPr>
          <w:p>
            <w:pPr>
              <w:spacing w:after="0"/>
              <w:rPr>
                <w:sz w:val="22"/>
                <w:szCs w:val="22"/>
                <w:color w:val="auto"/>
              </w:rPr>
            </w:pPr>
          </w:p>
        </w:tc>
        <w:tc>
          <w:tcPr>
            <w:tcW w:w="860" w:type="dxa"/>
            <w:vAlign w:val="bottom"/>
            <w:tcBorders>
              <w:bottom w:val="single" w:sz="8" w:color="auto"/>
            </w:tcBorders>
            <w:shd w:val="clear" w:color="auto" w:fill="DDDDDD"/>
          </w:tcPr>
          <w:p>
            <w:pPr>
              <w:spacing w:after="0"/>
              <w:rPr>
                <w:sz w:val="22"/>
                <w:szCs w:val="22"/>
                <w:color w:val="auto"/>
              </w:rPr>
            </w:pPr>
          </w:p>
        </w:tc>
        <w:tc>
          <w:tcPr>
            <w:tcW w:w="100" w:type="dxa"/>
            <w:vAlign w:val="bottom"/>
            <w:tcBorders>
              <w:bottom w:val="single" w:sz="8" w:color="DDDDDD"/>
            </w:tcBorders>
            <w:shd w:val="clear" w:color="auto" w:fill="DDDDDD"/>
          </w:tcPr>
          <w:p>
            <w:pPr>
              <w:spacing w:after="0"/>
              <w:rPr>
                <w:sz w:val="22"/>
                <w:szCs w:val="22"/>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17.5</w:t>
            </w:r>
          </w:p>
        </w:tc>
        <w:tc>
          <w:tcPr>
            <w:tcW w:w="0" w:type="dxa"/>
            <w:vAlign w:val="bottom"/>
          </w:tcPr>
          <w:p>
            <w:pPr>
              <w:spacing w:after="0"/>
              <w:rPr>
                <w:sz w:val="1"/>
                <w:szCs w:val="1"/>
                <w:color w:val="auto"/>
              </w:rPr>
            </w:pPr>
          </w:p>
        </w:tc>
      </w:tr>
      <w:tr>
        <w:trPr>
          <w:trHeight w:val="184"/>
        </w:trPr>
        <w:tc>
          <w:tcPr>
            <w:tcW w:w="1200" w:type="dxa"/>
            <w:vAlign w:val="bottom"/>
          </w:tcPr>
          <w:p>
            <w:pPr>
              <w:spacing w:after="0" w:line="185" w:lineRule="exact"/>
              <w:rPr>
                <w:sz w:val="20"/>
                <w:szCs w:val="20"/>
                <w:color w:val="auto"/>
              </w:rPr>
            </w:pPr>
            <w:r>
              <w:rPr>
                <w:rFonts w:ascii="Arial" w:cs="Arial" w:eastAsia="Arial" w:hAnsi="Arial"/>
                <w:sz w:val="17"/>
                <w:szCs w:val="17"/>
                <w:b w:val="1"/>
                <w:bCs w:val="1"/>
                <w:color w:val="auto"/>
              </w:rPr>
              <w:t>Balance,</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6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9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b w:val="1"/>
                <w:bCs w:val="1"/>
                <w:color w:val="auto"/>
              </w:rPr>
              <w:t>December 31,</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6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9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200" w:type="dxa"/>
            <w:vAlign w:val="bottom"/>
          </w:tcPr>
          <w:p>
            <w:pPr>
              <w:spacing w:after="0"/>
              <w:rPr>
                <w:sz w:val="20"/>
                <w:szCs w:val="20"/>
                <w:color w:val="auto"/>
              </w:rPr>
            </w:pPr>
            <w:r>
              <w:rPr>
                <w:rFonts w:ascii="Arial" w:cs="Arial" w:eastAsia="Arial" w:hAnsi="Arial"/>
                <w:sz w:val="17"/>
                <w:szCs w:val="17"/>
                <w:b w:val="1"/>
                <w:bCs w:val="1"/>
                <w:color w:val="auto"/>
              </w:rPr>
              <w:t>2017</w:t>
            </w:r>
          </w:p>
        </w:tc>
        <w:tc>
          <w:tcPr>
            <w:tcW w:w="520" w:type="dxa"/>
            <w:vAlign w:val="bottom"/>
            <w:tcBorders>
              <w:bottom w:val="single" w:sz="8" w:color="auto"/>
            </w:tcBorders>
            <w:shd w:val="clear" w:color="auto" w:fill="DDDDDD"/>
          </w:tcPr>
          <w:p>
            <w:pPr>
              <w:ind w:left="220"/>
              <w:spacing w:after="0"/>
              <w:rPr>
                <w:sz w:val="20"/>
                <w:szCs w:val="20"/>
                <w:color w:val="auto"/>
              </w:rPr>
            </w:pPr>
            <w:r>
              <w:rPr>
                <w:rFonts w:ascii="Arial" w:cs="Arial" w:eastAsia="Arial" w:hAnsi="Arial"/>
                <w:sz w:val="17"/>
                <w:szCs w:val="17"/>
                <w:color w:val="2573BA"/>
              </w:rPr>
              <w:t>—</w:t>
            </w:r>
          </w:p>
        </w:tc>
        <w:tc>
          <w:tcPr>
            <w:tcW w:w="100" w:type="dxa"/>
            <w:vAlign w:val="bottom"/>
            <w:tcBorders>
              <w:bottom w:val="single" w:sz="8" w:color="DDDDDD"/>
            </w:tcBorders>
            <w:shd w:val="clear" w:color="auto" w:fill="DDDDDD"/>
          </w:tcPr>
          <w:p>
            <w:pPr>
              <w:spacing w:after="0"/>
              <w:rPr>
                <w:sz w:val="19"/>
                <w:szCs w:val="19"/>
                <w:color w:val="auto"/>
              </w:rPr>
            </w:pPr>
          </w:p>
        </w:tc>
        <w:tc>
          <w:tcPr>
            <w:tcW w:w="200" w:type="dxa"/>
            <w:vAlign w:val="bottom"/>
            <w:tcBorders>
              <w:bottom w:val="single" w:sz="8" w:color="auto"/>
            </w:tcBorders>
            <w:shd w:val="clear" w:color="auto" w:fill="DDDDDD"/>
          </w:tcPr>
          <w:p>
            <w:pPr>
              <w:ind w:left="20"/>
              <w:spacing w:after="0"/>
              <w:rPr>
                <w:sz w:val="20"/>
                <w:szCs w:val="20"/>
                <w:color w:val="auto"/>
              </w:rPr>
            </w:pPr>
            <w:r>
              <w:rPr>
                <w:rFonts w:ascii="Arial" w:cs="Arial" w:eastAsia="Arial" w:hAnsi="Arial"/>
                <w:sz w:val="17"/>
                <w:szCs w:val="17"/>
                <w:color w:val="2573BA"/>
              </w:rPr>
              <w:t>$</w:t>
            </w:r>
          </w:p>
        </w:tc>
        <w:tc>
          <w:tcPr>
            <w:tcW w:w="380" w:type="dxa"/>
            <w:vAlign w:val="bottom"/>
            <w:tcBorders>
              <w:bottom w:val="single" w:sz="8" w:color="auto"/>
            </w:tcBorders>
            <w:shd w:val="clear" w:color="auto" w:fill="DDDDDD"/>
          </w:tcPr>
          <w:p>
            <w:pPr>
              <w:ind w:left="100"/>
              <w:spacing w:after="0"/>
              <w:rPr>
                <w:sz w:val="20"/>
                <w:szCs w:val="20"/>
                <w:color w:val="auto"/>
              </w:rPr>
            </w:pPr>
            <w:r>
              <w:rPr>
                <w:rFonts w:ascii="Arial" w:cs="Arial" w:eastAsia="Arial" w:hAnsi="Arial"/>
                <w:sz w:val="17"/>
                <w:szCs w:val="17"/>
                <w:color w:val="2573BA"/>
              </w:rPr>
              <w:t>—</w:t>
            </w:r>
          </w:p>
        </w:tc>
        <w:tc>
          <w:tcPr>
            <w:tcW w:w="100" w:type="dxa"/>
            <w:vAlign w:val="bottom"/>
            <w:tcBorders>
              <w:bottom w:val="single" w:sz="8" w:color="DDDDDD"/>
            </w:tcBorders>
            <w:shd w:val="clear" w:color="auto" w:fill="DDDDDD"/>
          </w:tcPr>
          <w:p>
            <w:pPr>
              <w:spacing w:after="0"/>
              <w:rPr>
                <w:sz w:val="19"/>
                <w:szCs w:val="19"/>
                <w:color w:val="auto"/>
              </w:rPr>
            </w:pPr>
          </w:p>
        </w:tc>
        <w:tc>
          <w:tcPr>
            <w:tcW w:w="560" w:type="dxa"/>
            <w:vAlign w:val="bottom"/>
            <w:tcBorders>
              <w:bottom w:val="single" w:sz="8" w:color="auto"/>
            </w:tcBorders>
            <w:shd w:val="clear" w:color="auto" w:fill="DDDDDD"/>
          </w:tcPr>
          <w:p>
            <w:pPr>
              <w:jc w:val="right"/>
              <w:ind w:right="20"/>
              <w:spacing w:after="0"/>
              <w:rPr>
                <w:sz w:val="20"/>
                <w:szCs w:val="20"/>
                <w:color w:val="auto"/>
              </w:rPr>
            </w:pPr>
            <w:r>
              <w:rPr>
                <w:rFonts w:ascii="Arial" w:cs="Arial" w:eastAsia="Arial" w:hAnsi="Arial"/>
                <w:sz w:val="17"/>
                <w:szCs w:val="17"/>
                <w:color w:val="2573BA"/>
              </w:rPr>
              <w:t>235.3</w:t>
            </w:r>
          </w:p>
        </w:tc>
        <w:tc>
          <w:tcPr>
            <w:tcW w:w="100" w:type="dxa"/>
            <w:vAlign w:val="bottom"/>
            <w:tcBorders>
              <w:bottom w:val="single" w:sz="8" w:color="DDDDDD"/>
            </w:tcBorders>
            <w:shd w:val="clear" w:color="auto" w:fill="DDDDDD"/>
          </w:tcPr>
          <w:p>
            <w:pPr>
              <w:spacing w:after="0"/>
              <w:rPr>
                <w:sz w:val="19"/>
                <w:szCs w:val="19"/>
                <w:color w:val="auto"/>
              </w:rPr>
            </w:pPr>
          </w:p>
        </w:tc>
        <w:tc>
          <w:tcPr>
            <w:tcW w:w="180" w:type="dxa"/>
            <w:vAlign w:val="bottom"/>
            <w:tcBorders>
              <w:bottom w:val="single" w:sz="8" w:color="auto"/>
            </w:tcBorders>
            <w:shd w:val="clear" w:color="auto" w:fill="DDDDDD"/>
          </w:tcPr>
          <w:p>
            <w:pPr>
              <w:ind w:left="20"/>
              <w:spacing w:after="0"/>
              <w:rPr>
                <w:sz w:val="20"/>
                <w:szCs w:val="20"/>
                <w:color w:val="auto"/>
              </w:rPr>
            </w:pPr>
            <w:r>
              <w:rPr>
                <w:rFonts w:ascii="Arial" w:cs="Arial" w:eastAsia="Arial" w:hAnsi="Arial"/>
                <w:sz w:val="17"/>
                <w:szCs w:val="17"/>
                <w:color w:val="2573BA"/>
              </w:rPr>
              <w:t>$</w:t>
            </w:r>
          </w:p>
        </w:tc>
        <w:tc>
          <w:tcPr>
            <w:tcW w:w="400" w:type="dxa"/>
            <w:vAlign w:val="bottom"/>
            <w:tcBorders>
              <w:bottom w:val="single" w:sz="8" w:color="auto"/>
            </w:tcBorders>
            <w:shd w:val="clear" w:color="auto" w:fill="DDDDDD"/>
          </w:tcPr>
          <w:p>
            <w:pPr>
              <w:jc w:val="right"/>
              <w:ind w:right="15"/>
              <w:spacing w:after="0"/>
              <w:rPr>
                <w:sz w:val="20"/>
                <w:szCs w:val="20"/>
                <w:color w:val="auto"/>
              </w:rPr>
            </w:pPr>
            <w:r>
              <w:rPr>
                <w:rFonts w:ascii="Arial" w:cs="Arial" w:eastAsia="Arial" w:hAnsi="Arial"/>
                <w:sz w:val="17"/>
                <w:szCs w:val="17"/>
                <w:color w:val="2573BA"/>
              </w:rPr>
              <w:t>0.1</w:t>
            </w:r>
          </w:p>
        </w:tc>
        <w:tc>
          <w:tcPr>
            <w:tcW w:w="100" w:type="dxa"/>
            <w:vAlign w:val="bottom"/>
            <w:tcBorders>
              <w:bottom w:val="single" w:sz="8" w:color="DDDDDD"/>
            </w:tcBorders>
            <w:shd w:val="clear" w:color="auto" w:fill="DDDDDD"/>
          </w:tcPr>
          <w:p>
            <w:pPr>
              <w:spacing w:after="0"/>
              <w:rPr>
                <w:sz w:val="19"/>
                <w:szCs w:val="19"/>
                <w:color w:val="auto"/>
              </w:rPr>
            </w:pPr>
          </w:p>
        </w:tc>
        <w:tc>
          <w:tcPr>
            <w:tcW w:w="140" w:type="dxa"/>
            <w:vAlign w:val="bottom"/>
            <w:tcBorders>
              <w:bottom w:val="single" w:sz="8" w:color="auto"/>
            </w:tcBorders>
            <w:shd w:val="clear" w:color="auto" w:fill="DDDDDD"/>
          </w:tcPr>
          <w:p>
            <w:pPr>
              <w:ind w:left="40"/>
              <w:spacing w:after="0"/>
              <w:rPr>
                <w:sz w:val="20"/>
                <w:szCs w:val="20"/>
                <w:color w:val="auto"/>
              </w:rPr>
            </w:pPr>
            <w:r>
              <w:rPr>
                <w:rFonts w:ascii="Arial" w:cs="Arial" w:eastAsia="Arial" w:hAnsi="Arial"/>
                <w:sz w:val="17"/>
                <w:szCs w:val="17"/>
                <w:color w:val="2573BA"/>
                <w:w w:val="84"/>
              </w:rPr>
              <w:t>$</w:t>
            </w:r>
          </w:p>
        </w:tc>
        <w:tc>
          <w:tcPr>
            <w:tcW w:w="600" w:type="dxa"/>
            <w:vAlign w:val="bottom"/>
            <w:tcBorders>
              <w:bottom w:val="single" w:sz="8" w:color="auto"/>
            </w:tcBorders>
            <w:shd w:val="clear" w:color="auto" w:fill="DDDDDD"/>
          </w:tcPr>
          <w:p>
            <w:pPr>
              <w:jc w:val="right"/>
              <w:ind w:right="39"/>
              <w:spacing w:after="0"/>
              <w:rPr>
                <w:sz w:val="20"/>
                <w:szCs w:val="20"/>
                <w:color w:val="auto"/>
              </w:rPr>
            </w:pPr>
            <w:r>
              <w:rPr>
                <w:rFonts w:ascii="Arial" w:cs="Arial" w:eastAsia="Arial" w:hAnsi="Arial"/>
                <w:sz w:val="17"/>
                <w:szCs w:val="17"/>
                <w:color w:val="2573BA"/>
              </w:rPr>
              <w:t>97.8</w:t>
            </w:r>
          </w:p>
        </w:tc>
        <w:tc>
          <w:tcPr>
            <w:tcW w:w="100" w:type="dxa"/>
            <w:vAlign w:val="bottom"/>
            <w:tcBorders>
              <w:bottom w:val="single" w:sz="8" w:color="DDDDDD"/>
            </w:tcBorders>
            <w:shd w:val="clear" w:color="auto" w:fill="DDDDDD"/>
          </w:tcPr>
          <w:p>
            <w:pPr>
              <w:spacing w:after="0"/>
              <w:rPr>
                <w:sz w:val="19"/>
                <w:szCs w:val="19"/>
                <w:color w:val="auto"/>
              </w:rPr>
            </w:pPr>
          </w:p>
        </w:tc>
        <w:tc>
          <w:tcPr>
            <w:tcW w:w="240" w:type="dxa"/>
            <w:vAlign w:val="bottom"/>
            <w:tcBorders>
              <w:bottom w:val="single" w:sz="8" w:color="auto"/>
            </w:tcBorders>
            <w:shd w:val="clear" w:color="auto" w:fill="DDDDDD"/>
          </w:tcPr>
          <w:p>
            <w:pPr>
              <w:jc w:val="right"/>
              <w:ind w:right="46"/>
              <w:spacing w:after="0"/>
              <w:rPr>
                <w:sz w:val="20"/>
                <w:szCs w:val="20"/>
                <w:color w:val="auto"/>
              </w:rPr>
            </w:pPr>
            <w:r>
              <w:rPr>
                <w:rFonts w:ascii="Arial" w:cs="Arial" w:eastAsia="Arial" w:hAnsi="Arial"/>
                <w:sz w:val="17"/>
                <w:szCs w:val="17"/>
                <w:color w:val="2573BA"/>
              </w:rPr>
              <w:t>$</w:t>
            </w:r>
          </w:p>
        </w:tc>
        <w:tc>
          <w:tcPr>
            <w:tcW w:w="820" w:type="dxa"/>
            <w:vAlign w:val="bottom"/>
            <w:tcBorders>
              <w:bottom w:val="single" w:sz="8" w:color="auto"/>
            </w:tcBorders>
            <w:shd w:val="clear" w:color="auto" w:fill="DDDDDD"/>
          </w:tcPr>
          <w:p>
            <w:pPr>
              <w:jc w:val="right"/>
              <w:ind w:right="1"/>
              <w:spacing w:after="0"/>
              <w:rPr>
                <w:sz w:val="20"/>
                <w:szCs w:val="20"/>
                <w:color w:val="auto"/>
              </w:rPr>
            </w:pPr>
            <w:r>
              <w:rPr>
                <w:rFonts w:ascii="Arial" w:cs="Arial" w:eastAsia="Arial" w:hAnsi="Arial"/>
                <w:sz w:val="17"/>
                <w:szCs w:val="17"/>
                <w:color w:val="2573BA"/>
              </w:rPr>
              <w:t>(318.4)</w:t>
            </w:r>
          </w:p>
        </w:tc>
        <w:tc>
          <w:tcPr>
            <w:tcW w:w="100" w:type="dxa"/>
            <w:vAlign w:val="bottom"/>
            <w:tcBorders>
              <w:bottom w:val="single" w:sz="8" w:color="DDDDDD"/>
            </w:tcBorders>
            <w:shd w:val="clear" w:color="auto" w:fill="DDDDDD"/>
          </w:tcPr>
          <w:p>
            <w:pPr>
              <w:spacing w:after="0"/>
              <w:rPr>
                <w:sz w:val="19"/>
                <w:szCs w:val="19"/>
                <w:color w:val="auto"/>
              </w:rPr>
            </w:pPr>
          </w:p>
        </w:tc>
        <w:tc>
          <w:tcPr>
            <w:tcW w:w="880" w:type="dxa"/>
            <w:vAlign w:val="bottom"/>
            <w:tcBorders>
              <w:bottom w:val="single" w:sz="8" w:color="auto"/>
            </w:tcBorders>
            <w:shd w:val="clear" w:color="auto" w:fill="DDDDDD"/>
          </w:tcPr>
          <w:p>
            <w:pPr>
              <w:jc w:val="right"/>
              <w:ind w:right="21"/>
              <w:spacing w:after="0"/>
              <w:rPr>
                <w:sz w:val="20"/>
                <w:szCs w:val="20"/>
                <w:color w:val="auto"/>
              </w:rPr>
            </w:pPr>
            <w:r>
              <w:rPr>
                <w:rFonts w:ascii="Arial" w:cs="Arial" w:eastAsia="Arial" w:hAnsi="Arial"/>
                <w:sz w:val="17"/>
                <w:szCs w:val="17"/>
                <w:color w:val="2573BA"/>
              </w:rPr>
              <w:t>$15,810.4</w:t>
            </w:r>
          </w:p>
        </w:tc>
        <w:tc>
          <w:tcPr>
            <w:tcW w:w="100" w:type="dxa"/>
            <w:vAlign w:val="bottom"/>
            <w:tcBorders>
              <w:bottom w:val="single" w:sz="8" w:color="DDDDDD"/>
            </w:tcBorders>
            <w:shd w:val="clear" w:color="auto" w:fill="DDDDDD"/>
          </w:tcPr>
          <w:p>
            <w:pPr>
              <w:spacing w:after="0"/>
              <w:rPr>
                <w:sz w:val="19"/>
                <w:szCs w:val="19"/>
                <w:color w:val="auto"/>
              </w:rPr>
            </w:pPr>
          </w:p>
        </w:tc>
        <w:tc>
          <w:tcPr>
            <w:tcW w:w="5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(23.8)</w:t>
            </w:r>
          </w:p>
        </w:tc>
        <w:tc>
          <w:tcPr>
            <w:tcW w:w="100" w:type="dxa"/>
            <w:vAlign w:val="bottom"/>
            <w:tcBorders>
              <w:bottom w:val="single" w:sz="8" w:color="DDDDDD"/>
            </w:tcBorders>
            <w:shd w:val="clear" w:color="auto" w:fill="DDDDDD"/>
          </w:tcPr>
          <w:p>
            <w:pPr>
              <w:spacing w:after="0"/>
              <w:rPr>
                <w:sz w:val="19"/>
                <w:szCs w:val="19"/>
                <w:color w:val="auto"/>
              </w:rPr>
            </w:pPr>
          </w:p>
        </w:tc>
        <w:tc>
          <w:tcPr>
            <w:tcW w:w="8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$(2,977.1)</w:t>
            </w:r>
          </w:p>
        </w:tc>
        <w:tc>
          <w:tcPr>
            <w:tcW w:w="100" w:type="dxa"/>
            <w:vAlign w:val="bottom"/>
            <w:tcBorders>
              <w:bottom w:val="single" w:sz="8" w:color="DDDDDD"/>
            </w:tcBorders>
            <w:shd w:val="clear" w:color="auto" w:fill="DDDDDD"/>
          </w:tcPr>
          <w:p>
            <w:pPr>
              <w:spacing w:after="0"/>
              <w:rPr>
                <w:sz w:val="19"/>
                <w:szCs w:val="19"/>
                <w:color w:val="auto"/>
              </w:rPr>
            </w:pPr>
          </w:p>
        </w:tc>
        <w:tc>
          <w:tcPr>
            <w:tcW w:w="960" w:type="dxa"/>
            <w:vAlign w:val="bottom"/>
            <w:tcBorders>
              <w:bottom w:val="single" w:sz="8" w:color="auto"/>
            </w:tcBorders>
            <w:shd w:val="clear" w:color="auto" w:fill="DDDDDD"/>
          </w:tcPr>
          <w:p>
            <w:pPr>
              <w:jc w:val="right"/>
              <w:ind w:right="38"/>
              <w:spacing w:after="0"/>
              <w:rPr>
                <w:sz w:val="20"/>
                <w:szCs w:val="20"/>
                <w:color w:val="auto"/>
              </w:rPr>
            </w:pPr>
            <w:r>
              <w:rPr>
                <w:rFonts w:ascii="Arial" w:cs="Arial" w:eastAsia="Arial" w:hAnsi="Arial"/>
                <w:sz w:val="17"/>
                <w:szCs w:val="17"/>
                <w:color w:val="2573BA"/>
              </w:rPr>
              <w:t>$ 12,612.8</w:t>
            </w:r>
          </w:p>
        </w:tc>
        <w:tc>
          <w:tcPr>
            <w:tcW w:w="100" w:type="dxa"/>
            <w:vAlign w:val="bottom"/>
            <w:tcBorders>
              <w:bottom w:val="single" w:sz="8" w:color="DDDDDD"/>
            </w:tcBorders>
            <w:shd w:val="clear" w:color="auto" w:fill="DDDDDD"/>
          </w:tcPr>
          <w:p>
            <w:pPr>
              <w:spacing w:after="0"/>
              <w:rPr>
                <w:sz w:val="19"/>
                <w:szCs w:val="19"/>
                <w:color w:val="auto"/>
              </w:rPr>
            </w:pPr>
          </w:p>
        </w:tc>
        <w:tc>
          <w:tcPr>
            <w:tcW w:w="160" w:type="dxa"/>
            <w:vAlign w:val="bottom"/>
            <w:tcBorders>
              <w:bottom w:val="single" w:sz="8" w:color="auto"/>
            </w:tcBorders>
            <w:shd w:val="clear" w:color="auto" w:fill="DDDDDD"/>
          </w:tcPr>
          <w:p>
            <w:pPr>
              <w:ind w:left="20"/>
              <w:spacing w:after="0"/>
              <w:rPr>
                <w:sz w:val="20"/>
                <w:szCs w:val="20"/>
                <w:color w:val="auto"/>
              </w:rPr>
            </w:pPr>
            <w:r>
              <w:rPr>
                <w:rFonts w:ascii="Arial" w:cs="Arial" w:eastAsia="Arial" w:hAnsi="Arial"/>
                <w:sz w:val="17"/>
                <w:szCs w:val="17"/>
                <w:color w:val="2573BA"/>
              </w:rPr>
              <w:t>$</w:t>
            </w:r>
          </w:p>
        </w:tc>
        <w:tc>
          <w:tcPr>
            <w:tcW w:w="8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(14.7)</w:t>
            </w:r>
          </w:p>
        </w:tc>
        <w:tc>
          <w:tcPr>
            <w:tcW w:w="100" w:type="dxa"/>
            <w:vAlign w:val="bottom"/>
            <w:tcBorders>
              <w:bottom w:val="single" w:sz="8" w:color="DDDDDD"/>
            </w:tcBorders>
            <w:shd w:val="clear" w:color="auto" w:fill="DDDDDD"/>
          </w:tcPr>
          <w:p>
            <w:pPr>
              <w:spacing w:after="0"/>
              <w:rPr>
                <w:sz w:val="19"/>
                <w:szCs w:val="19"/>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$12,598.1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8255</wp:posOffset>
            </wp:positionV>
            <wp:extent cx="650557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1">
                      <a:extLst>
                        <a:ext uri="{28A0092B-C50C-407E-A947-70E740481C1C}"/>
                      </a:extLst>
                    </a:blip>
                    <a:srcRect/>
                    <a:stretch>
                      <a:fillRect/>
                    </a:stretch>
                  </pic:blipFill>
                  <pic:spPr bwMode="auto">
                    <a:xfrm>
                      <a:off x="0" y="0"/>
                      <a:ext cx="6505575" cy="8255"/>
                    </a:xfrm>
                    <a:prstGeom prst="rect">
                      <a:avLst/>
                    </a:prstGeom>
                    <a:noFill/>
                  </pic:spPr>
                </pic:pic>
              </a:graphicData>
            </a:graphic>
          </wp:anchor>
        </w:drawing>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See accompanying notes to these consolidated financial statements.</w:t>
      </w:r>
    </w:p>
    <w:p>
      <w:pPr>
        <w:spacing w:after="0" w:line="24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F- 6</w:t>
      </w:r>
    </w:p>
    <w:p>
      <w:pPr>
        <w:sectPr>
          <w:pgSz w:w="11900" w:h="16838" w:orient="portrait"/>
          <w:cols w:equalWidth="0" w:num="1">
            <w:col w:w="11460"/>
          </w:cols>
          <w:pgMar w:left="240" w:top="144" w:right="199" w:bottom="1440" w:gutter="0" w:footer="0" w:header="0"/>
        </w:sectPr>
      </w:pPr>
    </w:p>
    <w:bookmarkStart w:id="108" w:name="page109"/>
    <w:bookmarkEnd w:id="10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99"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1C5A7D"/>
        </w:rPr>
        <w:t>BIOGEN INC. AND SUBSIDIARIES</w:t>
      </w:r>
    </w:p>
    <w:p>
      <w:pPr>
        <w:spacing w:after="0" w:line="39"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1C5A7D"/>
        </w:rPr>
        <w:t>CONSOLIDATED STATEMENTS OF EQUITY - (Continued)</w:t>
      </w:r>
    </w:p>
    <w:p>
      <w:pPr>
        <w:spacing w:after="0" w:line="13"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1C5A7D"/>
        </w:rPr>
        <w:t>(In millions)</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130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rPr>
              <w:t>Preferred stock</w:t>
            </w:r>
          </w:p>
        </w:tc>
        <w:tc>
          <w:tcPr>
            <w:tcW w:w="134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Accumulated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260" w:type="dxa"/>
            <w:vAlign w:val="bottom"/>
          </w:tcPr>
          <w:p>
            <w:pPr>
              <w:spacing w:after="0"/>
              <w:rPr>
                <w:sz w:val="13"/>
                <w:szCs w:val="13"/>
                <w:color w:val="auto"/>
              </w:rPr>
            </w:pPr>
          </w:p>
        </w:tc>
        <w:tc>
          <w:tcPr>
            <w:tcW w:w="1300" w:type="dxa"/>
            <w:vAlign w:val="bottom"/>
            <w:gridSpan w:val="5"/>
            <w:vMerge w:val="continue"/>
          </w:tcPr>
          <w:p>
            <w:pPr>
              <w:spacing w:after="0"/>
              <w:rPr>
                <w:sz w:val="13"/>
                <w:szCs w:val="13"/>
                <w:color w:val="auto"/>
              </w:rPr>
            </w:pPr>
          </w:p>
        </w:tc>
        <w:tc>
          <w:tcPr>
            <w:tcW w:w="1340" w:type="dxa"/>
            <w:vAlign w:val="bottom"/>
            <w:gridSpan w:val="5"/>
            <w:vMerge w:val="continue"/>
          </w:tcPr>
          <w:p>
            <w:pPr>
              <w:spacing w:after="0"/>
              <w:rPr>
                <w:sz w:val="13"/>
                <w:szCs w:val="13"/>
                <w:color w:val="auto"/>
              </w:rPr>
            </w:pPr>
          </w:p>
        </w:tc>
        <w:tc>
          <w:tcPr>
            <w:tcW w:w="84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Additional</w:t>
            </w:r>
          </w:p>
        </w:tc>
        <w:tc>
          <w:tcPr>
            <w:tcW w:w="240" w:type="dxa"/>
            <w:vAlign w:val="bottom"/>
          </w:tcPr>
          <w:p>
            <w:pPr>
              <w:spacing w:after="0"/>
              <w:rPr>
                <w:sz w:val="13"/>
                <w:szCs w:val="13"/>
                <w:color w:val="auto"/>
              </w:rPr>
            </w:pPr>
          </w:p>
        </w:tc>
        <w:tc>
          <w:tcPr>
            <w:tcW w:w="9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7"/>
              </w:rPr>
              <w:t>other</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4"/>
            <w:vMerge w:val="continue"/>
          </w:tcPr>
          <w:p>
            <w:pPr>
              <w:spacing w:after="0"/>
              <w:rPr>
                <w:sz w:val="13"/>
                <w:szCs w:val="13"/>
                <w:color w:val="auto"/>
              </w:rPr>
            </w:pPr>
          </w:p>
        </w:tc>
        <w:tc>
          <w:tcPr>
            <w:tcW w:w="10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Biogen Inc.</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paid-in</w:t>
            </w:r>
          </w:p>
        </w:tc>
        <w:tc>
          <w:tcPr>
            <w:tcW w:w="116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7"/>
              </w:rPr>
              <w:t>comprehensive</w:t>
            </w:r>
          </w:p>
        </w:tc>
        <w:tc>
          <w:tcPr>
            <w:tcW w:w="98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Retained</w:t>
            </w: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shareholders’</w:t>
            </w:r>
          </w:p>
        </w:tc>
        <w:tc>
          <w:tcPr>
            <w:tcW w:w="112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1"/>
                <w:szCs w:val="11"/>
                <w:color w:val="auto"/>
              </w:rPr>
            </w:pPr>
          </w:p>
        </w:tc>
        <w:tc>
          <w:tcPr>
            <w:tcW w:w="760" w:type="dxa"/>
            <w:vAlign w:val="bottom"/>
          </w:tcPr>
          <w:p>
            <w:pPr>
              <w:jc w:val="right"/>
              <w:ind w:right="197"/>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126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5"/>
                <w:szCs w:val="15"/>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loss</w:t>
            </w: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earnings</w:t>
            </w: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Shares</w:t>
            </w: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equity</w:t>
            </w:r>
          </w:p>
        </w:tc>
        <w:tc>
          <w:tcPr>
            <w:tcW w:w="180" w:type="dxa"/>
            <w:vAlign w:val="bottom"/>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interests</w:t>
            </w:r>
          </w:p>
        </w:tc>
        <w:tc>
          <w:tcPr>
            <w:tcW w:w="120" w:type="dxa"/>
            <w:vAlign w:val="bottom"/>
          </w:tcPr>
          <w:p>
            <w:pPr>
              <w:spacing w:after="0"/>
              <w:rPr>
                <w:sz w:val="15"/>
                <w:szCs w:val="15"/>
                <w:color w:val="auto"/>
              </w:rPr>
            </w:pPr>
          </w:p>
        </w:tc>
        <w:tc>
          <w:tcPr>
            <w:tcW w:w="760" w:type="dxa"/>
            <w:vAlign w:val="bottom"/>
          </w:tcPr>
          <w:p>
            <w:pPr>
              <w:jc w:val="right"/>
              <w:ind w:right="157"/>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1260" w:type="dxa"/>
            <w:vAlign w:val="bottom"/>
          </w:tcPr>
          <w:p>
            <w:pPr>
              <w:spacing w:after="0" w:line="185" w:lineRule="exact"/>
              <w:rPr>
                <w:sz w:val="20"/>
                <w:szCs w:val="20"/>
                <w:color w:val="auto"/>
              </w:rPr>
            </w:pPr>
            <w:r>
              <w:rPr>
                <w:rFonts w:ascii="Arial" w:cs="Arial" w:eastAsia="Arial" w:hAnsi="Arial"/>
                <w:sz w:val="17"/>
                <w:szCs w:val="17"/>
                <w:b w:val="1"/>
                <w:bCs w:val="1"/>
                <w:color w:val="auto"/>
              </w:rPr>
              <w:t>Balance,</w:t>
            </w:r>
          </w:p>
        </w:tc>
        <w:tc>
          <w:tcPr>
            <w:tcW w:w="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b w:val="1"/>
                <w:bCs w:val="1"/>
                <w:color w:val="auto"/>
              </w:rPr>
              <w:t>December 31,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260" w:type="dxa"/>
            <w:vAlign w:val="bottom"/>
          </w:tcPr>
          <w:p>
            <w:pPr>
              <w:spacing w:after="0"/>
              <w:rPr>
                <w:sz w:val="20"/>
                <w:szCs w:val="20"/>
                <w:color w:val="auto"/>
              </w:rPr>
            </w:pPr>
            <w:r>
              <w:rPr>
                <w:rFonts w:ascii="Arial" w:cs="Arial" w:eastAsia="Arial" w:hAnsi="Arial"/>
                <w:sz w:val="17"/>
                <w:szCs w:val="17"/>
                <w:b w:val="1"/>
                <w:bCs w:val="1"/>
                <w:color w:val="auto"/>
              </w:rPr>
              <w:t>2015</w:t>
            </w:r>
          </w:p>
        </w:tc>
        <w:tc>
          <w:tcPr>
            <w:tcW w:w="60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220" w:type="dxa"/>
            <w:vAlign w:val="bottom"/>
          </w:tcPr>
          <w:p>
            <w:pPr>
              <w:ind w:left="40"/>
              <w:spacing w:after="0"/>
              <w:rPr>
                <w:sz w:val="20"/>
                <w:szCs w:val="20"/>
                <w:color w:val="auto"/>
              </w:rPr>
            </w:pPr>
            <w:r>
              <w:rPr>
                <w:rFonts w:ascii="Arial" w:cs="Arial" w:eastAsia="Arial" w:hAnsi="Arial"/>
                <w:sz w:val="17"/>
                <w:szCs w:val="17"/>
                <w:color w:val="auto"/>
              </w:rPr>
              <w:t>$</w:t>
            </w:r>
          </w:p>
        </w:tc>
        <w:tc>
          <w:tcPr>
            <w:tcW w:w="48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241.2</w:t>
            </w:r>
          </w:p>
        </w:tc>
        <w:tc>
          <w:tcPr>
            <w:tcW w:w="100" w:type="dxa"/>
            <w:vAlign w:val="bottom"/>
          </w:tcPr>
          <w:p>
            <w:pPr>
              <w:spacing w:after="0"/>
              <w:rPr>
                <w:sz w:val="19"/>
                <w:szCs w:val="19"/>
                <w:color w:val="auto"/>
              </w:rPr>
            </w:pPr>
          </w:p>
        </w:tc>
        <w:tc>
          <w:tcPr>
            <w:tcW w:w="180" w:type="dxa"/>
            <w:vAlign w:val="bottom"/>
          </w:tcPr>
          <w:p>
            <w:pPr>
              <w:ind w:left="40"/>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35"/>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43"/>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
              <w:spacing w:after="0"/>
              <w:rPr>
                <w:sz w:val="20"/>
                <w:szCs w:val="20"/>
                <w:color w:val="auto"/>
              </w:rPr>
            </w:pPr>
            <w:r>
              <w:rPr>
                <w:rFonts w:ascii="Arial" w:cs="Arial" w:eastAsia="Arial" w:hAnsi="Arial"/>
                <w:sz w:val="17"/>
                <w:szCs w:val="17"/>
                <w:color w:val="auto"/>
              </w:rPr>
              <w:t>(224.0)</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$12,208.4</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(22.6)</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$(2,611.7)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37"/>
              <w:spacing w:after="0"/>
              <w:rPr>
                <w:sz w:val="20"/>
                <w:szCs w:val="20"/>
                <w:color w:val="auto"/>
              </w:rPr>
            </w:pPr>
            <w:r>
              <w:rPr>
                <w:rFonts w:ascii="Arial" w:cs="Arial" w:eastAsia="Arial" w:hAnsi="Arial"/>
                <w:sz w:val="17"/>
                <w:szCs w:val="17"/>
                <w:color w:val="auto"/>
              </w:rPr>
              <w:t>9,372.8</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37"/>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9,374.9</w:t>
            </w: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0"/>
                <w:szCs w:val="20"/>
                <w:color w:val="auto"/>
              </w:rPr>
            </w:pPr>
            <w:r>
              <w:rPr>
                <w:rFonts w:ascii="Arial" w:cs="Arial" w:eastAsia="Arial" w:hAnsi="Arial"/>
                <w:sz w:val="17"/>
                <w:szCs w:val="17"/>
                <w:color w:val="auto"/>
              </w:rPr>
              <w:t>Net income</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3,702.8</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7"/>
                <w:szCs w:val="17"/>
                <w:color w:val="auto"/>
              </w:rPr>
              <w:t>3,702.8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3,695.7</w:t>
            </w:r>
          </w:p>
        </w:tc>
        <w:tc>
          <w:tcPr>
            <w:tcW w:w="0" w:type="dxa"/>
            <w:vAlign w:val="bottom"/>
          </w:tcPr>
          <w:p>
            <w:pPr>
              <w:spacing w:after="0"/>
              <w:rPr>
                <w:sz w:val="1"/>
                <w:szCs w:val="1"/>
                <w:color w:val="auto"/>
              </w:rPr>
            </w:pPr>
          </w:p>
        </w:tc>
      </w:tr>
      <w:tr>
        <w:trPr>
          <w:trHeight w:val="231"/>
        </w:trPr>
        <w:tc>
          <w:tcPr>
            <w:tcW w:w="1260" w:type="dxa"/>
            <w:vAlign w:val="bottom"/>
          </w:tcPr>
          <w:p>
            <w:pPr>
              <w:spacing w:after="0"/>
              <w:rPr>
                <w:sz w:val="20"/>
                <w:szCs w:val="20"/>
                <w:color w:val="auto"/>
              </w:rPr>
            </w:pPr>
            <w:r>
              <w:rPr>
                <w:rFonts w:ascii="Arial" w:cs="Arial" w:eastAsia="Arial" w:hAnsi="Arial"/>
                <w:sz w:val="17"/>
                <w:szCs w:val="17"/>
                <w:color w:val="auto"/>
              </w:rPr>
              <w:t>Other</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comprehensive</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income (loss),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20"/>
                <w:szCs w:val="20"/>
                <w:color w:val="auto"/>
              </w:rPr>
            </w:pPr>
            <w:r>
              <w:rPr>
                <w:rFonts w:ascii="Arial" w:cs="Arial" w:eastAsia="Arial" w:hAnsi="Arial"/>
                <w:sz w:val="17"/>
                <w:szCs w:val="17"/>
                <w:color w:val="auto"/>
              </w:rPr>
              <w:t>net of tax</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1"/>
              <w:spacing w:after="0"/>
              <w:rPr>
                <w:sz w:val="20"/>
                <w:szCs w:val="20"/>
                <w:color w:val="auto"/>
              </w:rPr>
            </w:pPr>
            <w:r>
              <w:rPr>
                <w:rFonts w:ascii="Arial" w:cs="Arial" w:eastAsia="Arial" w:hAnsi="Arial"/>
                <w:sz w:val="17"/>
                <w:szCs w:val="17"/>
                <w:color w:val="auto"/>
              </w:rPr>
              <w:t>(95.9)</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(95.9)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37"/>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(95.8)</w:t>
            </w:r>
          </w:p>
        </w:tc>
        <w:tc>
          <w:tcPr>
            <w:tcW w:w="0" w:type="dxa"/>
            <w:vAlign w:val="bottom"/>
          </w:tcPr>
          <w:p>
            <w:pPr>
              <w:spacing w:after="0"/>
              <w:rPr>
                <w:sz w:val="1"/>
                <w:szCs w:val="1"/>
                <w:color w:val="auto"/>
              </w:rPr>
            </w:pPr>
          </w:p>
        </w:tc>
      </w:tr>
      <w:tr>
        <w:trPr>
          <w:trHeight w:val="231"/>
        </w:trPr>
        <w:tc>
          <w:tcPr>
            <w:tcW w:w="1260" w:type="dxa"/>
            <w:vAlign w:val="bottom"/>
          </w:tcPr>
          <w:p>
            <w:pPr>
              <w:spacing w:after="0"/>
              <w:rPr>
                <w:sz w:val="20"/>
                <w:szCs w:val="20"/>
                <w:color w:val="auto"/>
              </w:rPr>
            </w:pPr>
            <w:r>
              <w:rPr>
                <w:rFonts w:ascii="Arial" w:cs="Arial" w:eastAsia="Arial" w:hAnsi="Arial"/>
                <w:sz w:val="17"/>
                <w:szCs w:val="17"/>
                <w:color w:val="auto"/>
              </w:rPr>
              <w:t>Acquisition of</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noncontrolling</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20"/>
                <w:szCs w:val="20"/>
                <w:color w:val="auto"/>
              </w:rPr>
            </w:pPr>
            <w:r>
              <w:rPr>
                <w:rFonts w:ascii="Arial" w:cs="Arial" w:eastAsia="Arial" w:hAnsi="Arial"/>
                <w:sz w:val="17"/>
                <w:szCs w:val="17"/>
                <w:color w:val="auto"/>
              </w:rPr>
              <w:t>interest</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31"/>
        </w:trPr>
        <w:tc>
          <w:tcPr>
            <w:tcW w:w="1260" w:type="dxa"/>
            <w:vAlign w:val="bottom"/>
          </w:tcPr>
          <w:p>
            <w:pPr>
              <w:spacing w:after="0"/>
              <w:rPr>
                <w:sz w:val="20"/>
                <w:szCs w:val="20"/>
                <w:color w:val="auto"/>
              </w:rPr>
            </w:pPr>
            <w:r>
              <w:rPr>
                <w:rFonts w:ascii="Arial" w:cs="Arial" w:eastAsia="Arial" w:hAnsi="Arial"/>
                <w:sz w:val="17"/>
                <w:szCs w:val="17"/>
                <w:color w:val="auto"/>
              </w:rPr>
              <w:t>Capital</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contribution by</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noncontrolling</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20"/>
                <w:szCs w:val="20"/>
                <w:color w:val="auto"/>
              </w:rPr>
            </w:pPr>
            <w:r>
              <w:rPr>
                <w:rFonts w:ascii="Arial" w:cs="Arial" w:eastAsia="Arial" w:hAnsi="Arial"/>
                <w:sz w:val="17"/>
                <w:szCs w:val="17"/>
                <w:color w:val="auto"/>
              </w:rPr>
              <w:t>interest</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40" w:type="dxa"/>
            <w:vAlign w:val="bottom"/>
          </w:tcPr>
          <w:p>
            <w:pPr>
              <w:jc w:val="right"/>
              <w:ind w:right="37"/>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31"/>
        </w:trPr>
        <w:tc>
          <w:tcPr>
            <w:tcW w:w="1260" w:type="dxa"/>
            <w:vAlign w:val="bottom"/>
          </w:tcPr>
          <w:p>
            <w:pPr>
              <w:spacing w:after="0"/>
              <w:rPr>
                <w:sz w:val="20"/>
                <w:szCs w:val="20"/>
                <w:color w:val="auto"/>
              </w:rPr>
            </w:pPr>
            <w:r>
              <w:rPr>
                <w:rFonts w:ascii="Arial" w:cs="Arial" w:eastAsia="Arial" w:hAnsi="Arial"/>
                <w:sz w:val="17"/>
                <w:szCs w:val="17"/>
                <w:color w:val="auto"/>
              </w:rPr>
              <w:t>Deconsolidation</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of</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noncontrolling</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20"/>
                <w:szCs w:val="20"/>
                <w:color w:val="auto"/>
              </w:rPr>
            </w:pPr>
            <w:r>
              <w:rPr>
                <w:rFonts w:ascii="Arial" w:cs="Arial" w:eastAsia="Arial" w:hAnsi="Arial"/>
                <w:sz w:val="17"/>
                <w:szCs w:val="17"/>
                <w:color w:val="auto"/>
              </w:rPr>
              <w:t>interest</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31"/>
        </w:trPr>
        <w:tc>
          <w:tcPr>
            <w:tcW w:w="1260" w:type="dxa"/>
            <w:vAlign w:val="bottom"/>
          </w:tcPr>
          <w:p>
            <w:pPr>
              <w:spacing w:after="0"/>
              <w:rPr>
                <w:sz w:val="20"/>
                <w:szCs w:val="20"/>
                <w:color w:val="auto"/>
              </w:rPr>
            </w:pPr>
            <w:r>
              <w:rPr>
                <w:rFonts w:ascii="Arial" w:cs="Arial" w:eastAsia="Arial" w:hAnsi="Arial"/>
                <w:sz w:val="17"/>
                <w:szCs w:val="17"/>
                <w:color w:val="auto"/>
              </w:rPr>
              <w:t>Repurchase of</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common stock</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pursuant to the</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2016 Share</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Repurchase</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Program, at</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20"/>
                <w:szCs w:val="20"/>
                <w:color w:val="auto"/>
              </w:rPr>
            </w:pPr>
            <w:r>
              <w:rPr>
                <w:rFonts w:ascii="Arial" w:cs="Arial" w:eastAsia="Arial" w:hAnsi="Arial"/>
                <w:sz w:val="17"/>
                <w:szCs w:val="17"/>
                <w:color w:val="auto"/>
              </w:rPr>
              <w:t>cost</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231"/>
        </w:trPr>
        <w:tc>
          <w:tcPr>
            <w:tcW w:w="1260" w:type="dxa"/>
            <w:vAlign w:val="bottom"/>
          </w:tcPr>
          <w:p>
            <w:pPr>
              <w:spacing w:after="0"/>
              <w:rPr>
                <w:sz w:val="20"/>
                <w:szCs w:val="20"/>
                <w:color w:val="auto"/>
              </w:rPr>
            </w:pPr>
            <w:r>
              <w:rPr>
                <w:rFonts w:ascii="Arial" w:cs="Arial" w:eastAsia="Arial" w:hAnsi="Arial"/>
                <w:sz w:val="17"/>
                <w:szCs w:val="17"/>
                <w:color w:val="auto"/>
              </w:rPr>
              <w:t>Retirement of</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common stock</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pursuant to the</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2016 Share</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Repurchase</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Program, at</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20"/>
                <w:szCs w:val="20"/>
                <w:color w:val="auto"/>
              </w:rPr>
            </w:pPr>
            <w:r>
              <w:rPr>
                <w:rFonts w:ascii="Arial" w:cs="Arial" w:eastAsia="Arial" w:hAnsi="Arial"/>
                <w:sz w:val="17"/>
                <w:szCs w:val="17"/>
                <w:color w:val="auto"/>
              </w:rPr>
              <w:t>cost</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(164.9)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(835.1)</w:t>
            </w:r>
          </w:p>
        </w:tc>
        <w:tc>
          <w:tcPr>
            <w:tcW w:w="100" w:type="dxa"/>
            <w:vAlign w:val="bottom"/>
          </w:tcPr>
          <w:p>
            <w:pPr>
              <w:spacing w:after="0"/>
              <w:rPr>
                <w:sz w:val="17"/>
                <w:szCs w:val="17"/>
                <w:color w:val="auto"/>
              </w:rPr>
            </w:pPr>
          </w:p>
        </w:tc>
        <w:tc>
          <w:tcPr>
            <w:tcW w:w="520" w:type="dxa"/>
            <w:vAlign w:val="bottom"/>
          </w:tcPr>
          <w:p>
            <w:pPr>
              <w:jc w:val="right"/>
              <w:ind w:right="20"/>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1"/>
        </w:trPr>
        <w:tc>
          <w:tcPr>
            <w:tcW w:w="1260" w:type="dxa"/>
            <w:vAlign w:val="bottom"/>
          </w:tcPr>
          <w:p>
            <w:pPr>
              <w:spacing w:after="0"/>
              <w:rPr>
                <w:sz w:val="20"/>
                <w:szCs w:val="20"/>
                <w:color w:val="auto"/>
              </w:rPr>
            </w:pPr>
            <w:r>
              <w:rPr>
                <w:rFonts w:ascii="Arial" w:cs="Arial" w:eastAsia="Arial" w:hAnsi="Arial"/>
                <w:sz w:val="17"/>
                <w:szCs w:val="17"/>
                <w:color w:val="auto"/>
              </w:rPr>
              <w:t>Issuance of</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common stock</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under stock</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option and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stock purchase</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20"/>
                <w:szCs w:val="20"/>
                <w:color w:val="auto"/>
              </w:rPr>
            </w:pPr>
            <w:r>
              <w:rPr>
                <w:rFonts w:ascii="Arial" w:cs="Arial" w:eastAsia="Arial" w:hAnsi="Arial"/>
                <w:sz w:val="17"/>
                <w:szCs w:val="17"/>
                <w:color w:val="auto"/>
              </w:rPr>
              <w:t>plans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600" w:type="dxa"/>
            <w:vAlign w:val="bottom"/>
          </w:tcPr>
          <w:p>
            <w:pPr>
              <w:jc w:val="right"/>
              <w:ind w:right="18"/>
              <w:spacing w:after="0"/>
              <w:rPr>
                <w:sz w:val="20"/>
                <w:szCs w:val="20"/>
                <w:color w:val="auto"/>
              </w:rPr>
            </w:pPr>
            <w:r>
              <w:rPr>
                <w:rFonts w:ascii="Arial" w:cs="Arial" w:eastAsia="Arial" w:hAnsi="Arial"/>
                <w:sz w:val="17"/>
                <w:szCs w:val="17"/>
                <w:color w:val="auto"/>
              </w:rPr>
              <w:t>43.7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37"/>
              <w:spacing w:after="0"/>
              <w:rPr>
                <w:sz w:val="20"/>
                <w:szCs w:val="20"/>
                <w:color w:val="auto"/>
              </w:rPr>
            </w:pPr>
            <w:r>
              <w:rPr>
                <w:rFonts w:ascii="Arial" w:cs="Arial" w:eastAsia="Arial" w:hAnsi="Arial"/>
                <w:sz w:val="17"/>
                <w:szCs w:val="17"/>
                <w:color w:val="auto"/>
              </w:rPr>
              <w:t>43.7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43.7</w:t>
            </w:r>
          </w:p>
        </w:tc>
        <w:tc>
          <w:tcPr>
            <w:tcW w:w="0" w:type="dxa"/>
            <w:vAlign w:val="bottom"/>
          </w:tcPr>
          <w:p>
            <w:pPr>
              <w:spacing w:after="0"/>
              <w:rPr>
                <w:sz w:val="1"/>
                <w:szCs w:val="1"/>
                <w:color w:val="auto"/>
              </w:rPr>
            </w:pPr>
          </w:p>
        </w:tc>
      </w:tr>
      <w:tr>
        <w:trPr>
          <w:trHeight w:val="231"/>
        </w:trPr>
        <w:tc>
          <w:tcPr>
            <w:tcW w:w="1260" w:type="dxa"/>
            <w:vAlign w:val="bottom"/>
          </w:tcPr>
          <w:p>
            <w:pPr>
              <w:spacing w:after="0"/>
              <w:rPr>
                <w:sz w:val="20"/>
                <w:szCs w:val="20"/>
                <w:color w:val="auto"/>
              </w:rPr>
            </w:pPr>
            <w:r>
              <w:rPr>
                <w:rFonts w:ascii="Arial" w:cs="Arial" w:eastAsia="Arial" w:hAnsi="Arial"/>
                <w:sz w:val="17"/>
                <w:szCs w:val="17"/>
                <w:color w:val="auto"/>
              </w:rPr>
              <w:t>Issuance of</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common stock</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under stock</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20"/>
                <w:szCs w:val="20"/>
                <w:color w:val="auto"/>
              </w:rPr>
            </w:pPr>
            <w:r>
              <w:rPr>
                <w:rFonts w:ascii="Arial" w:cs="Arial" w:eastAsia="Arial" w:hAnsi="Arial"/>
                <w:sz w:val="17"/>
                <w:szCs w:val="17"/>
                <w:color w:val="auto"/>
              </w:rPr>
              <w:t>award plan</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(47.6)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(52.1)</w:t>
            </w:r>
          </w:p>
        </w:tc>
        <w:tc>
          <w:tcPr>
            <w:tcW w:w="0" w:type="dxa"/>
            <w:vAlign w:val="bottom"/>
          </w:tcPr>
          <w:p>
            <w:pPr>
              <w:spacing w:after="0"/>
              <w:rPr>
                <w:sz w:val="1"/>
                <w:szCs w:val="1"/>
                <w:color w:val="auto"/>
              </w:rPr>
            </w:pPr>
          </w:p>
        </w:tc>
      </w:tr>
      <w:tr>
        <w:trPr>
          <w:trHeight w:val="231"/>
        </w:trPr>
        <w:tc>
          <w:tcPr>
            <w:tcW w:w="1260" w:type="dxa"/>
            <w:vAlign w:val="bottom"/>
          </w:tcPr>
          <w:p>
            <w:pPr>
              <w:spacing w:after="0"/>
              <w:rPr>
                <w:sz w:val="20"/>
                <w:szCs w:val="20"/>
                <w:color w:val="auto"/>
              </w:rPr>
            </w:pPr>
            <w:r>
              <w:rPr>
                <w:rFonts w:ascii="Arial" w:cs="Arial" w:eastAsia="Arial" w:hAnsi="Arial"/>
                <w:sz w:val="17"/>
                <w:szCs w:val="17"/>
                <w:color w:val="auto"/>
              </w:rPr>
              <w:t>Compensation</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related to</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share-based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20"/>
                <w:szCs w:val="20"/>
                <w:color w:val="auto"/>
              </w:rPr>
            </w:pPr>
            <w:r>
              <w:rPr>
                <w:rFonts w:ascii="Arial" w:cs="Arial" w:eastAsia="Arial" w:hAnsi="Arial"/>
                <w:sz w:val="17"/>
                <w:szCs w:val="17"/>
                <w:color w:val="auto"/>
              </w:rPr>
              <w:t>payments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18"/>
              <w:spacing w:after="0"/>
              <w:rPr>
                <w:sz w:val="20"/>
                <w:szCs w:val="20"/>
                <w:color w:val="auto"/>
              </w:rPr>
            </w:pPr>
            <w:r>
              <w:rPr>
                <w:rFonts w:ascii="Arial" w:cs="Arial" w:eastAsia="Arial" w:hAnsi="Arial"/>
                <w:sz w:val="17"/>
                <w:szCs w:val="17"/>
                <w:color w:val="auto"/>
              </w:rPr>
              <w:t>169.4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37"/>
              <w:spacing w:after="0"/>
              <w:rPr>
                <w:sz w:val="20"/>
                <w:szCs w:val="20"/>
                <w:color w:val="auto"/>
              </w:rPr>
            </w:pPr>
            <w:r>
              <w:rPr>
                <w:rFonts w:ascii="Arial" w:cs="Arial" w:eastAsia="Arial" w:hAnsi="Arial"/>
                <w:sz w:val="17"/>
                <w:szCs w:val="17"/>
                <w:color w:val="auto"/>
              </w:rPr>
              <w:t>169.4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169.4</w:t>
            </w:r>
          </w:p>
        </w:tc>
        <w:tc>
          <w:tcPr>
            <w:tcW w:w="0" w:type="dxa"/>
            <w:vAlign w:val="bottom"/>
          </w:tcPr>
          <w:p>
            <w:pPr>
              <w:spacing w:after="0"/>
              <w:rPr>
                <w:sz w:val="1"/>
                <w:szCs w:val="1"/>
                <w:color w:val="auto"/>
              </w:rPr>
            </w:pPr>
          </w:p>
        </w:tc>
      </w:tr>
      <w:tr>
        <w:trPr>
          <w:trHeight w:val="231"/>
        </w:trPr>
        <w:tc>
          <w:tcPr>
            <w:tcW w:w="1260" w:type="dxa"/>
            <w:vAlign w:val="bottom"/>
          </w:tcPr>
          <w:p>
            <w:pPr>
              <w:spacing w:after="0"/>
              <w:rPr>
                <w:sz w:val="20"/>
                <w:szCs w:val="20"/>
                <w:color w:val="auto"/>
              </w:rPr>
            </w:pPr>
            <w:r>
              <w:rPr>
                <w:rFonts w:ascii="Arial" w:cs="Arial" w:eastAsia="Arial" w:hAnsi="Arial"/>
                <w:sz w:val="17"/>
                <w:szCs w:val="17"/>
                <w:color w:val="auto"/>
              </w:rPr>
              <w:t>Tax benefit from</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share-based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260" w:type="dxa"/>
            <w:vAlign w:val="bottom"/>
          </w:tcPr>
          <w:p>
            <w:pPr>
              <w:spacing w:after="0"/>
              <w:rPr>
                <w:sz w:val="20"/>
                <w:szCs w:val="20"/>
                <w:color w:val="auto"/>
              </w:rPr>
            </w:pPr>
            <w:r>
              <w:rPr>
                <w:rFonts w:ascii="Arial" w:cs="Arial" w:eastAsia="Arial" w:hAnsi="Arial"/>
                <w:sz w:val="17"/>
                <w:szCs w:val="17"/>
                <w:color w:val="auto"/>
              </w:rPr>
              <w:t>payments</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184"/>
        </w:trPr>
        <w:tc>
          <w:tcPr>
            <w:tcW w:w="1260" w:type="dxa"/>
            <w:vAlign w:val="bottom"/>
          </w:tcPr>
          <w:p>
            <w:pPr>
              <w:spacing w:after="0" w:line="185" w:lineRule="exact"/>
              <w:rPr>
                <w:sz w:val="20"/>
                <w:szCs w:val="20"/>
                <w:color w:val="auto"/>
              </w:rPr>
            </w:pPr>
            <w:r>
              <w:rPr>
                <w:rFonts w:ascii="Arial" w:cs="Arial" w:eastAsia="Arial" w:hAnsi="Arial"/>
                <w:sz w:val="17"/>
                <w:szCs w:val="17"/>
                <w:b w:val="1"/>
                <w:bCs w:val="1"/>
                <w:color w:val="auto"/>
              </w:rPr>
              <w:t>Balance,</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b w:val="1"/>
                <w:bCs w:val="1"/>
                <w:color w:val="auto"/>
              </w:rPr>
              <w:t>December 31,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260" w:type="dxa"/>
            <w:vAlign w:val="bottom"/>
          </w:tcPr>
          <w:p>
            <w:pPr>
              <w:spacing w:after="0"/>
              <w:rPr>
                <w:sz w:val="20"/>
                <w:szCs w:val="20"/>
                <w:color w:val="auto"/>
              </w:rPr>
            </w:pPr>
            <w:r>
              <w:rPr>
                <w:rFonts w:ascii="Arial" w:cs="Arial" w:eastAsia="Arial" w:hAnsi="Arial"/>
                <w:sz w:val="17"/>
                <w:szCs w:val="17"/>
                <w:b w:val="1"/>
                <w:bCs w:val="1"/>
                <w:color w:val="auto"/>
              </w:rPr>
              <w:t>2016</w:t>
            </w: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238.5</w:t>
            </w:r>
          </w:p>
        </w:tc>
        <w:tc>
          <w:tcPr>
            <w:tcW w:w="100" w:type="dxa"/>
            <w:vAlign w:val="bottom"/>
          </w:tcPr>
          <w:p>
            <w:pPr>
              <w:spacing w:after="0"/>
              <w:rPr>
                <w:sz w:val="20"/>
                <w:szCs w:val="20"/>
                <w:color w:val="auto"/>
              </w:rPr>
            </w:pP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20"/>
                <w:szCs w:val="20"/>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(319.9)</w:t>
            </w:r>
          </w:p>
        </w:tc>
        <w:tc>
          <w:tcPr>
            <w:tcW w:w="10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$15,071.6</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w:t>
            </w:r>
          </w:p>
        </w:tc>
        <w:tc>
          <w:tcPr>
            <w:tcW w:w="10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$(2,611.7)</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w w:val="99"/>
              </w:rPr>
              <w:t>12,140.1</w:t>
            </w:r>
          </w:p>
        </w:tc>
        <w:tc>
          <w:tcPr>
            <w:tcW w:w="100" w:type="dxa"/>
            <w:vAlign w:val="bottom"/>
          </w:tcPr>
          <w:p>
            <w:pPr>
              <w:spacing w:after="0"/>
              <w:rPr>
                <w:sz w:val="20"/>
                <w:szCs w:val="20"/>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12,128.6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See accompanying notes to these consolidated financial statements.</w:t>
      </w:r>
    </w:p>
    <w:p>
      <w:pPr>
        <w:spacing w:after="0" w:line="24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F- 7</w:t>
      </w:r>
    </w:p>
    <w:p>
      <w:pPr>
        <w:sectPr>
          <w:pgSz w:w="11900" w:h="16838" w:orient="portrait"/>
          <w:cols w:equalWidth="0" w:num="1">
            <w:col w:w="11520"/>
          </w:cols>
          <w:pgMar w:left="240" w:top="144" w:right="139" w:bottom="1440" w:gutter="0" w:footer="0" w:header="0"/>
        </w:sectPr>
      </w:pPr>
    </w:p>
    <w:bookmarkStart w:id="109" w:name="page110"/>
    <w:bookmarkEnd w:id="10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99"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1C5A7D"/>
        </w:rPr>
        <w:t>BIOGEN INC. AND SUBSIDIARIES</w:t>
      </w:r>
    </w:p>
    <w:p>
      <w:pPr>
        <w:spacing w:after="0" w:line="39"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1C5A7D"/>
        </w:rPr>
        <w:t>CONSOLIDATED STATEMENTS OF EQUITY - (Continued)</w:t>
      </w:r>
    </w:p>
    <w:p>
      <w:pPr>
        <w:spacing w:after="0" w:line="13"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1C5A7D"/>
        </w:rPr>
        <w:t>(In millions)</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130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Preferred stock</w:t>
            </w:r>
          </w:p>
        </w:tc>
        <w:tc>
          <w:tcPr>
            <w:tcW w:w="134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Accumulated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200" w:type="dxa"/>
            <w:vAlign w:val="bottom"/>
          </w:tcPr>
          <w:p>
            <w:pPr>
              <w:spacing w:after="0"/>
              <w:rPr>
                <w:sz w:val="13"/>
                <w:szCs w:val="13"/>
                <w:color w:val="auto"/>
              </w:rPr>
            </w:pPr>
          </w:p>
        </w:tc>
        <w:tc>
          <w:tcPr>
            <w:tcW w:w="1300" w:type="dxa"/>
            <w:vAlign w:val="bottom"/>
            <w:gridSpan w:val="5"/>
            <w:vMerge w:val="continue"/>
          </w:tcPr>
          <w:p>
            <w:pPr>
              <w:spacing w:after="0"/>
              <w:rPr>
                <w:sz w:val="13"/>
                <w:szCs w:val="13"/>
                <w:color w:val="auto"/>
              </w:rPr>
            </w:pPr>
          </w:p>
        </w:tc>
        <w:tc>
          <w:tcPr>
            <w:tcW w:w="1340" w:type="dxa"/>
            <w:vAlign w:val="bottom"/>
            <w:gridSpan w:val="5"/>
            <w:vMerge w:val="continue"/>
          </w:tcPr>
          <w:p>
            <w:pPr>
              <w:spacing w:after="0"/>
              <w:rPr>
                <w:sz w:val="13"/>
                <w:szCs w:val="13"/>
                <w:color w:val="auto"/>
              </w:rPr>
            </w:pPr>
          </w:p>
        </w:tc>
        <w:tc>
          <w:tcPr>
            <w:tcW w:w="90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13"/>
                <w:szCs w:val="13"/>
                <w:color w:val="auto"/>
              </w:rPr>
            </w:pPr>
          </w:p>
        </w:tc>
        <w:tc>
          <w:tcPr>
            <w:tcW w:w="9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7"/>
              </w:rPr>
              <w:t>other</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4"/>
            <w:vMerge w:val="continue"/>
          </w:tcPr>
          <w:p>
            <w:pPr>
              <w:spacing w:after="0"/>
              <w:rPr>
                <w:sz w:val="13"/>
                <w:szCs w:val="13"/>
                <w:color w:val="auto"/>
              </w:rPr>
            </w:pPr>
          </w:p>
        </w:tc>
        <w:tc>
          <w:tcPr>
            <w:tcW w:w="10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Biogen Inc.</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paid-in</w:t>
            </w:r>
          </w:p>
        </w:tc>
        <w:tc>
          <w:tcPr>
            <w:tcW w:w="116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7"/>
              </w:rPr>
              <w:t>comprehensive</w:t>
            </w:r>
          </w:p>
        </w:tc>
        <w:tc>
          <w:tcPr>
            <w:tcW w:w="1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Retained</w:t>
            </w: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shareholders’</w:t>
            </w:r>
          </w:p>
        </w:tc>
        <w:tc>
          <w:tcPr>
            <w:tcW w:w="112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1"/>
                <w:szCs w:val="11"/>
                <w:color w:val="auto"/>
              </w:rPr>
            </w:pPr>
          </w:p>
        </w:tc>
        <w:tc>
          <w:tcPr>
            <w:tcW w:w="760" w:type="dxa"/>
            <w:vAlign w:val="bottom"/>
          </w:tcPr>
          <w:p>
            <w:pPr>
              <w:jc w:val="right"/>
              <w:ind w:right="197"/>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66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240" w:type="dxa"/>
            <w:vAlign w:val="bottom"/>
          </w:tcPr>
          <w:p>
            <w:pPr>
              <w:spacing w:after="0"/>
              <w:rPr>
                <w:sz w:val="15"/>
                <w:szCs w:val="15"/>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loss</w:t>
            </w:r>
          </w:p>
        </w:tc>
        <w:tc>
          <w:tcPr>
            <w:tcW w:w="12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Shares</w:t>
            </w: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equity</w:t>
            </w:r>
          </w:p>
        </w:tc>
        <w:tc>
          <w:tcPr>
            <w:tcW w:w="180" w:type="dxa"/>
            <w:vAlign w:val="bottom"/>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interests</w:t>
            </w:r>
          </w:p>
        </w:tc>
        <w:tc>
          <w:tcPr>
            <w:tcW w:w="120" w:type="dxa"/>
            <w:vAlign w:val="bottom"/>
          </w:tcPr>
          <w:p>
            <w:pPr>
              <w:spacing w:after="0"/>
              <w:rPr>
                <w:sz w:val="15"/>
                <w:szCs w:val="15"/>
                <w:color w:val="auto"/>
              </w:rPr>
            </w:pPr>
          </w:p>
        </w:tc>
        <w:tc>
          <w:tcPr>
            <w:tcW w:w="760" w:type="dxa"/>
            <w:vAlign w:val="bottom"/>
          </w:tcPr>
          <w:p>
            <w:pPr>
              <w:jc w:val="right"/>
              <w:ind w:right="157"/>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1200" w:type="dxa"/>
            <w:vAlign w:val="bottom"/>
          </w:tcPr>
          <w:p>
            <w:pPr>
              <w:spacing w:after="0" w:line="185" w:lineRule="exact"/>
              <w:rPr>
                <w:sz w:val="20"/>
                <w:szCs w:val="20"/>
                <w:color w:val="auto"/>
              </w:rPr>
            </w:pPr>
            <w:r>
              <w:rPr>
                <w:rFonts w:ascii="Arial" w:cs="Arial" w:eastAsia="Arial" w:hAnsi="Arial"/>
                <w:sz w:val="17"/>
                <w:szCs w:val="17"/>
                <w:b w:val="1"/>
                <w:bCs w:val="1"/>
                <w:color w:val="auto"/>
              </w:rPr>
              <w:t>Balance,</w:t>
            </w:r>
          </w:p>
        </w:tc>
        <w:tc>
          <w:tcPr>
            <w:tcW w:w="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b w:val="1"/>
                <w:bCs w:val="1"/>
                <w:color w:val="auto"/>
              </w:rPr>
              <w:t>December 31,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200" w:type="dxa"/>
            <w:vAlign w:val="bottom"/>
          </w:tcPr>
          <w:p>
            <w:pPr>
              <w:spacing w:after="0"/>
              <w:rPr>
                <w:sz w:val="20"/>
                <w:szCs w:val="20"/>
                <w:color w:val="auto"/>
              </w:rPr>
            </w:pPr>
            <w:r>
              <w:rPr>
                <w:rFonts w:ascii="Arial" w:cs="Arial" w:eastAsia="Arial" w:hAnsi="Arial"/>
                <w:sz w:val="17"/>
                <w:szCs w:val="17"/>
                <w:b w:val="1"/>
                <w:bCs w:val="1"/>
                <w:color w:val="auto"/>
              </w:rPr>
              <w:t>2014</w:t>
            </w:r>
          </w:p>
        </w:tc>
        <w:tc>
          <w:tcPr>
            <w:tcW w:w="6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200" w:type="dxa"/>
            <w:vAlign w:val="bottom"/>
          </w:tcPr>
          <w:p>
            <w:pPr>
              <w:ind w:left="20"/>
              <w:spacing w:after="0"/>
              <w:rPr>
                <w:sz w:val="20"/>
                <w:szCs w:val="20"/>
                <w:color w:val="auto"/>
              </w:rPr>
            </w:pPr>
            <w:r>
              <w:rPr>
                <w:rFonts w:ascii="Arial" w:cs="Arial" w:eastAsia="Arial" w:hAnsi="Arial"/>
                <w:sz w:val="17"/>
                <w:szCs w:val="17"/>
                <w:color w:val="auto"/>
              </w:rPr>
              <w:t>$</w:t>
            </w:r>
          </w:p>
        </w:tc>
        <w:tc>
          <w:tcPr>
            <w:tcW w:w="48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20"/>
              <w:spacing w:after="0"/>
              <w:rPr>
                <w:sz w:val="20"/>
                <w:szCs w:val="20"/>
                <w:color w:val="auto"/>
              </w:rPr>
            </w:pPr>
            <w:r>
              <w:rPr>
                <w:rFonts w:ascii="Arial" w:cs="Arial" w:eastAsia="Arial" w:hAnsi="Arial"/>
                <w:sz w:val="17"/>
                <w:szCs w:val="17"/>
                <w:color w:val="auto"/>
              </w:rPr>
              <w:t>257.1</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400" w:type="dxa"/>
            <w:vAlign w:val="bottom"/>
          </w:tcPr>
          <w:p>
            <w:pPr>
              <w:jc w:val="right"/>
              <w:ind w:right="15"/>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$4,196.2</w:t>
            </w:r>
          </w:p>
        </w:tc>
        <w:tc>
          <w:tcPr>
            <w:tcW w:w="100" w:type="dxa"/>
            <w:vAlign w:val="bottom"/>
          </w:tcPr>
          <w:p>
            <w:pPr>
              <w:spacing w:after="0"/>
              <w:rPr>
                <w:sz w:val="19"/>
                <w:szCs w:val="19"/>
                <w:color w:val="auto"/>
              </w:rPr>
            </w:pPr>
          </w:p>
        </w:tc>
        <w:tc>
          <w:tcPr>
            <w:tcW w:w="240" w:type="dxa"/>
            <w:vAlign w:val="bottom"/>
          </w:tcPr>
          <w:p>
            <w:pPr>
              <w:jc w:val="right"/>
              <w:ind w:right="43"/>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
              <w:spacing w:after="0"/>
              <w:rPr>
                <w:sz w:val="20"/>
                <w:szCs w:val="20"/>
                <w:color w:val="auto"/>
              </w:rPr>
            </w:pPr>
            <w:r>
              <w:rPr>
                <w:rFonts w:ascii="Arial" w:cs="Arial" w:eastAsia="Arial" w:hAnsi="Arial"/>
                <w:sz w:val="17"/>
                <w:szCs w:val="17"/>
                <w:color w:val="auto"/>
              </w:rPr>
              <w:t>(59.5)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9,283.9</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(22.6)</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$(2,611.7)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37"/>
              <w:spacing w:after="0"/>
              <w:rPr>
                <w:sz w:val="20"/>
                <w:szCs w:val="20"/>
                <w:color w:val="auto"/>
              </w:rPr>
            </w:pPr>
            <w:r>
              <w:rPr>
                <w:rFonts w:ascii="Arial" w:cs="Arial" w:eastAsia="Arial" w:hAnsi="Arial"/>
                <w:sz w:val="17"/>
                <w:szCs w:val="17"/>
                <w:color w:val="auto"/>
                <w:w w:val="99"/>
              </w:rPr>
              <w:t>10,809.0</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37"/>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9"/>
              </w:rPr>
              <w:t>10,814.0</w:t>
            </w:r>
          </w:p>
        </w:tc>
        <w:tc>
          <w:tcPr>
            <w:tcW w:w="0" w:type="dxa"/>
            <w:vAlign w:val="bottom"/>
          </w:tcPr>
          <w:p>
            <w:pPr>
              <w:spacing w:after="0"/>
              <w:rPr>
                <w:sz w:val="1"/>
                <w:szCs w:val="1"/>
                <w:color w:val="auto"/>
              </w:rPr>
            </w:pPr>
          </w:p>
        </w:tc>
      </w:tr>
      <w:tr>
        <w:trPr>
          <w:trHeight w:val="256"/>
        </w:trPr>
        <w:tc>
          <w:tcPr>
            <w:tcW w:w="1200" w:type="dxa"/>
            <w:vAlign w:val="bottom"/>
          </w:tcPr>
          <w:p>
            <w:pPr>
              <w:spacing w:after="0"/>
              <w:rPr>
                <w:sz w:val="20"/>
                <w:szCs w:val="20"/>
                <w:color w:val="auto"/>
              </w:rPr>
            </w:pPr>
            <w:r>
              <w:rPr>
                <w:rFonts w:ascii="Arial" w:cs="Arial" w:eastAsia="Arial" w:hAnsi="Arial"/>
                <w:sz w:val="17"/>
                <w:szCs w:val="17"/>
                <w:color w:val="auto"/>
              </w:rPr>
              <w:t>Net income</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3,547.0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7"/>
                <w:szCs w:val="17"/>
                <w:color w:val="auto"/>
              </w:rPr>
              <w:t>3,547.0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37"/>
              <w:spacing w:after="0"/>
              <w:rPr>
                <w:sz w:val="20"/>
                <w:szCs w:val="20"/>
                <w:color w:val="auto"/>
              </w:rPr>
            </w:pPr>
            <w:r>
              <w:rPr>
                <w:rFonts w:ascii="Arial" w:cs="Arial" w:eastAsia="Arial" w:hAnsi="Arial"/>
                <w:sz w:val="17"/>
                <w:szCs w:val="17"/>
                <w:color w:val="auto"/>
              </w:rPr>
              <w:t>46.2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3,593.2</w:t>
            </w:r>
          </w:p>
        </w:tc>
        <w:tc>
          <w:tcPr>
            <w:tcW w:w="0" w:type="dxa"/>
            <w:vAlign w:val="bottom"/>
          </w:tcPr>
          <w:p>
            <w:pPr>
              <w:spacing w:after="0"/>
              <w:rPr>
                <w:sz w:val="1"/>
                <w:szCs w:val="1"/>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7"/>
                <w:szCs w:val="17"/>
                <w:color w:val="auto"/>
              </w:rPr>
              <w:t>Other</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comprehensive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income (loss),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00" w:type="dxa"/>
            <w:vAlign w:val="bottom"/>
          </w:tcPr>
          <w:p>
            <w:pPr>
              <w:spacing w:after="0"/>
              <w:rPr>
                <w:sz w:val="20"/>
                <w:szCs w:val="20"/>
                <w:color w:val="auto"/>
              </w:rPr>
            </w:pPr>
            <w:r>
              <w:rPr>
                <w:rFonts w:ascii="Arial" w:cs="Arial" w:eastAsia="Arial" w:hAnsi="Arial"/>
                <w:sz w:val="17"/>
                <w:szCs w:val="17"/>
                <w:color w:val="auto"/>
              </w:rPr>
              <w:t>net of tax</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1"/>
              <w:spacing w:after="0"/>
              <w:rPr>
                <w:sz w:val="20"/>
                <w:szCs w:val="20"/>
                <w:color w:val="auto"/>
              </w:rPr>
            </w:pPr>
            <w:r>
              <w:rPr>
                <w:rFonts w:ascii="Arial" w:cs="Arial" w:eastAsia="Arial" w:hAnsi="Arial"/>
                <w:sz w:val="17"/>
                <w:szCs w:val="17"/>
                <w:color w:val="auto"/>
              </w:rPr>
              <w:t>(164.5)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(164.5)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(164.5)</w:t>
            </w:r>
          </w:p>
        </w:tc>
        <w:tc>
          <w:tcPr>
            <w:tcW w:w="0" w:type="dxa"/>
            <w:vAlign w:val="bottom"/>
          </w:tcPr>
          <w:p>
            <w:pPr>
              <w:spacing w:after="0"/>
              <w:rPr>
                <w:sz w:val="1"/>
                <w:szCs w:val="1"/>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7"/>
                <w:szCs w:val="17"/>
                <w:color w:val="auto"/>
              </w:rPr>
              <w:t>Distribution to</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noncontrolling</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00" w:type="dxa"/>
            <w:vAlign w:val="bottom"/>
          </w:tcPr>
          <w:p>
            <w:pPr>
              <w:spacing w:after="0"/>
              <w:rPr>
                <w:sz w:val="20"/>
                <w:szCs w:val="20"/>
                <w:color w:val="auto"/>
              </w:rPr>
            </w:pPr>
            <w:r>
              <w:rPr>
                <w:rFonts w:ascii="Arial" w:cs="Arial" w:eastAsia="Arial" w:hAnsi="Arial"/>
                <w:sz w:val="17"/>
                <w:szCs w:val="17"/>
                <w:color w:val="auto"/>
              </w:rPr>
              <w:t>interests</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(60.0)</w:t>
            </w:r>
          </w:p>
        </w:tc>
        <w:tc>
          <w:tcPr>
            <w:tcW w:w="0" w:type="dxa"/>
            <w:vAlign w:val="bottom"/>
          </w:tcPr>
          <w:p>
            <w:pPr>
              <w:spacing w:after="0"/>
              <w:rPr>
                <w:sz w:val="1"/>
                <w:szCs w:val="1"/>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7"/>
                <w:szCs w:val="17"/>
                <w:color w:val="auto"/>
              </w:rPr>
              <w:t>Acquisition of</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noncontrolling</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00" w:type="dxa"/>
            <w:vAlign w:val="bottom"/>
          </w:tcPr>
          <w:p>
            <w:pPr>
              <w:spacing w:after="0"/>
              <w:rPr>
                <w:sz w:val="20"/>
                <w:szCs w:val="20"/>
                <w:color w:val="auto"/>
              </w:rPr>
            </w:pPr>
            <w:r>
              <w:rPr>
                <w:rFonts w:ascii="Arial" w:cs="Arial" w:eastAsia="Arial" w:hAnsi="Arial"/>
                <w:sz w:val="17"/>
                <w:szCs w:val="17"/>
                <w:color w:val="auto"/>
              </w:rPr>
              <w:t>interests</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40" w:type="dxa"/>
            <w:vAlign w:val="bottom"/>
          </w:tcPr>
          <w:p>
            <w:pPr>
              <w:jc w:val="right"/>
              <w:ind w:right="37"/>
              <w:spacing w:after="0"/>
              <w:rPr>
                <w:sz w:val="20"/>
                <w:szCs w:val="20"/>
                <w:color w:val="auto"/>
              </w:rPr>
            </w:pPr>
            <w:r>
              <w:rPr>
                <w:rFonts w:ascii="Arial" w:cs="Arial" w:eastAsia="Arial" w:hAnsi="Arial"/>
                <w:sz w:val="17"/>
                <w:szCs w:val="17"/>
                <w:color w:val="auto"/>
              </w:rPr>
              <w:t>10.9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7"/>
                <w:szCs w:val="17"/>
                <w:color w:val="auto"/>
              </w:rPr>
              <w:t>Repurchase of</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common stock</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pursuant to the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2015 Share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Repurchase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Program, at</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00" w:type="dxa"/>
            <w:vAlign w:val="bottom"/>
          </w:tcPr>
          <w:p>
            <w:pPr>
              <w:spacing w:after="0"/>
              <w:rPr>
                <w:sz w:val="20"/>
                <w:szCs w:val="20"/>
                <w:color w:val="auto"/>
              </w:rPr>
            </w:pPr>
            <w:r>
              <w:rPr>
                <w:rFonts w:ascii="Arial" w:cs="Arial" w:eastAsia="Arial" w:hAnsi="Arial"/>
                <w:sz w:val="17"/>
                <w:szCs w:val="17"/>
                <w:color w:val="auto"/>
              </w:rPr>
              <w:t>cost</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(16.8)</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(5,000.0)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(5,000.0)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(5,000.0)</w:t>
            </w:r>
          </w:p>
        </w:tc>
        <w:tc>
          <w:tcPr>
            <w:tcW w:w="0" w:type="dxa"/>
            <w:vAlign w:val="bottom"/>
          </w:tcPr>
          <w:p>
            <w:pPr>
              <w:spacing w:after="0"/>
              <w:rPr>
                <w:sz w:val="1"/>
                <w:szCs w:val="1"/>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7"/>
                <w:szCs w:val="17"/>
                <w:color w:val="auto"/>
              </w:rPr>
              <w:t>Retirement of</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common stock</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pursuant to the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2015 Share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Repurchase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Program, at</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00" w:type="dxa"/>
            <w:vAlign w:val="bottom"/>
          </w:tcPr>
          <w:p>
            <w:pPr>
              <w:spacing w:after="0"/>
              <w:rPr>
                <w:sz w:val="20"/>
                <w:szCs w:val="20"/>
                <w:color w:val="auto"/>
              </w:rPr>
            </w:pPr>
            <w:r>
              <w:rPr>
                <w:rFonts w:ascii="Arial" w:cs="Arial" w:eastAsia="Arial" w:hAnsi="Arial"/>
                <w:sz w:val="17"/>
                <w:szCs w:val="17"/>
                <w:color w:val="auto"/>
              </w:rPr>
              <w:t>cost</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(16.8)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(4,377.5)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(622.5)</w:t>
            </w:r>
          </w:p>
        </w:tc>
        <w:tc>
          <w:tcPr>
            <w:tcW w:w="100" w:type="dxa"/>
            <w:vAlign w:val="bottom"/>
          </w:tcPr>
          <w:p>
            <w:pPr>
              <w:spacing w:after="0"/>
              <w:rPr>
                <w:sz w:val="17"/>
                <w:szCs w:val="17"/>
                <w:color w:val="auto"/>
              </w:rPr>
            </w:pPr>
          </w:p>
        </w:tc>
        <w:tc>
          <w:tcPr>
            <w:tcW w:w="520" w:type="dxa"/>
            <w:vAlign w:val="bottom"/>
          </w:tcPr>
          <w:p>
            <w:pPr>
              <w:jc w:val="right"/>
              <w:ind w:right="20"/>
              <w:spacing w:after="0"/>
              <w:rPr>
                <w:sz w:val="20"/>
                <w:szCs w:val="20"/>
                <w:color w:val="auto"/>
              </w:rPr>
            </w:pPr>
            <w:r>
              <w:rPr>
                <w:rFonts w:ascii="Arial" w:cs="Arial" w:eastAsia="Arial" w:hAnsi="Arial"/>
                <w:sz w:val="17"/>
                <w:szCs w:val="17"/>
                <w:color w:val="auto"/>
              </w:rPr>
              <w:t>16.8</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5,000.0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7"/>
                <w:szCs w:val="17"/>
                <w:color w:val="auto"/>
              </w:rPr>
              <w:t>Issuance of</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common stock</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under stock</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option and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stock purchase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00" w:type="dxa"/>
            <w:vAlign w:val="bottom"/>
          </w:tcPr>
          <w:p>
            <w:pPr>
              <w:spacing w:after="0"/>
              <w:rPr>
                <w:sz w:val="20"/>
                <w:szCs w:val="20"/>
                <w:color w:val="auto"/>
              </w:rPr>
            </w:pPr>
            <w:r>
              <w:rPr>
                <w:rFonts w:ascii="Arial" w:cs="Arial" w:eastAsia="Arial" w:hAnsi="Arial"/>
                <w:sz w:val="17"/>
                <w:szCs w:val="17"/>
                <w:color w:val="auto"/>
              </w:rPr>
              <w:t>plans</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20"/>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54.2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37"/>
              <w:spacing w:after="0"/>
              <w:rPr>
                <w:sz w:val="20"/>
                <w:szCs w:val="20"/>
                <w:color w:val="auto"/>
              </w:rPr>
            </w:pPr>
            <w:r>
              <w:rPr>
                <w:rFonts w:ascii="Arial" w:cs="Arial" w:eastAsia="Arial" w:hAnsi="Arial"/>
                <w:sz w:val="17"/>
                <w:szCs w:val="17"/>
                <w:color w:val="auto"/>
              </w:rPr>
              <w:t>54.2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54.2</w:t>
            </w:r>
          </w:p>
        </w:tc>
        <w:tc>
          <w:tcPr>
            <w:tcW w:w="0" w:type="dxa"/>
            <w:vAlign w:val="bottom"/>
          </w:tcPr>
          <w:p>
            <w:pPr>
              <w:spacing w:after="0"/>
              <w:rPr>
                <w:sz w:val="1"/>
                <w:szCs w:val="1"/>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7"/>
                <w:szCs w:val="17"/>
                <w:color w:val="auto"/>
              </w:rPr>
              <w:t>Issuance of</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common stock</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under stock</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00" w:type="dxa"/>
            <w:vAlign w:val="bottom"/>
          </w:tcPr>
          <w:p>
            <w:pPr>
              <w:spacing w:after="0"/>
              <w:rPr>
                <w:sz w:val="20"/>
                <w:szCs w:val="20"/>
                <w:color w:val="auto"/>
              </w:rPr>
            </w:pPr>
            <w:r>
              <w:rPr>
                <w:rFonts w:ascii="Arial" w:cs="Arial" w:eastAsia="Arial" w:hAnsi="Arial"/>
                <w:sz w:val="17"/>
                <w:szCs w:val="17"/>
                <w:color w:val="auto"/>
              </w:rPr>
              <w:t>award plan</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20"/>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(125.1)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(125.1)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(125.1)</w:t>
            </w:r>
          </w:p>
        </w:tc>
        <w:tc>
          <w:tcPr>
            <w:tcW w:w="0" w:type="dxa"/>
            <w:vAlign w:val="bottom"/>
          </w:tcPr>
          <w:p>
            <w:pPr>
              <w:spacing w:after="0"/>
              <w:rPr>
                <w:sz w:val="1"/>
                <w:szCs w:val="1"/>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7"/>
                <w:szCs w:val="17"/>
                <w:color w:val="auto"/>
              </w:rPr>
              <w:t>Compensation</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related to</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share-based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00" w:type="dxa"/>
            <w:vAlign w:val="bottom"/>
          </w:tcPr>
          <w:p>
            <w:pPr>
              <w:spacing w:after="0"/>
              <w:rPr>
                <w:sz w:val="20"/>
                <w:szCs w:val="20"/>
                <w:color w:val="auto"/>
              </w:rPr>
            </w:pPr>
            <w:r>
              <w:rPr>
                <w:rFonts w:ascii="Arial" w:cs="Arial" w:eastAsia="Arial" w:hAnsi="Arial"/>
                <w:sz w:val="17"/>
                <w:szCs w:val="17"/>
                <w:color w:val="auto"/>
              </w:rPr>
              <w:t>payments</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183.2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37"/>
              <w:spacing w:after="0"/>
              <w:rPr>
                <w:sz w:val="20"/>
                <w:szCs w:val="20"/>
                <w:color w:val="auto"/>
              </w:rPr>
            </w:pPr>
            <w:r>
              <w:rPr>
                <w:rFonts w:ascii="Arial" w:cs="Arial" w:eastAsia="Arial" w:hAnsi="Arial"/>
                <w:sz w:val="17"/>
                <w:szCs w:val="17"/>
                <w:color w:val="auto"/>
              </w:rPr>
              <w:t>183.2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183.2</w:t>
            </w:r>
          </w:p>
        </w:tc>
        <w:tc>
          <w:tcPr>
            <w:tcW w:w="0" w:type="dxa"/>
            <w:vAlign w:val="bottom"/>
          </w:tcPr>
          <w:p>
            <w:pPr>
              <w:spacing w:after="0"/>
              <w:rPr>
                <w:sz w:val="1"/>
                <w:szCs w:val="1"/>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7"/>
                <w:szCs w:val="17"/>
                <w:color w:val="auto"/>
              </w:rPr>
              <w:t>Tax benefit</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from share-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based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200" w:type="dxa"/>
            <w:vAlign w:val="bottom"/>
          </w:tcPr>
          <w:p>
            <w:pPr>
              <w:spacing w:after="0"/>
              <w:rPr>
                <w:sz w:val="20"/>
                <w:szCs w:val="20"/>
                <w:color w:val="auto"/>
              </w:rPr>
            </w:pPr>
            <w:r>
              <w:rPr>
                <w:rFonts w:ascii="Arial" w:cs="Arial" w:eastAsia="Arial" w:hAnsi="Arial"/>
                <w:sz w:val="17"/>
                <w:szCs w:val="17"/>
                <w:color w:val="auto"/>
              </w:rPr>
              <w:t>payments</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69.0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69.0</w:t>
            </w:r>
          </w:p>
        </w:tc>
        <w:tc>
          <w:tcPr>
            <w:tcW w:w="0" w:type="dxa"/>
            <w:vAlign w:val="bottom"/>
          </w:tcPr>
          <w:p>
            <w:pPr>
              <w:spacing w:after="0"/>
              <w:rPr>
                <w:sz w:val="1"/>
                <w:szCs w:val="1"/>
                <w:color w:val="auto"/>
              </w:rPr>
            </w:pPr>
          </w:p>
        </w:tc>
      </w:tr>
      <w:tr>
        <w:trPr>
          <w:trHeight w:val="184"/>
        </w:trPr>
        <w:tc>
          <w:tcPr>
            <w:tcW w:w="1200" w:type="dxa"/>
            <w:vAlign w:val="bottom"/>
          </w:tcPr>
          <w:p>
            <w:pPr>
              <w:spacing w:after="0" w:line="185" w:lineRule="exact"/>
              <w:rPr>
                <w:sz w:val="20"/>
                <w:szCs w:val="20"/>
                <w:color w:val="auto"/>
              </w:rPr>
            </w:pPr>
            <w:r>
              <w:rPr>
                <w:rFonts w:ascii="Arial" w:cs="Arial" w:eastAsia="Arial" w:hAnsi="Arial"/>
                <w:sz w:val="17"/>
                <w:szCs w:val="17"/>
                <w:b w:val="1"/>
                <w:bCs w:val="1"/>
                <w:color w:val="auto"/>
              </w:rPr>
              <w:t>Balance,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b w:val="1"/>
                <w:bCs w:val="1"/>
                <w:color w:val="auto"/>
              </w:rPr>
              <w:t>December 31,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200" w:type="dxa"/>
            <w:vAlign w:val="bottom"/>
          </w:tcPr>
          <w:p>
            <w:pPr>
              <w:spacing w:after="0"/>
              <w:rPr>
                <w:sz w:val="20"/>
                <w:szCs w:val="20"/>
                <w:color w:val="auto"/>
              </w:rPr>
            </w:pPr>
            <w:r>
              <w:rPr>
                <w:rFonts w:ascii="Arial" w:cs="Arial" w:eastAsia="Arial" w:hAnsi="Arial"/>
                <w:sz w:val="17"/>
                <w:szCs w:val="17"/>
                <w:b w:val="1"/>
                <w:bCs w:val="1"/>
                <w:color w:val="auto"/>
              </w:rPr>
              <w:t>2015</w:t>
            </w:r>
          </w:p>
        </w:tc>
        <w:tc>
          <w:tcPr>
            <w:tcW w:w="52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56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241.2</w:t>
            </w:r>
          </w:p>
        </w:tc>
        <w:tc>
          <w:tcPr>
            <w:tcW w:w="100" w:type="dxa"/>
            <w:vAlign w:val="bottom"/>
          </w:tcPr>
          <w:p>
            <w:pPr>
              <w:spacing w:after="0"/>
              <w:rPr>
                <w:sz w:val="20"/>
                <w:szCs w:val="20"/>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(224.0)</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12,208.4</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w:t>
            </w:r>
          </w:p>
        </w:tc>
        <w:tc>
          <w:tcPr>
            <w:tcW w:w="10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$(2,611.7)</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9,372.8</w:t>
            </w:r>
          </w:p>
        </w:tc>
        <w:tc>
          <w:tcPr>
            <w:tcW w:w="100" w:type="dxa"/>
            <w:vAlign w:val="bottom"/>
          </w:tcPr>
          <w:p>
            <w:pPr>
              <w:spacing w:after="0"/>
              <w:rPr>
                <w:sz w:val="20"/>
                <w:szCs w:val="20"/>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9,374.9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See accompanying notes to these consolidated financial statements.</w:t>
      </w:r>
    </w:p>
    <w:p>
      <w:pPr>
        <w:spacing w:after="0" w:line="24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F- 8</w:t>
      </w:r>
    </w:p>
    <w:p>
      <w:pPr>
        <w:sectPr>
          <w:pgSz w:w="11900" w:h="16838" w:orient="portrait"/>
          <w:cols w:equalWidth="0" w:num="1">
            <w:col w:w="11520"/>
          </w:cols>
          <w:pgMar w:left="240" w:top="144" w:right="139" w:bottom="1440" w:gutter="0" w:footer="0" w:header="0"/>
        </w:sectPr>
      </w:pPr>
    </w:p>
    <w:bookmarkStart w:id="110" w:name="page111"/>
    <w:bookmarkEnd w:id="1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hanging="458"/>
        <w:spacing w:after="0"/>
        <w:tabs>
          <w:tab w:leader="none" w:pos="460" w:val="left"/>
        </w:tabs>
        <w:numPr>
          <w:ilvl w:val="0"/>
          <w:numId w:val="91"/>
        </w:numPr>
        <w:rPr>
          <w:rFonts w:ascii="Arial" w:cs="Arial" w:eastAsia="Arial" w:hAnsi="Arial"/>
          <w:sz w:val="20"/>
          <w:szCs w:val="20"/>
          <w:b w:val="1"/>
          <w:bCs w:val="1"/>
          <w:color w:val="578196"/>
        </w:rPr>
      </w:pPr>
      <w:r>
        <w:rPr>
          <w:rFonts w:ascii="Arial" w:cs="Arial" w:eastAsia="Arial" w:hAnsi="Arial"/>
          <w:sz w:val="20"/>
          <w:szCs w:val="20"/>
          <w:b w:val="1"/>
          <w:bCs w:val="1"/>
          <w:color w:val="578196"/>
        </w:rPr>
        <w:t>Summary of Significant Accounting Policies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Business Overview</w:t>
      </w:r>
    </w:p>
    <w:p>
      <w:pPr>
        <w:spacing w:after="0" w:line="183" w:lineRule="exact"/>
        <w:rPr>
          <w:sz w:val="20"/>
          <w:szCs w:val="20"/>
          <w:color w:val="auto"/>
        </w:rPr>
      </w:pPr>
    </w:p>
    <w:p>
      <w:pPr>
        <w:ind w:firstLine="384"/>
        <w:spacing w:after="0" w:line="253" w:lineRule="auto"/>
        <w:rPr>
          <w:sz w:val="20"/>
          <w:szCs w:val="20"/>
          <w:color w:val="auto"/>
        </w:rPr>
      </w:pPr>
      <w:r>
        <w:rPr>
          <w:rFonts w:ascii="Arial" w:cs="Arial" w:eastAsia="Arial" w:hAnsi="Arial"/>
          <w:sz w:val="17"/>
          <w:szCs w:val="17"/>
          <w:color w:val="auto"/>
        </w:rPr>
        <w:t>Biogen is a global biopharmaceutical company focused on discovering, developing and delivering worldwide innovative therapies for people living with serious neurological and neurodegenerative diseases, including in our core growth areas of multiple sclerosis (MS) and neuroimmunology, Alzheimer’s disease (AD) and dementia, movement disorders and neuromuscular disorders, including spinal muscular atrophy (SMA) and amyotrophic lateral sclerosis (ALS). We also plan to invest in emerging growth areas such as pain, ophthalmology, neuropsychiatry and acute neurology. In addition, we are employing innovative technologies to discover potential treatments for rare and genetic disorders, including new ways of treating diseases through gene therapy in the previously mentioned areas. We also manufacture and commercialize biosimilars of advanced biologics.</w:t>
      </w:r>
    </w:p>
    <w:p>
      <w:pPr>
        <w:spacing w:after="0" w:line="147" w:lineRule="exact"/>
        <w:rPr>
          <w:sz w:val="20"/>
          <w:szCs w:val="20"/>
          <w:color w:val="auto"/>
        </w:rPr>
      </w:pPr>
    </w:p>
    <w:p>
      <w:pPr>
        <w:ind w:firstLine="384"/>
        <w:spacing w:after="0" w:line="254" w:lineRule="auto"/>
        <w:rPr>
          <w:sz w:val="20"/>
          <w:szCs w:val="20"/>
          <w:color w:val="auto"/>
        </w:rPr>
      </w:pPr>
      <w:r>
        <w:rPr>
          <w:rFonts w:ascii="Arial" w:cs="Arial" w:eastAsia="Arial" w:hAnsi="Arial"/>
          <w:sz w:val="17"/>
          <w:szCs w:val="17"/>
          <w:color w:val="auto"/>
        </w:rPr>
        <w:t>Our marketed products include TECFIDERA, AVONEX, PLEGRIDY, TYSABRI, ZINBRYTA and FAMPYRA for the treatment of MS, SPINRAZA for the treatment of SMA and FUMADERM for the treatment of severe plaque psoriasis. We also have certain business and financial rights with respect to RITUXAN for the treatment of non-Hodgkin's lymphoma, chronic lymphocytic leukemia (CLL) and other conditions, GAZYVA for the treatment of CLL and follicular lymphoma, OCREVUS for the treatment of primary progressive MS and relapsing MS and other potential anti-CD20 therapies under a collaboration agreement with Genentech, Inc. (Genentech), a wholly-owned member of the Roche Group.</w:t>
      </w:r>
    </w:p>
    <w:p>
      <w:pPr>
        <w:spacing w:after="0" w:line="144" w:lineRule="exact"/>
        <w:rPr>
          <w:sz w:val="20"/>
          <w:szCs w:val="20"/>
          <w:color w:val="auto"/>
        </w:rPr>
      </w:pPr>
    </w:p>
    <w:p>
      <w:pPr>
        <w:ind w:right="80" w:firstLine="384"/>
        <w:spacing w:after="0" w:line="253" w:lineRule="auto"/>
        <w:rPr>
          <w:sz w:val="20"/>
          <w:szCs w:val="20"/>
          <w:color w:val="auto"/>
        </w:rPr>
      </w:pPr>
      <w:r>
        <w:rPr>
          <w:rFonts w:ascii="Arial" w:cs="Arial" w:eastAsia="Arial" w:hAnsi="Arial"/>
          <w:sz w:val="17"/>
          <w:szCs w:val="17"/>
          <w:color w:val="auto"/>
        </w:rPr>
        <w:t>We support our drug discovery and development efforts through the commitment of significant resources to discovery, research and development programs and business development opportunities, particularly within our core and emerging growth areas. For nearly two decades we have led in the research and development of new therapies to treat MS, resulting in our leading portfolio of MS treatments. Now our research is focused on additional improvements in the treatment of MS, such as the development of next generation therapies for MS, with a goal to reverse or possibly repair damage caused by the disease. We are also applying our scientific expertise to solve some of the most challenging and complex diseases, including AD, progressive supranuclear palsy (PSP), a rare condition that affects movement, speech, vision and cognitive function, Parkinson's disease and ALS.</w:t>
      </w:r>
    </w:p>
    <w:p>
      <w:pPr>
        <w:spacing w:after="0" w:line="147" w:lineRule="exact"/>
        <w:rPr>
          <w:sz w:val="20"/>
          <w:szCs w:val="20"/>
          <w:color w:val="auto"/>
        </w:rPr>
      </w:pPr>
    </w:p>
    <w:p>
      <w:pPr>
        <w:ind w:right="20" w:firstLine="384"/>
        <w:spacing w:after="0" w:line="254" w:lineRule="auto"/>
        <w:rPr>
          <w:sz w:val="20"/>
          <w:szCs w:val="20"/>
          <w:color w:val="auto"/>
        </w:rPr>
      </w:pPr>
      <w:r>
        <w:rPr>
          <w:rFonts w:ascii="Arial" w:cs="Arial" w:eastAsia="Arial" w:hAnsi="Arial"/>
          <w:sz w:val="17"/>
          <w:szCs w:val="17"/>
          <w:color w:val="auto"/>
        </w:rPr>
        <w:t>Our innovative drug development and commercialization activities are complemented by our biosimilar therapies that expand access to medicines and reduce the cost burden for healthcare systems. We are leveraging our manufacturing capabilities and know-how to develop, manufacture and market biosimilars through Samsung Bioepis, our joint venture with Samsung BioLogics Co. Ltd. (Samsung Biologics). Under our commercial agreement, we market and sell BENEPALI, an etanercept biosimilar referencing ENBREL, and FLIXABI, an infliximab biosimilar referencing REMICADE in the European Union (E.U.).</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Hemophilia Spin-Off</w:t>
      </w:r>
    </w:p>
    <w:p>
      <w:pPr>
        <w:spacing w:after="0" w:line="181" w:lineRule="exact"/>
        <w:rPr>
          <w:sz w:val="20"/>
          <w:szCs w:val="20"/>
          <w:color w:val="auto"/>
        </w:rPr>
      </w:pPr>
    </w:p>
    <w:p>
      <w:pPr>
        <w:ind w:right="140" w:firstLine="410"/>
        <w:spacing w:after="0" w:line="257" w:lineRule="auto"/>
        <w:rPr>
          <w:sz w:val="20"/>
          <w:szCs w:val="20"/>
          <w:color w:val="auto"/>
        </w:rPr>
      </w:pPr>
      <w:r>
        <w:rPr>
          <w:rFonts w:ascii="Arial" w:cs="Arial" w:eastAsia="Arial" w:hAnsi="Arial"/>
          <w:sz w:val="17"/>
          <w:szCs w:val="17"/>
          <w:color w:val="auto"/>
        </w:rPr>
        <w:t>On February 1, 2017, we completed the spin-off of our hemophilia business, Bioverativ Inc. (Bioverativ), as an independent, publicly traded company. Our consolidated results of operations and financial position included in these audited consolidated financial statements reflect the financial results of our hemophilia business for all periods through January 31, 2017.</w:t>
      </w:r>
    </w:p>
    <w:p>
      <w:pPr>
        <w:spacing w:after="0" w:line="122" w:lineRule="exact"/>
        <w:rPr>
          <w:sz w:val="20"/>
          <w:szCs w:val="20"/>
          <w:color w:val="auto"/>
        </w:rPr>
      </w:pPr>
    </w:p>
    <w:p>
      <w:pPr>
        <w:ind w:right="320" w:firstLine="410"/>
        <w:spacing w:after="0" w:line="284" w:lineRule="auto"/>
        <w:rPr>
          <w:sz w:val="20"/>
          <w:szCs w:val="20"/>
          <w:color w:val="auto"/>
        </w:rPr>
      </w:pPr>
      <w:r>
        <w:rPr>
          <w:rFonts w:ascii="Arial" w:cs="Arial" w:eastAsia="Arial" w:hAnsi="Arial"/>
          <w:sz w:val="17"/>
          <w:szCs w:val="17"/>
          <w:color w:val="auto"/>
        </w:rPr>
        <w:t xml:space="preserve">For additional information on the spin-off of our hemophilia business, please read Note 3, </w:t>
      </w:r>
      <w:r>
        <w:rPr>
          <w:rFonts w:ascii="Arial" w:cs="Arial" w:eastAsia="Arial" w:hAnsi="Arial"/>
          <w:sz w:val="17"/>
          <w:szCs w:val="17"/>
          <w:i w:val="1"/>
          <w:iCs w:val="1"/>
          <w:color w:val="auto"/>
        </w:rPr>
        <w:t>Hemophilia Spin-Off,</w:t>
      </w:r>
      <w:r>
        <w:rPr>
          <w:rFonts w:ascii="Arial" w:cs="Arial" w:eastAsia="Arial" w:hAnsi="Arial"/>
          <w:sz w:val="17"/>
          <w:szCs w:val="17"/>
          <w:color w:val="auto"/>
        </w:rPr>
        <w:t xml:space="preserve"> to these consolidated financial statements.</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Consolidation</w:t>
      </w:r>
    </w:p>
    <w:p>
      <w:pPr>
        <w:spacing w:after="0" w:line="106" w:lineRule="exact"/>
        <w:rPr>
          <w:sz w:val="20"/>
          <w:szCs w:val="20"/>
          <w:color w:val="auto"/>
        </w:rPr>
      </w:pPr>
    </w:p>
    <w:p>
      <w:pPr>
        <w:ind w:right="100" w:firstLine="410"/>
        <w:spacing w:after="0" w:line="254" w:lineRule="auto"/>
        <w:rPr>
          <w:sz w:val="20"/>
          <w:szCs w:val="20"/>
          <w:color w:val="auto"/>
        </w:rPr>
      </w:pPr>
      <w:r>
        <w:rPr>
          <w:rFonts w:ascii="Arial" w:cs="Arial" w:eastAsia="Arial" w:hAnsi="Arial"/>
          <w:sz w:val="17"/>
          <w:szCs w:val="17"/>
          <w:color w:val="auto"/>
        </w:rPr>
        <w:t>Our consolidated financial statements reflect our financial statements, those of our wholly-owned subsidiaries and those of certain variable interest entities where we are the primary beneficiary. For consolidated entities where we own or are exposed to less than 100% of the economics, we record net income (loss) attributable to noncontrolling interests in our consolidated statements of income equal to the percentage of the economic or ownership interest retained in such entities by the respective noncontrolling parties. Intercompany balances and transactions are eliminated in consolidation.</w:t>
      </w:r>
    </w:p>
    <w:p>
      <w:pPr>
        <w:spacing w:after="0" w:line="144" w:lineRule="exact"/>
        <w:rPr>
          <w:sz w:val="20"/>
          <w:szCs w:val="20"/>
          <w:color w:val="auto"/>
        </w:rPr>
      </w:pPr>
    </w:p>
    <w:p>
      <w:pPr>
        <w:ind w:right="80" w:firstLine="410"/>
        <w:spacing w:after="0" w:line="262" w:lineRule="auto"/>
        <w:rPr>
          <w:sz w:val="20"/>
          <w:szCs w:val="20"/>
          <w:color w:val="auto"/>
        </w:rPr>
      </w:pPr>
      <w:r>
        <w:rPr>
          <w:rFonts w:ascii="Arial" w:cs="Arial" w:eastAsia="Arial" w:hAnsi="Arial"/>
          <w:sz w:val="17"/>
          <w:szCs w:val="17"/>
          <w:color w:val="auto"/>
        </w:rPr>
        <w:t>In determining whether we are the primary beneficiary of an entity, we apply a qualitative approach that determines whether we have both (1) the power to direct the economically significant activities of the entity and (2)</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F- 9</w:t>
      </w:r>
    </w:p>
    <w:p>
      <w:pPr>
        <w:sectPr>
          <w:pgSz w:w="11900" w:h="16838" w:orient="portrait"/>
          <w:cols w:equalWidth="0" w:num="1">
            <w:col w:w="11400"/>
          </w:cols>
          <w:pgMar w:left="240" w:top="139" w:right="259" w:bottom="1440" w:gutter="0" w:footer="0" w:header="0"/>
        </w:sectPr>
      </w:pPr>
    </w:p>
    <w:bookmarkStart w:id="111" w:name="page112"/>
    <w:bookmarkEnd w:id="1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90"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the obligation to absorb losses of, or the right to receive benefits from, the entity that could potentially be significant to that entity. These considerations impact the way we account for our existing collaborative relationships and other arrangements. We continuously assess whether we are the primary beneficiary of a variable interest entity as changes to existing relationships or future transactions may result in us consolidating or deconsolidating one or more of our collaborators or partners.</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Use of Estimates</w:t>
      </w:r>
    </w:p>
    <w:p>
      <w:pPr>
        <w:spacing w:after="0" w:line="106" w:lineRule="exact"/>
        <w:rPr>
          <w:sz w:val="20"/>
          <w:szCs w:val="20"/>
          <w:color w:val="auto"/>
        </w:rPr>
      </w:pPr>
    </w:p>
    <w:p>
      <w:pPr>
        <w:ind w:right="80" w:firstLine="410"/>
        <w:spacing w:after="0" w:line="254" w:lineRule="auto"/>
        <w:rPr>
          <w:sz w:val="20"/>
          <w:szCs w:val="20"/>
          <w:color w:val="auto"/>
        </w:rPr>
      </w:pPr>
      <w:r>
        <w:rPr>
          <w:rFonts w:ascii="Arial" w:cs="Arial" w:eastAsia="Arial" w:hAnsi="Arial"/>
          <w:sz w:val="17"/>
          <w:szCs w:val="17"/>
          <w:color w:val="auto"/>
        </w:rPr>
        <w:t>The preparation of our consolidated financial statements requires us to make estimates, judgments and assumptions that may affect the reported amounts of assets, liabilities, equity, revenues and expenses and related disclosure of contingent assets and liabilities. On an on-going basis we evaluate our estimates, judgments and methodologies. We base our estimates on historical experience and on various other assumptions that we believe are reasonable, the results of which form the basis for making judgments about the carrying values of assets, liabilities and equity and the amount of revenues and expenses. Actual results may differ from these estimates under different assumptions or conditions.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Revenue Recognition</w:t>
      </w:r>
    </w:p>
    <w:p>
      <w:pPr>
        <w:spacing w:after="0" w:line="106" w:lineRule="exact"/>
        <w:rPr>
          <w:sz w:val="20"/>
          <w:szCs w:val="20"/>
          <w:color w:val="auto"/>
        </w:rPr>
      </w:pPr>
    </w:p>
    <w:p>
      <w:pPr>
        <w:ind w:firstLine="410"/>
        <w:spacing w:after="0" w:line="262" w:lineRule="auto"/>
        <w:rPr>
          <w:sz w:val="20"/>
          <w:szCs w:val="20"/>
          <w:color w:val="auto"/>
        </w:rPr>
      </w:pPr>
      <w:r>
        <w:rPr>
          <w:rFonts w:ascii="Arial" w:cs="Arial" w:eastAsia="Arial" w:hAnsi="Arial"/>
          <w:sz w:val="17"/>
          <w:szCs w:val="17"/>
          <w:color w:val="auto"/>
        </w:rPr>
        <w:t>We recognize revenues when all of the following criteria are met: persuasive evidence of an arrangement exists; delivery has occurred or services have been rendered; our price to the customer is fixed or determinable; and collectability is reasonably assured.</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Product Revenues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Revenues from product sales are recognized when title and risk of loss have passed to the customer, which is typically upon delivery.</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Reserves for Discounts and Allowances</w:t>
      </w:r>
    </w:p>
    <w:p>
      <w:pPr>
        <w:spacing w:after="0" w:line="104"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Revenues from product sales are recorded net of reserves established for applicable discounts and allowances, including those associated with the implementation of pricing actions in certain of the international markets in which we operate. These reserves are based on estimates of the amounts earned or to be claimed on the related sales and are classified as reductions of accounts receivable (if the amount is payable to our customer) or a liability (if the amount is payable to a party other than our customer). Our estimates take into consideration our historical experience, current contractual and statutory requirements, specific known market events and trends, industry data and forecasted customer buying and payment patterns. Actual amounts may ultimately differ from our estimates. If actual results vary, we adjust these estimates, which could have an effect on earnings in the period of adjustment.</w:t>
      </w:r>
    </w:p>
    <w:p>
      <w:pPr>
        <w:spacing w:after="0" w:line="14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Product revenue reserves are categorized as follows: discounts, contractual adjustments and returns.</w:t>
      </w:r>
    </w:p>
    <w:p>
      <w:pPr>
        <w:spacing w:after="0" w:line="163" w:lineRule="exact"/>
        <w:rPr>
          <w:sz w:val="20"/>
          <w:szCs w:val="20"/>
          <w:color w:val="auto"/>
        </w:rPr>
      </w:pPr>
    </w:p>
    <w:p>
      <w:pPr>
        <w:ind w:right="160" w:firstLine="410"/>
        <w:spacing w:after="0" w:line="255" w:lineRule="auto"/>
        <w:rPr>
          <w:sz w:val="20"/>
          <w:szCs w:val="20"/>
          <w:color w:val="auto"/>
        </w:rPr>
      </w:pPr>
      <w:r>
        <w:rPr>
          <w:rFonts w:ascii="Arial" w:cs="Arial" w:eastAsia="Arial" w:hAnsi="Arial"/>
          <w:sz w:val="17"/>
          <w:szCs w:val="17"/>
          <w:color w:val="auto"/>
        </w:rPr>
        <w:t>Discounts include trade term discounts and wholesaler incentives. Trade term discounts and wholesaler incentives primarily relate to estimated obligations for credits to be granted to wholesalers for remitting payment on their purchases within established incentive periods and credits to be granted to wholesalers for compliance with various contractually-defined inventory management practices, respectively. We determine these reserves based on our historical experience, including the timing of customer payments.</w:t>
      </w:r>
    </w:p>
    <w:p>
      <w:pPr>
        <w:spacing w:after="0" w:line="143" w:lineRule="exact"/>
        <w:rPr>
          <w:sz w:val="20"/>
          <w:szCs w:val="20"/>
          <w:color w:val="auto"/>
        </w:rPr>
      </w:pPr>
    </w:p>
    <w:p>
      <w:pPr>
        <w:ind w:right="260" w:firstLine="410"/>
        <w:spacing w:after="0" w:line="262" w:lineRule="auto"/>
        <w:rPr>
          <w:sz w:val="20"/>
          <w:szCs w:val="20"/>
          <w:color w:val="auto"/>
        </w:rPr>
      </w:pPr>
      <w:r>
        <w:rPr>
          <w:rFonts w:ascii="Arial" w:cs="Arial" w:eastAsia="Arial" w:hAnsi="Arial"/>
          <w:sz w:val="17"/>
          <w:szCs w:val="17"/>
          <w:color w:val="auto"/>
        </w:rPr>
        <w:t>Contractual adjustments primarily relate to Medicaid and managed care rebates, co-payment (copay) assistance, Veterans Administration (VA) and Public Health Service (PHS) discounts, specialty pharmacy program fees and other governmental rebates or applicable allowances.</w:t>
      </w:r>
    </w:p>
    <w:p>
      <w:pPr>
        <w:spacing w:after="0" w:line="137" w:lineRule="exact"/>
        <w:rPr>
          <w:sz w:val="20"/>
          <w:szCs w:val="20"/>
          <w:color w:val="auto"/>
        </w:rPr>
      </w:pPr>
    </w:p>
    <w:p>
      <w:pPr>
        <w:ind w:left="380" w:hanging="301"/>
        <w:spacing w:after="0" w:line="254" w:lineRule="auto"/>
        <w:tabs>
          <w:tab w:leader="none" w:pos="3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Medicaid rebates relate to our estimated obligations to states under established reimbursement arrangements. Rebate accruals are recorded in the same period the related revenue is recognized, resulting in a reduction of product revenue and the establishment of a liability which is included in other current liabilities. Our liability for Medicaid rebates consists of estimates for claims that a state will make for the current quarter, claims for prior quarters that have been estimated for which an invoice has not been received, invoices received for claims from the prior quarters that have not been paid, and an estimate of potential claims that will be made for inventory that exists in the distribution channel at period end.</w:t>
      </w:r>
    </w:p>
    <w:p>
      <w:pPr>
        <w:spacing w:after="0" w:line="143" w:lineRule="exact"/>
        <w:rPr>
          <w:rFonts w:ascii="Arial" w:cs="Arial" w:eastAsia="Arial" w:hAnsi="Arial"/>
          <w:sz w:val="17"/>
          <w:szCs w:val="17"/>
          <w:color w:val="auto"/>
        </w:rPr>
      </w:pPr>
    </w:p>
    <w:p>
      <w:pPr>
        <w:ind w:left="380" w:right="260" w:hanging="301"/>
        <w:spacing w:after="0" w:line="257" w:lineRule="auto"/>
        <w:tabs>
          <w:tab w:leader="none" w:pos="3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Governmental rebates or chargebacks, including VA and PHS discounts, represent our estimated obligations resulting from contractual commitments to sell products to qualified healthcare providers at prices lower than the list prices we charge to wholesalers which provide those products. The wholesaler charges us for the</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F- 10</w:t>
      </w:r>
    </w:p>
    <w:p>
      <w:pPr>
        <w:sectPr>
          <w:pgSz w:w="11900" w:h="16838" w:orient="portrait"/>
          <w:cols w:equalWidth="0" w:num="1">
            <w:col w:w="11420"/>
          </w:cols>
          <w:pgMar w:left="240" w:top="139" w:right="239" w:bottom="1440" w:gutter="0" w:footer="0" w:header="0"/>
        </w:sectPr>
      </w:pPr>
    </w:p>
    <w:bookmarkStart w:id="112" w:name="page113"/>
    <w:bookmarkEnd w:id="1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16" w:lineRule="exact"/>
        <w:rPr>
          <w:sz w:val="20"/>
          <w:szCs w:val="20"/>
          <w:color w:val="auto"/>
        </w:rPr>
      </w:pPr>
    </w:p>
    <w:p>
      <w:pPr>
        <w:ind w:left="380" w:right="40"/>
        <w:spacing w:after="0" w:line="300" w:lineRule="auto"/>
        <w:rPr>
          <w:sz w:val="20"/>
          <w:szCs w:val="20"/>
          <w:color w:val="auto"/>
        </w:rPr>
      </w:pPr>
      <w:r>
        <w:rPr>
          <w:rFonts w:ascii="Arial" w:cs="Arial" w:eastAsia="Arial" w:hAnsi="Arial"/>
          <w:sz w:val="17"/>
          <w:szCs w:val="17"/>
          <w:color w:val="auto"/>
        </w:rPr>
        <w:t>difference between what the wholesaler pays for the products and the ultimate selling price to the qualified healthcare providers. Rebate and chargeback reserves are established in the same period as the related revenue is recognized, resulting in a reduction in product revenue and accounts receivable. Chargeback amounts are generally determined at the time of resale to the qualified healthcare provider from the wholesaler, and we generally issue credits for such amounts within a few weeks of the wholesaler notifying us about the resale. Our reserves for VA, PHS and chargebacks consist of amounts that we expect to issue for inventory that exists at the wholesalers that we expect will be sold to qualified healthcare providers and chargebacks that wholesalers have claimed for which we have not issued a credit.</w:t>
      </w:r>
    </w:p>
    <w:p>
      <w:pPr>
        <w:spacing w:after="0" w:line="122" w:lineRule="exact"/>
        <w:rPr>
          <w:sz w:val="20"/>
          <w:szCs w:val="20"/>
          <w:color w:val="auto"/>
        </w:rPr>
      </w:pPr>
    </w:p>
    <w:p>
      <w:pPr>
        <w:ind w:left="380" w:hanging="301"/>
        <w:spacing w:after="0" w:line="254" w:lineRule="auto"/>
        <w:tabs>
          <w:tab w:leader="none" w:pos="3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Managed care rebates represent our estimated obligations to third parties, primarily pharmacy benefit managers. Rebate accruals are recorded in the same period the related revenue is recognized, resulting in a reduction of product revenue and the establishment of a liability which is included in accrued expenses and other current liabilities. These rebates result from performance-based goals, formulary position and price increase limit allowances (price protection). The calculation of the accrual for these rebates is based on an estimate of the customer’s buying patterns and the resulting applicable contractual rebate rate(s) to be earned over a contractual period.</w:t>
      </w:r>
    </w:p>
    <w:p>
      <w:pPr>
        <w:spacing w:after="0" w:line="143" w:lineRule="exact"/>
        <w:rPr>
          <w:rFonts w:ascii="Arial" w:cs="Arial" w:eastAsia="Arial" w:hAnsi="Arial"/>
          <w:sz w:val="17"/>
          <w:szCs w:val="17"/>
          <w:color w:val="auto"/>
        </w:rPr>
      </w:pPr>
    </w:p>
    <w:p>
      <w:pPr>
        <w:ind w:left="380" w:right="180" w:hanging="301"/>
        <w:spacing w:after="0" w:line="257" w:lineRule="auto"/>
        <w:tabs>
          <w:tab w:leader="none" w:pos="3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Copay assistance represents financial assistance to qualified patients, assisting them with prescription drug co-payments required by insurance. The calculation of the accrual for copay is based on an estimate of claims and the cost per claim that we expect to receive associated with inventory that exists in the distribution channel at period end.</w:t>
      </w:r>
    </w:p>
    <w:p>
      <w:pPr>
        <w:spacing w:after="0" w:line="140" w:lineRule="exact"/>
        <w:rPr>
          <w:rFonts w:ascii="Arial" w:cs="Arial" w:eastAsia="Arial" w:hAnsi="Arial"/>
          <w:sz w:val="17"/>
          <w:szCs w:val="17"/>
          <w:color w:val="auto"/>
        </w:rPr>
      </w:pPr>
    </w:p>
    <w:p>
      <w:pPr>
        <w:ind w:left="380" w:right="560" w:hanging="301"/>
        <w:spacing w:after="0" w:line="262" w:lineRule="auto"/>
        <w:tabs>
          <w:tab w:leader="none" w:pos="3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Other governmental rebates, non-US pharmaceutical taxes or applicable allowances primarily relate to mandatory rebates and discounts in international markets where government-sponsored healthcare systems are the primary payors for healthcare.</w:t>
      </w:r>
    </w:p>
    <w:p>
      <w:pPr>
        <w:spacing w:after="0" w:line="137" w:lineRule="exact"/>
        <w:rPr>
          <w:sz w:val="20"/>
          <w:szCs w:val="20"/>
          <w:color w:val="auto"/>
        </w:rPr>
      </w:pPr>
    </w:p>
    <w:p>
      <w:pPr>
        <w:ind w:right="40" w:firstLine="410"/>
        <w:spacing w:after="0" w:line="254" w:lineRule="auto"/>
        <w:rPr>
          <w:sz w:val="20"/>
          <w:szCs w:val="20"/>
          <w:color w:val="auto"/>
        </w:rPr>
      </w:pPr>
      <w:r>
        <w:rPr>
          <w:rFonts w:ascii="Arial" w:cs="Arial" w:eastAsia="Arial" w:hAnsi="Arial"/>
          <w:sz w:val="17"/>
          <w:szCs w:val="17"/>
          <w:color w:val="auto"/>
        </w:rPr>
        <w:t>Product returns are established for returns expected to be made by wholesalers and are recorded in the period the related revenue is recognized, resulting in a reduction to product sales. In accordance with contractual terms, wholesalers are permitted to return product for reasons such as damaged or expired product. The majority of wholesaler returns are due to product expiration. Expired product return reserves are estimated through a comparison of historical return data to their related sales on a production lot basis. Historical rates of return are determined for each product and are adjusted for known or expected changes in the marketplace specific to each product.</w:t>
      </w:r>
    </w:p>
    <w:p>
      <w:pPr>
        <w:spacing w:after="0" w:line="144" w:lineRule="exact"/>
        <w:rPr>
          <w:sz w:val="20"/>
          <w:szCs w:val="20"/>
          <w:color w:val="auto"/>
        </w:rPr>
      </w:pPr>
    </w:p>
    <w:p>
      <w:pPr>
        <w:ind w:right="200" w:firstLine="410"/>
        <w:spacing w:after="0" w:line="255" w:lineRule="auto"/>
        <w:rPr>
          <w:sz w:val="20"/>
          <w:szCs w:val="20"/>
          <w:color w:val="auto"/>
        </w:rPr>
      </w:pPr>
      <w:r>
        <w:rPr>
          <w:rFonts w:ascii="Arial" w:cs="Arial" w:eastAsia="Arial" w:hAnsi="Arial"/>
          <w:sz w:val="17"/>
          <w:szCs w:val="17"/>
          <w:color w:val="auto"/>
        </w:rPr>
        <w:t>In addition to the discounts, rebates and product returns described above and classified as a reduction of revenue, we also maintain certain customer service contracts with distributors and other customers in the distribution channel that provide us with inventory management, data and distribution services, which are generally reflected as a reduction of revenue. To the extent we can demonstrate a separable benefit and fair value for these services, we classify these payments in selling, general and administrative expenses.</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Revenues from Anti-CD20 Therapeutic Programs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Revenues from anti-CD20 therapeutic programs consist of:</w:t>
      </w:r>
    </w:p>
    <w:p>
      <w:pPr>
        <w:spacing w:after="0" w:line="86" w:lineRule="exact"/>
        <w:rPr>
          <w:sz w:val="20"/>
          <w:szCs w:val="20"/>
          <w:color w:val="auto"/>
        </w:rPr>
      </w:pPr>
    </w:p>
    <w:p>
      <w:pPr>
        <w:ind w:left="700" w:hanging="313"/>
        <w:spacing w:after="0"/>
        <w:tabs>
          <w:tab w:leader="none" w:pos="7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our share of pre-tax profits and losses in the United States (U.S.) for RITUXAN and GAZYVA;</w:t>
      </w:r>
    </w:p>
    <w:p>
      <w:pPr>
        <w:spacing w:after="0" w:line="86" w:lineRule="exact"/>
        <w:rPr>
          <w:rFonts w:ascii="Arial" w:cs="Arial" w:eastAsia="Arial" w:hAnsi="Arial"/>
          <w:sz w:val="17"/>
          <w:szCs w:val="17"/>
          <w:color w:val="auto"/>
        </w:rPr>
      </w:pPr>
    </w:p>
    <w:p>
      <w:pPr>
        <w:ind w:left="700" w:hanging="313"/>
        <w:spacing w:after="0"/>
        <w:tabs>
          <w:tab w:leader="none" w:pos="7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reimbursement of our selling and development expenses in the U.S. for RITUXAN; and</w:t>
      </w:r>
    </w:p>
    <w:p>
      <w:pPr>
        <w:spacing w:after="0" w:line="86" w:lineRule="exact"/>
        <w:rPr>
          <w:rFonts w:ascii="Arial" w:cs="Arial" w:eastAsia="Arial" w:hAnsi="Arial"/>
          <w:sz w:val="17"/>
          <w:szCs w:val="17"/>
          <w:color w:val="auto"/>
        </w:rPr>
      </w:pPr>
    </w:p>
    <w:p>
      <w:pPr>
        <w:ind w:left="700" w:right="420" w:hanging="313"/>
        <w:spacing w:after="0" w:line="262" w:lineRule="auto"/>
        <w:tabs>
          <w:tab w:leader="none" w:pos="7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other revenues from anti-CD20 therapeutic programs, which primarily consist of our share of pre-tax co-promotion profits on RITUXAN in Canada and royalty revenues on sales of OCREVUS.</w:t>
      </w:r>
    </w:p>
    <w:p>
      <w:pPr>
        <w:spacing w:after="0" w:line="60" w:lineRule="exact"/>
        <w:rPr>
          <w:sz w:val="20"/>
          <w:szCs w:val="20"/>
          <w:color w:val="auto"/>
        </w:rPr>
      </w:pPr>
    </w:p>
    <w:p>
      <w:pPr>
        <w:ind w:right="80" w:firstLine="410"/>
        <w:spacing w:after="0" w:line="253" w:lineRule="auto"/>
        <w:rPr>
          <w:sz w:val="20"/>
          <w:szCs w:val="20"/>
          <w:color w:val="auto"/>
        </w:rPr>
      </w:pPr>
      <w:r>
        <w:rPr>
          <w:rFonts w:ascii="Arial" w:cs="Arial" w:eastAsia="Arial" w:hAnsi="Arial"/>
          <w:sz w:val="17"/>
          <w:szCs w:val="17"/>
          <w:color w:val="auto"/>
        </w:rPr>
        <w:t xml:space="preserve">Pre-tax co-promotion profits on RITUXAN and GAZYVA are calculated and paid to us by Genentech in the U.S. Pre-tax co-promotion profits on RITUXAN are calculated and paid to us by the Roche Group in Canada. Pre-tax co-promotion profits consist of U.S. and Canadian net sales to third-party customers less applicable costs to manufacture, third-party royalty expenses, distribution, selling and marketing expenses and joint development expenses incurred by Genentech, the Roche Group and us. Our share of the pre-tax profits on RITUXAN and GAZYVA in the U.S. and pre-tax co-promotion profits on RITUXAN in Canada include estimates made by Genentech and those estimates are subject to change. Actual results may differ from our estimates. For additional information on our collaboration with Genentech, please read Note 20, </w:t>
      </w:r>
      <w:r>
        <w:rPr>
          <w:rFonts w:ascii="Arial" w:cs="Arial" w:eastAsia="Arial" w:hAnsi="Arial"/>
          <w:sz w:val="17"/>
          <w:szCs w:val="17"/>
          <w:i w:val="1"/>
          <w:iCs w:val="1"/>
          <w:color w:val="auto"/>
        </w:rPr>
        <w:t>Collaborative and Other Relationships,</w:t>
      </w:r>
      <w:r>
        <w:rPr>
          <w:rFonts w:ascii="Arial" w:cs="Arial" w:eastAsia="Arial" w:hAnsi="Arial"/>
          <w:sz w:val="17"/>
          <w:szCs w:val="17"/>
          <w:color w:val="auto"/>
        </w:rPr>
        <w:t xml:space="preserve"> to these consolidated financial statements.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F- 11</w:t>
      </w:r>
    </w:p>
    <w:p>
      <w:pPr>
        <w:sectPr>
          <w:pgSz w:w="11900" w:h="16838" w:orient="portrait"/>
          <w:cols w:equalWidth="0" w:num="1">
            <w:col w:w="11420"/>
          </w:cols>
          <w:pgMar w:left="240" w:top="139" w:right="239" w:bottom="1440" w:gutter="0" w:footer="0" w:header="0"/>
        </w:sectPr>
      </w:pPr>
    </w:p>
    <w:bookmarkStart w:id="113" w:name="page114"/>
    <w:bookmarkEnd w:id="1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Royalty Revenues</w:t>
      </w:r>
    </w:p>
    <w:p>
      <w:pPr>
        <w:spacing w:after="0" w:line="104" w:lineRule="exact"/>
        <w:rPr>
          <w:sz w:val="20"/>
          <w:szCs w:val="20"/>
          <w:color w:val="auto"/>
        </w:rPr>
      </w:pPr>
    </w:p>
    <w:p>
      <w:pPr>
        <w:ind w:right="40" w:firstLine="410"/>
        <w:spacing w:after="0" w:line="253" w:lineRule="auto"/>
        <w:rPr>
          <w:sz w:val="20"/>
          <w:szCs w:val="20"/>
          <w:color w:val="auto"/>
        </w:rPr>
      </w:pPr>
      <w:r>
        <w:rPr>
          <w:rFonts w:ascii="Arial" w:cs="Arial" w:eastAsia="Arial" w:hAnsi="Arial"/>
          <w:sz w:val="17"/>
          <w:szCs w:val="17"/>
          <w:color w:val="auto"/>
        </w:rPr>
        <w:t>We receive royalty revenues on sales by our licensees of other products covered under patents that we own. We do not have future performance obligations under these license arrangements. We record these revenues based on estimates of the sales that occurred during the relevant period as a component of other revenues. The relevant period estimates of sales are based on interim data provided by licensees and analysis of historical royalties that have been paid to us, adjusted for any changes in facts and circumstances, as appropriate. Differences between actual and estimated royalty revenues are adjusted for in the period in which they become known, typically the following quarter. Historically, adjustments have not been material when compared to actual amounts paid by licensees.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Multiple-Element Revenue Arrangements</w:t>
      </w:r>
    </w:p>
    <w:p>
      <w:pPr>
        <w:spacing w:after="0" w:line="104" w:lineRule="exact"/>
        <w:rPr>
          <w:sz w:val="20"/>
          <w:szCs w:val="20"/>
          <w:color w:val="auto"/>
        </w:rPr>
      </w:pPr>
    </w:p>
    <w:p>
      <w:pPr>
        <w:ind w:right="140" w:firstLine="410"/>
        <w:spacing w:after="0" w:line="254" w:lineRule="auto"/>
        <w:rPr>
          <w:sz w:val="20"/>
          <w:szCs w:val="20"/>
          <w:color w:val="auto"/>
        </w:rPr>
      </w:pPr>
      <w:r>
        <w:rPr>
          <w:rFonts w:ascii="Arial" w:cs="Arial" w:eastAsia="Arial" w:hAnsi="Arial"/>
          <w:sz w:val="17"/>
          <w:szCs w:val="17"/>
          <w:color w:val="auto"/>
        </w:rPr>
        <w:t>We may enter into transactions that involve the sale of products and related services under multiple element arrangements. In accounting for these transactions, we assess the elements of the contract and whether each element has standalone value and allocate revenues to the various elements based on their estimated selling price as a component of total revenues. The selling price of a revenue generating element can be based on current selling prices offered by us or another party for current products or management’s best estimate of a selling price. Revenues allocated to an individual element are recognized when all other revenue recognition criteria are met for that element.</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Collaborative and Other Relationships</w:t>
      </w:r>
    </w:p>
    <w:p>
      <w:pPr>
        <w:spacing w:after="0" w:line="104" w:lineRule="exact"/>
        <w:rPr>
          <w:sz w:val="20"/>
          <w:szCs w:val="20"/>
          <w:color w:val="auto"/>
        </w:rPr>
      </w:pPr>
    </w:p>
    <w:p>
      <w:pPr>
        <w:ind w:firstLine="384"/>
        <w:spacing w:after="0" w:line="254" w:lineRule="auto"/>
        <w:rPr>
          <w:sz w:val="20"/>
          <w:szCs w:val="20"/>
          <w:color w:val="auto"/>
        </w:rPr>
      </w:pPr>
      <w:r>
        <w:rPr>
          <w:rFonts w:ascii="Arial" w:cs="Arial" w:eastAsia="Arial" w:hAnsi="Arial"/>
          <w:sz w:val="17"/>
          <w:szCs w:val="17"/>
          <w:color w:val="auto"/>
        </w:rPr>
        <w:t>Our development and commercialization arrangement with AbbVie Inc. (AbbVie) represents a collaborative arrangement as each party is an active participant and exposed to significant risks and rewards of the arrangement. Where we are the principal on sales transactions with third parties, we recognize revenues, cost of sales and operating expenses on a gross basis in their respective lines in our consolidated statements of income. Where we are not the principal on sales transactions with third parties, we record our share of the revenues, cost of sales and operating expenses on a net basis in collaborative and other relationships included in other revenue in our consolidated statements of income.</w:t>
      </w:r>
    </w:p>
    <w:p>
      <w:pPr>
        <w:spacing w:after="0" w:line="126" w:lineRule="exact"/>
        <w:rPr>
          <w:sz w:val="20"/>
          <w:szCs w:val="20"/>
          <w:color w:val="auto"/>
        </w:rPr>
      </w:pPr>
    </w:p>
    <w:p>
      <w:pPr>
        <w:ind w:right="300" w:firstLine="384"/>
        <w:spacing w:after="0" w:line="284" w:lineRule="auto"/>
        <w:rPr>
          <w:sz w:val="20"/>
          <w:szCs w:val="20"/>
          <w:color w:val="auto"/>
        </w:rPr>
      </w:pPr>
      <w:r>
        <w:rPr>
          <w:rFonts w:ascii="Arial" w:cs="Arial" w:eastAsia="Arial" w:hAnsi="Arial"/>
          <w:sz w:val="17"/>
          <w:szCs w:val="17"/>
          <w:color w:val="auto"/>
        </w:rPr>
        <w:t xml:space="preserve">For additional information on our collaboration with AbbVie, please read Note 20, </w:t>
      </w:r>
      <w:r>
        <w:rPr>
          <w:rFonts w:ascii="Arial" w:cs="Arial" w:eastAsia="Arial" w:hAnsi="Arial"/>
          <w:sz w:val="17"/>
          <w:szCs w:val="17"/>
          <w:i w:val="1"/>
          <w:iCs w:val="1"/>
          <w:color w:val="auto"/>
        </w:rPr>
        <w:t>Collaborative and Other Relationships</w:t>
      </w:r>
      <w:r>
        <w:rPr>
          <w:rFonts w:ascii="Arial" w:cs="Arial" w:eastAsia="Arial" w:hAnsi="Arial"/>
          <w:sz w:val="17"/>
          <w:szCs w:val="17"/>
          <w:color w:val="auto"/>
        </w:rPr>
        <w:t>, to these consolidated financial statements.</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Fair Value Measurements</w:t>
      </w:r>
    </w:p>
    <w:p>
      <w:pPr>
        <w:spacing w:after="0" w:line="106" w:lineRule="exact"/>
        <w:rPr>
          <w:sz w:val="20"/>
          <w:szCs w:val="20"/>
          <w:color w:val="auto"/>
        </w:rPr>
      </w:pPr>
    </w:p>
    <w:p>
      <w:pPr>
        <w:ind w:right="200" w:firstLine="410"/>
        <w:spacing w:after="0" w:line="262" w:lineRule="auto"/>
        <w:rPr>
          <w:sz w:val="20"/>
          <w:szCs w:val="20"/>
          <w:color w:val="auto"/>
        </w:rPr>
      </w:pPr>
      <w:r>
        <w:rPr>
          <w:rFonts w:ascii="Arial" w:cs="Arial" w:eastAsia="Arial" w:hAnsi="Arial"/>
          <w:sz w:val="17"/>
          <w:szCs w:val="17"/>
          <w:color w:val="auto"/>
        </w:rPr>
        <w:t>We have certain financial assets and liabilities recorded at fair value which have been classified as Level 1, 2 or 3 within the fair value hierarchy as described in the accounting standards for fair value measurements.</w:t>
      </w:r>
    </w:p>
    <w:p>
      <w:pPr>
        <w:spacing w:after="0" w:line="119" w:lineRule="exact"/>
        <w:rPr>
          <w:sz w:val="20"/>
          <w:szCs w:val="20"/>
          <w:color w:val="auto"/>
        </w:rPr>
      </w:pPr>
    </w:p>
    <w:p>
      <w:pPr>
        <w:ind w:left="380" w:right="40" w:hanging="301"/>
        <w:spacing w:after="0" w:line="284" w:lineRule="auto"/>
        <w:tabs>
          <w:tab w:leader="none" w:pos="380" w:val="left"/>
        </w:tabs>
        <w:numPr>
          <w:ilvl w:val="0"/>
          <w:numId w:val="95"/>
        </w:numPr>
        <w:rPr>
          <w:rFonts w:ascii="Arial" w:cs="Arial" w:eastAsia="Arial" w:hAnsi="Arial"/>
          <w:sz w:val="17"/>
          <w:szCs w:val="17"/>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 Fair values are determined utilizing quoted prices (unadjusted) in active markets for identical assets or liabilities that we have the ability</w:t>
      </w:r>
      <w:r>
        <w:rPr>
          <w:rFonts w:ascii="Arial" w:cs="Arial" w:eastAsia="Arial" w:hAnsi="Arial"/>
          <w:sz w:val="17"/>
          <w:szCs w:val="17"/>
          <w:i w:val="1"/>
          <w:iCs w:val="1"/>
          <w:color w:val="auto"/>
        </w:rPr>
        <w:t xml:space="preserve"> </w:t>
      </w:r>
      <w:r>
        <w:rPr>
          <w:rFonts w:ascii="Arial" w:cs="Arial" w:eastAsia="Arial" w:hAnsi="Arial"/>
          <w:sz w:val="17"/>
          <w:szCs w:val="17"/>
          <w:color w:val="auto"/>
        </w:rPr>
        <w:t>to access;</w:t>
      </w:r>
    </w:p>
    <w:p>
      <w:pPr>
        <w:spacing w:after="0" w:line="49" w:lineRule="exact"/>
        <w:rPr>
          <w:rFonts w:ascii="Arial" w:cs="Arial" w:eastAsia="Arial" w:hAnsi="Arial"/>
          <w:sz w:val="17"/>
          <w:szCs w:val="17"/>
          <w:color w:val="auto"/>
        </w:rPr>
      </w:pPr>
    </w:p>
    <w:p>
      <w:pPr>
        <w:ind w:left="380" w:right="520" w:hanging="301"/>
        <w:spacing w:after="0" w:line="284" w:lineRule="auto"/>
        <w:tabs>
          <w:tab w:leader="none" w:pos="380" w:val="left"/>
        </w:tabs>
        <w:numPr>
          <w:ilvl w:val="0"/>
          <w:numId w:val="95"/>
        </w:numPr>
        <w:rPr>
          <w:rFonts w:ascii="Arial" w:cs="Arial" w:eastAsia="Arial" w:hAnsi="Arial"/>
          <w:sz w:val="17"/>
          <w:szCs w:val="17"/>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 Fair values are determined by utilizing quoted prices for identical or similar assets and liabilities in active markets or other market</w:t>
      </w:r>
      <w:r>
        <w:rPr>
          <w:rFonts w:ascii="Arial" w:cs="Arial" w:eastAsia="Arial" w:hAnsi="Arial"/>
          <w:sz w:val="17"/>
          <w:szCs w:val="17"/>
          <w:i w:val="1"/>
          <w:iCs w:val="1"/>
          <w:color w:val="auto"/>
        </w:rPr>
        <w:t xml:space="preserve"> </w:t>
      </w:r>
      <w:r>
        <w:rPr>
          <w:rFonts w:ascii="Arial" w:cs="Arial" w:eastAsia="Arial" w:hAnsi="Arial"/>
          <w:sz w:val="17"/>
          <w:szCs w:val="17"/>
          <w:color w:val="auto"/>
        </w:rPr>
        <w:t>observable inputs such as interest rates, yield curves and foreign currency spot rates; and</w:t>
      </w:r>
    </w:p>
    <w:p>
      <w:pPr>
        <w:spacing w:after="0" w:line="49" w:lineRule="exact"/>
        <w:rPr>
          <w:rFonts w:ascii="Arial" w:cs="Arial" w:eastAsia="Arial" w:hAnsi="Arial"/>
          <w:sz w:val="17"/>
          <w:szCs w:val="17"/>
          <w:color w:val="auto"/>
        </w:rPr>
      </w:pPr>
    </w:p>
    <w:p>
      <w:pPr>
        <w:ind w:left="380" w:hanging="301"/>
        <w:spacing w:after="0"/>
        <w:tabs>
          <w:tab w:leader="none" w:pos="380" w:val="left"/>
        </w:tabs>
        <w:numPr>
          <w:ilvl w:val="0"/>
          <w:numId w:val="95"/>
        </w:numPr>
        <w:rPr>
          <w:rFonts w:ascii="Arial" w:cs="Arial" w:eastAsia="Arial" w:hAnsi="Arial"/>
          <w:sz w:val="17"/>
          <w:szCs w:val="17"/>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 Prices or valuations that require inputs that are both significant to the fair value measurement and unobservable.</w:t>
      </w:r>
    </w:p>
    <w:p>
      <w:pPr>
        <w:spacing w:after="0" w:line="181"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The majority of our financial assets have been classified as Level 2. Our financial assets (which include our cash equivalents, derivative contracts, marketable debt securities and plan assets for deferred compensation) have been initially valued at the transaction price and subsequently valued, at the end of each reporting period, utilizing third-party pricing services or other market observable data. The pricing services utilize industry standard valuation models, including both income and market-based approaches and observable market inputs to determine value. These observable market inputs include reportable trades, benchmark yields, credit spreads, broker/dealer quotes, bids, offers, current spot rates and other industry and economic events.</w:t>
      </w:r>
    </w:p>
    <w:p>
      <w:pPr>
        <w:spacing w:after="0" w:line="147" w:lineRule="exact"/>
        <w:rPr>
          <w:sz w:val="20"/>
          <w:szCs w:val="20"/>
          <w:color w:val="auto"/>
        </w:rPr>
      </w:pPr>
    </w:p>
    <w:p>
      <w:pPr>
        <w:jc w:val="both"/>
        <w:ind w:right="120" w:firstLine="410"/>
        <w:spacing w:after="0" w:line="257" w:lineRule="auto"/>
        <w:rPr>
          <w:sz w:val="20"/>
          <w:szCs w:val="20"/>
          <w:color w:val="auto"/>
        </w:rPr>
      </w:pPr>
      <w:r>
        <w:rPr>
          <w:rFonts w:ascii="Arial" w:cs="Arial" w:eastAsia="Arial" w:hAnsi="Arial"/>
          <w:sz w:val="17"/>
          <w:szCs w:val="17"/>
          <w:color w:val="auto"/>
        </w:rPr>
        <w:t>We validate the prices provided by our third-party pricing services by reviewing their pricing methods and matrices, obtaining market values from other pricing sources and analyzing pricing data in certain instances. After completing our validation procedures, we did not adjust or override any fair value measurements provided by our pricing services as of December 31, 2017 and 2016.</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F- 12</w:t>
      </w:r>
    </w:p>
    <w:p>
      <w:pPr>
        <w:sectPr>
          <w:pgSz w:w="11900" w:h="16838" w:orient="portrait"/>
          <w:cols w:equalWidth="0" w:num="1">
            <w:col w:w="11420"/>
          </w:cols>
          <w:pgMar w:left="240" w:top="139" w:right="239" w:bottom="1440" w:gutter="0" w:footer="0" w:header="0"/>
        </w:sectPr>
      </w:pPr>
    </w:p>
    <w:bookmarkStart w:id="114" w:name="page115"/>
    <w:bookmarkEnd w:id="1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Other Assets and Liabilities</w:t>
      </w:r>
    </w:p>
    <w:p>
      <w:pPr>
        <w:spacing w:after="0" w:line="104" w:lineRule="exact"/>
        <w:rPr>
          <w:sz w:val="20"/>
          <w:szCs w:val="20"/>
          <w:color w:val="auto"/>
        </w:rPr>
      </w:pPr>
    </w:p>
    <w:p>
      <w:pPr>
        <w:ind w:right="300" w:firstLine="410"/>
        <w:spacing w:after="0" w:line="262" w:lineRule="auto"/>
        <w:rPr>
          <w:sz w:val="20"/>
          <w:szCs w:val="20"/>
          <w:color w:val="auto"/>
        </w:rPr>
      </w:pPr>
      <w:r>
        <w:rPr>
          <w:rFonts w:ascii="Arial" w:cs="Arial" w:eastAsia="Arial" w:hAnsi="Arial"/>
          <w:sz w:val="17"/>
          <w:szCs w:val="17"/>
          <w:color w:val="auto"/>
        </w:rPr>
        <w:t>The carrying amounts reflected in our consolidated balance sheets for current accounts receivable, due from anti-CD20 therapeutic programs, other current assets, accounts payable and accrued expenses and other, approximate fair value due to their short-term maturities.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Cash and Cash Equivalents</w:t>
      </w:r>
    </w:p>
    <w:p>
      <w:pPr>
        <w:spacing w:after="0" w:line="106" w:lineRule="exact"/>
        <w:rPr>
          <w:sz w:val="20"/>
          <w:szCs w:val="20"/>
          <w:color w:val="auto"/>
        </w:rPr>
      </w:pPr>
    </w:p>
    <w:p>
      <w:pPr>
        <w:jc w:val="both"/>
        <w:ind w:firstLine="410"/>
        <w:spacing w:after="0" w:line="257" w:lineRule="auto"/>
        <w:rPr>
          <w:sz w:val="20"/>
          <w:szCs w:val="20"/>
          <w:color w:val="auto"/>
        </w:rPr>
      </w:pPr>
      <w:r>
        <w:rPr>
          <w:rFonts w:ascii="Arial" w:cs="Arial" w:eastAsia="Arial" w:hAnsi="Arial"/>
          <w:sz w:val="17"/>
          <w:szCs w:val="17"/>
          <w:color w:val="auto"/>
        </w:rPr>
        <w:t>We consider only those investments which are highly liquid, readily convertible to cash and that mature within three months from date of purchase to be cash equivalents. As of December 31, 2017 and 2016, cash equivalents were comprised of money market funds and commercial paper, overnight reverse repurchase agreements and other debt securities with maturities less than 90 days from the date of purchase.</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Accounts Receivable</w:t>
      </w:r>
    </w:p>
    <w:p>
      <w:pPr>
        <w:spacing w:after="0" w:line="106" w:lineRule="exact"/>
        <w:rPr>
          <w:sz w:val="20"/>
          <w:szCs w:val="20"/>
          <w:color w:val="auto"/>
        </w:rPr>
      </w:pPr>
    </w:p>
    <w:p>
      <w:pPr>
        <w:ind w:right="140" w:firstLine="410"/>
        <w:spacing w:after="0" w:line="254" w:lineRule="auto"/>
        <w:rPr>
          <w:sz w:val="20"/>
          <w:szCs w:val="20"/>
          <w:color w:val="auto"/>
        </w:rPr>
      </w:pPr>
      <w:r>
        <w:rPr>
          <w:rFonts w:ascii="Arial" w:cs="Arial" w:eastAsia="Arial" w:hAnsi="Arial"/>
          <w:sz w:val="17"/>
          <w:szCs w:val="17"/>
          <w:color w:val="auto"/>
        </w:rPr>
        <w:t>The majority of our accounts receivable arise from product sales and primarily represent amounts due from our wholesale distributors, public hospitals and other government entities. We monitor the financial performance and creditworthiness of our customers so that we can properly assess and respond to changes in their credit profile. We provide reserves against trade receivables for estimated losses that may result from a customer’s inability to pay. Amounts determined to be uncollectible are charged or written-off against the reserve. To date, our historical reserves and write-offs of accounts receivable have not been significant.</w:t>
      </w:r>
    </w:p>
    <w:p>
      <w:pPr>
        <w:spacing w:after="0" w:line="144" w:lineRule="exact"/>
        <w:rPr>
          <w:sz w:val="20"/>
          <w:szCs w:val="20"/>
          <w:color w:val="auto"/>
        </w:rPr>
      </w:pPr>
    </w:p>
    <w:p>
      <w:pPr>
        <w:ind w:right="80" w:firstLine="410"/>
        <w:spacing w:after="0" w:line="254" w:lineRule="auto"/>
        <w:rPr>
          <w:sz w:val="20"/>
          <w:szCs w:val="20"/>
          <w:color w:val="auto"/>
        </w:rPr>
      </w:pPr>
      <w:r>
        <w:rPr>
          <w:rFonts w:ascii="Arial" w:cs="Arial" w:eastAsia="Arial" w:hAnsi="Arial"/>
          <w:sz w:val="17"/>
          <w:szCs w:val="17"/>
          <w:color w:val="auto"/>
        </w:rPr>
        <w:t>In countries where we have experienced a pattern of payments extending beyond our contractual payment term and we expect to collect receivables greater than one year from the time of sale, we have discounted our receivables and reduced related revenues over the period of time that we estimate those amounts will be paid using the country’s market-based borrowing rate for such period. The related receivables are classified at the time of sale as non-current assets. We accrete interest income on these receivables, which is recognized as a component of other income (expense), net in our consolidated statements of income.</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Concentration of Credit Risk</w:t>
      </w:r>
    </w:p>
    <w:p>
      <w:pPr>
        <w:spacing w:after="0" w:line="106" w:lineRule="exact"/>
        <w:rPr>
          <w:sz w:val="20"/>
          <w:szCs w:val="20"/>
          <w:color w:val="auto"/>
        </w:rPr>
      </w:pPr>
    </w:p>
    <w:p>
      <w:pPr>
        <w:ind w:right="80" w:firstLine="410"/>
        <w:spacing w:after="0" w:line="253" w:lineRule="auto"/>
        <w:rPr>
          <w:sz w:val="20"/>
          <w:szCs w:val="20"/>
          <w:color w:val="auto"/>
        </w:rPr>
      </w:pPr>
      <w:r>
        <w:rPr>
          <w:rFonts w:ascii="Arial" w:cs="Arial" w:eastAsia="Arial" w:hAnsi="Arial"/>
          <w:sz w:val="17"/>
          <w:szCs w:val="17"/>
          <w:color w:val="auto"/>
        </w:rPr>
        <w:t>Financial instruments that potentially subject us to concentrations of credit risk include cash and cash equivalents, investments, derivatives and accounts receivable. We attempt to minimize the risks related to cash and cash equivalents and investments by investing in a broad and diverse range of financial instruments as previously defined by us. We have established guidelines related to credit ratings and maturities intended to safeguard principal balances and maintain liquidity. Our investment portfolio is maintained in accordance with our investment policy, which defines allowable investments, specifies credit quality standards and limits the credit exposure of any single issuer. We minimize credit risk resulting from derivative instruments by choosing only highly rated financial institutions as counterparties.</w:t>
      </w:r>
    </w:p>
    <w:p>
      <w:pPr>
        <w:spacing w:after="0" w:line="147" w:lineRule="exact"/>
        <w:rPr>
          <w:sz w:val="20"/>
          <w:szCs w:val="20"/>
          <w:color w:val="auto"/>
        </w:rPr>
      </w:pPr>
    </w:p>
    <w:p>
      <w:pPr>
        <w:ind w:firstLine="410"/>
        <w:spacing w:after="0" w:line="254" w:lineRule="auto"/>
        <w:rPr>
          <w:sz w:val="20"/>
          <w:szCs w:val="20"/>
          <w:color w:val="auto"/>
        </w:rPr>
      </w:pPr>
      <w:r>
        <w:rPr>
          <w:rFonts w:ascii="Arial" w:cs="Arial" w:eastAsia="Arial" w:hAnsi="Arial"/>
          <w:sz w:val="17"/>
          <w:szCs w:val="17"/>
          <w:color w:val="auto"/>
        </w:rPr>
        <w:t>Concentrations of credit risk with respect to receivables, which are typically unsecured, are somewhat mitigated due to the wide variety of customers and markets using our products, as well as their dispersion across many different geographic areas. The majority of our accounts receivable arise from product sales in the U.S. and Europe and have standard payment terms that generally require payment within 30 to 90 days. We monitor the financial performance and creditworthiness of our customers so that we can properly assess and respond to changes in their credit profile. We continue to monitor these conditions and assess their possible impact on our business.</w:t>
      </w:r>
    </w:p>
    <w:p>
      <w:pPr>
        <w:spacing w:after="0" w:line="144" w:lineRule="exact"/>
        <w:rPr>
          <w:sz w:val="20"/>
          <w:szCs w:val="20"/>
          <w:color w:val="auto"/>
        </w:rPr>
      </w:pPr>
    </w:p>
    <w:p>
      <w:pPr>
        <w:ind w:right="560" w:firstLine="410"/>
        <w:spacing w:after="0" w:line="262" w:lineRule="auto"/>
        <w:rPr>
          <w:sz w:val="20"/>
          <w:szCs w:val="20"/>
          <w:color w:val="auto"/>
        </w:rPr>
      </w:pPr>
      <w:r>
        <w:rPr>
          <w:rFonts w:ascii="Arial" w:cs="Arial" w:eastAsia="Arial" w:hAnsi="Arial"/>
          <w:sz w:val="17"/>
          <w:szCs w:val="17"/>
          <w:color w:val="auto"/>
        </w:rPr>
        <w:t>As of December 31, 2017 and 2016, two wholesale distributors individually accounted for approximately 26.5% and 19.0%, and 37.2% and 19.2%, of accounts receivable, net, respectively.</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Marketable Securities and Other Investments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Marketable Debt Securities</w:t>
      </w:r>
    </w:p>
    <w:p>
      <w:pPr>
        <w:spacing w:after="0" w:line="104" w:lineRule="exact"/>
        <w:rPr>
          <w:sz w:val="20"/>
          <w:szCs w:val="20"/>
          <w:color w:val="auto"/>
        </w:rPr>
      </w:pPr>
    </w:p>
    <w:p>
      <w:pPr>
        <w:ind w:right="200" w:firstLine="410"/>
        <w:spacing w:after="0" w:line="255" w:lineRule="auto"/>
        <w:rPr>
          <w:sz w:val="20"/>
          <w:szCs w:val="20"/>
          <w:color w:val="auto"/>
        </w:rPr>
      </w:pPr>
      <w:r>
        <w:rPr>
          <w:rFonts w:ascii="Arial" w:cs="Arial" w:eastAsia="Arial" w:hAnsi="Arial"/>
          <w:sz w:val="17"/>
          <w:szCs w:val="17"/>
          <w:color w:val="auto"/>
        </w:rPr>
        <w:t>Available-for-sale debt securities are recorded at fair market value and unrealized gains and losses are included in accumulated other comprehensive income (loss) in equity, net of related tax effects, unless the security has experienced a credit loss, we have determined that we have the intent to sell the security or we have determined that it is more likely than not that we will have to sell the security before its expected recovery. Realized gains and losses are reported in other income (expense), net, on a specific identification basis.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F- 13</w:t>
      </w:r>
    </w:p>
    <w:p>
      <w:pPr>
        <w:sectPr>
          <w:pgSz w:w="11900" w:h="16838" w:orient="portrait"/>
          <w:cols w:equalWidth="0" w:num="1">
            <w:col w:w="11420"/>
          </w:cols>
          <w:pgMar w:left="240" w:top="139" w:right="239" w:bottom="1440" w:gutter="0" w:footer="0" w:header="0"/>
        </w:sectPr>
      </w:pPr>
    </w:p>
    <w:bookmarkStart w:id="115" w:name="page116"/>
    <w:bookmarkEnd w:id="1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Marketable Equity Securities</w:t>
      </w:r>
    </w:p>
    <w:p>
      <w:pPr>
        <w:spacing w:after="0" w:line="104" w:lineRule="exact"/>
        <w:rPr>
          <w:sz w:val="20"/>
          <w:szCs w:val="20"/>
          <w:color w:val="auto"/>
        </w:rPr>
      </w:pPr>
    </w:p>
    <w:p>
      <w:pPr>
        <w:ind w:firstLine="410"/>
        <w:spacing w:after="0" w:line="255" w:lineRule="auto"/>
        <w:rPr>
          <w:sz w:val="20"/>
          <w:szCs w:val="20"/>
          <w:color w:val="auto"/>
        </w:rPr>
      </w:pPr>
      <w:r>
        <w:rPr>
          <w:rFonts w:ascii="Arial" w:cs="Arial" w:eastAsia="Arial" w:hAnsi="Arial"/>
          <w:sz w:val="17"/>
          <w:szCs w:val="17"/>
          <w:color w:val="auto"/>
        </w:rPr>
        <w:t>Our marketable equity securities represent investments in publicly traded equity securities and are included in investments and other assets in our consolidated balance sheets. When assessing whether a decline in the fair value of a marketable equity security is other-than-temporary, we consider the fair market value of the security, the duration of the security’s decline and prospects for the underlying business, including favorable or adverse clinical trial results, new product initiatives and new collaborative agreements with the companies in which we have invested.</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Non-Marketable Equity Securities</w:t>
      </w:r>
    </w:p>
    <w:p>
      <w:pPr>
        <w:spacing w:after="0" w:line="104" w:lineRule="exact"/>
        <w:rPr>
          <w:sz w:val="20"/>
          <w:szCs w:val="20"/>
          <w:color w:val="auto"/>
        </w:rPr>
      </w:pPr>
    </w:p>
    <w:p>
      <w:pPr>
        <w:ind w:right="160" w:firstLine="410"/>
        <w:spacing w:after="0" w:line="254" w:lineRule="auto"/>
        <w:rPr>
          <w:sz w:val="20"/>
          <w:szCs w:val="20"/>
          <w:color w:val="auto"/>
        </w:rPr>
      </w:pPr>
      <w:r>
        <w:rPr>
          <w:rFonts w:ascii="Arial" w:cs="Arial" w:eastAsia="Arial" w:hAnsi="Arial"/>
          <w:sz w:val="17"/>
          <w:szCs w:val="17"/>
          <w:color w:val="auto"/>
        </w:rPr>
        <w:t>We also invest in equity securities of companies whose securities are not publicly traded and where fair value is not readily available. These investments are recorded using either the cost method or the equity method of accounting, depending on our ownership percentage and other factors that suggest we have significant influence. We monitor these investments to evaluate whether any decline in their value has occurred that would be other-than-temporary, based on the implied value of recent company financings, public market prices of comparable companies and general market conditions and are included in investments and other assets in our consolidated balance sheets.</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Evaluating Investments for Other-than-Temporary Impairments</w:t>
      </w:r>
    </w:p>
    <w:p>
      <w:pPr>
        <w:spacing w:after="0" w:line="104" w:lineRule="exact"/>
        <w:rPr>
          <w:sz w:val="20"/>
          <w:szCs w:val="20"/>
          <w:color w:val="auto"/>
        </w:rPr>
      </w:pPr>
    </w:p>
    <w:p>
      <w:pPr>
        <w:ind w:right="100" w:firstLine="410"/>
        <w:spacing w:after="0" w:line="255" w:lineRule="auto"/>
        <w:rPr>
          <w:sz w:val="20"/>
          <w:szCs w:val="20"/>
          <w:color w:val="auto"/>
        </w:rPr>
      </w:pPr>
      <w:r>
        <w:rPr>
          <w:rFonts w:ascii="Arial" w:cs="Arial" w:eastAsia="Arial" w:hAnsi="Arial"/>
          <w:sz w:val="17"/>
          <w:szCs w:val="17"/>
          <w:color w:val="auto"/>
        </w:rPr>
        <w:t>We conduct periodic reviews to identify and evaluate each investment that has an unrealized loss, in accordance with the meaning of other-than-temporary impairment and its application to certain investments. An unrealized loss exists when the current fair value of an individual security is less than its amortized cost basis. Unrealized losses on available-for-sale securities that are determined to be temporary, and not related to credit loss, are recorded, net of tax, in accumulated other comprehensive income.</w:t>
      </w:r>
    </w:p>
    <w:p>
      <w:pPr>
        <w:spacing w:after="0" w:line="143" w:lineRule="exact"/>
        <w:rPr>
          <w:sz w:val="20"/>
          <w:szCs w:val="20"/>
          <w:color w:val="auto"/>
        </w:rPr>
      </w:pPr>
    </w:p>
    <w:p>
      <w:pPr>
        <w:ind w:right="20" w:firstLine="410"/>
        <w:spacing w:after="0" w:line="255" w:lineRule="auto"/>
        <w:rPr>
          <w:sz w:val="20"/>
          <w:szCs w:val="20"/>
          <w:color w:val="auto"/>
        </w:rPr>
      </w:pPr>
      <w:r>
        <w:rPr>
          <w:rFonts w:ascii="Arial" w:cs="Arial" w:eastAsia="Arial" w:hAnsi="Arial"/>
          <w:sz w:val="17"/>
          <w:szCs w:val="17"/>
          <w:color w:val="auto"/>
        </w:rPr>
        <w:t>For available-for-sale debt securities with unrealized losses, management performs an analysis to assess whether we intend to sell or whether we would more likely than not be required to sell the security before the expected recovery of the amortized cost basis. Where we intend to sell a security, or may be required to do so, the security’s decline in fair value is deemed to be other-than-temporary and the full amount of the unrealized loss is reflected in earnings as an impairment loss.</w:t>
      </w:r>
    </w:p>
    <w:p>
      <w:pPr>
        <w:spacing w:after="0" w:line="143" w:lineRule="exact"/>
        <w:rPr>
          <w:sz w:val="20"/>
          <w:szCs w:val="20"/>
          <w:color w:val="auto"/>
        </w:rPr>
      </w:pPr>
    </w:p>
    <w:p>
      <w:pPr>
        <w:jc w:val="both"/>
        <w:ind w:right="260" w:firstLine="410"/>
        <w:spacing w:after="0" w:line="257" w:lineRule="auto"/>
        <w:rPr>
          <w:sz w:val="20"/>
          <w:szCs w:val="20"/>
          <w:color w:val="auto"/>
        </w:rPr>
      </w:pPr>
      <w:r>
        <w:rPr>
          <w:rFonts w:ascii="Arial" w:cs="Arial" w:eastAsia="Arial" w:hAnsi="Arial"/>
          <w:sz w:val="17"/>
          <w:szCs w:val="17"/>
          <w:color w:val="auto"/>
        </w:rPr>
        <w:t>Regardless of our intent to sell a security, we perform additional analysis on all securities with unrealized losses to evaluate losses associated with the creditworthiness of the security. Credit losses are identified where we do not expect to receive cash flows sufficient to recover the amortized cost basis of a security.</w:t>
      </w:r>
    </w:p>
    <w:p>
      <w:pPr>
        <w:spacing w:after="0" w:line="140" w:lineRule="exact"/>
        <w:rPr>
          <w:sz w:val="20"/>
          <w:szCs w:val="20"/>
          <w:color w:val="auto"/>
        </w:rPr>
      </w:pPr>
    </w:p>
    <w:p>
      <w:pPr>
        <w:ind w:right="100" w:firstLine="410"/>
        <w:spacing w:after="0" w:line="255" w:lineRule="auto"/>
        <w:rPr>
          <w:sz w:val="20"/>
          <w:szCs w:val="20"/>
          <w:color w:val="auto"/>
        </w:rPr>
      </w:pPr>
      <w:r>
        <w:rPr>
          <w:rFonts w:ascii="Arial" w:cs="Arial" w:eastAsia="Arial" w:hAnsi="Arial"/>
          <w:sz w:val="17"/>
          <w:szCs w:val="17"/>
          <w:color w:val="auto"/>
        </w:rPr>
        <w:t>For equity securities, when assessing whether a decline in value is other-than-temporary, we consider the fair market value of the security, the duration of the security’s decline and the financial condition of the issuer. We then consider our intent and ability to hold the equity security for a period of time sufficient to recover our carrying value. Where we have determined that we lack the intent and ability to hold an equity security to its expected recovery, the security’s decline in fair value is deemed to be other-than-temporary and is reflected in earnings as an impairment loss.</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Equity Method of Accounting</w:t>
      </w:r>
    </w:p>
    <w:p>
      <w:pPr>
        <w:spacing w:after="0" w:line="106"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In circumstances where we have the ability to exercise significant influence over the operating and financial policies of a company in which we have an investment, we utilize the equity method of accounting for recording investment activity. In assessing whether we exercise significant influence, we consider the nature and magnitude of our investment, the voting and protective rights we hold, any participation in the governance of the other company and other relevant factors such as the presence of a collaborative or other business relationship. Under the equity method of accounting, we record in our results of operations our share of income or loss of the other company. If our share of losses exceeds the carrying value of our investment, we will suspend recognizing additional losses and will continue to do so unless we commit to providing additional funding.</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Inventory</w:t>
      </w:r>
    </w:p>
    <w:p>
      <w:pPr>
        <w:spacing w:after="0" w:line="106" w:lineRule="exact"/>
        <w:rPr>
          <w:sz w:val="20"/>
          <w:szCs w:val="20"/>
          <w:color w:val="auto"/>
        </w:rPr>
      </w:pPr>
    </w:p>
    <w:p>
      <w:pPr>
        <w:jc w:val="both"/>
        <w:ind w:right="80" w:firstLine="410"/>
        <w:spacing w:after="0" w:line="255" w:lineRule="auto"/>
        <w:rPr>
          <w:sz w:val="20"/>
          <w:szCs w:val="20"/>
          <w:color w:val="auto"/>
        </w:rPr>
      </w:pPr>
      <w:r>
        <w:rPr>
          <w:rFonts w:ascii="Arial" w:cs="Arial" w:eastAsia="Arial" w:hAnsi="Arial"/>
          <w:sz w:val="17"/>
          <w:szCs w:val="17"/>
          <w:color w:val="auto"/>
        </w:rPr>
        <w:t>Inventories are stated at the lower of cost or market with cost based on the first-in, first-out method. We classify our inventory costs as long-term when we expect to utilize the inventory beyond our normal operating cycle and include these costs in investments and other assets in our consolidated balance sheets. Inventory that can be used in either the production of clinical or commercial products is expensed as research and development costs when identified for use in a clinical manufacturing campaign.</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F- 14</w:t>
      </w:r>
    </w:p>
    <w:p>
      <w:pPr>
        <w:sectPr>
          <w:pgSz w:w="11900" w:h="16838" w:orient="portrait"/>
          <w:cols w:equalWidth="0" w:num="1">
            <w:col w:w="11420"/>
          </w:cols>
          <w:pgMar w:left="240" w:top="139" w:right="239" w:bottom="1440" w:gutter="0" w:footer="0" w:header="0"/>
        </w:sectPr>
      </w:pPr>
    </w:p>
    <w:bookmarkStart w:id="116" w:name="page117"/>
    <w:bookmarkEnd w:id="1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Capitalization of Inventory Costs</w:t>
      </w:r>
    </w:p>
    <w:p>
      <w:pPr>
        <w:spacing w:after="0" w:line="104" w:lineRule="exact"/>
        <w:rPr>
          <w:sz w:val="20"/>
          <w:szCs w:val="20"/>
          <w:color w:val="auto"/>
        </w:rPr>
      </w:pPr>
    </w:p>
    <w:p>
      <w:pPr>
        <w:ind w:right="40" w:firstLine="410"/>
        <w:spacing w:after="0" w:line="252" w:lineRule="auto"/>
        <w:rPr>
          <w:sz w:val="20"/>
          <w:szCs w:val="20"/>
          <w:color w:val="auto"/>
        </w:rPr>
      </w:pPr>
      <w:r>
        <w:rPr>
          <w:rFonts w:ascii="Arial" w:cs="Arial" w:eastAsia="Arial" w:hAnsi="Arial"/>
          <w:sz w:val="17"/>
          <w:szCs w:val="17"/>
          <w:color w:val="auto"/>
        </w:rPr>
        <w:t>We capitalize inventory costs associated with our products prior to regulatory approval, when, based on management’s judgment, future commercialization is considered probable and the future economic benefit is expected to be realized. We consider numerous attributes in evaluating whether the costs to manufacture a particular product should be capitalized as an asset. We assess the regulatory approval process and where the particular product stands in relation to that approval process, including any known safety or efficacy concerns, potential labeling restrictions and other impediments to approval. We evaluate our anticipated research and development initiatives and constraints relating to the product and the indication in which it will be used. We consider our manufacturing environment including our supply chain in determining logistical constraints that could hamper approval or commercialization. We consider the shelf life of the product in relation to the expected timeline for approval and we consider patent related or contract issues that may prevent or delay commercialization. We also base our judgment on the viability of commercialization, trends in the marketplace and market acceptance criteria. Finally, we consider the reimbursement strategies that may prevail with respect to the product and assess the economic benefit that we are likely to realize. We expense previously capitalized costs related to pre-approval inventory upon a change in such judgment, due to, among other potential factors, a denial or significant delay of approval by necessary regulatory bodies.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Obsolescence and Unmarketable Inventory</w:t>
      </w:r>
    </w:p>
    <w:p>
      <w:pPr>
        <w:spacing w:after="0" w:line="104" w:lineRule="exact"/>
        <w:rPr>
          <w:sz w:val="20"/>
          <w:szCs w:val="20"/>
          <w:color w:val="auto"/>
        </w:rPr>
      </w:pPr>
    </w:p>
    <w:p>
      <w:pPr>
        <w:ind w:right="40" w:firstLine="410"/>
        <w:spacing w:after="0" w:line="253" w:lineRule="auto"/>
        <w:rPr>
          <w:sz w:val="20"/>
          <w:szCs w:val="20"/>
          <w:color w:val="auto"/>
        </w:rPr>
      </w:pPr>
      <w:r>
        <w:rPr>
          <w:rFonts w:ascii="Arial" w:cs="Arial" w:eastAsia="Arial" w:hAnsi="Arial"/>
          <w:sz w:val="17"/>
          <w:szCs w:val="17"/>
          <w:color w:val="auto"/>
        </w:rPr>
        <w:t>We periodically review our inventories for excess or obsolescence and write-down obsolete or otherwise unmarketable inventory to its estimated net realizable value. If the actual net realizable value is less than that estimated by us, or if it is determined that inventory utilization will further diminish based on estimates of demand, additional inventory write-downs may be required. Additionally, our products are subject to strict quality control and monitoring that we perform throughout the manufacturing process. In the event that certain batches or units of product no longer meet quality specifications, we will record a charge to cost of sales to write-down any unmarketable inventory to its estimated net realizable value. In all cases, product inventory is carried at the lower of cost or its estimated net realizable value. Amounts written-down due to unmarketable inventory are charged to cost of sales.</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Property, Plant and Equipment</w:t>
      </w:r>
    </w:p>
    <w:p>
      <w:pPr>
        <w:spacing w:after="0" w:line="106" w:lineRule="exact"/>
        <w:rPr>
          <w:sz w:val="20"/>
          <w:szCs w:val="20"/>
          <w:color w:val="auto"/>
        </w:rPr>
      </w:pPr>
    </w:p>
    <w:p>
      <w:pPr>
        <w:ind w:firstLine="410"/>
        <w:spacing w:after="0" w:line="255" w:lineRule="auto"/>
        <w:rPr>
          <w:sz w:val="20"/>
          <w:szCs w:val="20"/>
          <w:color w:val="auto"/>
        </w:rPr>
      </w:pPr>
      <w:r>
        <w:rPr>
          <w:rFonts w:ascii="Arial" w:cs="Arial" w:eastAsia="Arial" w:hAnsi="Arial"/>
          <w:sz w:val="17"/>
          <w:szCs w:val="17"/>
          <w:color w:val="auto"/>
        </w:rPr>
        <w:t>Property, plant and equipment are carried at cost, subject to review for impairment whenever events or changes in circumstances indicate that the carrying amount of the asset may not be recoverable. The cost of normal, recurring, or periodic repairs and maintenance activities related to property, plant and equipment are expensed as incurred. The cost for planned major maintenance activities, including the related acquisition or construction of assets, is capitalized if the repair will result in future economic benefits.</w:t>
      </w:r>
    </w:p>
    <w:p>
      <w:pPr>
        <w:spacing w:after="0" w:line="143" w:lineRule="exact"/>
        <w:rPr>
          <w:sz w:val="20"/>
          <w:szCs w:val="20"/>
          <w:color w:val="auto"/>
        </w:rPr>
      </w:pPr>
    </w:p>
    <w:p>
      <w:pPr>
        <w:ind w:right="80" w:firstLine="410"/>
        <w:spacing w:after="0" w:line="253" w:lineRule="auto"/>
        <w:rPr>
          <w:sz w:val="20"/>
          <w:szCs w:val="20"/>
          <w:color w:val="auto"/>
        </w:rPr>
      </w:pPr>
      <w:r>
        <w:rPr>
          <w:rFonts w:ascii="Arial" w:cs="Arial" w:eastAsia="Arial" w:hAnsi="Arial"/>
          <w:sz w:val="17"/>
          <w:szCs w:val="17"/>
          <w:color w:val="auto"/>
        </w:rPr>
        <w:t>Interest costs incurred during the construction of major capital projects are capitalized until the underlying asset is ready for its intended use, at which point the interest costs are amortized as depreciation expense over the life of the underlying asset. We also capitalize certain direct and incremental costs associated with the validation effort required for licensing by regulatory agencies of new manufacturing equipment for the production of a commercially approved drug. These costs primarily include direct labor and material and are incurred in preparing the equipment for its intended use. The validation costs are either amortized over the life of the related equipment or expensed as cost of sales when the product produced in the validation process is sold.</w:t>
      </w:r>
    </w:p>
    <w:p>
      <w:pPr>
        <w:spacing w:after="0" w:line="147" w:lineRule="exact"/>
        <w:rPr>
          <w:sz w:val="20"/>
          <w:szCs w:val="20"/>
          <w:color w:val="auto"/>
        </w:rPr>
      </w:pPr>
    </w:p>
    <w:p>
      <w:pPr>
        <w:jc w:val="both"/>
        <w:ind w:right="40" w:firstLine="410"/>
        <w:spacing w:after="0" w:line="257" w:lineRule="auto"/>
        <w:rPr>
          <w:sz w:val="20"/>
          <w:szCs w:val="20"/>
          <w:color w:val="auto"/>
        </w:rPr>
      </w:pPr>
      <w:r>
        <w:rPr>
          <w:rFonts w:ascii="Arial" w:cs="Arial" w:eastAsia="Arial" w:hAnsi="Arial"/>
          <w:sz w:val="17"/>
          <w:szCs w:val="17"/>
          <w:color w:val="auto"/>
        </w:rPr>
        <w:t>In addition, we capitalize certain internal use computer software development costs. If the software is an integral part of production assets, these costs are included in machinery and equipment and are amortized on a straight-line basis over the estimated useful lives of the related software, which generally range from three to five years.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F- 15</w:t>
      </w:r>
    </w:p>
    <w:p>
      <w:pPr>
        <w:sectPr>
          <w:pgSz w:w="11900" w:h="16838" w:orient="portrait"/>
          <w:cols w:equalWidth="0" w:num="1">
            <w:col w:w="11400"/>
          </w:cols>
          <w:pgMar w:left="240" w:top="139" w:right="259" w:bottom="1440" w:gutter="0" w:footer="0" w:header="0"/>
        </w:sectPr>
      </w:pPr>
    </w:p>
    <w:bookmarkStart w:id="117" w:name="page118"/>
    <w:bookmarkEnd w:id="1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90" w:lineRule="exact"/>
        <w:rPr>
          <w:sz w:val="20"/>
          <w:szCs w:val="20"/>
          <w:color w:val="auto"/>
        </w:rPr>
      </w:pPr>
    </w:p>
    <w:p>
      <w:pPr>
        <w:ind w:right="20" w:firstLine="410"/>
        <w:spacing w:after="0" w:line="262" w:lineRule="auto"/>
        <w:rPr>
          <w:sz w:val="20"/>
          <w:szCs w:val="20"/>
          <w:color w:val="auto"/>
        </w:rPr>
      </w:pPr>
      <w:r>
        <w:rPr>
          <w:rFonts w:ascii="Arial" w:cs="Arial" w:eastAsia="Arial" w:hAnsi="Arial"/>
          <w:sz w:val="17"/>
          <w:szCs w:val="17"/>
          <w:color w:val="auto"/>
        </w:rPr>
        <w:t>We generally depreciate or amortize the cost of our property, plant and equipment using the straight-line method over the estimated useful lives of the respective assets, which are summarized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gridSpan w:val="2"/>
          </w:tcPr>
          <w:p>
            <w:pPr>
              <w:spacing w:after="0"/>
              <w:rPr>
                <w:sz w:val="20"/>
                <w:szCs w:val="20"/>
                <w:color w:val="auto"/>
              </w:rPr>
            </w:pPr>
            <w:r>
              <w:rPr>
                <w:rFonts w:ascii="Arial" w:cs="Arial" w:eastAsia="Arial" w:hAnsi="Arial"/>
                <w:sz w:val="14"/>
                <w:szCs w:val="14"/>
                <w:b w:val="1"/>
                <w:bCs w:val="1"/>
                <w:color w:val="auto"/>
              </w:rPr>
              <w:t>Asset Category</w:t>
            </w:r>
          </w:p>
        </w:tc>
        <w:tc>
          <w:tcPr>
            <w:tcW w:w="7220" w:type="dxa"/>
            <w:vAlign w:val="bottom"/>
            <w:gridSpan w:val="3"/>
          </w:tcPr>
          <w:p>
            <w:pPr>
              <w:ind w:left="1540"/>
              <w:spacing w:after="0"/>
              <w:rPr>
                <w:sz w:val="20"/>
                <w:szCs w:val="20"/>
                <w:color w:val="auto"/>
              </w:rPr>
            </w:pPr>
            <w:r>
              <w:rPr>
                <w:rFonts w:ascii="Arial" w:cs="Arial" w:eastAsia="Arial" w:hAnsi="Arial"/>
                <w:sz w:val="14"/>
                <w:szCs w:val="14"/>
                <w:b w:val="1"/>
                <w:bCs w:val="1"/>
                <w:color w:val="auto"/>
              </w:rPr>
              <w:t>Useful Lives</w:t>
            </w: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255"/>
        </w:trPr>
        <w:tc>
          <w:tcPr>
            <w:tcW w:w="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7"/>
                <w:szCs w:val="17"/>
                <w:color w:val="2573BA"/>
              </w:rPr>
              <w:t>Land</w:t>
            </w:r>
          </w:p>
        </w:tc>
        <w:tc>
          <w:tcPr>
            <w:tcW w:w="31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56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2573BA"/>
              </w:rPr>
              <w:t>Not depreciated</w:t>
            </w:r>
          </w:p>
        </w:tc>
      </w:tr>
      <w:tr>
        <w:trPr>
          <w:trHeight w:val="236"/>
        </w:trPr>
        <w:tc>
          <w:tcPr>
            <w:tcW w:w="2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2573BA"/>
              </w:rPr>
              <w:t>Buildings</w:t>
            </w:r>
          </w:p>
        </w:tc>
        <w:tc>
          <w:tcPr>
            <w:tcW w:w="7220" w:type="dxa"/>
            <w:vAlign w:val="bottom"/>
            <w:tcBorders>
              <w:bottom w:val="single" w:sz="8" w:color="auto"/>
            </w:tcBorders>
            <w:gridSpan w:val="3"/>
          </w:tcPr>
          <w:p>
            <w:pPr>
              <w:ind w:left="1540"/>
              <w:spacing w:after="0"/>
              <w:rPr>
                <w:sz w:val="20"/>
                <w:szCs w:val="20"/>
                <w:color w:val="auto"/>
              </w:rPr>
            </w:pPr>
            <w:r>
              <w:rPr>
                <w:rFonts w:ascii="Arial" w:cs="Arial" w:eastAsia="Arial" w:hAnsi="Arial"/>
                <w:sz w:val="17"/>
                <w:szCs w:val="17"/>
                <w:color w:val="2573BA"/>
              </w:rPr>
              <w:t>15 to 40 years</w:t>
            </w:r>
          </w:p>
        </w:tc>
      </w:tr>
      <w:tr>
        <w:trPr>
          <w:trHeight w:val="236"/>
        </w:trPr>
        <w:tc>
          <w:tcPr>
            <w:tcW w:w="2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2573BA"/>
              </w:rPr>
              <w:t>Leasehold Improvements</w:t>
            </w:r>
          </w:p>
        </w:tc>
        <w:tc>
          <w:tcPr>
            <w:tcW w:w="7220" w:type="dxa"/>
            <w:vAlign w:val="bottom"/>
            <w:tcBorders>
              <w:bottom w:val="single" w:sz="8" w:color="auto"/>
            </w:tcBorders>
            <w:gridSpan w:val="3"/>
          </w:tcPr>
          <w:p>
            <w:pPr>
              <w:ind w:left="1540"/>
              <w:spacing w:after="0"/>
              <w:rPr>
                <w:sz w:val="20"/>
                <w:szCs w:val="20"/>
                <w:color w:val="auto"/>
              </w:rPr>
            </w:pPr>
            <w:r>
              <w:rPr>
                <w:rFonts w:ascii="Arial" w:cs="Arial" w:eastAsia="Arial" w:hAnsi="Arial"/>
                <w:sz w:val="17"/>
                <w:szCs w:val="17"/>
                <w:color w:val="2573BA"/>
              </w:rPr>
              <w:t>Lesser of the useful life or the term of the respective lease</w:t>
            </w:r>
          </w:p>
        </w:tc>
      </w:tr>
      <w:tr>
        <w:trPr>
          <w:trHeight w:val="236"/>
        </w:trPr>
        <w:tc>
          <w:tcPr>
            <w:tcW w:w="2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2573BA"/>
              </w:rPr>
              <w:t>Furniture and Fixtures</w:t>
            </w:r>
          </w:p>
        </w:tc>
        <w:tc>
          <w:tcPr>
            <w:tcW w:w="7220" w:type="dxa"/>
            <w:vAlign w:val="bottom"/>
            <w:tcBorders>
              <w:bottom w:val="single" w:sz="8" w:color="auto"/>
            </w:tcBorders>
            <w:gridSpan w:val="3"/>
          </w:tcPr>
          <w:p>
            <w:pPr>
              <w:ind w:left="1540"/>
              <w:spacing w:after="0"/>
              <w:rPr>
                <w:sz w:val="20"/>
                <w:szCs w:val="20"/>
                <w:color w:val="auto"/>
              </w:rPr>
            </w:pPr>
            <w:r>
              <w:rPr>
                <w:rFonts w:ascii="Arial" w:cs="Arial" w:eastAsia="Arial" w:hAnsi="Arial"/>
                <w:sz w:val="17"/>
                <w:szCs w:val="17"/>
                <w:color w:val="2573BA"/>
              </w:rPr>
              <w:t>5 to 7 years</w:t>
            </w:r>
          </w:p>
        </w:tc>
      </w:tr>
      <w:tr>
        <w:trPr>
          <w:trHeight w:val="236"/>
        </w:trPr>
        <w:tc>
          <w:tcPr>
            <w:tcW w:w="2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2573BA"/>
              </w:rPr>
              <w:t>Machinery and Equipment</w:t>
            </w:r>
          </w:p>
        </w:tc>
        <w:tc>
          <w:tcPr>
            <w:tcW w:w="7220" w:type="dxa"/>
            <w:vAlign w:val="bottom"/>
            <w:tcBorders>
              <w:bottom w:val="single" w:sz="8" w:color="auto"/>
            </w:tcBorders>
            <w:gridSpan w:val="3"/>
          </w:tcPr>
          <w:p>
            <w:pPr>
              <w:ind w:left="1540"/>
              <w:spacing w:after="0"/>
              <w:rPr>
                <w:sz w:val="20"/>
                <w:szCs w:val="20"/>
                <w:color w:val="auto"/>
              </w:rPr>
            </w:pPr>
            <w:r>
              <w:rPr>
                <w:rFonts w:ascii="Arial" w:cs="Arial" w:eastAsia="Arial" w:hAnsi="Arial"/>
                <w:sz w:val="17"/>
                <w:szCs w:val="17"/>
                <w:color w:val="2573BA"/>
              </w:rPr>
              <w:t>5 to 20 years</w:t>
            </w:r>
          </w:p>
        </w:tc>
      </w:tr>
      <w:tr>
        <w:trPr>
          <w:trHeight w:val="236"/>
        </w:trPr>
        <w:tc>
          <w:tcPr>
            <w:tcW w:w="2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2573BA"/>
              </w:rPr>
              <w:t>Computer Software and Hardware</w:t>
            </w:r>
          </w:p>
        </w:tc>
        <w:tc>
          <w:tcPr>
            <w:tcW w:w="7220" w:type="dxa"/>
            <w:vAlign w:val="bottom"/>
            <w:tcBorders>
              <w:bottom w:val="single" w:sz="8" w:color="auto"/>
            </w:tcBorders>
            <w:gridSpan w:val="3"/>
          </w:tcPr>
          <w:p>
            <w:pPr>
              <w:ind w:left="1540"/>
              <w:spacing w:after="0"/>
              <w:rPr>
                <w:sz w:val="20"/>
                <w:szCs w:val="20"/>
                <w:color w:val="auto"/>
              </w:rPr>
            </w:pPr>
            <w:r>
              <w:rPr>
                <w:rFonts w:ascii="Arial" w:cs="Arial" w:eastAsia="Arial" w:hAnsi="Arial"/>
                <w:sz w:val="17"/>
                <w:szCs w:val="17"/>
                <w:color w:val="2573BA"/>
              </w:rPr>
              <w:t>3 to 5 years</w:t>
            </w:r>
          </w:p>
        </w:tc>
      </w:tr>
    </w:tbl>
    <w:p>
      <w:pPr>
        <w:spacing w:after="0" w:line="153" w:lineRule="exact"/>
        <w:rPr>
          <w:sz w:val="20"/>
          <w:szCs w:val="20"/>
          <w:color w:val="auto"/>
        </w:rPr>
      </w:pPr>
    </w:p>
    <w:p>
      <w:pPr>
        <w:ind w:right="260" w:firstLine="410"/>
        <w:spacing w:after="0" w:line="262" w:lineRule="auto"/>
        <w:rPr>
          <w:sz w:val="20"/>
          <w:szCs w:val="20"/>
          <w:color w:val="auto"/>
        </w:rPr>
      </w:pPr>
      <w:r>
        <w:rPr>
          <w:rFonts w:ascii="Arial" w:cs="Arial" w:eastAsia="Arial" w:hAnsi="Arial"/>
          <w:sz w:val="17"/>
          <w:szCs w:val="17"/>
          <w:color w:val="auto"/>
        </w:rPr>
        <w:t>When we dispose of property, plant and equipment, we remove the associated cost and accumulated depreciation from the related accounts in our consolidated balance sheets and include any resulting gain or loss in our consolidated statements of income.</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Intangible Assets</w:t>
      </w:r>
    </w:p>
    <w:p>
      <w:pPr>
        <w:spacing w:after="0" w:line="106" w:lineRule="exact"/>
        <w:rPr>
          <w:sz w:val="20"/>
          <w:szCs w:val="20"/>
          <w:color w:val="auto"/>
        </w:rPr>
      </w:pPr>
    </w:p>
    <w:p>
      <w:pPr>
        <w:ind w:right="40" w:firstLine="410"/>
        <w:spacing w:after="0" w:line="257" w:lineRule="auto"/>
        <w:rPr>
          <w:sz w:val="20"/>
          <w:szCs w:val="20"/>
          <w:color w:val="auto"/>
        </w:rPr>
      </w:pPr>
      <w:r>
        <w:rPr>
          <w:rFonts w:ascii="Arial" w:cs="Arial" w:eastAsia="Arial" w:hAnsi="Arial"/>
          <w:sz w:val="17"/>
          <w:szCs w:val="17"/>
          <w:color w:val="auto"/>
        </w:rPr>
        <w:t>Our intangible assets consist of acquired and in-licensed rights and patents, developed technology, out-licensed patents, in-process research and development acquired after January 1, 2009, trademarks and trade names. Our intangible assets are recorded at fair value at the time of their acquisition and are stated in our consolidated balance sheets net of accumulated amortization and impairments, if applicable.</w:t>
      </w:r>
    </w:p>
    <w:p>
      <w:pPr>
        <w:spacing w:after="0" w:line="140" w:lineRule="exact"/>
        <w:rPr>
          <w:sz w:val="20"/>
          <w:szCs w:val="20"/>
          <w:color w:val="auto"/>
        </w:rPr>
      </w:pPr>
    </w:p>
    <w:p>
      <w:pPr>
        <w:ind w:right="60" w:firstLine="410"/>
        <w:spacing w:after="0" w:line="255" w:lineRule="auto"/>
        <w:rPr>
          <w:sz w:val="20"/>
          <w:szCs w:val="20"/>
          <w:color w:val="auto"/>
        </w:rPr>
      </w:pPr>
      <w:r>
        <w:rPr>
          <w:rFonts w:ascii="Arial" w:cs="Arial" w:eastAsia="Arial" w:hAnsi="Arial"/>
          <w:sz w:val="17"/>
          <w:szCs w:val="17"/>
          <w:color w:val="auto"/>
        </w:rPr>
        <w:t>Intangible assets related to acquired and in-licensed rights and patents, developed technology and out-licensed patents are amortized over their estimated useful lives using the economic consumption method if anticipated future revenues can be reasonably estimated. The straight-line method is used when revenues cannot be reasonably estimated. Amortization is recorded as amortization of acquired intangible assets in our consolidated statements of income.</w:t>
      </w:r>
    </w:p>
    <w:p>
      <w:pPr>
        <w:spacing w:after="0" w:line="143"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Acquired and in-licensed rights and patents primarily relate to obtaining the fair value of the U.S. and rest of world licenses to Forward Pharma A/S' (Forward Pharma) intellectual property, including Forward Pharma's intellectual property related to TECFIDERA, and our acquisition of all remaining rights to TYSABRI from Elan Pharma International, Ltd. (Elan), an affiliate of Elan Corporation, plc. Developed technology primarily relates to our AVONEX product, which was recorded in connection with the merger of Biogen, Inc. and IDEC Pharmaceuticals Corporation in 2003. We amortize the intangible assets related to TECFIDERA, TYSABRI and AVONEX using the economic consumption method based on revenues generated from the products underlying the related intangible assets. An analysis of the anticipated lifetime revenues of TECFIDERA, TYSABRI and AVONEX is performed annually during our long-range planning cycle, which is generally updated in the third quarter of each year, and whenever events or changes in circumstances would significantly affect the anticipated lifetime revenues of TECFIDERA, TYSABRI or AVONEX.</w:t>
      </w:r>
    </w:p>
    <w:p>
      <w:pPr>
        <w:spacing w:after="0" w:line="144" w:lineRule="exact"/>
        <w:rPr>
          <w:sz w:val="20"/>
          <w:szCs w:val="20"/>
          <w:color w:val="auto"/>
        </w:rPr>
      </w:pPr>
    </w:p>
    <w:p>
      <w:pPr>
        <w:ind w:right="420" w:firstLine="410"/>
        <w:spacing w:after="0" w:line="255" w:lineRule="auto"/>
        <w:rPr>
          <w:sz w:val="20"/>
          <w:szCs w:val="20"/>
          <w:color w:val="auto"/>
        </w:rPr>
      </w:pPr>
      <w:r>
        <w:rPr>
          <w:rFonts w:ascii="Arial" w:cs="Arial" w:eastAsia="Arial" w:hAnsi="Arial"/>
          <w:sz w:val="17"/>
          <w:szCs w:val="17"/>
          <w:color w:val="auto"/>
        </w:rPr>
        <w:t>Intangible assets related to trademarks, trade names and in-process research and development prior to commercialization are not amortized because they have indefinite lives; however, they are subject to review for impairment. We review our intangible assets with indefinite lives for impairment annually, as of October 31, and whenever events or changes in circumstances indicate that the carrying value of an asset may not be recoverable.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F- 16</w:t>
      </w:r>
    </w:p>
    <w:p>
      <w:pPr>
        <w:sectPr>
          <w:pgSz w:w="11900" w:h="16838" w:orient="portrait"/>
          <w:cols w:equalWidth="0" w:num="1">
            <w:col w:w="11420"/>
          </w:cols>
          <w:pgMar w:left="240" w:top="139" w:right="239" w:bottom="1440" w:gutter="0" w:footer="0" w:header="0"/>
        </w:sectPr>
      </w:pPr>
    </w:p>
    <w:bookmarkStart w:id="118" w:name="page119"/>
    <w:bookmarkEnd w:id="1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Acquired In-process Research and Development (IPR&amp;D)</w:t>
      </w:r>
    </w:p>
    <w:p>
      <w:pPr>
        <w:spacing w:after="0" w:line="104"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Acquired IPR&amp;D represents the fair value assigned to research and development assets that have not reached technological feasibility. The value assigned to acquired IPR&amp;D is determined by estimating the costs to develop the acquired technology into commercially viable products, estimating the resulting revenues from the projects and discounting the net cash flows to present value. The revenues and costs projections used to value acquired IPR&amp;D are, as applicable, reduced based on the probability of success of developing a new drug. Additionally, the projections consider the relevant market sizes and growth factors, expected trends in technology and the nature and expected timing of new product introductions by us and our competitors. The rates utilized to discount the net cash flows to their present value are commensurate with the stage of development of the projects and uncertainties in the economic estimates used in the projections. Upon the acquisition of IPR&amp;D, we complete an assessment of whether our acquisition constitutes the purchase of a single asset or a group of assets. We consider multiple factors in this assessment, including the nature of the technology acquired, the presence or absence of separate cash flows, the development process and stage of completion, quantitative significance and our rationale for entering into the transaction.</w:t>
      </w:r>
    </w:p>
    <w:p>
      <w:pPr>
        <w:spacing w:after="0" w:line="150" w:lineRule="exact"/>
        <w:rPr>
          <w:sz w:val="20"/>
          <w:szCs w:val="20"/>
          <w:color w:val="auto"/>
        </w:rPr>
      </w:pPr>
    </w:p>
    <w:p>
      <w:pPr>
        <w:jc w:val="both"/>
        <w:ind w:right="180" w:firstLine="410"/>
        <w:spacing w:after="0" w:line="257" w:lineRule="auto"/>
        <w:rPr>
          <w:sz w:val="20"/>
          <w:szCs w:val="20"/>
          <w:color w:val="auto"/>
        </w:rPr>
      </w:pPr>
      <w:r>
        <w:rPr>
          <w:rFonts w:ascii="Arial" w:cs="Arial" w:eastAsia="Arial" w:hAnsi="Arial"/>
          <w:sz w:val="17"/>
          <w:szCs w:val="17"/>
          <w:color w:val="auto"/>
        </w:rPr>
        <w:t>If we acquire a business as defined under applicable accounting standards, then the acquired IPR&amp;D is capitalized as an intangible asset. If we acquire an asset or group of assets that do not meet the definition of a business, then the acquired IPR&amp;D is expensed on its acquisition date. Future costs to develop these assets are recorded to research and development expense as they are incurred.</w:t>
      </w:r>
    </w:p>
    <w:p>
      <w:pPr>
        <w:spacing w:after="0" w:line="140" w:lineRule="exact"/>
        <w:rPr>
          <w:sz w:val="20"/>
          <w:szCs w:val="20"/>
          <w:color w:val="auto"/>
        </w:rPr>
      </w:pPr>
    </w:p>
    <w:p>
      <w:pPr>
        <w:ind w:firstLine="410"/>
        <w:spacing w:after="0" w:line="254" w:lineRule="auto"/>
        <w:rPr>
          <w:sz w:val="20"/>
          <w:szCs w:val="20"/>
          <w:color w:val="auto"/>
        </w:rPr>
      </w:pPr>
      <w:r>
        <w:rPr>
          <w:rFonts w:ascii="Arial" w:cs="Arial" w:eastAsia="Arial" w:hAnsi="Arial"/>
          <w:sz w:val="17"/>
          <w:szCs w:val="17"/>
          <w:color w:val="auto"/>
        </w:rPr>
        <w:t>When performing our impairment assessment, we calculate the fair value using the same methodology as described above. If the carrying value of our acquired IPR&amp;D exceeds its fair value, then the intangible asset is written-down to its fair value. Certain IPR&amp;D programs have a fair value that is not significantly in excess of carrying value, including treatments for forms of neuropathic pain, such as trigeminal neuralgia (TGN). Such programs could become impaired if assumptions used in determining the fair value change. Impairments are recorded as amortization of acquired intangible assets in our consolidated statements of income.</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Goodwill</w:t>
      </w:r>
    </w:p>
    <w:p>
      <w:pPr>
        <w:spacing w:after="0" w:line="106" w:lineRule="exact"/>
        <w:rPr>
          <w:sz w:val="20"/>
          <w:szCs w:val="20"/>
          <w:color w:val="auto"/>
        </w:rPr>
      </w:pPr>
    </w:p>
    <w:p>
      <w:pPr>
        <w:ind w:right="220" w:firstLine="410"/>
        <w:spacing w:after="0" w:line="257" w:lineRule="auto"/>
        <w:rPr>
          <w:sz w:val="20"/>
          <w:szCs w:val="20"/>
          <w:color w:val="auto"/>
        </w:rPr>
      </w:pPr>
      <w:r>
        <w:rPr>
          <w:rFonts w:ascii="Arial" w:cs="Arial" w:eastAsia="Arial" w:hAnsi="Arial"/>
          <w:sz w:val="17"/>
          <w:szCs w:val="17"/>
          <w:color w:val="auto"/>
        </w:rPr>
        <w:t>Goodwill represents the difference between the purchase price and the fair value of the identifiable tangible and intangible net assets when accounted for using the purchase method of accounting. Goodwill is not amortized, but reviewed for impairment. Goodwill is reviewed annually, as of October 31, and whenever events or changes in circumstances indicate that the carrying value of the goodwill might not be recoverable.</w:t>
      </w:r>
    </w:p>
    <w:p>
      <w:pPr>
        <w:spacing w:after="0" w:line="140" w:lineRule="exact"/>
        <w:rPr>
          <w:sz w:val="20"/>
          <w:szCs w:val="20"/>
          <w:color w:val="auto"/>
        </w:rPr>
      </w:pPr>
    </w:p>
    <w:p>
      <w:pPr>
        <w:jc w:val="both"/>
        <w:ind w:right="80" w:firstLine="410"/>
        <w:spacing w:after="0" w:line="257" w:lineRule="auto"/>
        <w:rPr>
          <w:sz w:val="20"/>
          <w:szCs w:val="20"/>
          <w:color w:val="auto"/>
        </w:rPr>
      </w:pPr>
      <w:r>
        <w:rPr>
          <w:rFonts w:ascii="Arial" w:cs="Arial" w:eastAsia="Arial" w:hAnsi="Arial"/>
          <w:sz w:val="17"/>
          <w:szCs w:val="17"/>
          <w:color w:val="auto"/>
        </w:rPr>
        <w:t xml:space="preserve">We compare the fair value of our reporting unit to its carrying value. If the carrying value of the net assets assigned to the reporting unit exceeds the fair value of our reporting unit, we would record an impairment loss equal to the difference. As described in Note 25, </w:t>
      </w:r>
      <w:r>
        <w:rPr>
          <w:rFonts w:ascii="Arial" w:cs="Arial" w:eastAsia="Arial" w:hAnsi="Arial"/>
          <w:sz w:val="17"/>
          <w:szCs w:val="17"/>
          <w:i w:val="1"/>
          <w:iCs w:val="1"/>
          <w:color w:val="auto"/>
        </w:rPr>
        <w:t>Segment Information,</w:t>
      </w:r>
      <w:r>
        <w:rPr>
          <w:rFonts w:ascii="Arial" w:cs="Arial" w:eastAsia="Arial" w:hAnsi="Arial"/>
          <w:sz w:val="17"/>
          <w:szCs w:val="17"/>
          <w:color w:val="auto"/>
        </w:rPr>
        <w:t xml:space="preserve"> to these consolidated financial statements, we operate in one operating segment which we consider our only reporting unit.</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Impairment of Long-Lived Assets</w:t>
      </w:r>
    </w:p>
    <w:p>
      <w:pPr>
        <w:spacing w:after="0" w:line="106" w:lineRule="exact"/>
        <w:rPr>
          <w:sz w:val="20"/>
          <w:szCs w:val="20"/>
          <w:color w:val="auto"/>
        </w:rPr>
      </w:pPr>
    </w:p>
    <w:p>
      <w:pPr>
        <w:ind w:right="240" w:firstLine="410"/>
        <w:spacing w:after="0" w:line="262" w:lineRule="auto"/>
        <w:rPr>
          <w:sz w:val="20"/>
          <w:szCs w:val="20"/>
          <w:color w:val="auto"/>
        </w:rPr>
      </w:pPr>
      <w:r>
        <w:rPr>
          <w:rFonts w:ascii="Arial" w:cs="Arial" w:eastAsia="Arial" w:hAnsi="Arial"/>
          <w:sz w:val="17"/>
          <w:szCs w:val="17"/>
          <w:color w:val="auto"/>
        </w:rPr>
        <w:t>Long-lived assets to be held and used, including property, plant and equipment and definite-lived intangible assets are reviewed for impairment whenever events or changes in circumstances indicate that the carrying amount of the assets or asset group may not be recoverable.</w:t>
      </w:r>
    </w:p>
    <w:p>
      <w:pPr>
        <w:spacing w:after="0" w:line="137" w:lineRule="exact"/>
        <w:rPr>
          <w:sz w:val="20"/>
          <w:szCs w:val="20"/>
          <w:color w:val="auto"/>
        </w:rPr>
      </w:pPr>
    </w:p>
    <w:p>
      <w:pPr>
        <w:ind w:right="20" w:firstLine="410"/>
        <w:spacing w:after="0" w:line="257" w:lineRule="auto"/>
        <w:rPr>
          <w:sz w:val="20"/>
          <w:szCs w:val="20"/>
          <w:color w:val="auto"/>
        </w:rPr>
      </w:pPr>
      <w:r>
        <w:rPr>
          <w:rFonts w:ascii="Arial" w:cs="Arial" w:eastAsia="Arial" w:hAnsi="Arial"/>
          <w:sz w:val="17"/>
          <w:szCs w:val="17"/>
          <w:color w:val="auto"/>
        </w:rPr>
        <w:t>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written-down to their fair values. Long-lived assets to be disposed of are carried at fair value less costs to sell.</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F- 17</w:t>
      </w:r>
    </w:p>
    <w:p>
      <w:pPr>
        <w:sectPr>
          <w:pgSz w:w="11900" w:h="16838" w:orient="portrait"/>
          <w:cols w:equalWidth="0" w:num="1">
            <w:col w:w="11420"/>
          </w:cols>
          <w:pgMar w:left="240" w:top="139" w:right="239" w:bottom="1440" w:gutter="0" w:footer="0" w:header="0"/>
        </w:sectPr>
      </w:pPr>
    </w:p>
    <w:bookmarkStart w:id="119" w:name="page120"/>
    <w:bookmarkEnd w:id="1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Contingent Consideration</w:t>
      </w:r>
    </w:p>
    <w:p>
      <w:pPr>
        <w:spacing w:after="0" w:line="106"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The consideration for our acquisitions often includes future payments that are contingent upon the occurrence of a particular event or events. For acquisitions completed before January 1, 2009, we record contingent consideration resulting from a business combination when the contingency is resolved. For acquisitions that qualify as business combinations completed after January 1, 2009, we record an obligation for such contingent payments at fair value on the acquisition date. We estimate the fair value of contingent consideration obligations through valuation models that incorporate probability-adjusted assumptions related to the achievement of the milestones and thus likelihood of making related payments. We revalue our contingent consideration obligations each reporting period. Changes in the fair value of our contingent consideration obligations are recognized in our consolidated statements of income.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and reserves associated with products upon commercialization, changes in the assumed achievement or timing of any cumulative sales-based and development milestones, changes in the probability of certain clinical events and changes in the assumed probability associated with regulatory approval.</w:t>
      </w:r>
    </w:p>
    <w:p>
      <w:pPr>
        <w:spacing w:after="0" w:line="150"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Discount rates in our valuation models represent a measure of the credit risk associated with settling the liability. The period over which we discount our contingent obligations is based on the current development stage of the product candidates, our specific development plan for that product candidate adjusted for the probability of completing the development step, and when the contingent payments would be triggered. In estimating the probability of success, we utilize data regarding similar milestone events from several sources, including industry studies and our own experience. These fair value measurements are based on significant inputs not observable in the market. Significant judgment is employed in determining the appropriateness of these assumptions as of the acquisition date and for each subsequent period. Accordingly, changes in assumptions could have a material impact on the amount of contingent consideration expense we record in any given period.</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Derivative Instruments and Hedging Activities</w:t>
      </w:r>
    </w:p>
    <w:p>
      <w:pPr>
        <w:spacing w:after="0" w:line="106" w:lineRule="exact"/>
        <w:rPr>
          <w:sz w:val="20"/>
          <w:szCs w:val="20"/>
          <w:color w:val="auto"/>
        </w:rPr>
      </w:pPr>
    </w:p>
    <w:p>
      <w:pPr>
        <w:ind w:right="120" w:firstLine="410"/>
        <w:spacing w:after="0" w:line="255" w:lineRule="auto"/>
        <w:rPr>
          <w:sz w:val="20"/>
          <w:szCs w:val="20"/>
          <w:color w:val="auto"/>
        </w:rPr>
      </w:pPr>
      <w:r>
        <w:rPr>
          <w:rFonts w:ascii="Arial" w:cs="Arial" w:eastAsia="Arial" w:hAnsi="Arial"/>
          <w:sz w:val="17"/>
          <w:szCs w:val="17"/>
          <w:color w:val="auto"/>
        </w:rPr>
        <w:t>We recognize all derivative instruments as either assets or liabilities at fair value in our consolidated balance sheets. Changes in the fair value of derivatives are recorded each period in current earnings or accumulated other comprehensive income (loss), depending on whether a derivative is designated as part of a hedge transaction and, if so, the type of hedge transaction. We classify the cash flows from these instruments in the same category as the cash flows from the hedged items. We do not hold or issue derivative instruments for trading or speculative purposes.</w:t>
      </w:r>
    </w:p>
    <w:p>
      <w:pPr>
        <w:spacing w:after="0" w:line="143" w:lineRule="exact"/>
        <w:rPr>
          <w:sz w:val="20"/>
          <w:szCs w:val="20"/>
          <w:color w:val="auto"/>
        </w:rPr>
      </w:pPr>
    </w:p>
    <w:p>
      <w:pPr>
        <w:ind w:right="120" w:firstLine="410"/>
        <w:spacing w:after="0" w:line="254" w:lineRule="auto"/>
        <w:rPr>
          <w:sz w:val="20"/>
          <w:szCs w:val="20"/>
          <w:color w:val="auto"/>
        </w:rPr>
      </w:pPr>
      <w:r>
        <w:rPr>
          <w:rFonts w:ascii="Arial" w:cs="Arial" w:eastAsia="Arial" w:hAnsi="Arial"/>
          <w:sz w:val="17"/>
          <w:szCs w:val="17"/>
          <w:color w:val="auto"/>
        </w:rPr>
        <w:t>We assess, both at inception and on an ongoing basis, whether the derivatives that are used in hedging transactions are highly effective in offsetting the changes in cash flows or fair values of the hedged items. We also assess hedge ineffectiveness on a quarterly basis and record the gain or loss related to the ineffective portion to current earnings. If we determine that a forecasted transaction is no longer probable of occurring, we discontinue hedge accounting for the affected portion of the hedge instrument, and any related unrealized gain or loss on the contract is recognized in current earnings.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Translation of Foreign Currencies</w:t>
      </w:r>
    </w:p>
    <w:p>
      <w:pPr>
        <w:spacing w:after="0" w:line="106" w:lineRule="exact"/>
        <w:rPr>
          <w:sz w:val="20"/>
          <w:szCs w:val="20"/>
          <w:color w:val="auto"/>
        </w:rPr>
      </w:pPr>
    </w:p>
    <w:p>
      <w:pPr>
        <w:ind w:right="60" w:firstLine="410"/>
        <w:spacing w:after="0" w:line="252" w:lineRule="auto"/>
        <w:rPr>
          <w:sz w:val="20"/>
          <w:szCs w:val="20"/>
          <w:color w:val="auto"/>
        </w:rPr>
      </w:pPr>
      <w:r>
        <w:rPr>
          <w:rFonts w:ascii="Arial" w:cs="Arial" w:eastAsia="Arial" w:hAnsi="Arial"/>
          <w:sz w:val="17"/>
          <w:szCs w:val="17"/>
          <w:color w:val="auto"/>
        </w:rPr>
        <w:t>The functional currency for most of our foreign subsidiaries is their local currency. For our non-U.S. subsidiaries that transact in a functional currency other than the U.S. dollar, assets and liabilities are translated at current rates of exchange at the balance sheet date. Income and expense items are translated at the average foreign currency exchange rates for the period. Adjustments resulting from the translation of the financial statements of our foreign operations into U.S. dollars are excluded from the determination of net income and are recorded in accumulated other comprehensive income, a separate component of equity. For subsidiaries where the functional currency of the assets and liabilities differ from the local currency, non-monetary assets and liabilities are translated at the rate of exchange in effect on the date assets were acquired while monetary assets and liabilities are translated at current rates of exchange as of the balance sheet date. Income and expense items are translated at the average foreign currency rates for the period. Translation adjustments of these subsidiaries are included in other income (expense), net in our consolidated statements of income.</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F- 18</w:t>
      </w:r>
    </w:p>
    <w:p>
      <w:pPr>
        <w:sectPr>
          <w:pgSz w:w="11900" w:h="16838" w:orient="portrait"/>
          <w:cols w:equalWidth="0" w:num="1">
            <w:col w:w="11420"/>
          </w:cols>
          <w:pgMar w:left="240" w:top="139" w:right="239" w:bottom="1440" w:gutter="0" w:footer="0" w:header="0"/>
        </w:sectPr>
      </w:pPr>
    </w:p>
    <w:bookmarkStart w:id="120" w:name="page121"/>
    <w:bookmarkEnd w:id="1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Royalty Cost of Sales</w:t>
      </w:r>
    </w:p>
    <w:p>
      <w:pPr>
        <w:spacing w:after="0" w:line="106" w:lineRule="exact"/>
        <w:rPr>
          <w:sz w:val="20"/>
          <w:szCs w:val="20"/>
          <w:color w:val="auto"/>
        </w:rPr>
      </w:pPr>
    </w:p>
    <w:p>
      <w:pPr>
        <w:ind w:right="220" w:firstLine="410"/>
        <w:spacing w:after="0" w:line="253" w:lineRule="auto"/>
        <w:rPr>
          <w:sz w:val="20"/>
          <w:szCs w:val="20"/>
          <w:color w:val="auto"/>
        </w:rPr>
      </w:pPr>
      <w:r>
        <w:rPr>
          <w:rFonts w:ascii="Arial" w:cs="Arial" w:eastAsia="Arial" w:hAnsi="Arial"/>
          <w:sz w:val="17"/>
          <w:szCs w:val="17"/>
          <w:color w:val="auto"/>
        </w:rPr>
        <w:t>We make royalty payments to a number of third parties under license or purchase agreements associated with our acquisition of intellectual property. These royalty payments are typically calculated as a percentage (royalty rate) of the sales of our products in a particular year. That royalty rate may remain constant, increase or decrease within each year based on the total amount of sales during the annual period. Each quarterly period, we estimate our total royalty obligation for the full year and recognize the proportional amount as cost of sales based on actual quarterly sales as a percentage of full year estimated sales. For example, if the level of net sales in any calendar year increases the royalty rate within the year, we will record our cost of sales at an even rate over the year, based on the estimated blended royalty rate.</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Accounting for Share-Based Compensation</w:t>
      </w:r>
    </w:p>
    <w:p>
      <w:pPr>
        <w:spacing w:after="0" w:line="106" w:lineRule="exact"/>
        <w:rPr>
          <w:sz w:val="20"/>
          <w:szCs w:val="20"/>
          <w:color w:val="auto"/>
        </w:rPr>
      </w:pPr>
    </w:p>
    <w:p>
      <w:pPr>
        <w:ind w:right="160" w:firstLine="410"/>
        <w:spacing w:after="0" w:line="253" w:lineRule="auto"/>
        <w:rPr>
          <w:sz w:val="20"/>
          <w:szCs w:val="20"/>
          <w:color w:val="auto"/>
        </w:rPr>
      </w:pPr>
      <w:r>
        <w:rPr>
          <w:rFonts w:ascii="Arial" w:cs="Arial" w:eastAsia="Arial" w:hAnsi="Arial"/>
          <w:sz w:val="17"/>
          <w:szCs w:val="17"/>
          <w:color w:val="auto"/>
        </w:rPr>
        <w:t>Our share-based compensation programs grant awards that have included stock options, restricted stock units that vest based on stock performance known as market stock units (MSUs), performance-vested restricted stock units that settle in cash (CSPUs), time-vested restricted stock units (RSUs), performance-vested restricted stock units that can be settled in cash or shares of our common stock (PUs) at the sole discretion of the Compensation and Management Development Committee of the Board of Directors and shares issued under our employee stock purchase plan (ESPP). We charge the estimated fair value of awards against income over the requisite service period, which is generally the vesting period. Where awards are made with non-substantive vesting periods (for instance, where a portion of the award vests upon retirement eligibility), we estimate and recognize expense based on the period from the grant date to the date the employee becomes retirement eligible.</w:t>
      </w:r>
    </w:p>
    <w:p>
      <w:pPr>
        <w:spacing w:after="0" w:line="146" w:lineRule="exact"/>
        <w:rPr>
          <w:sz w:val="20"/>
          <w:szCs w:val="20"/>
          <w:color w:val="auto"/>
        </w:rPr>
      </w:pPr>
    </w:p>
    <w:p>
      <w:pPr>
        <w:ind w:right="200" w:firstLine="410"/>
        <w:spacing w:after="0" w:line="262" w:lineRule="auto"/>
        <w:rPr>
          <w:sz w:val="20"/>
          <w:szCs w:val="20"/>
          <w:color w:val="auto"/>
        </w:rPr>
      </w:pPr>
      <w:r>
        <w:rPr>
          <w:rFonts w:ascii="Arial" w:cs="Arial" w:eastAsia="Arial" w:hAnsi="Arial"/>
          <w:sz w:val="17"/>
          <w:szCs w:val="17"/>
          <w:color w:val="auto"/>
        </w:rPr>
        <w:t>The fair values of our stock option grants are estimated as of the date of grant using a Black-Scholes option valuation model. The estimated fair values of the stock options are then expensed over the options’ vesting periods.</w:t>
      </w:r>
    </w:p>
    <w:p>
      <w:pPr>
        <w:spacing w:after="0" w:line="137" w:lineRule="exact"/>
        <w:rPr>
          <w:sz w:val="20"/>
          <w:szCs w:val="20"/>
          <w:color w:val="auto"/>
        </w:rPr>
      </w:pPr>
    </w:p>
    <w:p>
      <w:pPr>
        <w:ind w:right="180" w:firstLine="410"/>
        <w:spacing w:after="0" w:line="255" w:lineRule="auto"/>
        <w:rPr>
          <w:sz w:val="20"/>
          <w:szCs w:val="20"/>
          <w:color w:val="auto"/>
        </w:rPr>
      </w:pPr>
      <w:r>
        <w:rPr>
          <w:rFonts w:ascii="Arial" w:cs="Arial" w:eastAsia="Arial" w:hAnsi="Arial"/>
          <w:sz w:val="17"/>
          <w:szCs w:val="17"/>
          <w:color w:val="auto"/>
        </w:rPr>
        <w:t>The fair values of our MSUs are estimated using a lattice model with a Monte Carlo simulation. We apply an accelerated attribution method to recognize share-based compensation expense over the applicable service period, net of estimated forfeitures when accounting for our MSUs. The probability of actual shares expected to be earned is considered in the grant date valuation, therefore the expense is not adjusted to reflect the actual units earned.</w:t>
      </w:r>
    </w:p>
    <w:p>
      <w:pPr>
        <w:spacing w:after="0" w:line="143" w:lineRule="exact"/>
        <w:rPr>
          <w:sz w:val="20"/>
          <w:szCs w:val="20"/>
          <w:color w:val="auto"/>
        </w:rPr>
      </w:pPr>
    </w:p>
    <w:p>
      <w:pPr>
        <w:ind w:right="100" w:firstLine="410"/>
        <w:spacing w:after="0" w:line="262" w:lineRule="auto"/>
        <w:rPr>
          <w:sz w:val="20"/>
          <w:szCs w:val="20"/>
          <w:color w:val="auto"/>
        </w:rPr>
      </w:pPr>
      <w:r>
        <w:rPr>
          <w:rFonts w:ascii="Arial" w:cs="Arial" w:eastAsia="Arial" w:hAnsi="Arial"/>
          <w:sz w:val="17"/>
          <w:szCs w:val="17"/>
          <w:color w:val="auto"/>
        </w:rPr>
        <w:t>The fair values of our RSUs are based on the market value of our stock on the date of grant. Compensation expense, net of forfeitures, for RSUs is recognized straight-line over the applicable service period.</w:t>
      </w:r>
    </w:p>
    <w:p>
      <w:pPr>
        <w:spacing w:after="0" w:line="137"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We apply an accelerated attribution method to recognize share-based compensation expense when accounting for our CSPUs and PUs and the fair value of the liability is remeasured at the end of each reporting period through expected settlement. Compensation expense associated with CSPUs and PUs are based upon the stock price and the number of units expected to be earned after assessing the probability that certain performance criteria will be met and the associated targeted payout level that is forecasted will be achieved, net of estimated forfeitures. Cumulative adjustments are recorded each quarter to reflect changes in the stock price and estimated outcome of the performance-related conditions until the date results are determined and settled.</w:t>
      </w:r>
    </w:p>
    <w:p>
      <w:pPr>
        <w:spacing w:after="0" w:line="147" w:lineRule="exact"/>
        <w:rPr>
          <w:sz w:val="20"/>
          <w:szCs w:val="20"/>
          <w:color w:val="auto"/>
        </w:rPr>
      </w:pPr>
    </w:p>
    <w:p>
      <w:pPr>
        <w:ind w:right="120" w:firstLine="410"/>
        <w:spacing w:after="0" w:line="255" w:lineRule="auto"/>
        <w:rPr>
          <w:sz w:val="20"/>
          <w:szCs w:val="20"/>
          <w:color w:val="auto"/>
        </w:rPr>
      </w:pPr>
      <w:r>
        <w:rPr>
          <w:rFonts w:ascii="Arial" w:cs="Arial" w:eastAsia="Arial" w:hAnsi="Arial"/>
          <w:sz w:val="17"/>
          <w:szCs w:val="17"/>
          <w:color w:val="auto"/>
        </w:rPr>
        <w:t>The purchase price of common stock under our ESPP is equal to 85% of the lesser of (i) the fair market value per share of the common stock on the first business day of an offering period and (ii) the fair market value per share of the common stock on the purchase date. The fair value of the discounted purchases made under our ESPP is calculated using the Black-Scholes model. The fair value of the look-back provision plus the 15% discount is recognized as compensation expense over the 90-day purchase period.</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Research and Development Expenses</w:t>
      </w:r>
    </w:p>
    <w:p>
      <w:pPr>
        <w:spacing w:after="0" w:line="106"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Research and development expenses consist of upfront fees and milestones paid to collaborators and expenses incurred in performing research and development activities, which include compensation and benefits, facilities and overhead expenses, clinical trial expenses and fees paid to contract research organizations (CROs), clinical supply and manufacturing expenses, write-offs of inventory that was previously capitalized in anticipation of product launch and determined to no longer be realizable and other outside expenses. Research and development expenses are expensed as incurred. Payments we make for research and development services prior to the services being rendered are recorded as prepaid assets in our consolidated balance sheets and are expensed as the services are provided. We also accrue the costs of ongoing clinical trials associated with programs that have been terminated or discontinued for which there is no future economic benefit at the time the decision is made to terminate or discontinue the program.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F- 19</w:t>
      </w:r>
    </w:p>
    <w:p>
      <w:pPr>
        <w:sectPr>
          <w:pgSz w:w="11900" w:h="16838" w:orient="portrait"/>
          <w:cols w:equalWidth="0" w:num="1">
            <w:col w:w="11420"/>
          </w:cols>
          <w:pgMar w:left="240" w:top="139" w:right="239" w:bottom="1440" w:gutter="0" w:footer="0" w:header="0"/>
        </w:sectPr>
      </w:pPr>
    </w:p>
    <w:bookmarkStart w:id="121" w:name="page122"/>
    <w:bookmarkEnd w:id="1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90" w:lineRule="exact"/>
        <w:rPr>
          <w:sz w:val="20"/>
          <w:szCs w:val="20"/>
          <w:color w:val="auto"/>
        </w:rPr>
      </w:pPr>
    </w:p>
    <w:p>
      <w:pPr>
        <w:ind w:firstLine="410"/>
        <w:spacing w:after="0" w:line="254" w:lineRule="auto"/>
        <w:rPr>
          <w:sz w:val="20"/>
          <w:szCs w:val="20"/>
          <w:color w:val="auto"/>
        </w:rPr>
      </w:pPr>
      <w:r>
        <w:rPr>
          <w:rFonts w:ascii="Arial" w:cs="Arial" w:eastAsia="Arial" w:hAnsi="Arial"/>
          <w:sz w:val="17"/>
          <w:szCs w:val="17"/>
          <w:color w:val="auto"/>
        </w:rPr>
        <w:t xml:space="preserve">From time to time, we enter into development agreements in which we share expenses with a collaborative partner. We record payments received from our collaborative partners for their share of the development costs as a reduction of research and development expense, except as discussed in Note 20, </w:t>
      </w:r>
      <w:r>
        <w:rPr>
          <w:rFonts w:ascii="Arial" w:cs="Arial" w:eastAsia="Arial" w:hAnsi="Arial"/>
          <w:sz w:val="17"/>
          <w:szCs w:val="17"/>
          <w:i w:val="1"/>
          <w:iCs w:val="1"/>
          <w:color w:val="auto"/>
        </w:rPr>
        <w:t>Collaborative and Other Relationships,</w:t>
      </w:r>
      <w:r>
        <w:rPr>
          <w:rFonts w:ascii="Arial" w:cs="Arial" w:eastAsia="Arial" w:hAnsi="Arial"/>
          <w:sz w:val="17"/>
          <w:szCs w:val="17"/>
          <w:color w:val="auto"/>
        </w:rPr>
        <w:t xml:space="preserve"> to these consolidated financial statements. Because an initial indication has been approved for both RITUXAN and GAZYVA, expenses incurred by Genentech in the ongoing development of RITUXAN and GAZYVA are not recorded as research and development expense, but rather reduce our share of profits recorded as a component of revenues from anti-CD20 therapeutic programs.</w:t>
      </w:r>
    </w:p>
    <w:p>
      <w:pPr>
        <w:spacing w:after="0" w:line="144" w:lineRule="exact"/>
        <w:rPr>
          <w:sz w:val="20"/>
          <w:szCs w:val="20"/>
          <w:color w:val="auto"/>
        </w:rPr>
      </w:pPr>
    </w:p>
    <w:p>
      <w:pPr>
        <w:ind w:right="540" w:firstLine="410"/>
        <w:spacing w:after="0" w:line="262" w:lineRule="auto"/>
        <w:rPr>
          <w:sz w:val="20"/>
          <w:szCs w:val="20"/>
          <w:color w:val="auto"/>
        </w:rPr>
      </w:pPr>
      <w:r>
        <w:rPr>
          <w:rFonts w:ascii="Arial" w:cs="Arial" w:eastAsia="Arial" w:hAnsi="Arial"/>
          <w:sz w:val="17"/>
          <w:szCs w:val="17"/>
          <w:color w:val="auto"/>
        </w:rPr>
        <w:t>For collaborations with commercialized products, if we are the principal, we record revenues and the corresponding operating costs in their respective line items in our consolidated statements of income. If we are not the principal, we record operating costs as a reduction of revenue.</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Selling, General and Administrative Expenses</w:t>
      </w:r>
    </w:p>
    <w:p>
      <w:pPr>
        <w:spacing w:after="0" w:line="106" w:lineRule="exact"/>
        <w:rPr>
          <w:sz w:val="20"/>
          <w:szCs w:val="20"/>
          <w:color w:val="auto"/>
        </w:rPr>
      </w:pPr>
    </w:p>
    <w:p>
      <w:pPr>
        <w:ind w:right="20" w:firstLine="410"/>
        <w:spacing w:after="0" w:line="257" w:lineRule="auto"/>
        <w:rPr>
          <w:sz w:val="20"/>
          <w:szCs w:val="20"/>
          <w:color w:val="auto"/>
        </w:rPr>
      </w:pPr>
      <w:r>
        <w:rPr>
          <w:rFonts w:ascii="Arial" w:cs="Arial" w:eastAsia="Arial" w:hAnsi="Arial"/>
          <w:sz w:val="17"/>
          <w:szCs w:val="17"/>
          <w:color w:val="auto"/>
        </w:rPr>
        <w:t>Selling, general and administrative expenses are primarily comprised of compensation and benefits associated with sales and marketing, finance, human resources, legal, information technology and other administrative personnel, outside marketing, advertising and legal expenses and other general and administrative costs.</w:t>
      </w:r>
    </w:p>
    <w:p>
      <w:pPr>
        <w:spacing w:after="0" w:line="140" w:lineRule="exact"/>
        <w:rPr>
          <w:sz w:val="20"/>
          <w:szCs w:val="20"/>
          <w:color w:val="auto"/>
        </w:rPr>
      </w:pPr>
    </w:p>
    <w:p>
      <w:pPr>
        <w:ind w:right="340" w:firstLine="410"/>
        <w:spacing w:after="0" w:line="262" w:lineRule="auto"/>
        <w:rPr>
          <w:sz w:val="20"/>
          <w:szCs w:val="20"/>
          <w:color w:val="auto"/>
        </w:rPr>
      </w:pPr>
      <w:r>
        <w:rPr>
          <w:rFonts w:ascii="Arial" w:cs="Arial" w:eastAsia="Arial" w:hAnsi="Arial"/>
          <w:sz w:val="17"/>
          <w:szCs w:val="17"/>
          <w:color w:val="auto"/>
        </w:rPr>
        <w:t>Advertising costs are expensed as incurred. For the years ended December 31, 2017, 2016 and 2015, advertising costs totaled $75.2 million, $106.3 million and $108.6 million, respectively.</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Income Taxes</w:t>
      </w:r>
    </w:p>
    <w:p>
      <w:pPr>
        <w:spacing w:after="0" w:line="106" w:lineRule="exact"/>
        <w:rPr>
          <w:sz w:val="20"/>
          <w:szCs w:val="20"/>
          <w:color w:val="auto"/>
        </w:rPr>
      </w:pPr>
    </w:p>
    <w:p>
      <w:pPr>
        <w:ind w:right="80" w:firstLine="410"/>
        <w:spacing w:after="0" w:line="254" w:lineRule="auto"/>
        <w:rPr>
          <w:sz w:val="20"/>
          <w:szCs w:val="20"/>
          <w:color w:val="auto"/>
        </w:rPr>
      </w:pPr>
      <w:r>
        <w:rPr>
          <w:rFonts w:ascii="Arial" w:cs="Arial" w:eastAsia="Arial" w:hAnsi="Arial"/>
          <w:sz w:val="17"/>
          <w:szCs w:val="17"/>
          <w:color w:val="auto"/>
        </w:rPr>
        <w:t>The provision for income taxes includes federal, state, local and foreign taxes. Income taxes are accounted for under the liability method. Deferred tax assets and liabilities are recognized for the estimated future tax consequences of temporary differences between the financial statement carrying amounts and their respective tax bases. Deferred tax assets and liabilities are measured using enacted tax rates expected to apply to taxable income in the year in which the temporary differences are expected to be recovered or settled. We evaluate the realizability of our deferred tax assets and establish a valuation allowance when it is more likely than not that all or a portion of deferred tax assets will not be realized.</w:t>
      </w:r>
    </w:p>
    <w:p>
      <w:pPr>
        <w:spacing w:after="0" w:line="144" w:lineRule="exact"/>
        <w:rPr>
          <w:sz w:val="20"/>
          <w:szCs w:val="20"/>
          <w:color w:val="auto"/>
        </w:rPr>
      </w:pPr>
    </w:p>
    <w:p>
      <w:pPr>
        <w:ind w:right="220" w:firstLine="410"/>
        <w:spacing w:after="0" w:line="255" w:lineRule="auto"/>
        <w:rPr>
          <w:sz w:val="20"/>
          <w:szCs w:val="20"/>
          <w:color w:val="auto"/>
        </w:rPr>
      </w:pPr>
      <w:r>
        <w:rPr>
          <w:rFonts w:ascii="Arial" w:cs="Arial" w:eastAsia="Arial" w:hAnsi="Arial"/>
          <w:sz w:val="17"/>
          <w:szCs w:val="17"/>
          <w:color w:val="auto"/>
        </w:rPr>
        <w:t>All tax effects associated with intercompany transfers of assets within our consolidated group, both current and deferred, are recorded as a prepaid tax or deferred charge and recognized through our consolidated statements of income when the asset transferred is sold to a third party or otherwise recovered through amortization of the asset's remaining economic life. If the asset transferred becomes impaired, for example through the obsolescence of inventory or discontinuation of a research program, we will expense any remaining deferred charge or prepaid tax.</w:t>
      </w:r>
    </w:p>
    <w:p>
      <w:pPr>
        <w:spacing w:after="0" w:line="143" w:lineRule="exact"/>
        <w:rPr>
          <w:sz w:val="20"/>
          <w:szCs w:val="20"/>
          <w:color w:val="auto"/>
        </w:rPr>
      </w:pPr>
    </w:p>
    <w:p>
      <w:pPr>
        <w:ind w:firstLine="410"/>
        <w:spacing w:after="0" w:line="254" w:lineRule="auto"/>
        <w:rPr>
          <w:sz w:val="20"/>
          <w:szCs w:val="20"/>
          <w:color w:val="auto"/>
        </w:rPr>
      </w:pPr>
      <w:r>
        <w:rPr>
          <w:rFonts w:ascii="Arial" w:cs="Arial" w:eastAsia="Arial" w:hAnsi="Arial"/>
          <w:sz w:val="17"/>
          <w:szCs w:val="17"/>
          <w:color w:val="auto"/>
        </w:rPr>
        <w:t>We account for uncertain tax positions using a “more-likely-than-not” threshold for recognizing and resolving uncertain tax positions. We evaluate uncertain tax positions on a quarterly basis and consider various factors including, but not limited to, changes in tax law, the measurement of tax positions taken or expected to be taken in tax returns, the effective settlement of matters subject to audit, information obtained during in process audit activities and changes in facts or circumstances related to a tax position. We also accrue for potential interest and penalties related to unrecognized tax benefits in income tax expense.</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Contingencies</w:t>
      </w:r>
    </w:p>
    <w:p>
      <w:pPr>
        <w:spacing w:after="0" w:line="106"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We are currently involved in various claims and legal proceedings. Loss contingency provisions are recorded if the potential loss from any claim, asserted or unasserted, or legal proceeding is considered probable and the amount can be reasonably estimated or a range of loss can be determined. These accruals represent management’s best estimate of probable loss. Disclosure also is provided when it is reasonably possible that a loss will be incurred or when it is reasonably possible that the amount of a loss will exceed the recorded provision. On a quarterly basis, we review the status of each significant matter and assess its potential financial exposure.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we reassess the potential liability related to pending claims and litigation and may change our estimates. These changes in the estimates of the potential liabilities could have a material impact on our consolidated results of operations and financial position.</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Earnings per Share</w:t>
      </w:r>
    </w:p>
    <w:p>
      <w:pPr>
        <w:spacing w:after="0" w:line="106" w:lineRule="exact"/>
        <w:rPr>
          <w:sz w:val="20"/>
          <w:szCs w:val="20"/>
          <w:color w:val="auto"/>
        </w:rPr>
      </w:pPr>
    </w:p>
    <w:p>
      <w:pPr>
        <w:ind w:right="660" w:firstLine="410"/>
        <w:spacing w:after="0" w:line="262" w:lineRule="auto"/>
        <w:rPr>
          <w:sz w:val="20"/>
          <w:szCs w:val="20"/>
          <w:color w:val="auto"/>
        </w:rPr>
      </w:pPr>
      <w:r>
        <w:rPr>
          <w:rFonts w:ascii="Arial" w:cs="Arial" w:eastAsia="Arial" w:hAnsi="Arial"/>
          <w:sz w:val="17"/>
          <w:szCs w:val="17"/>
          <w:color w:val="auto"/>
        </w:rPr>
        <w:t>Basic earnings per share is computed by dividing undistributed net income attributable to Biogen Inc. by the weighted-average number of common shares outstanding during the period.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F- 20</w:t>
      </w:r>
    </w:p>
    <w:p>
      <w:pPr>
        <w:sectPr>
          <w:pgSz w:w="11900" w:h="16838" w:orient="portrait"/>
          <w:cols w:equalWidth="0" w:num="1">
            <w:col w:w="11400"/>
          </w:cols>
          <w:pgMar w:left="240" w:top="139" w:right="259" w:bottom="1440" w:gutter="0" w:footer="0" w:header="0"/>
        </w:sectPr>
      </w:pPr>
    </w:p>
    <w:bookmarkStart w:id="122" w:name="page123"/>
    <w:bookmarkEnd w:id="1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New Accounting Pronouncements</w:t>
      </w:r>
    </w:p>
    <w:p>
      <w:pPr>
        <w:spacing w:after="0" w:line="106" w:lineRule="exact"/>
        <w:rPr>
          <w:sz w:val="20"/>
          <w:szCs w:val="20"/>
          <w:color w:val="auto"/>
        </w:rPr>
      </w:pPr>
    </w:p>
    <w:p>
      <w:pPr>
        <w:ind w:right="260" w:firstLine="410"/>
        <w:spacing w:after="0" w:line="257"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(FASB) or other standard setting bodies that we adopt as of the specified effective date. Unless otherwise discussed below, we do not believe that the adoption of recently issued standards have or may have a material impact on our consolidated financial statements or disclosures.</w:t>
      </w:r>
    </w:p>
    <w:p>
      <w:pPr>
        <w:spacing w:after="0" w:line="122" w:lineRule="exact"/>
        <w:rPr>
          <w:sz w:val="20"/>
          <w:szCs w:val="20"/>
          <w:color w:val="auto"/>
        </w:rPr>
      </w:pPr>
    </w:p>
    <w:p>
      <w:pPr>
        <w:ind w:right="120" w:firstLine="410"/>
        <w:spacing w:after="0" w:line="254" w:lineRule="auto"/>
        <w:rPr>
          <w:sz w:val="20"/>
          <w:szCs w:val="20"/>
          <w:color w:val="auto"/>
        </w:rPr>
      </w:pPr>
      <w:r>
        <w:rPr>
          <w:rFonts w:ascii="Arial" w:cs="Arial" w:eastAsia="Arial" w:hAnsi="Arial"/>
          <w:sz w:val="17"/>
          <w:szCs w:val="17"/>
          <w:color w:val="auto"/>
        </w:rPr>
        <w:t xml:space="preserve">In May 2014 the FASB issued Accounting Standards Update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which supersedes all existing revenue recognition requirements, including most industry-specific guidance. This new standard requires a company to recognize revenue when it transfers goods or services to customers in an amount that reflects the consideration that the company expects to receive for those goods or services. The FASB subsequently issued amendments to ASU No. 2014-09 that have the same effective date and transition date. These new standards became effective for us on January 1, 2018, and will be adopted using the modified retrospective method through a cumulative-effect adjustment directly to retained earnings as of that date. We have performed a review of these new standards as compared to our current accounting policies for customer contracts and collaborative relationships. During the fourth quarter of 2017 we finalized our assessments over the impact that these new standards will have on our consolidated results of operations, financial position and disclosures. As of December 31, 2017, we have not identified any accounting changes that would materially impact the amount of reported revenues with respect to our product revenues, revenues from anti-CD20 therapeutic programs or other revenues; however, the adoption of these new standards may result in a change in the timing of revenue recognition related to certain of our contract manufacturing activities. As of December 31, 2017, we expect to recognize an immaterial adjustment to retained earnings reflecting the cumulative impact for the accounting changes related to certain contract manufacturing arrangements made upon adoption of these new standards.</w:t>
      </w:r>
    </w:p>
    <w:p>
      <w:pPr>
        <w:spacing w:after="0" w:line="128" w:lineRule="exact"/>
        <w:rPr>
          <w:sz w:val="20"/>
          <w:szCs w:val="20"/>
          <w:color w:val="auto"/>
        </w:rPr>
      </w:pPr>
    </w:p>
    <w:p>
      <w:pPr>
        <w:ind w:firstLine="410"/>
        <w:spacing w:after="0" w:line="254" w:lineRule="auto"/>
        <w:rPr>
          <w:sz w:val="20"/>
          <w:szCs w:val="20"/>
          <w:color w:val="auto"/>
        </w:rPr>
      </w:pPr>
      <w:r>
        <w:rPr>
          <w:rFonts w:ascii="Arial" w:cs="Arial" w:eastAsia="Arial" w:hAnsi="Arial"/>
          <w:sz w:val="17"/>
          <w:szCs w:val="17"/>
          <w:color w:val="auto"/>
        </w:rPr>
        <w:t xml:space="preserve">In January 2016 the FASB issued ASU No. 2016-01, </w:t>
      </w:r>
      <w:r>
        <w:rPr>
          <w:rFonts w:ascii="Arial" w:cs="Arial" w:eastAsia="Arial" w:hAnsi="Arial"/>
          <w:sz w:val="17"/>
          <w:szCs w:val="17"/>
          <w:i w:val="1"/>
          <w:iCs w:val="1"/>
          <w:color w:val="auto"/>
        </w:rPr>
        <w:t>Financial Instruments - Overall (Subtopic 825-10): Recognition and Measurement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Assets and Financial Liabilities</w:t>
      </w:r>
      <w:r>
        <w:rPr>
          <w:rFonts w:ascii="Arial" w:cs="Arial" w:eastAsia="Arial" w:hAnsi="Arial"/>
          <w:sz w:val="17"/>
          <w:szCs w:val="17"/>
          <w:color w:val="auto"/>
        </w:rPr>
        <w:t>. This new standard amends certain aspects of accounting and disclosure requirements for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including the requirement that equity investments with readily determinable fair values are to be measured at fair value with any changes in fair value recognized in a company's results of operations. This new standard does not apply to investments accounted for under the equity method of accounting or those investments that result in consolidation of the investee. Equity investments that do not have readily determinable fair values may be measured at fair value or at cost minus impairment adjusted for changes in observable prices. A financial liability that is measured at fair value in accordance with the fair value option is required to be presented separately in other comprehensive income for the portion of the total change in the fair value resulting from change in the instrument-specific credit risk. In addition, a valuation allowance should be evaluated on deferred tax assets related to available-for-sale debt securities in combination with other deferred tax assets. This new standard became effective for us on January 1, 2018. Based on our current investment holdings, the adoption of this new standard is not expected to have a material impact on our consolidated financial position or results of operations; however, it will result in the reclassification of where we recognize changes in fair value related to certain investments prospectively.</w:t>
      </w:r>
    </w:p>
    <w:p>
      <w:pPr>
        <w:spacing w:after="0" w:line="130" w:lineRule="exact"/>
        <w:rPr>
          <w:sz w:val="20"/>
          <w:szCs w:val="20"/>
          <w:color w:val="auto"/>
        </w:rPr>
      </w:pPr>
    </w:p>
    <w:p>
      <w:pPr>
        <w:ind w:firstLine="410"/>
        <w:spacing w:after="0" w:line="255"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This new standard establishes a right-of-use (ROU) model that requires all lessees recognize right-of-use assets and liabilities on their balance sheet that arise from leases with terms longer than 12 months as well as provide disclosures with respect to certain qualitative and quantitative information related to their leasing arrangements. This new standard will become effective for us on January 1, 2019. A modified retrospective transition approach is required for leases existing at, or entered into after, the beginning of the earliest comparative period presented in the financial statements, with certain practical expedients available. While we are currently evaluating the impact that this new standard may have on our consolidated results of operations, financial position and disclosures, we expect that the adoption of this new standard may materially affect the reported amount of total assets and total liabilities within our consolidated balance sheet with no material impact to our consolidated statement of income. We are unable to quantify the impact at this time as the ultimate impact of adopting this new standard will depend on the total amount of our lease commitments as of the adoption date.</w:t>
      </w:r>
    </w:p>
    <w:p>
      <w:pPr>
        <w:spacing w:after="0" w:line="129" w:lineRule="exact"/>
        <w:rPr>
          <w:sz w:val="20"/>
          <w:szCs w:val="20"/>
          <w:color w:val="auto"/>
        </w:rPr>
      </w:pPr>
    </w:p>
    <w:p>
      <w:pPr>
        <w:ind w:right="60" w:firstLine="410"/>
        <w:spacing w:after="0" w:line="259"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Compensation - Stock Compensation (Topic 718): Improvements to Employee Share-Based</w:t>
      </w:r>
      <w:r>
        <w:rPr>
          <w:rFonts w:ascii="Arial" w:cs="Arial" w:eastAsia="Arial" w:hAnsi="Arial"/>
          <w:sz w:val="17"/>
          <w:szCs w:val="17"/>
          <w:color w:val="auto"/>
        </w:rPr>
        <w:t xml:space="preserve"> </w:t>
      </w:r>
      <w:r>
        <w:rPr>
          <w:rFonts w:ascii="Arial" w:cs="Arial" w:eastAsia="Arial" w:hAnsi="Arial"/>
          <w:sz w:val="17"/>
          <w:szCs w:val="17"/>
          <w:i w:val="1"/>
          <w:iCs w:val="1"/>
          <w:color w:val="auto"/>
        </w:rPr>
        <w:t>Payment Accounting</w:t>
      </w:r>
      <w:r>
        <w:rPr>
          <w:rFonts w:ascii="Arial" w:cs="Arial" w:eastAsia="Arial" w:hAnsi="Arial"/>
          <w:sz w:val="17"/>
          <w:szCs w:val="17"/>
          <w:color w:val="auto"/>
        </w:rPr>
        <w:t>. This new standard requires recognition of the income tax effects of vested or settled awards in the income statement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involves several other aspects of the accounting for share-based payment transactions, including the income tax consequences and classification of awards as either equity or liabilities in the statement of cash flows. This new standard became effective for us on January 1, 2017. The adoption of this new standard did not have a material impact on our consolidated financial position, results of</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F- 21</w:t>
      </w:r>
    </w:p>
    <w:p>
      <w:pPr>
        <w:sectPr>
          <w:pgSz w:w="11900" w:h="16838" w:orient="portrait"/>
          <w:cols w:equalWidth="0" w:num="1">
            <w:col w:w="11400"/>
          </w:cols>
          <w:pgMar w:left="240" w:top="139" w:right="259" w:bottom="1440" w:gutter="0" w:footer="0" w:header="0"/>
        </w:sectPr>
      </w:pPr>
    </w:p>
    <w:bookmarkStart w:id="123" w:name="page124"/>
    <w:bookmarkEnd w:id="1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90"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operations or statement of cash flows; however, it has resulted in the reclassification of certain prior year amounts in our consolidated statements of cash flows to conform to our current year presentation. Specifically, amounts previously disclosed in net cash flows used in financing activities related to our excess tax benefit from share-based compensation have been reclassified to net cash flows provided by operating activities and amounts related to cash paid when withholding shares for tax withholding purposes, previously disclosed in net cash flows provided by operating activities, have been reclassified to net cash flows used in financing activities.</w:t>
      </w:r>
    </w:p>
    <w:p>
      <w:pPr>
        <w:spacing w:after="0" w:line="126" w:lineRule="exact"/>
        <w:rPr>
          <w:sz w:val="20"/>
          <w:szCs w:val="20"/>
          <w:color w:val="auto"/>
        </w:rPr>
      </w:pPr>
    </w:p>
    <w:p>
      <w:pPr>
        <w:ind w:right="60" w:firstLine="410"/>
        <w:spacing w:after="0" w:line="257" w:lineRule="auto"/>
        <w:rPr>
          <w:sz w:val="20"/>
          <w:szCs w:val="20"/>
          <w:color w:val="auto"/>
        </w:rPr>
      </w:pPr>
      <w:r>
        <w:rPr>
          <w:rFonts w:ascii="Arial" w:cs="Arial" w:eastAsia="Arial" w:hAnsi="Arial"/>
          <w:sz w:val="17"/>
          <w:szCs w:val="17"/>
          <w:color w:val="auto"/>
        </w:rPr>
        <w:t xml:space="preserve">In October 2016 the FASB issued ASU No. 2016-16, </w:t>
      </w:r>
      <w:r>
        <w:rPr>
          <w:rFonts w:ascii="Arial" w:cs="Arial" w:eastAsia="Arial" w:hAnsi="Arial"/>
          <w:sz w:val="17"/>
          <w:szCs w:val="17"/>
          <w:i w:val="1"/>
          <w:iCs w:val="1"/>
          <w:color w:val="auto"/>
        </w:rPr>
        <w:t>Income Taxes (Topic 740): Intra-Entity Transfer of Assets Other Than Inventory</w:t>
      </w:r>
      <w:r>
        <w:rPr>
          <w:rFonts w:ascii="Arial" w:cs="Arial" w:eastAsia="Arial" w:hAnsi="Arial"/>
          <w:sz w:val="17"/>
          <w:szCs w:val="17"/>
          <w:color w:val="auto"/>
        </w:rPr>
        <w:t>. This new standard eliminates the deferral of the tax effects of intra-entity asset transfers other than inventory. As a result, the income tax consequences from the intra-entity transfer of an asset other than inventory and associated changes to deferred taxes will be recognized when the transfer occurs. This new standard became effective for us on January 1, 2018. We will adopt this new standard using the modified retrospective method, through a cumulative-effect adjustment directly to retained earnings as of the beginning of that date. Based on currently enacted tax rates, upon adoption, we will record additional deferred tax assets of approximately $0.5 billion and an increase to retained earnings of approximately $0.5 billion. We will recognize incremental deferred income tax expense thereafter as these net deferred tax assets are utilized.</w:t>
      </w:r>
    </w:p>
    <w:p>
      <w:pPr>
        <w:spacing w:after="0" w:line="123" w:lineRule="exact"/>
        <w:rPr>
          <w:sz w:val="20"/>
          <w:szCs w:val="20"/>
          <w:color w:val="auto"/>
        </w:rPr>
      </w:pPr>
    </w:p>
    <w:p>
      <w:pPr>
        <w:ind w:right="80" w:firstLine="410"/>
        <w:spacing w:after="0" w:line="258" w:lineRule="auto"/>
        <w:rPr>
          <w:sz w:val="20"/>
          <w:szCs w:val="20"/>
          <w:color w:val="auto"/>
        </w:rPr>
      </w:pPr>
      <w:r>
        <w:rPr>
          <w:rFonts w:ascii="Arial" w:cs="Arial" w:eastAsia="Arial" w:hAnsi="Arial"/>
          <w:sz w:val="17"/>
          <w:szCs w:val="17"/>
          <w:color w:val="auto"/>
        </w:rPr>
        <w:t xml:space="preserve">In January 2017 the FASB issued ASU No. 2017-01, </w:t>
      </w:r>
      <w:r>
        <w:rPr>
          <w:rFonts w:ascii="Arial" w:cs="Arial" w:eastAsia="Arial" w:hAnsi="Arial"/>
          <w:sz w:val="17"/>
          <w:szCs w:val="17"/>
          <w:i w:val="1"/>
          <w:iCs w:val="1"/>
          <w:color w:val="auto"/>
        </w:rPr>
        <w:t>Business Combinations (Topic 805): Clarifying the Definition of a Business</w:t>
      </w:r>
      <w:r>
        <w:rPr>
          <w:rFonts w:ascii="Arial" w:cs="Arial" w:eastAsia="Arial" w:hAnsi="Arial"/>
          <w:sz w:val="17"/>
          <w:szCs w:val="17"/>
          <w:color w:val="auto"/>
        </w:rPr>
        <w:t xml:space="preserve">. This new standard clarifies the definition of a business and provides a screen to determine when an integrated set of assets and activities is not a business. The screen requires that when substantially all of the fair value of the gross assets acquired (or disposed of) is concentrated in a single identifiable asset or a group of similar identifiable assets, the set is not a business. We elected to early adopt this new standard as of January 1, 2017, with prospective application to any business development transactions, including our recent asset acquisition of BIIB093 from Remedy Pharmaceuticals Inc. (Remedy) in May 2017. For additional information on this transaction, please read Note 2, </w:t>
      </w:r>
      <w:r>
        <w:rPr>
          <w:rFonts w:ascii="Arial" w:cs="Arial" w:eastAsia="Arial" w:hAnsi="Arial"/>
          <w:sz w:val="17"/>
          <w:szCs w:val="17"/>
          <w:i w:val="1"/>
          <w:iCs w:val="1"/>
          <w:color w:val="auto"/>
        </w:rPr>
        <w:t>Acquisitions,</w:t>
      </w:r>
      <w:r>
        <w:rPr>
          <w:rFonts w:ascii="Arial" w:cs="Arial" w:eastAsia="Arial" w:hAnsi="Arial"/>
          <w:sz w:val="17"/>
          <w:szCs w:val="17"/>
          <w:color w:val="auto"/>
        </w:rPr>
        <w:t xml:space="preserve"> to these consolidated financial statements.</w:t>
      </w:r>
    </w:p>
    <w:p>
      <w:pPr>
        <w:spacing w:after="0" w:line="122" w:lineRule="exact"/>
        <w:rPr>
          <w:sz w:val="20"/>
          <w:szCs w:val="20"/>
          <w:color w:val="auto"/>
        </w:rPr>
      </w:pPr>
    </w:p>
    <w:p>
      <w:pPr>
        <w:ind w:firstLine="410"/>
        <w:spacing w:after="0" w:line="258"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 - Goodwill and Other (Topic 350): Simplifying the Test of Goodwill Impairment</w:t>
      </w:r>
      <w:r>
        <w:rPr>
          <w:rFonts w:ascii="Arial" w:cs="Arial" w:eastAsia="Arial" w:hAnsi="Arial"/>
          <w:sz w:val="17"/>
          <w:szCs w:val="17"/>
          <w:color w:val="auto"/>
        </w:rPr>
        <w:t>. This new standard eliminates Step 2 from the goodwill impairment test. Under the amendments in ASU No. 2017-04, an entity should recognize an impairment charge for the amount by which the carrying amount of a reporting unit exceeds that reporting unit’s fair value; however, the loss recognized should not exceed the total amount of goodwill allocated to that reporting unit. We elected to early adopt this new standard as of October 31, 2017, during our annual review of goodwill. The adoption of this new standard resulted in a change to our accounting policy; however, did not have an impact on our consolidated financial position or results of operations.</w:t>
      </w:r>
    </w:p>
    <w:p>
      <w:pPr>
        <w:spacing w:after="0" w:line="122" w:lineRule="exact"/>
        <w:rPr>
          <w:sz w:val="20"/>
          <w:szCs w:val="20"/>
          <w:color w:val="auto"/>
        </w:rPr>
      </w:pPr>
    </w:p>
    <w:p>
      <w:pPr>
        <w:ind w:right="20" w:firstLine="410"/>
        <w:spacing w:after="0" w:line="262" w:lineRule="auto"/>
        <w:rPr>
          <w:sz w:val="20"/>
          <w:szCs w:val="20"/>
          <w:color w:val="auto"/>
        </w:rPr>
      </w:pPr>
      <w:r>
        <w:rPr>
          <w:rFonts w:ascii="Arial" w:cs="Arial" w:eastAsia="Arial" w:hAnsi="Arial"/>
          <w:sz w:val="17"/>
          <w:szCs w:val="17"/>
          <w:color w:val="auto"/>
        </w:rPr>
        <w:t xml:space="preserve">In March 2017 the FASB issued ASU No. 2017-08, </w:t>
      </w:r>
      <w:r>
        <w:rPr>
          <w:rFonts w:ascii="Arial" w:cs="Arial" w:eastAsia="Arial" w:hAnsi="Arial"/>
          <w:sz w:val="17"/>
          <w:szCs w:val="17"/>
          <w:i w:val="1"/>
          <w:iCs w:val="1"/>
          <w:color w:val="auto"/>
        </w:rPr>
        <w:t>Receivables - Nonrefundable Fees and Other Costs (Subtopic 310-20): Premium Amortization</w:t>
      </w:r>
      <w:r>
        <w:rPr>
          <w:rFonts w:ascii="Arial" w:cs="Arial" w:eastAsia="Arial" w:hAnsi="Arial"/>
          <w:sz w:val="17"/>
          <w:szCs w:val="17"/>
          <w:color w:val="auto"/>
        </w:rPr>
        <w:t xml:space="preserve"> </w:t>
      </w:r>
      <w:r>
        <w:rPr>
          <w:rFonts w:ascii="Arial" w:cs="Arial" w:eastAsia="Arial" w:hAnsi="Arial"/>
          <w:sz w:val="17"/>
          <w:szCs w:val="17"/>
          <w:i w:val="1"/>
          <w:iCs w:val="1"/>
          <w:color w:val="auto"/>
        </w:rPr>
        <w:t>on Purchased Callable Debt Securities</w:t>
      </w:r>
      <w:r>
        <w:rPr>
          <w:rFonts w:ascii="Arial" w:cs="Arial" w:eastAsia="Arial" w:hAnsi="Arial"/>
          <w:sz w:val="17"/>
          <w:szCs w:val="17"/>
          <w:color w:val="auto"/>
        </w:rPr>
        <w:t>. This new standard amends the amortization period for certain purchased callable debt securities held at a</w:t>
      </w:r>
      <w:r>
        <w:rPr>
          <w:rFonts w:ascii="Arial" w:cs="Arial" w:eastAsia="Arial" w:hAnsi="Arial"/>
          <w:sz w:val="17"/>
          <w:szCs w:val="17"/>
          <w:i w:val="1"/>
          <w:iCs w:val="1"/>
          <w:color w:val="auto"/>
        </w:rPr>
        <w:t xml:space="preserve"> </w:t>
      </w:r>
      <w:r>
        <w:rPr>
          <w:rFonts w:ascii="Arial" w:cs="Arial" w:eastAsia="Arial" w:hAnsi="Arial"/>
          <w:sz w:val="17"/>
          <w:szCs w:val="17"/>
          <w:color w:val="auto"/>
        </w:rPr>
        <w:t>premium by shortening the amortization period for the premium to the earliest call date. This new standard will become effective for us on January 1, 2019. We are currently evaluating the potential impact that this new standard may have on our consolidated financial position and results of operations.</w:t>
      </w:r>
    </w:p>
    <w:p>
      <w:pPr>
        <w:spacing w:after="0" w:line="120" w:lineRule="exact"/>
        <w:rPr>
          <w:sz w:val="20"/>
          <w:szCs w:val="20"/>
          <w:color w:val="auto"/>
        </w:rPr>
      </w:pPr>
    </w:p>
    <w:p>
      <w:pPr>
        <w:ind w:right="20" w:firstLine="410"/>
        <w:spacing w:after="0" w:line="255" w:lineRule="auto"/>
        <w:rPr>
          <w:sz w:val="20"/>
          <w:szCs w:val="20"/>
          <w:color w:val="auto"/>
        </w:rPr>
      </w:pPr>
      <w:r>
        <w:rPr>
          <w:rFonts w:ascii="Arial" w:cs="Arial" w:eastAsia="Arial" w:hAnsi="Arial"/>
          <w:sz w:val="17"/>
          <w:szCs w:val="17"/>
          <w:color w:val="auto"/>
        </w:rPr>
        <w:t xml:space="preserve">In August 2017 the FASB issued ASU No. 2017-12, </w:t>
      </w:r>
      <w:r>
        <w:rPr>
          <w:rFonts w:ascii="Arial" w:cs="Arial" w:eastAsia="Arial" w:hAnsi="Arial"/>
          <w:sz w:val="17"/>
          <w:szCs w:val="17"/>
          <w:i w:val="1"/>
          <w:iCs w:val="1"/>
          <w:color w:val="auto"/>
        </w:rPr>
        <w:t>Derivatives and Hedging (Topic 815): Targeted Improvements to Accounting for Hedging</w:t>
      </w:r>
      <w:r>
        <w:rPr>
          <w:rFonts w:ascii="Arial" w:cs="Arial" w:eastAsia="Arial" w:hAnsi="Arial"/>
          <w:sz w:val="17"/>
          <w:szCs w:val="17"/>
          <w:color w:val="auto"/>
        </w:rPr>
        <w:t xml:space="preserve"> </w:t>
      </w:r>
      <w:r>
        <w:rPr>
          <w:rFonts w:ascii="Arial" w:cs="Arial" w:eastAsia="Arial" w:hAnsi="Arial"/>
          <w:sz w:val="17"/>
          <w:szCs w:val="17"/>
          <w:i w:val="1"/>
          <w:iCs w:val="1"/>
          <w:color w:val="auto"/>
        </w:rPr>
        <w:t>Activities</w:t>
      </w:r>
      <w:r>
        <w:rPr>
          <w:rFonts w:ascii="Arial" w:cs="Arial" w:eastAsia="Arial" w:hAnsi="Arial"/>
          <w:sz w:val="17"/>
          <w:szCs w:val="17"/>
          <w:color w:val="auto"/>
        </w:rPr>
        <w:t>. This new standard is intended to simplify hedge accounting by better aligning how an entity’s risk management activities and hedging</w:t>
      </w:r>
      <w:r>
        <w:rPr>
          <w:rFonts w:ascii="Arial" w:cs="Arial" w:eastAsia="Arial" w:hAnsi="Arial"/>
          <w:sz w:val="17"/>
          <w:szCs w:val="17"/>
          <w:i w:val="1"/>
          <w:iCs w:val="1"/>
          <w:color w:val="auto"/>
        </w:rPr>
        <w:t xml:space="preserve"> </w:t>
      </w:r>
      <w:r>
        <w:rPr>
          <w:rFonts w:ascii="Arial" w:cs="Arial" w:eastAsia="Arial" w:hAnsi="Arial"/>
          <w:sz w:val="17"/>
          <w:szCs w:val="17"/>
          <w:color w:val="auto"/>
        </w:rPr>
        <w:t>relationships are presented in its financial statements and simplifies the application of hedge accounting guidance in certain situations. This new standard expands and refines hedge accounting for both non-financial and financial risk components and aligns the recognition and presentation of the effects of the hedging instrument and the hedged item in the financial statements. This new standard will become effective for us on January 1, 2019; however, early adoption is permitted. For cash flow hedges existing at the adoption date, this new standard requires adoption on a modified retrospective basis with a cumulative-effect adjustment to retained earnings as of the effective date. The amendments to presentation guidance and disclosure requirements are required to be adopted prospectively. We are currently evaluating the date upon which we will adopt this new standard and the impact this new standard may have on our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F- 22</w:t>
      </w:r>
    </w:p>
    <w:p>
      <w:pPr>
        <w:sectPr>
          <w:pgSz w:w="11900" w:h="16838" w:orient="portrait"/>
          <w:cols w:equalWidth="0" w:num="1">
            <w:col w:w="11420"/>
          </w:cols>
          <w:pgMar w:left="240" w:top="139" w:right="239" w:bottom="1440" w:gutter="0" w:footer="0" w:header="0"/>
        </w:sectPr>
      </w:pPr>
    </w:p>
    <w:bookmarkStart w:id="124" w:name="page125"/>
    <w:bookmarkEnd w:id="1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2" w:lineRule="exact"/>
        <w:rPr>
          <w:sz w:val="20"/>
          <w:szCs w:val="20"/>
          <w:color w:val="auto"/>
        </w:rPr>
      </w:pPr>
    </w:p>
    <w:p>
      <w:pPr>
        <w:ind w:left="620" w:hanging="618"/>
        <w:spacing w:after="0"/>
        <w:tabs>
          <w:tab w:leader="none" w:pos="620" w:val="left"/>
        </w:tabs>
        <w:numPr>
          <w:ilvl w:val="0"/>
          <w:numId w:val="96"/>
        </w:numPr>
        <w:rPr>
          <w:rFonts w:ascii="Arial" w:cs="Arial" w:eastAsia="Arial" w:hAnsi="Arial"/>
          <w:sz w:val="20"/>
          <w:szCs w:val="20"/>
          <w:b w:val="1"/>
          <w:bCs w:val="1"/>
          <w:color w:val="578196"/>
        </w:rPr>
      </w:pPr>
      <w:r>
        <w:rPr>
          <w:rFonts w:ascii="Arial" w:cs="Arial" w:eastAsia="Arial" w:hAnsi="Arial"/>
          <w:sz w:val="20"/>
          <w:szCs w:val="20"/>
          <w:b w:val="1"/>
          <w:bCs w:val="1"/>
          <w:color w:val="578196"/>
        </w:rPr>
        <w:t>Acquisitions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Remedy Pharmaceuticals Inc.</w:t>
      </w:r>
    </w:p>
    <w:p>
      <w:pPr>
        <w:spacing w:after="0" w:line="106" w:lineRule="exact"/>
        <w:rPr>
          <w:sz w:val="20"/>
          <w:szCs w:val="20"/>
          <w:color w:val="auto"/>
        </w:rPr>
      </w:pPr>
    </w:p>
    <w:p>
      <w:pPr>
        <w:ind w:right="60" w:firstLine="371"/>
        <w:spacing w:after="0" w:line="254" w:lineRule="auto"/>
        <w:rPr>
          <w:sz w:val="20"/>
          <w:szCs w:val="20"/>
          <w:color w:val="auto"/>
        </w:rPr>
      </w:pPr>
      <w:r>
        <w:rPr>
          <w:rFonts w:ascii="Arial" w:cs="Arial" w:eastAsia="Arial" w:hAnsi="Arial"/>
          <w:sz w:val="17"/>
          <w:szCs w:val="17"/>
          <w:color w:val="auto"/>
        </w:rPr>
        <w:t>In May 2017 we completed an asset purchase of the Phase 3-ready candidate, BIIB093 (intravenous glibencamide) (formerly known as CIRARA), from Remedy. The target indication for BIIB093 is large hemispheric infarction (LHI), a severe form of ischemic stroke where brain swelling (cerebral edema) often leads to a disproportionately large share of stroke-related morbidity and mortality. The U.S. Food and Drug Administration (FDA) recently granted BIIB093 Orphan Drug designation for severe cerebral edema in patients with acute ischemic stroke. The FDA has also granted BIIB093 Fast Track designation.</w:t>
      </w:r>
    </w:p>
    <w:p>
      <w:pPr>
        <w:spacing w:after="0" w:line="144" w:lineRule="exact"/>
        <w:rPr>
          <w:sz w:val="20"/>
          <w:szCs w:val="20"/>
          <w:color w:val="auto"/>
        </w:rPr>
      </w:pPr>
    </w:p>
    <w:p>
      <w:pPr>
        <w:ind w:right="460" w:firstLine="371"/>
        <w:spacing w:after="0" w:line="262" w:lineRule="auto"/>
        <w:rPr>
          <w:sz w:val="20"/>
          <w:szCs w:val="20"/>
          <w:color w:val="auto"/>
        </w:rPr>
      </w:pPr>
      <w:r>
        <w:rPr>
          <w:rFonts w:ascii="Arial" w:cs="Arial" w:eastAsia="Arial" w:hAnsi="Arial"/>
          <w:sz w:val="17"/>
          <w:szCs w:val="17"/>
          <w:color w:val="auto"/>
        </w:rPr>
        <w:t>Under this agreement, we are responsible for the future development and commercialization of BIIB093 and Remedy will share in the cost of development for the target indication for BIIB093 in LHI stroke.</w:t>
      </w:r>
    </w:p>
    <w:p>
      <w:pPr>
        <w:spacing w:after="0" w:line="137" w:lineRule="exact"/>
        <w:rPr>
          <w:sz w:val="20"/>
          <w:szCs w:val="20"/>
          <w:color w:val="auto"/>
        </w:rPr>
      </w:pPr>
    </w:p>
    <w:p>
      <w:pPr>
        <w:ind w:right="60" w:firstLine="371"/>
        <w:spacing w:after="0" w:line="254" w:lineRule="auto"/>
        <w:rPr>
          <w:sz w:val="20"/>
          <w:szCs w:val="20"/>
          <w:color w:val="auto"/>
        </w:rPr>
      </w:pPr>
      <w:r>
        <w:rPr>
          <w:rFonts w:ascii="Arial" w:cs="Arial" w:eastAsia="Arial" w:hAnsi="Arial"/>
          <w:sz w:val="17"/>
          <w:szCs w:val="17"/>
          <w:color w:val="auto"/>
        </w:rPr>
        <w:t>We accounted for this transaction as an asset acquisition as we did not acquire any employees from Remedy nor did we acquire any significant processes required in the development of BIIB093. In connection with the closing of this transaction, we made an upfront payment of $120.0 million to Remedy, which was recorded as acquired in-process research and development in our consolidated statements of income as BIIB093 has not yet reached technological feasibility. We also have agreed to pay Remedy certain development and sales based milestone payments that are substantially payable upon or after regulatory approval, as well as royalties on future commercial sales.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Convergence Pharmaceuticals</w:t>
      </w:r>
    </w:p>
    <w:p>
      <w:pPr>
        <w:spacing w:after="0" w:line="183" w:lineRule="exact"/>
        <w:rPr>
          <w:sz w:val="20"/>
          <w:szCs w:val="20"/>
          <w:color w:val="auto"/>
        </w:rPr>
      </w:pPr>
    </w:p>
    <w:p>
      <w:pPr>
        <w:ind w:right="80" w:firstLine="410"/>
        <w:spacing w:after="0" w:line="255" w:lineRule="auto"/>
        <w:rPr>
          <w:sz w:val="20"/>
          <w:szCs w:val="20"/>
          <w:color w:val="auto"/>
        </w:rPr>
      </w:pPr>
      <w:r>
        <w:rPr>
          <w:rFonts w:ascii="Arial" w:cs="Arial" w:eastAsia="Arial" w:hAnsi="Arial"/>
          <w:sz w:val="17"/>
          <w:szCs w:val="17"/>
          <w:color w:val="auto"/>
        </w:rPr>
        <w:t>In February 2015, we completed our acquisition of all of the outstanding stock of Convergence Pharmaceuticals (Convergence), a clinical-stage biopharmaceutical company with a focus on developing product candidates for neuropathic pain. Convergence’s lead candidate was a Phase 2 clinical candidate BIIB074 (formerly known as CNV1014802), which had demonstrated clinical activity in proof-of-concept studies for TGN. Additionally, BIIB074 had potential applicability in several other neuropathic pain states, including lumbosacral radiculopathy and erythromelalgia.</w:t>
      </w:r>
    </w:p>
    <w:p>
      <w:pPr>
        <w:spacing w:after="0" w:line="143" w:lineRule="exact"/>
        <w:rPr>
          <w:sz w:val="20"/>
          <w:szCs w:val="20"/>
          <w:color w:val="auto"/>
        </w:rPr>
      </w:pPr>
    </w:p>
    <w:p>
      <w:pPr>
        <w:ind w:right="60" w:firstLine="410"/>
        <w:spacing w:after="0" w:line="253" w:lineRule="auto"/>
        <w:rPr>
          <w:sz w:val="20"/>
          <w:szCs w:val="20"/>
          <w:color w:val="auto"/>
        </w:rPr>
      </w:pPr>
      <w:r>
        <w:rPr>
          <w:rFonts w:ascii="Arial" w:cs="Arial" w:eastAsia="Arial" w:hAnsi="Arial"/>
          <w:sz w:val="17"/>
          <w:szCs w:val="17"/>
          <w:color w:val="auto"/>
        </w:rPr>
        <w:t>The purchase price consisted of a $200.1 million cash payment at closing, plus contingent consideration in the form of development and approval milestones up to a maximum of $450.0 million, of which $350.0 million is associated with the development and approval of BIIB074 for the treatment of TGN. In connection with the closing of this transaction, we recorded a liability of $274.5 million representing the fair value of the contingent consideration resulting in an adjusted purchase price of $474.6 million. The separately identifiable assets and liabilities acquired were primarily comprised of $424.6 million and $128.3 million attributed to in-process research and development and goodwill, respectively. These amounts were partially offset by the establishment of a deferred tax liability for the acquired IPR&amp;D intangible assets which had no tax basis.</w:t>
      </w:r>
    </w:p>
    <w:p>
      <w:pPr>
        <w:spacing w:after="0" w:line="147" w:lineRule="exact"/>
        <w:rPr>
          <w:sz w:val="20"/>
          <w:szCs w:val="20"/>
          <w:color w:val="auto"/>
        </w:rPr>
      </w:pPr>
    </w:p>
    <w:p>
      <w:pPr>
        <w:ind w:right="680" w:firstLine="410"/>
        <w:spacing w:after="0" w:line="262" w:lineRule="auto"/>
        <w:rPr>
          <w:sz w:val="20"/>
          <w:szCs w:val="20"/>
          <w:color w:val="auto"/>
        </w:rPr>
      </w:pPr>
      <w:r>
        <w:rPr>
          <w:rFonts w:ascii="Arial" w:cs="Arial" w:eastAsia="Arial" w:hAnsi="Arial"/>
          <w:sz w:val="17"/>
          <w:szCs w:val="17"/>
          <w:color w:val="auto"/>
        </w:rPr>
        <w:t>We attributed the goodwill recognized to the Convergence workforce's expertise in chronic pain research and clinical development and to establishing a deferred tax liability for the acquired IPR&amp;D intangible assets. The goodwill was not tax deductible.</w:t>
      </w:r>
    </w:p>
    <w:p>
      <w:pPr>
        <w:spacing w:after="0" w:line="195" w:lineRule="exact"/>
        <w:rPr>
          <w:sz w:val="20"/>
          <w:szCs w:val="20"/>
          <w:color w:val="auto"/>
        </w:rPr>
      </w:pPr>
    </w:p>
    <w:p>
      <w:pPr>
        <w:ind w:left="400" w:hanging="398"/>
        <w:spacing w:after="0"/>
        <w:tabs>
          <w:tab w:leader="none" w:pos="400" w:val="left"/>
        </w:tabs>
        <w:numPr>
          <w:ilvl w:val="0"/>
          <w:numId w:val="97"/>
        </w:numPr>
        <w:rPr>
          <w:rFonts w:ascii="Arial" w:cs="Arial" w:eastAsia="Arial" w:hAnsi="Arial"/>
          <w:sz w:val="20"/>
          <w:szCs w:val="20"/>
          <w:b w:val="1"/>
          <w:bCs w:val="1"/>
          <w:color w:val="578196"/>
        </w:rPr>
      </w:pPr>
      <w:r>
        <w:rPr>
          <w:rFonts w:ascii="Arial" w:cs="Arial" w:eastAsia="Arial" w:hAnsi="Arial"/>
          <w:sz w:val="20"/>
          <w:szCs w:val="20"/>
          <w:b w:val="1"/>
          <w:bCs w:val="1"/>
          <w:color w:val="578196"/>
        </w:rPr>
        <w:t>Hemophilia Spin-Off</w:t>
      </w:r>
    </w:p>
    <w:p>
      <w:pPr>
        <w:spacing w:after="0" w:line="109"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On February 1, 2017, we completed the spin-off of our hemophilia business, Bioverativ, as an independent, publicly traded company trading under the symbol "BIVV" on the Nasdaq Global Select Market. The spin-off was accomplished through the distribution of all the then outstanding shares of common stock of Bioverativ to Biogen shareholders, who received one share of Bioverativ common stock for every two shares of Biogen common stock they owned. The separation and distribution was structured to be tax-free for shareholders for federal income tax purposes. Bioverativ assumed all of our rights and obligations under our collaboration agreement with Swedish Orphan Biovitrum AB (Sobi) and our collaboration and license agreement with Sangamo Biosciences Inc. (Sangamo).</w:t>
      </w:r>
    </w:p>
    <w:p>
      <w:pPr>
        <w:spacing w:after="0" w:line="147" w:lineRule="exact"/>
        <w:rPr>
          <w:sz w:val="20"/>
          <w:szCs w:val="20"/>
          <w:color w:val="auto"/>
        </w:rPr>
      </w:pPr>
    </w:p>
    <w:p>
      <w:pPr>
        <w:ind w:right="80" w:firstLine="410"/>
        <w:spacing w:after="0" w:line="254" w:lineRule="auto"/>
        <w:rPr>
          <w:sz w:val="20"/>
          <w:szCs w:val="20"/>
          <w:color w:val="auto"/>
        </w:rPr>
      </w:pPr>
      <w:r>
        <w:rPr>
          <w:rFonts w:ascii="Arial" w:cs="Arial" w:eastAsia="Arial" w:hAnsi="Arial"/>
          <w:sz w:val="17"/>
          <w:szCs w:val="17"/>
          <w:color w:val="auto"/>
        </w:rPr>
        <w:t>In connection with the distribution, Biogen and Bioverativ entered into a separation agreement and various other agreements (including a transition services agreement, a tax matters agreement, a manufacturing and supply agreement, an employee matters agreement, an intellectual property matters agreement and certain other commercial agreements). These agreements govern the separation and distribution and the relationship between the two companies going forward. They also provide for the performance of services by each company for the benefit of the other for a period of time. In addition, under the separation agreement, Bioverativ is obligated to indemnify us for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F- 23</w:t>
      </w:r>
    </w:p>
    <w:p>
      <w:pPr>
        <w:sectPr>
          <w:pgSz w:w="11900" w:h="16838" w:orient="portrait"/>
          <w:cols w:equalWidth="0" w:num="1">
            <w:col w:w="11420"/>
          </w:cols>
          <w:pgMar w:left="240" w:top="139" w:right="239" w:bottom="1440" w:gutter="0" w:footer="0" w:header="0"/>
        </w:sectPr>
      </w:pPr>
    </w:p>
    <w:bookmarkStart w:id="125" w:name="page126"/>
    <w:bookmarkEnd w:id="1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liabilities that may exist relating to its business activities, whether incurred prior to or after the distribution, including any pending or future litigation.</w:t>
      </w:r>
    </w:p>
    <w:p>
      <w:pPr>
        <w:spacing w:after="0" w:line="163" w:lineRule="exact"/>
        <w:rPr>
          <w:sz w:val="20"/>
          <w:szCs w:val="20"/>
          <w:color w:val="auto"/>
        </w:rPr>
      </w:pPr>
    </w:p>
    <w:p>
      <w:pPr>
        <w:ind w:right="220" w:firstLine="410"/>
        <w:spacing w:after="0" w:line="257" w:lineRule="auto"/>
        <w:rPr>
          <w:sz w:val="20"/>
          <w:szCs w:val="20"/>
          <w:color w:val="auto"/>
        </w:rPr>
      </w:pPr>
      <w:r>
        <w:rPr>
          <w:rFonts w:ascii="Arial" w:cs="Arial" w:eastAsia="Arial" w:hAnsi="Arial"/>
          <w:sz w:val="17"/>
          <w:szCs w:val="17"/>
          <w:color w:val="auto"/>
        </w:rPr>
        <w:t>The services under these agreements generally commenced on February 1, 2017 (the distribution date), and terminate within 12 months of the distribution date, with the exception of the manufacturing and supply agreement, which has an initial term of 5 years, with a 5 year extension at Bioverativ's sole discretion and a further 5 year extension with Bioverativ's and our consent.</w:t>
      </w:r>
    </w:p>
    <w:p>
      <w:pPr>
        <w:spacing w:after="0" w:line="140" w:lineRule="exact"/>
        <w:rPr>
          <w:sz w:val="20"/>
          <w:szCs w:val="20"/>
          <w:color w:val="auto"/>
        </w:rPr>
      </w:pPr>
    </w:p>
    <w:p>
      <w:pPr>
        <w:ind w:right="460" w:firstLine="410"/>
        <w:spacing w:after="0" w:line="262" w:lineRule="auto"/>
        <w:rPr>
          <w:sz w:val="20"/>
          <w:szCs w:val="20"/>
          <w:color w:val="auto"/>
        </w:rPr>
      </w:pPr>
      <w:r>
        <w:rPr>
          <w:rFonts w:ascii="Arial" w:cs="Arial" w:eastAsia="Arial" w:hAnsi="Arial"/>
          <w:sz w:val="17"/>
          <w:szCs w:val="17"/>
          <w:color w:val="auto"/>
        </w:rPr>
        <w:t>In connection with the distribution we made a net cash contribution to Bioverativ, during the first quarter of 2017, totaling $302.7 million. The following table summarizes the assets and liabilities that were charged against equity as a result of the spin-off of our hemophilia business:</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24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Assets</w:t>
            </w:r>
          </w:p>
        </w:tc>
        <w:tc>
          <w:tcPr>
            <w:tcW w:w="800" w:type="dxa"/>
            <w:vAlign w:val="bottom"/>
            <w:tcBorders>
              <w:top w:val="single" w:sz="8" w:color="auto"/>
            </w:tcBorders>
            <w:shd w:val="clear" w:color="auto" w:fill="DDDDDD"/>
          </w:tcPr>
          <w:p>
            <w:pPr>
              <w:spacing w:after="0"/>
              <w:rPr>
                <w:sz w:val="21"/>
                <w:szCs w:val="21"/>
                <w:color w:val="auto"/>
              </w:rPr>
            </w:pPr>
          </w:p>
        </w:tc>
        <w:tc>
          <w:tcPr>
            <w:tcW w:w="1360" w:type="dxa"/>
            <w:vAlign w:val="bottom"/>
            <w:tcBorders>
              <w:top w:val="single" w:sz="8" w:color="auto"/>
            </w:tcBorders>
            <w:shd w:val="clear" w:color="auto" w:fill="DDDDDD"/>
          </w:tcPr>
          <w:p>
            <w:pPr>
              <w:spacing w:after="0"/>
              <w:rPr>
                <w:sz w:val="21"/>
                <w:szCs w:val="21"/>
                <w:color w:val="auto"/>
              </w:rPr>
            </w:pPr>
          </w:p>
        </w:tc>
      </w:tr>
      <w:tr>
        <w:trPr>
          <w:trHeight w:val="243"/>
        </w:trPr>
        <w:tc>
          <w:tcPr>
            <w:tcW w:w="9240" w:type="dxa"/>
            <w:vAlign w:val="bottom"/>
          </w:tcPr>
          <w:p>
            <w:pPr>
              <w:ind w:left="160"/>
              <w:spacing w:after="0"/>
              <w:rPr>
                <w:sz w:val="20"/>
                <w:szCs w:val="20"/>
                <w:color w:val="auto"/>
              </w:rPr>
            </w:pPr>
            <w:r>
              <w:rPr>
                <w:rFonts w:ascii="Arial" w:cs="Arial" w:eastAsia="Arial" w:hAnsi="Arial"/>
                <w:sz w:val="17"/>
                <w:szCs w:val="17"/>
                <w:color w:val="auto"/>
              </w:rPr>
              <w:t>Cash</w:t>
            </w:r>
          </w:p>
        </w:tc>
        <w:tc>
          <w:tcPr>
            <w:tcW w:w="800" w:type="dxa"/>
            <w:vAlign w:val="bottom"/>
            <w:shd w:val="clear" w:color="auto" w:fill="DDDDDD"/>
          </w:tcPr>
          <w:p>
            <w:pPr>
              <w:jc w:val="right"/>
              <w:ind w:right="595"/>
              <w:spacing w:after="0"/>
              <w:rPr>
                <w:sz w:val="20"/>
                <w:szCs w:val="20"/>
                <w:color w:val="auto"/>
              </w:rPr>
            </w:pPr>
            <w:r>
              <w:rPr>
                <w:rFonts w:ascii="Arial" w:cs="Arial" w:eastAsia="Arial" w:hAnsi="Arial"/>
                <w:sz w:val="17"/>
                <w:szCs w:val="17"/>
                <w:color w:val="257ACB"/>
              </w:rPr>
              <w:t>$</w:t>
            </w:r>
          </w:p>
        </w:tc>
        <w:tc>
          <w:tcPr>
            <w:tcW w:w="136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ACB"/>
              </w:rPr>
              <w:t>302.7</w:t>
            </w:r>
          </w:p>
        </w:tc>
      </w:tr>
      <w:tr>
        <w:trPr>
          <w:trHeight w:val="243"/>
        </w:trPr>
        <w:tc>
          <w:tcPr>
            <w:tcW w:w="9240" w:type="dxa"/>
            <w:vAlign w:val="bottom"/>
          </w:tcPr>
          <w:p>
            <w:pPr>
              <w:ind w:left="160"/>
              <w:spacing w:after="0"/>
              <w:rPr>
                <w:sz w:val="20"/>
                <w:szCs w:val="20"/>
                <w:color w:val="auto"/>
              </w:rPr>
            </w:pPr>
            <w:r>
              <w:rPr>
                <w:rFonts w:ascii="Arial" w:cs="Arial" w:eastAsia="Arial" w:hAnsi="Arial"/>
                <w:sz w:val="17"/>
                <w:szCs w:val="17"/>
                <w:color w:val="auto"/>
              </w:rPr>
              <w:t>Accounts receivable</w:t>
            </w:r>
          </w:p>
        </w:tc>
        <w:tc>
          <w:tcPr>
            <w:tcW w:w="800" w:type="dxa"/>
            <w:vAlign w:val="bottom"/>
            <w:shd w:val="clear" w:color="auto" w:fill="DDDDDD"/>
          </w:tcPr>
          <w:p>
            <w:pPr>
              <w:spacing w:after="0"/>
              <w:rPr>
                <w:sz w:val="21"/>
                <w:szCs w:val="21"/>
                <w:color w:val="auto"/>
              </w:rPr>
            </w:pPr>
          </w:p>
        </w:tc>
        <w:tc>
          <w:tcPr>
            <w:tcW w:w="136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ACB"/>
              </w:rPr>
              <w:t>144.7</w:t>
            </w:r>
          </w:p>
        </w:tc>
      </w:tr>
      <w:tr>
        <w:trPr>
          <w:trHeight w:val="243"/>
        </w:trPr>
        <w:tc>
          <w:tcPr>
            <w:tcW w:w="9240" w:type="dxa"/>
            <w:vAlign w:val="bottom"/>
          </w:tcPr>
          <w:p>
            <w:pPr>
              <w:ind w:left="160"/>
              <w:spacing w:after="0"/>
              <w:rPr>
                <w:sz w:val="20"/>
                <w:szCs w:val="20"/>
                <w:color w:val="auto"/>
              </w:rPr>
            </w:pPr>
            <w:r>
              <w:rPr>
                <w:rFonts w:ascii="Arial" w:cs="Arial" w:eastAsia="Arial" w:hAnsi="Arial"/>
                <w:sz w:val="17"/>
                <w:szCs w:val="17"/>
                <w:color w:val="auto"/>
              </w:rPr>
              <w:t>Inventory</w:t>
            </w:r>
          </w:p>
        </w:tc>
        <w:tc>
          <w:tcPr>
            <w:tcW w:w="800" w:type="dxa"/>
            <w:vAlign w:val="bottom"/>
            <w:shd w:val="clear" w:color="auto" w:fill="DDDDDD"/>
          </w:tcPr>
          <w:p>
            <w:pPr>
              <w:spacing w:after="0"/>
              <w:rPr>
                <w:sz w:val="21"/>
                <w:szCs w:val="21"/>
                <w:color w:val="auto"/>
              </w:rPr>
            </w:pPr>
          </w:p>
        </w:tc>
        <w:tc>
          <w:tcPr>
            <w:tcW w:w="136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ACB"/>
              </w:rPr>
              <w:t>116.1</w:t>
            </w:r>
          </w:p>
        </w:tc>
      </w:tr>
      <w:tr>
        <w:trPr>
          <w:trHeight w:val="243"/>
        </w:trPr>
        <w:tc>
          <w:tcPr>
            <w:tcW w:w="9240" w:type="dxa"/>
            <w:vAlign w:val="bottom"/>
          </w:tcPr>
          <w:p>
            <w:pPr>
              <w:ind w:left="160"/>
              <w:spacing w:after="0"/>
              <w:rPr>
                <w:sz w:val="20"/>
                <w:szCs w:val="20"/>
                <w:color w:val="auto"/>
              </w:rPr>
            </w:pPr>
            <w:r>
              <w:rPr>
                <w:rFonts w:ascii="Arial" w:cs="Arial" w:eastAsia="Arial" w:hAnsi="Arial"/>
                <w:sz w:val="17"/>
                <w:szCs w:val="17"/>
                <w:color w:val="auto"/>
              </w:rPr>
              <w:t>Property, plant and equipment, net</w:t>
            </w:r>
          </w:p>
        </w:tc>
        <w:tc>
          <w:tcPr>
            <w:tcW w:w="800" w:type="dxa"/>
            <w:vAlign w:val="bottom"/>
            <w:shd w:val="clear" w:color="auto" w:fill="DDDDDD"/>
          </w:tcPr>
          <w:p>
            <w:pPr>
              <w:spacing w:after="0"/>
              <w:rPr>
                <w:sz w:val="21"/>
                <w:szCs w:val="21"/>
                <w:color w:val="auto"/>
              </w:rPr>
            </w:pPr>
          </w:p>
        </w:tc>
        <w:tc>
          <w:tcPr>
            <w:tcW w:w="136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ACB"/>
              </w:rPr>
              <w:t>20.2</w:t>
            </w:r>
          </w:p>
        </w:tc>
      </w:tr>
      <w:tr>
        <w:trPr>
          <w:trHeight w:val="243"/>
        </w:trPr>
        <w:tc>
          <w:tcPr>
            <w:tcW w:w="9240" w:type="dxa"/>
            <w:vAlign w:val="bottom"/>
          </w:tcPr>
          <w:p>
            <w:pPr>
              <w:ind w:left="160"/>
              <w:spacing w:after="0"/>
              <w:rPr>
                <w:sz w:val="20"/>
                <w:szCs w:val="20"/>
                <w:color w:val="auto"/>
              </w:rPr>
            </w:pPr>
            <w:r>
              <w:rPr>
                <w:rFonts w:ascii="Arial" w:cs="Arial" w:eastAsia="Arial" w:hAnsi="Arial"/>
                <w:sz w:val="17"/>
                <w:szCs w:val="17"/>
                <w:color w:val="auto"/>
              </w:rPr>
              <w:t>Intangible assets, net</w:t>
            </w:r>
          </w:p>
        </w:tc>
        <w:tc>
          <w:tcPr>
            <w:tcW w:w="800" w:type="dxa"/>
            <w:vAlign w:val="bottom"/>
            <w:shd w:val="clear" w:color="auto" w:fill="DDDDDD"/>
          </w:tcPr>
          <w:p>
            <w:pPr>
              <w:spacing w:after="0"/>
              <w:rPr>
                <w:sz w:val="21"/>
                <w:szCs w:val="21"/>
                <w:color w:val="auto"/>
              </w:rPr>
            </w:pPr>
          </w:p>
        </w:tc>
        <w:tc>
          <w:tcPr>
            <w:tcW w:w="136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ACB"/>
              </w:rPr>
              <w:t>56.8</w:t>
            </w:r>
          </w:p>
        </w:tc>
      </w:tr>
      <w:tr>
        <w:trPr>
          <w:trHeight w:val="243"/>
        </w:trPr>
        <w:tc>
          <w:tcPr>
            <w:tcW w:w="9240" w:type="dxa"/>
            <w:vAlign w:val="bottom"/>
          </w:tcPr>
          <w:p>
            <w:pPr>
              <w:ind w:left="160"/>
              <w:spacing w:after="0"/>
              <w:rPr>
                <w:sz w:val="20"/>
                <w:szCs w:val="20"/>
                <w:color w:val="auto"/>
              </w:rPr>
            </w:pPr>
            <w:r>
              <w:rPr>
                <w:rFonts w:ascii="Arial" w:cs="Arial" w:eastAsia="Arial" w:hAnsi="Arial"/>
                <w:sz w:val="17"/>
                <w:szCs w:val="17"/>
                <w:color w:val="auto"/>
              </w:rPr>
              <w:t>Goodwill</w:t>
            </w:r>
          </w:p>
        </w:tc>
        <w:tc>
          <w:tcPr>
            <w:tcW w:w="800" w:type="dxa"/>
            <w:vAlign w:val="bottom"/>
            <w:shd w:val="clear" w:color="auto" w:fill="DDDDDD"/>
          </w:tcPr>
          <w:p>
            <w:pPr>
              <w:spacing w:after="0"/>
              <w:rPr>
                <w:sz w:val="21"/>
                <w:szCs w:val="21"/>
                <w:color w:val="auto"/>
              </w:rPr>
            </w:pPr>
          </w:p>
        </w:tc>
        <w:tc>
          <w:tcPr>
            <w:tcW w:w="136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ACB"/>
              </w:rPr>
              <w:t>314.1</w:t>
            </w:r>
          </w:p>
        </w:tc>
      </w:tr>
      <w:tr>
        <w:trPr>
          <w:trHeight w:val="250"/>
        </w:trPr>
        <w:tc>
          <w:tcPr>
            <w:tcW w:w="9240" w:type="dxa"/>
            <w:vAlign w:val="bottom"/>
          </w:tcPr>
          <w:p>
            <w:pPr>
              <w:ind w:left="160"/>
              <w:spacing w:after="0"/>
              <w:rPr>
                <w:sz w:val="20"/>
                <w:szCs w:val="20"/>
                <w:color w:val="auto"/>
              </w:rPr>
            </w:pPr>
            <w:r>
              <w:rPr>
                <w:rFonts w:ascii="Arial" w:cs="Arial" w:eastAsia="Arial" w:hAnsi="Arial"/>
                <w:sz w:val="17"/>
                <w:szCs w:val="17"/>
                <w:color w:val="auto"/>
              </w:rPr>
              <w:t>Other, net</w:t>
            </w:r>
          </w:p>
        </w:tc>
        <w:tc>
          <w:tcPr>
            <w:tcW w:w="800" w:type="dxa"/>
            <w:vAlign w:val="bottom"/>
            <w:tcBorders>
              <w:bottom w:val="single" w:sz="8" w:color="auto"/>
            </w:tcBorders>
            <w:shd w:val="clear" w:color="auto" w:fill="DDDDDD"/>
          </w:tcPr>
          <w:p>
            <w:pPr>
              <w:spacing w:after="0"/>
              <w:rPr>
                <w:sz w:val="21"/>
                <w:szCs w:val="21"/>
                <w:color w:val="auto"/>
              </w:rPr>
            </w:pPr>
          </w:p>
        </w:tc>
        <w:tc>
          <w:tcPr>
            <w:tcW w:w="1360" w:type="dxa"/>
            <w:vAlign w:val="bottom"/>
            <w:tcBorders>
              <w:bottom w:val="single" w:sz="8" w:color="auto"/>
            </w:tcBorders>
            <w:shd w:val="clear" w:color="auto" w:fill="DDDDDD"/>
          </w:tcPr>
          <w:p>
            <w:pPr>
              <w:jc w:val="right"/>
              <w:ind w:right="15"/>
              <w:spacing w:after="0"/>
              <w:rPr>
                <w:sz w:val="20"/>
                <w:szCs w:val="20"/>
                <w:color w:val="auto"/>
              </w:rPr>
            </w:pPr>
            <w:r>
              <w:rPr>
                <w:rFonts w:ascii="Arial" w:cs="Arial" w:eastAsia="Arial" w:hAnsi="Arial"/>
                <w:sz w:val="17"/>
                <w:szCs w:val="17"/>
                <w:color w:val="257ACB"/>
              </w:rPr>
              <w:t>53.7</w:t>
            </w:r>
          </w:p>
        </w:tc>
      </w:tr>
      <w:tr>
        <w:trPr>
          <w:trHeight w:val="282"/>
        </w:trPr>
        <w:tc>
          <w:tcPr>
            <w:tcW w:w="9240" w:type="dxa"/>
            <w:vAlign w:val="bottom"/>
          </w:tcPr>
          <w:p>
            <w:pPr>
              <w:ind w:left="20"/>
              <w:spacing w:after="0"/>
              <w:rPr>
                <w:sz w:val="20"/>
                <w:szCs w:val="20"/>
                <w:color w:val="auto"/>
              </w:rPr>
            </w:pPr>
            <w:r>
              <w:rPr>
                <w:rFonts w:ascii="Arial" w:cs="Arial" w:eastAsia="Arial" w:hAnsi="Arial"/>
                <w:sz w:val="17"/>
                <w:szCs w:val="17"/>
                <w:color w:val="auto"/>
              </w:rPr>
              <w:t>Assets transferred, net</w:t>
            </w:r>
          </w:p>
        </w:tc>
        <w:tc>
          <w:tcPr>
            <w:tcW w:w="800" w:type="dxa"/>
            <w:vAlign w:val="bottom"/>
            <w:tcBorders>
              <w:bottom w:val="single" w:sz="8" w:color="auto"/>
            </w:tcBorders>
            <w:shd w:val="clear" w:color="auto" w:fill="DDDDDD"/>
          </w:tcPr>
          <w:p>
            <w:pPr>
              <w:jc w:val="right"/>
              <w:ind w:right="595"/>
              <w:spacing w:after="0"/>
              <w:rPr>
                <w:sz w:val="20"/>
                <w:szCs w:val="20"/>
                <w:color w:val="auto"/>
              </w:rPr>
            </w:pPr>
            <w:r>
              <w:rPr>
                <w:rFonts w:ascii="Arial" w:cs="Arial" w:eastAsia="Arial" w:hAnsi="Arial"/>
                <w:sz w:val="17"/>
                <w:szCs w:val="17"/>
                <w:color w:val="257ACB"/>
              </w:rPr>
              <w:t>$</w:t>
            </w:r>
          </w:p>
        </w:tc>
        <w:tc>
          <w:tcPr>
            <w:tcW w:w="1360" w:type="dxa"/>
            <w:vAlign w:val="bottom"/>
            <w:tcBorders>
              <w:bottom w:val="single" w:sz="8" w:color="auto"/>
            </w:tcBorders>
            <w:shd w:val="clear" w:color="auto" w:fill="DDDDDD"/>
          </w:tcPr>
          <w:p>
            <w:pPr>
              <w:jc w:val="right"/>
              <w:ind w:right="15"/>
              <w:spacing w:after="0"/>
              <w:rPr>
                <w:sz w:val="20"/>
                <w:szCs w:val="20"/>
                <w:color w:val="auto"/>
              </w:rPr>
            </w:pPr>
            <w:r>
              <w:rPr>
                <w:rFonts w:ascii="Arial" w:cs="Arial" w:eastAsia="Arial" w:hAnsi="Arial"/>
                <w:sz w:val="17"/>
                <w:szCs w:val="17"/>
                <w:color w:val="257ACB"/>
              </w:rPr>
              <w:t>1,008.3</w:t>
            </w:r>
          </w:p>
        </w:tc>
      </w:tr>
      <w:tr>
        <w:trPr>
          <w:trHeight w:val="529"/>
        </w:trPr>
        <w:tc>
          <w:tcPr>
            <w:tcW w:w="9240" w:type="dxa"/>
            <w:vAlign w:val="bottom"/>
          </w:tcPr>
          <w:p>
            <w:pPr>
              <w:ind w:left="20"/>
              <w:spacing w:after="0"/>
              <w:rPr>
                <w:sz w:val="20"/>
                <w:szCs w:val="20"/>
                <w:color w:val="auto"/>
              </w:rPr>
            </w:pPr>
            <w:r>
              <w:rPr>
                <w:rFonts w:ascii="Arial" w:cs="Arial" w:eastAsia="Arial" w:hAnsi="Arial"/>
                <w:sz w:val="17"/>
                <w:szCs w:val="17"/>
                <w:color w:val="auto"/>
              </w:rPr>
              <w:t>Liabilities</w:t>
            </w:r>
          </w:p>
        </w:tc>
        <w:tc>
          <w:tcPr>
            <w:tcW w:w="800" w:type="dxa"/>
            <w:vAlign w:val="bottom"/>
            <w:shd w:val="clear" w:color="auto" w:fill="DDDDDD"/>
          </w:tcPr>
          <w:p>
            <w:pPr>
              <w:spacing w:after="0"/>
              <w:rPr>
                <w:sz w:val="24"/>
                <w:szCs w:val="24"/>
                <w:color w:val="auto"/>
              </w:rPr>
            </w:pPr>
          </w:p>
        </w:tc>
        <w:tc>
          <w:tcPr>
            <w:tcW w:w="1360" w:type="dxa"/>
            <w:vAlign w:val="bottom"/>
            <w:shd w:val="clear" w:color="auto" w:fill="DDDDDD"/>
          </w:tcPr>
          <w:p>
            <w:pPr>
              <w:spacing w:after="0"/>
              <w:rPr>
                <w:sz w:val="24"/>
                <w:szCs w:val="24"/>
                <w:color w:val="auto"/>
              </w:rPr>
            </w:pPr>
          </w:p>
        </w:tc>
      </w:tr>
      <w:tr>
        <w:trPr>
          <w:trHeight w:val="243"/>
        </w:trPr>
        <w:tc>
          <w:tcPr>
            <w:tcW w:w="9240" w:type="dxa"/>
            <w:vAlign w:val="bottom"/>
          </w:tcPr>
          <w:p>
            <w:pPr>
              <w:ind w:left="160"/>
              <w:spacing w:after="0"/>
              <w:rPr>
                <w:sz w:val="20"/>
                <w:szCs w:val="20"/>
                <w:color w:val="auto"/>
              </w:rPr>
            </w:pPr>
            <w:r>
              <w:rPr>
                <w:rFonts w:ascii="Arial" w:cs="Arial" w:eastAsia="Arial" w:hAnsi="Arial"/>
                <w:sz w:val="17"/>
                <w:szCs w:val="17"/>
                <w:color w:val="auto"/>
              </w:rPr>
              <w:t>Accrued expenses and other current liabilities</w:t>
            </w:r>
          </w:p>
        </w:tc>
        <w:tc>
          <w:tcPr>
            <w:tcW w:w="800" w:type="dxa"/>
            <w:vAlign w:val="bottom"/>
            <w:shd w:val="clear" w:color="auto" w:fill="DDDDDD"/>
          </w:tcPr>
          <w:p>
            <w:pPr>
              <w:jc w:val="right"/>
              <w:ind w:right="595"/>
              <w:spacing w:after="0"/>
              <w:rPr>
                <w:sz w:val="20"/>
                <w:szCs w:val="20"/>
                <w:color w:val="auto"/>
              </w:rPr>
            </w:pPr>
            <w:r>
              <w:rPr>
                <w:rFonts w:ascii="Arial" w:cs="Arial" w:eastAsia="Arial" w:hAnsi="Arial"/>
                <w:sz w:val="17"/>
                <w:szCs w:val="17"/>
                <w:color w:val="257ACB"/>
              </w:rPr>
              <w:t>$</w:t>
            </w:r>
          </w:p>
        </w:tc>
        <w:tc>
          <w:tcPr>
            <w:tcW w:w="136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ACB"/>
              </w:rPr>
              <w:t>87.8</w:t>
            </w:r>
          </w:p>
        </w:tc>
      </w:tr>
      <w:tr>
        <w:trPr>
          <w:trHeight w:val="250"/>
        </w:trPr>
        <w:tc>
          <w:tcPr>
            <w:tcW w:w="9240" w:type="dxa"/>
            <w:vAlign w:val="bottom"/>
          </w:tcPr>
          <w:p>
            <w:pPr>
              <w:ind w:left="160"/>
              <w:spacing w:after="0"/>
              <w:rPr>
                <w:sz w:val="20"/>
                <w:szCs w:val="20"/>
                <w:color w:val="auto"/>
              </w:rPr>
            </w:pPr>
            <w:r>
              <w:rPr>
                <w:rFonts w:ascii="Arial" w:cs="Arial" w:eastAsia="Arial" w:hAnsi="Arial"/>
                <w:sz w:val="17"/>
                <w:szCs w:val="17"/>
                <w:color w:val="auto"/>
              </w:rPr>
              <w:t>Other long-term liabilities</w:t>
            </w:r>
          </w:p>
        </w:tc>
        <w:tc>
          <w:tcPr>
            <w:tcW w:w="800" w:type="dxa"/>
            <w:vAlign w:val="bottom"/>
            <w:tcBorders>
              <w:bottom w:val="single" w:sz="8" w:color="auto"/>
            </w:tcBorders>
            <w:shd w:val="clear" w:color="auto" w:fill="DDDDDD"/>
          </w:tcPr>
          <w:p>
            <w:pPr>
              <w:spacing w:after="0"/>
              <w:rPr>
                <w:sz w:val="21"/>
                <w:szCs w:val="21"/>
                <w:color w:val="auto"/>
              </w:rPr>
            </w:pPr>
          </w:p>
        </w:tc>
        <w:tc>
          <w:tcPr>
            <w:tcW w:w="1360" w:type="dxa"/>
            <w:vAlign w:val="bottom"/>
            <w:tcBorders>
              <w:bottom w:val="single" w:sz="8" w:color="auto"/>
            </w:tcBorders>
            <w:shd w:val="clear" w:color="auto" w:fill="DDDDDD"/>
          </w:tcPr>
          <w:p>
            <w:pPr>
              <w:jc w:val="right"/>
              <w:ind w:right="15"/>
              <w:spacing w:after="0"/>
              <w:rPr>
                <w:sz w:val="20"/>
                <w:szCs w:val="20"/>
                <w:color w:val="auto"/>
              </w:rPr>
            </w:pPr>
            <w:r>
              <w:rPr>
                <w:rFonts w:ascii="Arial" w:cs="Arial" w:eastAsia="Arial" w:hAnsi="Arial"/>
                <w:sz w:val="17"/>
                <w:szCs w:val="17"/>
                <w:color w:val="257ACB"/>
              </w:rPr>
              <w:t>67.7</w:t>
            </w:r>
          </w:p>
        </w:tc>
      </w:tr>
      <w:tr>
        <w:trPr>
          <w:trHeight w:val="243"/>
        </w:trPr>
        <w:tc>
          <w:tcPr>
            <w:tcW w:w="9240" w:type="dxa"/>
            <w:vAlign w:val="bottom"/>
          </w:tcPr>
          <w:p>
            <w:pPr>
              <w:ind w:left="20"/>
              <w:spacing w:after="0"/>
              <w:rPr>
                <w:sz w:val="20"/>
                <w:szCs w:val="20"/>
                <w:color w:val="auto"/>
              </w:rPr>
            </w:pPr>
            <w:r>
              <w:rPr>
                <w:rFonts w:ascii="Arial" w:cs="Arial" w:eastAsia="Arial" w:hAnsi="Arial"/>
                <w:sz w:val="17"/>
                <w:szCs w:val="17"/>
                <w:color w:val="auto"/>
              </w:rPr>
              <w:t>Liabilities transferred, net</w:t>
            </w:r>
          </w:p>
        </w:tc>
        <w:tc>
          <w:tcPr>
            <w:tcW w:w="800" w:type="dxa"/>
            <w:vAlign w:val="bottom"/>
            <w:tcBorders>
              <w:bottom w:val="single" w:sz="8" w:color="auto"/>
            </w:tcBorders>
            <w:shd w:val="clear" w:color="auto" w:fill="DDDDDD"/>
          </w:tcPr>
          <w:p>
            <w:pPr>
              <w:jc w:val="right"/>
              <w:ind w:right="595"/>
              <w:spacing w:after="0"/>
              <w:rPr>
                <w:sz w:val="20"/>
                <w:szCs w:val="20"/>
                <w:color w:val="auto"/>
              </w:rPr>
            </w:pPr>
            <w:r>
              <w:rPr>
                <w:rFonts w:ascii="Arial" w:cs="Arial" w:eastAsia="Arial" w:hAnsi="Arial"/>
                <w:sz w:val="17"/>
                <w:szCs w:val="17"/>
                <w:color w:val="257ACB"/>
              </w:rPr>
              <w:t>$</w:t>
            </w:r>
          </w:p>
        </w:tc>
        <w:tc>
          <w:tcPr>
            <w:tcW w:w="1360" w:type="dxa"/>
            <w:vAlign w:val="bottom"/>
            <w:tcBorders>
              <w:bottom w:val="single" w:sz="8" w:color="auto"/>
            </w:tcBorders>
            <w:shd w:val="clear" w:color="auto" w:fill="DDDDDD"/>
          </w:tcPr>
          <w:p>
            <w:pPr>
              <w:jc w:val="right"/>
              <w:ind w:right="15"/>
              <w:spacing w:after="0"/>
              <w:rPr>
                <w:sz w:val="20"/>
                <w:szCs w:val="20"/>
                <w:color w:val="auto"/>
              </w:rPr>
            </w:pPr>
            <w:r>
              <w:rPr>
                <w:rFonts w:ascii="Arial" w:cs="Arial" w:eastAsia="Arial" w:hAnsi="Arial"/>
                <w:sz w:val="17"/>
                <w:szCs w:val="17"/>
                <w:color w:val="257ACB"/>
              </w:rPr>
              <w:t>155.5</w:t>
            </w:r>
          </w:p>
        </w:tc>
      </w:tr>
      <w:tr>
        <w:trPr>
          <w:trHeight w:val="20"/>
        </w:trPr>
        <w:tc>
          <w:tcPr>
            <w:tcW w:w="9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right="40" w:firstLine="410"/>
        <w:spacing w:after="0" w:line="255" w:lineRule="auto"/>
        <w:rPr>
          <w:sz w:val="20"/>
          <w:szCs w:val="20"/>
          <w:color w:val="auto"/>
        </w:rPr>
      </w:pPr>
      <w:r>
        <w:rPr>
          <w:rFonts w:ascii="Arial" w:cs="Arial" w:eastAsia="Arial" w:hAnsi="Arial"/>
          <w:sz w:val="17"/>
          <w:szCs w:val="17"/>
          <w:color w:val="auto"/>
        </w:rPr>
        <w:t>Pursuant to the terms of our agreements with Bioverativ, upon completion of the spin-off, we distributed ALPROLIX and ELOCTATE on behalf of Bioverativ until Bioverativ obtained appropriate regulatory authorizations in certain countries, including a Biologics License Application transfer in the U.S., which was received in September 2017. Accordingly, commencing October 2017, we ceased distribution of ALPROLIX and ELOCTATE on behalf of Bioverativ under this arrangement.</w:t>
      </w:r>
    </w:p>
    <w:p>
      <w:pPr>
        <w:spacing w:after="0" w:line="143" w:lineRule="exact"/>
        <w:rPr>
          <w:sz w:val="20"/>
          <w:szCs w:val="20"/>
          <w:color w:val="auto"/>
        </w:rPr>
      </w:pPr>
    </w:p>
    <w:p>
      <w:pPr>
        <w:ind w:right="20" w:firstLine="410"/>
        <w:spacing w:after="0" w:line="255" w:lineRule="auto"/>
        <w:rPr>
          <w:sz w:val="20"/>
          <w:szCs w:val="20"/>
          <w:color w:val="auto"/>
        </w:rPr>
      </w:pPr>
      <w:r>
        <w:rPr>
          <w:rFonts w:ascii="Arial" w:cs="Arial" w:eastAsia="Arial" w:hAnsi="Arial"/>
          <w:sz w:val="17"/>
          <w:szCs w:val="17"/>
          <w:color w:val="auto"/>
        </w:rPr>
        <w:t>Under the manufacturing and supply agreement, we manufacture and supply certain products and materials to Bioverativ. For the year ended December 31, 2017, we recognized $64.8 million in revenues in relation to these contract manufacturing services, which is reflected as a component of other royalty and corporate revenues in our consolidated statements of income. We also recorded $15.1 million as cost of sales in relation to these services during the year ended December 31, 2017.</w:t>
      </w:r>
    </w:p>
    <w:p>
      <w:pPr>
        <w:spacing w:after="0" w:line="143" w:lineRule="exact"/>
        <w:rPr>
          <w:sz w:val="20"/>
          <w:szCs w:val="20"/>
          <w:color w:val="auto"/>
        </w:rPr>
      </w:pPr>
    </w:p>
    <w:p>
      <w:pPr>
        <w:ind w:right="260" w:firstLine="410"/>
        <w:spacing w:after="0" w:line="257" w:lineRule="auto"/>
        <w:rPr>
          <w:sz w:val="20"/>
          <w:szCs w:val="20"/>
          <w:color w:val="auto"/>
        </w:rPr>
      </w:pPr>
      <w:r>
        <w:rPr>
          <w:rFonts w:ascii="Arial" w:cs="Arial" w:eastAsia="Arial" w:hAnsi="Arial"/>
          <w:sz w:val="17"/>
          <w:szCs w:val="17"/>
          <w:color w:val="auto"/>
        </w:rPr>
        <w:t>Amounts earned under the non-manufacturing and supply related transaction service agreements are recorded as a reduction of costs and expenses in their respective expense line items. These amounts, which were primarily reflected as a reduction to selling, general and administrative expenses in our consolidated statements of income, were not significant for the year ended December 31, 2017.</w:t>
      </w:r>
    </w:p>
    <w:p>
      <w:pPr>
        <w:spacing w:after="0" w:line="140" w:lineRule="exact"/>
        <w:rPr>
          <w:sz w:val="20"/>
          <w:szCs w:val="20"/>
          <w:color w:val="auto"/>
        </w:rPr>
      </w:pPr>
    </w:p>
    <w:p>
      <w:pPr>
        <w:ind w:right="220" w:firstLine="231"/>
        <w:spacing w:after="0" w:line="257" w:lineRule="auto"/>
        <w:rPr>
          <w:sz w:val="20"/>
          <w:szCs w:val="20"/>
          <w:color w:val="auto"/>
        </w:rPr>
      </w:pPr>
      <w:r>
        <w:rPr>
          <w:rFonts w:ascii="Arial" w:cs="Arial" w:eastAsia="Arial" w:hAnsi="Arial"/>
          <w:sz w:val="17"/>
          <w:szCs w:val="17"/>
          <w:color w:val="auto"/>
        </w:rPr>
        <w:t>Hemophilia related product revenues reflected in our consolidated statements of income for the years ended December 31, 2017, 2016 and 2015 totaled $74.4 million, $846.9 million and $554.2 million, respectively. Results for the year ended December 31, 2017 only reflect hemophilia-related product revenues through January 31, 2017.</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335"/>
        </w:rPr>
        <w:t>Patents</w:t>
      </w:r>
    </w:p>
    <w:p>
      <w:pPr>
        <w:spacing w:after="0" w:line="104" w:lineRule="exact"/>
        <w:rPr>
          <w:sz w:val="20"/>
          <w:szCs w:val="20"/>
          <w:color w:val="auto"/>
        </w:rPr>
      </w:pPr>
    </w:p>
    <w:p>
      <w:pPr>
        <w:ind w:right="400" w:firstLine="410"/>
        <w:spacing w:after="0" w:line="262" w:lineRule="auto"/>
        <w:rPr>
          <w:sz w:val="20"/>
          <w:szCs w:val="20"/>
          <w:color w:val="auto"/>
        </w:rPr>
      </w:pPr>
      <w:r>
        <w:rPr>
          <w:rFonts w:ascii="Arial" w:cs="Arial" w:eastAsia="Arial" w:hAnsi="Arial"/>
          <w:sz w:val="17"/>
          <w:szCs w:val="17"/>
          <w:color w:val="auto"/>
        </w:rPr>
        <w:t>Prior to the spin-off of our hemophilia business, we were awarded various methods of treatment and composition of matter patents related to ELOCTATE and ALPROLIX. Upon completion of the spin-off, these patents were transferred to the patent portfolio of Bioverativ.</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F- 24</w:t>
      </w:r>
    </w:p>
    <w:p>
      <w:pPr>
        <w:sectPr>
          <w:pgSz w:w="11900" w:h="16838" w:orient="portrait"/>
          <w:cols w:equalWidth="0" w:num="1">
            <w:col w:w="11400"/>
          </w:cols>
          <w:pgMar w:left="240" w:top="139" w:right="259" w:bottom="1440" w:gutter="0" w:footer="0" w:header="0"/>
        </w:sectPr>
      </w:pPr>
    </w:p>
    <w:bookmarkStart w:id="126" w:name="page127"/>
    <w:bookmarkEnd w:id="1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2" w:lineRule="exact"/>
        <w:rPr>
          <w:sz w:val="20"/>
          <w:szCs w:val="20"/>
          <w:color w:val="auto"/>
        </w:rPr>
      </w:pPr>
    </w:p>
    <w:p>
      <w:pPr>
        <w:ind w:left="620" w:hanging="618"/>
        <w:spacing w:after="0"/>
        <w:tabs>
          <w:tab w:leader="none" w:pos="620" w:val="left"/>
        </w:tabs>
        <w:numPr>
          <w:ilvl w:val="0"/>
          <w:numId w:val="98"/>
        </w:numPr>
        <w:rPr>
          <w:rFonts w:ascii="Arial" w:cs="Arial" w:eastAsia="Arial" w:hAnsi="Arial"/>
          <w:sz w:val="20"/>
          <w:szCs w:val="20"/>
          <w:b w:val="1"/>
          <w:bCs w:val="1"/>
          <w:color w:val="578196"/>
        </w:rPr>
      </w:pPr>
      <w:r>
        <w:rPr>
          <w:rFonts w:ascii="Arial" w:cs="Arial" w:eastAsia="Arial" w:hAnsi="Arial"/>
          <w:sz w:val="20"/>
          <w:szCs w:val="20"/>
          <w:b w:val="1"/>
          <w:bCs w:val="1"/>
          <w:color w:val="578196"/>
        </w:rPr>
        <w:t>Restructuring, Business Transformation and Other Cost Saving Initiatives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2017 Corporate Strategy</w:t>
      </w:r>
    </w:p>
    <w:p>
      <w:pPr>
        <w:spacing w:after="0" w:line="106" w:lineRule="exact"/>
        <w:rPr>
          <w:sz w:val="20"/>
          <w:szCs w:val="20"/>
          <w:color w:val="auto"/>
        </w:rPr>
      </w:pPr>
    </w:p>
    <w:p>
      <w:pPr>
        <w:ind w:firstLine="384"/>
        <w:spacing w:after="0" w:line="254" w:lineRule="auto"/>
        <w:rPr>
          <w:sz w:val="20"/>
          <w:szCs w:val="20"/>
          <w:color w:val="auto"/>
        </w:rPr>
      </w:pPr>
      <w:r>
        <w:rPr>
          <w:rFonts w:ascii="Arial" w:cs="Arial" w:eastAsia="Arial" w:hAnsi="Arial"/>
          <w:sz w:val="17"/>
          <w:szCs w:val="17"/>
          <w:color w:val="auto"/>
        </w:rPr>
        <w:t>In July 2017 we announced an updated strategic framework to optimize the value of our MS business while investing for the future across our core growth areas of MS and neuroimmunology, AD and dementia, movement disorders and neuromuscular diseases including SMA and ALS. We also plan to invest in emerging growth areas such as pain, ophthalmology, neuropsychiatry and acute neurology. In addition, we are employing innovative technologies to discover potential treatments for rare and genetic disorders, including new ways of treating diseases through gene therapy in the previously mentioned areas.</w:t>
      </w:r>
    </w:p>
    <w:p>
      <w:pPr>
        <w:spacing w:after="0" w:line="144" w:lineRule="exact"/>
        <w:rPr>
          <w:sz w:val="20"/>
          <w:szCs w:val="20"/>
          <w:color w:val="auto"/>
        </w:rPr>
      </w:pPr>
    </w:p>
    <w:p>
      <w:pPr>
        <w:ind w:right="720" w:firstLine="384"/>
        <w:spacing w:after="0" w:line="262" w:lineRule="auto"/>
        <w:rPr>
          <w:sz w:val="20"/>
          <w:szCs w:val="20"/>
          <w:color w:val="auto"/>
        </w:rPr>
      </w:pPr>
      <w:r>
        <w:rPr>
          <w:rFonts w:ascii="Arial" w:cs="Arial" w:eastAsia="Arial" w:hAnsi="Arial"/>
          <w:sz w:val="17"/>
          <w:szCs w:val="17"/>
          <w:color w:val="auto"/>
        </w:rPr>
        <w:t>In order to deliver positive results in the near term while investing in the next stages of our growth, we will focus on the following strategic priorities:</w:t>
      </w:r>
    </w:p>
    <w:p>
      <w:pPr>
        <w:spacing w:after="0" w:line="137" w:lineRule="exact"/>
        <w:rPr>
          <w:sz w:val="20"/>
          <w:szCs w:val="20"/>
          <w:color w:val="auto"/>
        </w:rPr>
      </w:pPr>
    </w:p>
    <w:p>
      <w:pPr>
        <w:ind w:left="380" w:hanging="301"/>
        <w:spacing w:after="0"/>
        <w:tabs>
          <w:tab w:leader="none" w:pos="3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maximizing the resilience of our MS core business;</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accelerating efforts in SMA as a significant new growth opportunity;</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developing and expanding our neuroscience portfolio;</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focusing our capital allocation efforts to drive investment for future growth; and</w:t>
      </w:r>
    </w:p>
    <w:p>
      <w:pPr>
        <w:spacing w:after="0" w:line="163" w:lineRule="exact"/>
        <w:rPr>
          <w:rFonts w:ascii="Arial" w:cs="Arial" w:eastAsia="Arial" w:hAnsi="Arial"/>
          <w:sz w:val="17"/>
          <w:szCs w:val="17"/>
          <w:color w:val="auto"/>
        </w:rPr>
      </w:pPr>
    </w:p>
    <w:p>
      <w:pPr>
        <w:ind w:left="380" w:right="1000" w:hanging="301"/>
        <w:spacing w:after="0" w:line="262" w:lineRule="auto"/>
        <w:tabs>
          <w:tab w:leader="none" w:pos="3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creating a leaner and simpler operating model to streamline our operations and reallocate resources towards prioritized research and development and commercial value creation opportunities.</w:t>
      </w:r>
    </w:p>
    <w:p>
      <w:pPr>
        <w:spacing w:after="0" w:line="137" w:lineRule="exact"/>
        <w:rPr>
          <w:sz w:val="20"/>
          <w:szCs w:val="20"/>
          <w:color w:val="auto"/>
        </w:rPr>
      </w:pPr>
    </w:p>
    <w:p>
      <w:pPr>
        <w:ind w:right="20" w:firstLine="410"/>
        <w:spacing w:after="0" w:line="255" w:lineRule="auto"/>
        <w:rPr>
          <w:sz w:val="20"/>
          <w:szCs w:val="20"/>
          <w:color w:val="auto"/>
        </w:rPr>
      </w:pPr>
      <w:r>
        <w:rPr>
          <w:rFonts w:ascii="Arial" w:cs="Arial" w:eastAsia="Arial" w:hAnsi="Arial"/>
          <w:sz w:val="17"/>
          <w:szCs w:val="17"/>
          <w:color w:val="auto"/>
        </w:rPr>
        <w:t>In October 2017, in connection with creating a leaner and simpler operating model, we approved a corporate restructuring program intended to streamline our operations and reallocate resources. We expect to make total non-recurring operating and capital expenditures of up to $170.0 million, primarily in 2018, and our goal is to redirect resources of up to $400.0 million annually by 2020 to prioritized research and development and other value creation opportunities.</w:t>
      </w:r>
    </w:p>
    <w:p>
      <w:pPr>
        <w:spacing w:after="0" w:line="143" w:lineRule="exact"/>
        <w:rPr>
          <w:sz w:val="20"/>
          <w:szCs w:val="20"/>
          <w:color w:val="auto"/>
        </w:rPr>
      </w:pPr>
    </w:p>
    <w:p>
      <w:pPr>
        <w:jc w:val="both"/>
        <w:ind w:right="360" w:firstLine="384"/>
        <w:spacing w:after="0" w:line="257" w:lineRule="auto"/>
        <w:rPr>
          <w:sz w:val="20"/>
          <w:szCs w:val="20"/>
          <w:color w:val="auto"/>
        </w:rPr>
      </w:pPr>
      <w:r>
        <w:rPr>
          <w:rFonts w:ascii="Arial" w:cs="Arial" w:eastAsia="Arial" w:hAnsi="Arial"/>
          <w:sz w:val="17"/>
          <w:szCs w:val="17"/>
          <w:color w:val="auto"/>
        </w:rPr>
        <w:t>For the year ended December 31, 2017, we recognized charges in our consolidated statements of income totaling $19.4 million related to this effort, of which $18.5 million is included in selling, general and administrative expense and $0.9 million is reflected as restructuring charges. These restructuring charges, which were substantially incurred and paid in 2017, were primarily related to severance.</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2016 Organizational Changes and Cost Saving Initiatives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2016 Restructuring Charges</w:t>
      </w:r>
    </w:p>
    <w:p>
      <w:pPr>
        <w:spacing w:after="0" w:line="104" w:lineRule="exact"/>
        <w:rPr>
          <w:sz w:val="20"/>
          <w:szCs w:val="20"/>
          <w:color w:val="auto"/>
        </w:rPr>
      </w:pPr>
    </w:p>
    <w:p>
      <w:pPr>
        <w:ind w:right="40" w:firstLine="384"/>
        <w:spacing w:after="0" w:line="254" w:lineRule="auto"/>
        <w:rPr>
          <w:sz w:val="20"/>
          <w:szCs w:val="20"/>
          <w:color w:val="auto"/>
        </w:rPr>
      </w:pPr>
      <w:r>
        <w:rPr>
          <w:rFonts w:ascii="Arial" w:cs="Arial" w:eastAsia="Arial" w:hAnsi="Arial"/>
          <w:sz w:val="17"/>
          <w:szCs w:val="17"/>
          <w:color w:val="auto"/>
        </w:rPr>
        <w:t>During the third quarter of 2016 we initiated cost saving measures primarily intended to realign our organizational structure due to the changes in roles and workforce resulting from our decision to spin-off our hemophilia business, and to achieve further targeted cost reductions. For the year ended December 31, 2016, we recognized charges totaling $17.7 million related to this effort, which are in addition to, and separate from, the 2015 restructuring charges described below. These amounts, which were substantially incurred and paid by the end of 2016, were primarily related to severance and are reflected in restructuring charges in our consolidated statements of income.</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Cambridge, MA Manufacturing Facility</w:t>
      </w:r>
    </w:p>
    <w:p>
      <w:pPr>
        <w:spacing w:after="0" w:line="104" w:lineRule="exact"/>
        <w:rPr>
          <w:sz w:val="20"/>
          <w:szCs w:val="20"/>
          <w:color w:val="auto"/>
        </w:rPr>
      </w:pPr>
    </w:p>
    <w:p>
      <w:pPr>
        <w:ind w:right="160" w:firstLine="384"/>
        <w:spacing w:after="0" w:line="257" w:lineRule="auto"/>
        <w:rPr>
          <w:sz w:val="20"/>
          <w:szCs w:val="20"/>
          <w:color w:val="auto"/>
        </w:rPr>
      </w:pPr>
      <w:r>
        <w:rPr>
          <w:rFonts w:ascii="Arial" w:cs="Arial" w:eastAsia="Arial" w:hAnsi="Arial"/>
          <w:sz w:val="17"/>
          <w:szCs w:val="17"/>
          <w:color w:val="auto"/>
        </w:rPr>
        <w:t>In June 2016 following an evaluation of our current and future manufacturing capabilities and capacity needs, we determined that we intended to cease manufacturing and vacate our 67,000 square foot small-scale biologics manufacturing facility in Cambridge, MA and close and vacate our 46,000 square foot warehouse space in Somerville, MA.</w:t>
      </w:r>
    </w:p>
    <w:p>
      <w:pPr>
        <w:spacing w:after="0" w:line="140" w:lineRule="exact"/>
        <w:rPr>
          <w:sz w:val="20"/>
          <w:szCs w:val="20"/>
          <w:color w:val="auto"/>
        </w:rPr>
      </w:pPr>
    </w:p>
    <w:p>
      <w:pPr>
        <w:ind w:right="440" w:firstLine="384"/>
        <w:spacing w:after="0" w:line="255" w:lineRule="auto"/>
        <w:rPr>
          <w:sz w:val="20"/>
          <w:szCs w:val="20"/>
          <w:color w:val="auto"/>
        </w:rPr>
      </w:pPr>
      <w:r>
        <w:rPr>
          <w:rFonts w:ascii="Arial" w:cs="Arial" w:eastAsia="Arial" w:hAnsi="Arial"/>
          <w:sz w:val="17"/>
          <w:szCs w:val="17"/>
          <w:color w:val="auto"/>
        </w:rPr>
        <w:t>In December 2016 we subleased our rights to the Cambridge, MA manufacturing facility to Brammer Bio MA, LLC (Brammer). Brammer also purchased from us certain manufacturing equipment, leasehold improvements and other assets in exchange for shares of Brammer common LLC interests and assumed manufacturing operations effective January 1, 2017. In December 2016 we closed and vacated our warehouse space in Somerville, MA.</w:t>
      </w:r>
    </w:p>
    <w:p>
      <w:pPr>
        <w:spacing w:after="0" w:line="143" w:lineRule="exact"/>
        <w:rPr>
          <w:sz w:val="20"/>
          <w:szCs w:val="20"/>
          <w:color w:val="auto"/>
        </w:rPr>
      </w:pPr>
    </w:p>
    <w:p>
      <w:pPr>
        <w:ind w:right="40" w:firstLine="384"/>
        <w:spacing w:after="0" w:line="262" w:lineRule="auto"/>
        <w:rPr>
          <w:sz w:val="20"/>
          <w:szCs w:val="20"/>
          <w:color w:val="auto"/>
        </w:rPr>
      </w:pPr>
      <w:r>
        <w:rPr>
          <w:rFonts w:ascii="Arial" w:cs="Arial" w:eastAsia="Arial" w:hAnsi="Arial"/>
          <w:sz w:val="17"/>
          <w:szCs w:val="17"/>
          <w:color w:val="auto"/>
        </w:rPr>
        <w:t>Our departure from these facilities shortened the expected useful lives of certain leasehold improvements and other assets at these facilities. As a result, we recorded additional depreciation expense to reflect the assets' new</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F- 25</w:t>
      </w:r>
    </w:p>
    <w:p>
      <w:pPr>
        <w:sectPr>
          <w:pgSz w:w="11900" w:h="16838" w:orient="portrait"/>
          <w:cols w:equalWidth="0" w:num="1">
            <w:col w:w="11420"/>
          </w:cols>
          <w:pgMar w:left="240" w:top="139" w:right="239" w:bottom="1440" w:gutter="0" w:footer="0" w:header="0"/>
        </w:sectPr>
      </w:pPr>
    </w:p>
    <w:bookmarkStart w:id="127" w:name="page128"/>
    <w:bookmarkEnd w:id="1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90" w:lineRule="exact"/>
        <w:rPr>
          <w:sz w:val="20"/>
          <w:szCs w:val="20"/>
          <w:color w:val="auto"/>
        </w:rPr>
      </w:pPr>
    </w:p>
    <w:p>
      <w:pPr>
        <w:ind w:right="460"/>
        <w:spacing w:after="0" w:line="262" w:lineRule="auto"/>
        <w:rPr>
          <w:sz w:val="20"/>
          <w:szCs w:val="20"/>
          <w:color w:val="auto"/>
        </w:rPr>
      </w:pPr>
      <w:r>
        <w:rPr>
          <w:rFonts w:ascii="Arial" w:cs="Arial" w:eastAsia="Arial" w:hAnsi="Arial"/>
          <w:sz w:val="17"/>
          <w:szCs w:val="17"/>
          <w:color w:val="auto"/>
        </w:rPr>
        <w:t>shorter useful lives. For the year ended December 31, 2016, we recognized approximately $45.5 million of this additional depreciation, which was recorded as cost of sales in our consolidated statements of income.</w:t>
      </w:r>
    </w:p>
    <w:p>
      <w:pPr>
        <w:spacing w:after="0" w:line="85" w:lineRule="exact"/>
        <w:rPr>
          <w:sz w:val="20"/>
          <w:szCs w:val="20"/>
          <w:color w:val="auto"/>
        </w:rPr>
      </w:pPr>
    </w:p>
    <w:p>
      <w:pPr>
        <w:jc w:val="both"/>
        <w:ind w:right="300" w:firstLine="384"/>
        <w:spacing w:after="0" w:line="257" w:lineRule="auto"/>
        <w:rPr>
          <w:sz w:val="20"/>
          <w:szCs w:val="20"/>
          <w:color w:val="auto"/>
        </w:rPr>
      </w:pPr>
      <w:r>
        <w:rPr>
          <w:rFonts w:ascii="Arial" w:cs="Arial" w:eastAsia="Arial" w:hAnsi="Arial"/>
          <w:sz w:val="17"/>
          <w:szCs w:val="17"/>
          <w:color w:val="auto"/>
        </w:rPr>
        <w:t>In the fourth quarter of 2016 we also recognized charges totaling $7.4 million for severance costs related to certain employees separated from Biogen in connection with our departure from these facilities. These amounts were substantially incurred and paid by the end of first quarter of 2017 and are reflected in restructuring charges in our consolidated statements of income for the year ended December 31, 2016.</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2015 Cost Saving Initiatives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2015 Restructuring Charges</w:t>
      </w:r>
    </w:p>
    <w:p>
      <w:pPr>
        <w:spacing w:after="0" w:line="104" w:lineRule="exact"/>
        <w:rPr>
          <w:sz w:val="20"/>
          <w:szCs w:val="20"/>
          <w:color w:val="auto"/>
        </w:rPr>
      </w:pPr>
    </w:p>
    <w:p>
      <w:pPr>
        <w:ind w:right="240" w:firstLine="410"/>
        <w:spacing w:after="0" w:line="255" w:lineRule="auto"/>
        <w:rPr>
          <w:sz w:val="20"/>
          <w:szCs w:val="20"/>
          <w:color w:val="auto"/>
        </w:rPr>
      </w:pPr>
      <w:r>
        <w:rPr>
          <w:rFonts w:ascii="Arial" w:cs="Arial" w:eastAsia="Arial" w:hAnsi="Arial"/>
          <w:sz w:val="17"/>
          <w:szCs w:val="17"/>
          <w:color w:val="auto"/>
        </w:rPr>
        <w:t>In October 2015, we announced a corporate restructuring, which included the termination of certain pipeline programs and an 11% reduction in workforce. Under this restructuring, cash payments were estimated to total approximately $120.0 million, of which $15.9 million were related to previously accrued 2015 incentive compensation, resulting in net restructuring charges totaling approximately $102.0 million. These amounts were substantially paid by the end of 2016.</w:t>
      </w:r>
    </w:p>
    <w:p>
      <w:pPr>
        <w:spacing w:after="0" w:line="143" w:lineRule="exact"/>
        <w:rPr>
          <w:sz w:val="20"/>
          <w:szCs w:val="20"/>
          <w:color w:val="auto"/>
        </w:rPr>
      </w:pPr>
    </w:p>
    <w:p>
      <w:pPr>
        <w:jc w:val="both"/>
        <w:ind w:right="20" w:firstLine="384"/>
        <w:spacing w:after="0" w:line="257" w:lineRule="auto"/>
        <w:rPr>
          <w:sz w:val="20"/>
          <w:szCs w:val="20"/>
          <w:color w:val="auto"/>
        </w:rPr>
      </w:pPr>
      <w:r>
        <w:rPr>
          <w:rFonts w:ascii="Arial" w:cs="Arial" w:eastAsia="Arial" w:hAnsi="Arial"/>
          <w:sz w:val="17"/>
          <w:szCs w:val="17"/>
          <w:color w:val="auto"/>
        </w:rPr>
        <w:t>During the years ended December 31, 2016 and 2015, we recognized $8.0 million and $93.4 million, respectively, of restructuring charges related to our 2015 restructuring program in our consolidated statements of income. Our restructuring reserve is included in accrued expenses and other in our consolidated balance sheets.</w:t>
      </w:r>
    </w:p>
    <w:p>
      <w:pPr>
        <w:spacing w:after="0" w:line="14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the charges and spending related to our 2015 restructuring program during 2017:</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Workforce</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41"/>
              <w:spacing w:after="0"/>
              <w:rPr>
                <w:sz w:val="20"/>
                <w:szCs w:val="20"/>
                <w:color w:val="auto"/>
              </w:rPr>
            </w:pPr>
            <w:r>
              <w:rPr>
                <w:rFonts w:ascii="Arial" w:cs="Arial" w:eastAsia="Arial" w:hAnsi="Arial"/>
                <w:sz w:val="14"/>
                <w:szCs w:val="14"/>
                <w:b w:val="1"/>
                <w:bCs w:val="1"/>
                <w:color w:val="auto"/>
              </w:rPr>
              <w:t>Pipeline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85"/>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Reduction</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Programs</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Total</w:t>
            </w:r>
          </w:p>
        </w:tc>
      </w:tr>
      <w:tr>
        <w:trPr>
          <w:trHeight w:val="228"/>
        </w:trPr>
        <w:tc>
          <w:tcPr>
            <w:tcW w:w="6040" w:type="dxa"/>
            <w:vAlign w:val="bottom"/>
          </w:tcPr>
          <w:p>
            <w:pPr>
              <w:ind w:left="20"/>
              <w:spacing w:after="0"/>
              <w:rPr>
                <w:sz w:val="20"/>
                <w:szCs w:val="20"/>
                <w:color w:val="auto"/>
              </w:rPr>
            </w:pPr>
            <w:r>
              <w:rPr>
                <w:rFonts w:ascii="Arial" w:cs="Arial" w:eastAsia="Arial" w:hAnsi="Arial"/>
                <w:sz w:val="17"/>
                <w:szCs w:val="17"/>
                <w:color w:val="auto"/>
              </w:rPr>
              <w:t>Restructuring reserve as of December 31, 2015</w:t>
            </w:r>
          </w:p>
        </w:tc>
        <w:tc>
          <w:tcPr>
            <w:tcW w:w="1220" w:type="dxa"/>
            <w:vAlign w:val="bottom"/>
          </w:tcPr>
          <w:p>
            <w:pPr>
              <w:jc w:val="right"/>
              <w:ind w:right="1021"/>
              <w:spacing w:after="0"/>
              <w:rPr>
                <w:sz w:val="20"/>
                <w:szCs w:val="20"/>
                <w:color w:val="auto"/>
              </w:rPr>
            </w:pPr>
            <w:r>
              <w:rPr>
                <w:rFonts w:ascii="Arial" w:cs="Arial" w:eastAsia="Arial" w:hAnsi="Arial"/>
                <w:sz w:val="17"/>
                <w:szCs w:val="17"/>
                <w:color w:val="2573BA"/>
              </w:rPr>
              <w:t>$</w:t>
            </w:r>
          </w:p>
        </w:tc>
        <w:tc>
          <w:tcPr>
            <w:tcW w:w="520" w:type="dxa"/>
            <w:vAlign w:val="bottom"/>
          </w:tcPr>
          <w:p>
            <w:pPr>
              <w:jc w:val="right"/>
              <w:ind w:right="35"/>
              <w:spacing w:after="0"/>
              <w:rPr>
                <w:sz w:val="20"/>
                <w:szCs w:val="20"/>
                <w:color w:val="auto"/>
              </w:rPr>
            </w:pPr>
            <w:r>
              <w:rPr>
                <w:rFonts w:ascii="Arial" w:cs="Arial" w:eastAsia="Arial" w:hAnsi="Arial"/>
                <w:sz w:val="17"/>
                <w:szCs w:val="17"/>
                <w:color w:val="2573BA"/>
              </w:rPr>
              <w:t>33.7</w:t>
            </w:r>
          </w:p>
        </w:tc>
        <w:tc>
          <w:tcPr>
            <w:tcW w:w="100" w:type="dxa"/>
            <w:vAlign w:val="bottom"/>
          </w:tcPr>
          <w:p>
            <w:pPr>
              <w:spacing w:after="0"/>
              <w:rPr>
                <w:sz w:val="19"/>
                <w:szCs w:val="19"/>
                <w:color w:val="auto"/>
              </w:rPr>
            </w:pPr>
          </w:p>
        </w:tc>
        <w:tc>
          <w:tcPr>
            <w:tcW w:w="1240" w:type="dxa"/>
            <w:vAlign w:val="bottom"/>
          </w:tcPr>
          <w:p>
            <w:pPr>
              <w:jc w:val="right"/>
              <w:ind w:right="1041"/>
              <w:spacing w:after="0"/>
              <w:rPr>
                <w:sz w:val="20"/>
                <w:szCs w:val="20"/>
                <w:color w:val="auto"/>
              </w:rPr>
            </w:pPr>
            <w:r>
              <w:rPr>
                <w:rFonts w:ascii="Arial" w:cs="Arial" w:eastAsia="Arial" w:hAnsi="Arial"/>
                <w:sz w:val="17"/>
                <w:szCs w:val="17"/>
                <w:color w:val="2573BA"/>
              </w:rPr>
              <w:t>$</w:t>
            </w:r>
          </w:p>
        </w:tc>
        <w:tc>
          <w:tcPr>
            <w:tcW w:w="460" w:type="dxa"/>
            <w:vAlign w:val="bottom"/>
          </w:tcPr>
          <w:p>
            <w:pPr>
              <w:jc w:val="right"/>
              <w:ind w:right="15"/>
              <w:spacing w:after="0"/>
              <w:rPr>
                <w:sz w:val="20"/>
                <w:szCs w:val="20"/>
                <w:color w:val="auto"/>
              </w:rPr>
            </w:pPr>
            <w:r>
              <w:rPr>
                <w:rFonts w:ascii="Arial" w:cs="Arial" w:eastAsia="Arial" w:hAnsi="Arial"/>
                <w:sz w:val="17"/>
                <w:szCs w:val="17"/>
                <w:color w:val="2573BA"/>
              </w:rPr>
              <w:t>3.6</w:t>
            </w:r>
          </w:p>
        </w:tc>
        <w:tc>
          <w:tcPr>
            <w:tcW w:w="100" w:type="dxa"/>
            <w:vAlign w:val="bottom"/>
          </w:tcPr>
          <w:p>
            <w:pPr>
              <w:spacing w:after="0"/>
              <w:rPr>
                <w:sz w:val="19"/>
                <w:szCs w:val="19"/>
                <w:color w:val="auto"/>
              </w:rPr>
            </w:pPr>
          </w:p>
        </w:tc>
        <w:tc>
          <w:tcPr>
            <w:tcW w:w="420" w:type="dxa"/>
            <w:vAlign w:val="bottom"/>
          </w:tcPr>
          <w:p>
            <w:pPr>
              <w:jc w:val="right"/>
              <w:ind w:right="195"/>
              <w:spacing w:after="0"/>
              <w:rPr>
                <w:sz w:val="20"/>
                <w:szCs w:val="20"/>
                <w:color w:val="auto"/>
              </w:rPr>
            </w:pPr>
            <w:r>
              <w:rPr>
                <w:rFonts w:ascii="Arial" w:cs="Arial" w:eastAsia="Arial" w:hAnsi="Arial"/>
                <w:sz w:val="17"/>
                <w:szCs w:val="17"/>
                <w:color w:val="2573BA"/>
              </w:rPr>
              <w:t>$</w:t>
            </w:r>
          </w:p>
        </w:tc>
        <w:tc>
          <w:tcPr>
            <w:tcW w:w="1300" w:type="dxa"/>
            <w:vAlign w:val="bottom"/>
          </w:tcPr>
          <w:p>
            <w:pPr>
              <w:jc w:val="right"/>
              <w:ind w:right="17"/>
              <w:spacing w:after="0"/>
              <w:rPr>
                <w:sz w:val="20"/>
                <w:szCs w:val="20"/>
                <w:color w:val="auto"/>
              </w:rPr>
            </w:pPr>
            <w:r>
              <w:rPr>
                <w:rFonts w:ascii="Arial" w:cs="Arial" w:eastAsia="Arial" w:hAnsi="Arial"/>
                <w:sz w:val="17"/>
                <w:szCs w:val="17"/>
                <w:color w:val="2573BA"/>
              </w:rPr>
              <w:t>37.3</w:t>
            </w:r>
          </w:p>
        </w:tc>
      </w:tr>
      <w:tr>
        <w:trPr>
          <w:trHeight w:val="256"/>
        </w:trPr>
        <w:tc>
          <w:tcPr>
            <w:tcW w:w="6040" w:type="dxa"/>
            <w:vAlign w:val="bottom"/>
          </w:tcPr>
          <w:p>
            <w:pPr>
              <w:ind w:left="20"/>
              <w:spacing w:after="0"/>
              <w:rPr>
                <w:sz w:val="20"/>
                <w:szCs w:val="20"/>
                <w:color w:val="auto"/>
              </w:rPr>
            </w:pPr>
            <w:r>
              <w:rPr>
                <w:rFonts w:ascii="Arial" w:cs="Arial" w:eastAsia="Arial" w:hAnsi="Arial"/>
                <w:sz w:val="17"/>
                <w:szCs w:val="17"/>
                <w:color w:val="auto"/>
              </w:rPr>
              <w:t>Expense</w:t>
            </w:r>
          </w:p>
        </w:tc>
        <w:tc>
          <w:tcPr>
            <w:tcW w:w="1220" w:type="dxa"/>
            <w:vAlign w:val="bottom"/>
          </w:tcPr>
          <w:p>
            <w:pPr>
              <w:spacing w:after="0"/>
              <w:rPr>
                <w:sz w:val="22"/>
                <w:szCs w:val="22"/>
                <w:color w:val="auto"/>
              </w:rPr>
            </w:pPr>
          </w:p>
        </w:tc>
        <w:tc>
          <w:tcPr>
            <w:tcW w:w="520" w:type="dxa"/>
            <w:vAlign w:val="bottom"/>
          </w:tcPr>
          <w:p>
            <w:pPr>
              <w:jc w:val="right"/>
              <w:ind w:right="35"/>
              <w:spacing w:after="0"/>
              <w:rPr>
                <w:sz w:val="20"/>
                <w:szCs w:val="20"/>
                <w:color w:val="auto"/>
              </w:rPr>
            </w:pPr>
            <w:r>
              <w:rPr>
                <w:rFonts w:ascii="Arial" w:cs="Arial" w:eastAsia="Arial" w:hAnsi="Arial"/>
                <w:sz w:val="17"/>
                <w:szCs w:val="17"/>
                <w:color w:val="2573BA"/>
              </w:rPr>
              <w:t>4.9</w:t>
            </w: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60" w:type="dxa"/>
            <w:vAlign w:val="bottom"/>
          </w:tcPr>
          <w:p>
            <w:pPr>
              <w:jc w:val="right"/>
              <w:ind w:right="15"/>
              <w:spacing w:after="0"/>
              <w:rPr>
                <w:sz w:val="20"/>
                <w:szCs w:val="20"/>
                <w:color w:val="auto"/>
              </w:rPr>
            </w:pPr>
            <w:r>
              <w:rPr>
                <w:rFonts w:ascii="Arial" w:cs="Arial" w:eastAsia="Arial" w:hAnsi="Arial"/>
                <w:sz w:val="17"/>
                <w:szCs w:val="17"/>
                <w:color w:val="2573BA"/>
              </w:rPr>
              <w:t>5.4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17"/>
              <w:spacing w:after="0"/>
              <w:rPr>
                <w:sz w:val="20"/>
                <w:szCs w:val="20"/>
                <w:color w:val="auto"/>
              </w:rPr>
            </w:pPr>
            <w:r>
              <w:rPr>
                <w:rFonts w:ascii="Arial" w:cs="Arial" w:eastAsia="Arial" w:hAnsi="Arial"/>
                <w:sz w:val="17"/>
                <w:szCs w:val="17"/>
                <w:color w:val="2573BA"/>
              </w:rPr>
              <w:t>10.3</w:t>
            </w:r>
          </w:p>
        </w:tc>
      </w:tr>
      <w:tr>
        <w:trPr>
          <w:trHeight w:val="256"/>
        </w:trPr>
        <w:tc>
          <w:tcPr>
            <w:tcW w:w="6040" w:type="dxa"/>
            <w:vAlign w:val="bottom"/>
          </w:tcPr>
          <w:p>
            <w:pPr>
              <w:ind w:left="20"/>
              <w:spacing w:after="0"/>
              <w:rPr>
                <w:sz w:val="20"/>
                <w:szCs w:val="20"/>
                <w:color w:val="auto"/>
              </w:rPr>
            </w:pPr>
            <w:r>
              <w:rPr>
                <w:rFonts w:ascii="Arial" w:cs="Arial" w:eastAsia="Arial" w:hAnsi="Arial"/>
                <w:sz w:val="17"/>
                <w:szCs w:val="17"/>
                <w:color w:val="auto"/>
              </w:rPr>
              <w:t>Payments</w:t>
            </w:r>
          </w:p>
        </w:tc>
        <w:tc>
          <w:tcPr>
            <w:tcW w:w="12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2573BA"/>
                <w:w w:val="98"/>
              </w:rPr>
              <w:t>(31.2)</w:t>
            </w: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2573BA"/>
              </w:rPr>
              <w:t>(9.0)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2573BA"/>
              </w:rPr>
              <w:t>(40.2)</w:t>
            </w:r>
          </w:p>
        </w:tc>
      </w:tr>
      <w:tr>
        <w:trPr>
          <w:trHeight w:val="263"/>
        </w:trPr>
        <w:tc>
          <w:tcPr>
            <w:tcW w:w="6040" w:type="dxa"/>
            <w:vAlign w:val="bottom"/>
          </w:tcPr>
          <w:p>
            <w:pPr>
              <w:ind w:left="20"/>
              <w:spacing w:after="0"/>
              <w:rPr>
                <w:sz w:val="20"/>
                <w:szCs w:val="20"/>
                <w:color w:val="auto"/>
              </w:rPr>
            </w:pPr>
            <w:r>
              <w:rPr>
                <w:rFonts w:ascii="Arial" w:cs="Arial" w:eastAsia="Arial" w:hAnsi="Arial"/>
                <w:sz w:val="17"/>
                <w:szCs w:val="17"/>
                <w:color w:val="auto"/>
              </w:rPr>
              <w:t>Adjustments to previous estimates, net</w:t>
            </w:r>
          </w:p>
        </w:tc>
        <w:tc>
          <w:tcPr>
            <w:tcW w:w="12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(5.2)</w:t>
            </w: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2573BA"/>
              </w:rPr>
              <w:t>2.9</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(2.3)</w:t>
            </w:r>
          </w:p>
        </w:tc>
      </w:tr>
      <w:tr>
        <w:trPr>
          <w:trHeight w:val="249"/>
        </w:trPr>
        <w:tc>
          <w:tcPr>
            <w:tcW w:w="6040" w:type="dxa"/>
            <w:vAlign w:val="bottom"/>
          </w:tcPr>
          <w:p>
            <w:pPr>
              <w:ind w:left="20"/>
              <w:spacing w:after="0"/>
              <w:rPr>
                <w:sz w:val="20"/>
                <w:szCs w:val="20"/>
                <w:color w:val="auto"/>
              </w:rPr>
            </w:pPr>
            <w:r>
              <w:rPr>
                <w:rFonts w:ascii="Arial" w:cs="Arial" w:eastAsia="Arial" w:hAnsi="Arial"/>
                <w:sz w:val="17"/>
                <w:szCs w:val="17"/>
                <w:color w:val="auto"/>
              </w:rPr>
              <w:t>Restructuring reserve as of December 31, 2016</w:t>
            </w:r>
          </w:p>
        </w:tc>
        <w:tc>
          <w:tcPr>
            <w:tcW w:w="1220" w:type="dxa"/>
            <w:vAlign w:val="bottom"/>
            <w:tcBorders>
              <w:bottom w:val="single" w:sz="8" w:color="auto"/>
            </w:tcBorders>
          </w:tcPr>
          <w:p>
            <w:pPr>
              <w:jc w:val="right"/>
              <w:ind w:right="1021"/>
              <w:spacing w:after="0"/>
              <w:rPr>
                <w:sz w:val="20"/>
                <w:szCs w:val="20"/>
                <w:color w:val="auto"/>
              </w:rPr>
            </w:pPr>
            <w:r>
              <w:rPr>
                <w:rFonts w:ascii="Arial" w:cs="Arial" w:eastAsia="Arial" w:hAnsi="Arial"/>
                <w:sz w:val="17"/>
                <w:szCs w:val="17"/>
                <w:color w:val="2573BA"/>
              </w:rPr>
              <w:t>$</w:t>
            </w:r>
          </w:p>
        </w:tc>
        <w:tc>
          <w:tcPr>
            <w:tcW w:w="5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2573BA"/>
              </w:rPr>
              <w:t>2.2</w:t>
            </w: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41"/>
              <w:spacing w:after="0"/>
              <w:rPr>
                <w:sz w:val="20"/>
                <w:szCs w:val="20"/>
                <w:color w:val="auto"/>
              </w:rPr>
            </w:pPr>
            <w:r>
              <w:rPr>
                <w:rFonts w:ascii="Arial" w:cs="Arial" w:eastAsia="Arial" w:hAnsi="Arial"/>
                <w:sz w:val="17"/>
                <w:szCs w:val="17"/>
                <w:color w:val="2573BA"/>
              </w:rPr>
              <w:t>$</w:t>
            </w:r>
          </w:p>
        </w:tc>
        <w:tc>
          <w:tcPr>
            <w:tcW w:w="4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2573BA"/>
              </w:rPr>
              <w:t>2.9</w:t>
            </w: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2573BA"/>
              </w:rPr>
              <w:t>$</w:t>
            </w: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2573BA"/>
              </w:rPr>
              <w:t>5.1</w:t>
            </w:r>
          </w:p>
        </w:tc>
      </w:tr>
      <w:tr>
        <w:trPr>
          <w:trHeight w:val="249"/>
        </w:trPr>
        <w:tc>
          <w:tcPr>
            <w:tcW w:w="6040" w:type="dxa"/>
            <w:vAlign w:val="bottom"/>
          </w:tcPr>
          <w:p>
            <w:pPr>
              <w:ind w:left="20"/>
              <w:spacing w:after="0"/>
              <w:rPr>
                <w:sz w:val="20"/>
                <w:szCs w:val="20"/>
                <w:color w:val="auto"/>
              </w:rPr>
            </w:pPr>
            <w:r>
              <w:rPr>
                <w:rFonts w:ascii="Arial" w:cs="Arial" w:eastAsia="Arial" w:hAnsi="Arial"/>
                <w:sz w:val="17"/>
                <w:szCs w:val="17"/>
                <w:color w:val="auto"/>
              </w:rPr>
              <w:t>Payments</w:t>
            </w:r>
          </w:p>
        </w:tc>
        <w:tc>
          <w:tcPr>
            <w:tcW w:w="1220" w:type="dxa"/>
            <w:vAlign w:val="bottom"/>
            <w:tcBorders>
              <w:bottom w:val="single" w:sz="8" w:color="auto"/>
            </w:tcBorders>
            <w:shd w:val="clear" w:color="auto" w:fill="DDDDDD"/>
          </w:tcPr>
          <w:p>
            <w:pPr>
              <w:spacing w:after="0"/>
              <w:rPr>
                <w:sz w:val="21"/>
                <w:szCs w:val="21"/>
                <w:color w:val="auto"/>
              </w:rPr>
            </w:pPr>
          </w:p>
        </w:tc>
        <w:tc>
          <w:tcPr>
            <w:tcW w:w="5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(1.7)</w:t>
            </w:r>
          </w:p>
        </w:tc>
        <w:tc>
          <w:tcPr>
            <w:tcW w:w="100" w:type="dxa"/>
            <w:vAlign w:val="bottom"/>
            <w:tcBorders>
              <w:bottom w:val="single" w:sz="8" w:color="DDDDDD"/>
            </w:tcBorders>
            <w:shd w:val="clear" w:color="auto" w:fill="DDDDDD"/>
          </w:tcPr>
          <w:p>
            <w:pPr>
              <w:spacing w:after="0"/>
              <w:rPr>
                <w:sz w:val="21"/>
                <w:szCs w:val="21"/>
                <w:color w:val="auto"/>
              </w:rPr>
            </w:pPr>
          </w:p>
        </w:tc>
        <w:tc>
          <w:tcPr>
            <w:tcW w:w="1240" w:type="dxa"/>
            <w:vAlign w:val="bottom"/>
            <w:tcBorders>
              <w:bottom w:val="single" w:sz="8" w:color="auto"/>
            </w:tcBorders>
            <w:shd w:val="clear" w:color="auto" w:fill="DDDDDD"/>
          </w:tcPr>
          <w:p>
            <w:pPr>
              <w:spacing w:after="0"/>
              <w:rPr>
                <w:sz w:val="21"/>
                <w:szCs w:val="21"/>
                <w:color w:val="auto"/>
              </w:rPr>
            </w:pPr>
          </w:p>
        </w:tc>
        <w:tc>
          <w:tcPr>
            <w:tcW w:w="4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(2.9)</w:t>
            </w:r>
          </w:p>
        </w:tc>
        <w:tc>
          <w:tcPr>
            <w:tcW w:w="100" w:type="dxa"/>
            <w:vAlign w:val="bottom"/>
            <w:tcBorders>
              <w:bottom w:val="single" w:sz="8" w:color="DDDDDD"/>
            </w:tcBorders>
            <w:shd w:val="clear" w:color="auto" w:fill="DDDDDD"/>
          </w:tcPr>
          <w:p>
            <w:pPr>
              <w:spacing w:after="0"/>
              <w:rPr>
                <w:sz w:val="21"/>
                <w:szCs w:val="21"/>
                <w:color w:val="auto"/>
              </w:rPr>
            </w:pPr>
          </w:p>
        </w:tc>
        <w:tc>
          <w:tcPr>
            <w:tcW w:w="420" w:type="dxa"/>
            <w:vAlign w:val="bottom"/>
            <w:tcBorders>
              <w:bottom w:val="single" w:sz="8" w:color="auto"/>
            </w:tcBorders>
            <w:shd w:val="clear" w:color="auto" w:fill="DDDDDD"/>
          </w:tcPr>
          <w:p>
            <w:pPr>
              <w:spacing w:after="0"/>
              <w:rPr>
                <w:sz w:val="21"/>
                <w:szCs w:val="21"/>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(4.6)</w:t>
            </w:r>
          </w:p>
        </w:tc>
      </w:tr>
      <w:tr>
        <w:trPr>
          <w:trHeight w:val="243"/>
        </w:trPr>
        <w:tc>
          <w:tcPr>
            <w:tcW w:w="6040" w:type="dxa"/>
            <w:vAlign w:val="bottom"/>
          </w:tcPr>
          <w:p>
            <w:pPr>
              <w:ind w:left="20"/>
              <w:spacing w:after="0"/>
              <w:rPr>
                <w:sz w:val="20"/>
                <w:szCs w:val="20"/>
                <w:color w:val="auto"/>
              </w:rPr>
            </w:pPr>
            <w:r>
              <w:rPr>
                <w:rFonts w:ascii="Arial" w:cs="Arial" w:eastAsia="Arial" w:hAnsi="Arial"/>
                <w:sz w:val="17"/>
                <w:szCs w:val="17"/>
                <w:color w:val="auto"/>
              </w:rPr>
              <w:t>Restructuring reserve as of December 31, 2017</w:t>
            </w:r>
          </w:p>
        </w:tc>
        <w:tc>
          <w:tcPr>
            <w:tcW w:w="1220" w:type="dxa"/>
            <w:vAlign w:val="bottom"/>
            <w:shd w:val="clear" w:color="auto" w:fill="DDDDDD"/>
          </w:tcPr>
          <w:p>
            <w:pPr>
              <w:jc w:val="right"/>
              <w:ind w:right="1021"/>
              <w:spacing w:after="0"/>
              <w:rPr>
                <w:sz w:val="20"/>
                <w:szCs w:val="20"/>
                <w:color w:val="auto"/>
              </w:rPr>
            </w:pPr>
            <w:r>
              <w:rPr>
                <w:rFonts w:ascii="Arial" w:cs="Arial" w:eastAsia="Arial" w:hAnsi="Arial"/>
                <w:sz w:val="17"/>
                <w:szCs w:val="17"/>
                <w:color w:val="2573BA"/>
              </w:rPr>
              <w:t>$</w:t>
            </w:r>
          </w:p>
        </w:tc>
        <w:tc>
          <w:tcPr>
            <w:tcW w:w="520" w:type="dxa"/>
            <w:vAlign w:val="bottom"/>
            <w:shd w:val="clear" w:color="auto" w:fill="DDDDDD"/>
          </w:tcPr>
          <w:p>
            <w:pPr>
              <w:jc w:val="right"/>
              <w:ind w:right="35"/>
              <w:spacing w:after="0"/>
              <w:rPr>
                <w:sz w:val="20"/>
                <w:szCs w:val="20"/>
                <w:color w:val="auto"/>
              </w:rPr>
            </w:pPr>
            <w:r>
              <w:rPr>
                <w:rFonts w:ascii="Arial" w:cs="Arial" w:eastAsia="Arial" w:hAnsi="Arial"/>
                <w:sz w:val="17"/>
                <w:szCs w:val="17"/>
                <w:color w:val="2573BA"/>
              </w:rPr>
              <w:t>0.5</w:t>
            </w:r>
          </w:p>
        </w:tc>
        <w:tc>
          <w:tcPr>
            <w:tcW w:w="100" w:type="dxa"/>
            <w:vAlign w:val="bottom"/>
            <w:shd w:val="clear" w:color="auto" w:fill="DDDDDD"/>
          </w:tcPr>
          <w:p>
            <w:pPr>
              <w:spacing w:after="0"/>
              <w:rPr>
                <w:sz w:val="21"/>
                <w:szCs w:val="21"/>
                <w:color w:val="auto"/>
              </w:rPr>
            </w:pPr>
          </w:p>
        </w:tc>
        <w:tc>
          <w:tcPr>
            <w:tcW w:w="1240" w:type="dxa"/>
            <w:vAlign w:val="bottom"/>
            <w:shd w:val="clear" w:color="auto" w:fill="DDDDDD"/>
          </w:tcPr>
          <w:p>
            <w:pPr>
              <w:jc w:val="right"/>
              <w:ind w:right="1041"/>
              <w:spacing w:after="0"/>
              <w:rPr>
                <w:sz w:val="20"/>
                <w:szCs w:val="20"/>
                <w:color w:val="auto"/>
              </w:rPr>
            </w:pPr>
            <w:r>
              <w:rPr>
                <w:rFonts w:ascii="Arial" w:cs="Arial" w:eastAsia="Arial" w:hAnsi="Arial"/>
                <w:sz w:val="17"/>
                <w:szCs w:val="17"/>
                <w:color w:val="2573BA"/>
              </w:rPr>
              <w:t>$</w:t>
            </w:r>
          </w:p>
        </w:tc>
        <w:tc>
          <w:tcPr>
            <w:tcW w:w="560" w:type="dxa"/>
            <w:vAlign w:val="bottom"/>
            <w:gridSpan w:val="2"/>
            <w:shd w:val="clear" w:color="auto" w:fill="DDDDDD"/>
          </w:tcPr>
          <w:p>
            <w:pPr>
              <w:jc w:val="right"/>
              <w:ind w:right="200"/>
              <w:spacing w:after="0"/>
              <w:rPr>
                <w:sz w:val="20"/>
                <w:szCs w:val="20"/>
                <w:color w:val="auto"/>
              </w:rPr>
            </w:pPr>
            <w:r>
              <w:rPr>
                <w:rFonts w:ascii="Arial" w:cs="Arial" w:eastAsia="Arial" w:hAnsi="Arial"/>
                <w:sz w:val="17"/>
                <w:szCs w:val="17"/>
                <w:color w:val="2573BA"/>
              </w:rPr>
              <w:t>—</w:t>
            </w:r>
          </w:p>
        </w:tc>
        <w:tc>
          <w:tcPr>
            <w:tcW w:w="420" w:type="dxa"/>
            <w:vAlign w:val="bottom"/>
            <w:shd w:val="clear" w:color="auto" w:fill="DDDDDD"/>
          </w:tcPr>
          <w:p>
            <w:pPr>
              <w:jc w:val="right"/>
              <w:ind w:right="195"/>
              <w:spacing w:after="0"/>
              <w:rPr>
                <w:sz w:val="20"/>
                <w:szCs w:val="20"/>
                <w:color w:val="auto"/>
              </w:rPr>
            </w:pPr>
            <w:r>
              <w:rPr>
                <w:rFonts w:ascii="Arial" w:cs="Arial" w:eastAsia="Arial" w:hAnsi="Arial"/>
                <w:sz w:val="17"/>
                <w:szCs w:val="17"/>
                <w:color w:val="2573BA"/>
              </w:rPr>
              <w:t>$</w:t>
            </w:r>
          </w:p>
        </w:tc>
        <w:tc>
          <w:tcPr>
            <w:tcW w:w="13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0.5</w:t>
            </w:r>
          </w:p>
        </w:tc>
      </w:tr>
      <w:tr>
        <w:trPr>
          <w:trHeight w:val="20"/>
        </w:trPr>
        <w:tc>
          <w:tcPr>
            <w:tcW w:w="60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400" w:hanging="398"/>
        <w:spacing w:after="0"/>
        <w:tabs>
          <w:tab w:leader="none" w:pos="400" w:val="left"/>
        </w:tabs>
        <w:numPr>
          <w:ilvl w:val="0"/>
          <w:numId w:val="100"/>
        </w:numPr>
        <w:rPr>
          <w:rFonts w:ascii="Arial" w:cs="Arial" w:eastAsia="Arial" w:hAnsi="Arial"/>
          <w:sz w:val="20"/>
          <w:szCs w:val="20"/>
          <w:b w:val="1"/>
          <w:bCs w:val="1"/>
          <w:color w:val="578196"/>
        </w:rPr>
      </w:pPr>
      <w:r>
        <w:rPr>
          <w:rFonts w:ascii="Arial" w:cs="Arial" w:eastAsia="Arial" w:hAnsi="Arial"/>
          <w:sz w:val="20"/>
          <w:szCs w:val="20"/>
          <w:b w:val="1"/>
          <w:bCs w:val="1"/>
          <w:color w:val="578196"/>
        </w:rPr>
        <w:t>Reserves for Discounts and Allowances</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An analysis of the change in reserves for discounts and allowances is summarized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right"/>
              <w:ind w:right="339"/>
              <w:spacing w:after="0"/>
              <w:rPr>
                <w:sz w:val="20"/>
                <w:szCs w:val="20"/>
                <w:color w:val="auto"/>
              </w:rPr>
            </w:pPr>
            <w:r>
              <w:rPr>
                <w:rFonts w:ascii="Arial" w:cs="Arial" w:eastAsia="Arial" w:hAnsi="Arial"/>
                <w:sz w:val="14"/>
                <w:szCs w:val="14"/>
                <w:b w:val="1"/>
                <w:bCs w:val="1"/>
                <w:color w:val="auto"/>
              </w:rPr>
              <w:t>Contractual</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85"/>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6"/>
                <w:szCs w:val="16"/>
                <w:color w:val="auto"/>
              </w:rPr>
            </w:pPr>
          </w:p>
        </w:tc>
        <w:tc>
          <w:tcPr>
            <w:tcW w:w="1320" w:type="dxa"/>
            <w:vAlign w:val="bottom"/>
          </w:tcPr>
          <w:p>
            <w:pPr>
              <w:jc w:val="right"/>
              <w:ind w:right="397"/>
              <w:spacing w:after="0"/>
              <w:rPr>
                <w:sz w:val="20"/>
                <w:szCs w:val="20"/>
                <w:color w:val="auto"/>
              </w:rPr>
            </w:pPr>
            <w:r>
              <w:rPr>
                <w:rFonts w:ascii="Arial" w:cs="Arial" w:eastAsia="Arial" w:hAnsi="Arial"/>
                <w:sz w:val="14"/>
                <w:szCs w:val="14"/>
                <w:b w:val="1"/>
                <w:bCs w:val="1"/>
                <w:color w:val="auto"/>
              </w:rPr>
              <w:t>Discounts</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ind w:right="299"/>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Returns</w:t>
            </w:r>
          </w:p>
        </w:tc>
        <w:tc>
          <w:tcPr>
            <w:tcW w:w="380" w:type="dxa"/>
            <w:vAlign w:val="bottom"/>
          </w:tcPr>
          <w:p>
            <w:pPr>
              <w:spacing w:after="0"/>
              <w:rPr>
                <w:sz w:val="16"/>
                <w:szCs w:val="16"/>
                <w:color w:val="auto"/>
              </w:rPr>
            </w:pPr>
          </w:p>
        </w:tc>
        <w:tc>
          <w:tcPr>
            <w:tcW w:w="1200" w:type="dxa"/>
            <w:vAlign w:val="bottom"/>
          </w:tcPr>
          <w:p>
            <w:pPr>
              <w:jc w:val="right"/>
              <w:ind w:right="557"/>
              <w:spacing w:after="0"/>
              <w:rPr>
                <w:sz w:val="20"/>
                <w:szCs w:val="20"/>
                <w:color w:val="auto"/>
              </w:rPr>
            </w:pPr>
            <w:r>
              <w:rPr>
                <w:rFonts w:ascii="Arial" w:cs="Arial" w:eastAsia="Arial" w:hAnsi="Arial"/>
                <w:sz w:val="14"/>
                <w:szCs w:val="14"/>
                <w:b w:val="1"/>
                <w:bCs w:val="1"/>
                <w:color w:val="auto"/>
              </w:rPr>
              <w:t>Total</w:t>
            </w:r>
          </w:p>
        </w:tc>
      </w:tr>
      <w:tr>
        <w:trPr>
          <w:trHeight w:val="228"/>
        </w:trPr>
        <w:tc>
          <w:tcPr>
            <w:tcW w:w="468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2573BA"/>
              </w:rPr>
              <w:t>2017</w:t>
            </w:r>
          </w:p>
        </w:tc>
        <w:tc>
          <w:tcPr>
            <w:tcW w:w="300" w:type="dxa"/>
            <w:vAlign w:val="bottom"/>
            <w:tcBorders>
              <w:top w:val="single" w:sz="8" w:color="auto"/>
            </w:tcBorders>
            <w:shd w:val="clear" w:color="auto" w:fill="DDDDDD"/>
          </w:tcPr>
          <w:p>
            <w:pPr>
              <w:spacing w:after="0"/>
              <w:rPr>
                <w:sz w:val="19"/>
                <w:szCs w:val="19"/>
                <w:color w:val="auto"/>
              </w:rPr>
            </w:pPr>
          </w:p>
        </w:tc>
        <w:tc>
          <w:tcPr>
            <w:tcW w:w="1320" w:type="dxa"/>
            <w:vAlign w:val="bottom"/>
            <w:tcBorders>
              <w:top w:val="single" w:sz="8" w:color="auto"/>
            </w:tcBorders>
            <w:shd w:val="clear" w:color="auto" w:fill="DDDDDD"/>
          </w:tcPr>
          <w:p>
            <w:pPr>
              <w:spacing w:after="0"/>
              <w:rPr>
                <w:sz w:val="19"/>
                <w:szCs w:val="19"/>
                <w:color w:val="auto"/>
              </w:rPr>
            </w:pPr>
          </w:p>
        </w:tc>
        <w:tc>
          <w:tcPr>
            <w:tcW w:w="120" w:type="dxa"/>
            <w:vAlign w:val="bottom"/>
            <w:tcBorders>
              <w:top w:val="single" w:sz="8" w:color="DDDDDD"/>
            </w:tcBorders>
            <w:shd w:val="clear" w:color="auto" w:fill="DDDDDD"/>
          </w:tcPr>
          <w:p>
            <w:pPr>
              <w:spacing w:after="0"/>
              <w:rPr>
                <w:sz w:val="19"/>
                <w:szCs w:val="19"/>
                <w:color w:val="auto"/>
              </w:rPr>
            </w:pPr>
          </w:p>
        </w:tc>
        <w:tc>
          <w:tcPr>
            <w:tcW w:w="260" w:type="dxa"/>
            <w:vAlign w:val="bottom"/>
            <w:tcBorders>
              <w:top w:val="single" w:sz="8" w:color="auto"/>
            </w:tcBorders>
            <w:shd w:val="clear" w:color="auto" w:fill="DDDDDD"/>
          </w:tcPr>
          <w:p>
            <w:pPr>
              <w:spacing w:after="0"/>
              <w:rPr>
                <w:sz w:val="19"/>
                <w:szCs w:val="19"/>
                <w:color w:val="auto"/>
              </w:rPr>
            </w:pPr>
          </w:p>
        </w:tc>
        <w:tc>
          <w:tcPr>
            <w:tcW w:w="1340" w:type="dxa"/>
            <w:vAlign w:val="bottom"/>
            <w:tcBorders>
              <w:top w:val="single" w:sz="8" w:color="auto"/>
            </w:tcBorders>
            <w:shd w:val="clear" w:color="auto" w:fill="DDDDDD"/>
          </w:tcPr>
          <w:p>
            <w:pPr>
              <w:spacing w:after="0"/>
              <w:rPr>
                <w:sz w:val="19"/>
                <w:szCs w:val="19"/>
                <w:color w:val="auto"/>
              </w:rPr>
            </w:pPr>
          </w:p>
        </w:tc>
        <w:tc>
          <w:tcPr>
            <w:tcW w:w="100" w:type="dxa"/>
            <w:vAlign w:val="bottom"/>
            <w:tcBorders>
              <w:top w:val="single" w:sz="8" w:color="DDDDDD"/>
            </w:tcBorders>
            <w:shd w:val="clear" w:color="auto" w:fill="DDDDDD"/>
          </w:tcPr>
          <w:p>
            <w:pPr>
              <w:spacing w:after="0"/>
              <w:rPr>
                <w:sz w:val="19"/>
                <w:szCs w:val="19"/>
                <w:color w:val="auto"/>
              </w:rPr>
            </w:pPr>
          </w:p>
        </w:tc>
        <w:tc>
          <w:tcPr>
            <w:tcW w:w="320" w:type="dxa"/>
            <w:vAlign w:val="bottom"/>
            <w:tcBorders>
              <w:top w:val="single" w:sz="8" w:color="auto"/>
            </w:tcBorders>
            <w:shd w:val="clear" w:color="auto" w:fill="DDDDDD"/>
          </w:tcPr>
          <w:p>
            <w:pPr>
              <w:spacing w:after="0"/>
              <w:rPr>
                <w:sz w:val="19"/>
                <w:szCs w:val="19"/>
                <w:color w:val="auto"/>
              </w:rPr>
            </w:pPr>
          </w:p>
        </w:tc>
        <w:tc>
          <w:tcPr>
            <w:tcW w:w="1260" w:type="dxa"/>
            <w:vAlign w:val="bottom"/>
            <w:tcBorders>
              <w:top w:val="single" w:sz="8" w:color="auto"/>
            </w:tcBorders>
            <w:shd w:val="clear" w:color="auto" w:fill="DDDDDD"/>
          </w:tcPr>
          <w:p>
            <w:pPr>
              <w:spacing w:after="0"/>
              <w:rPr>
                <w:sz w:val="19"/>
                <w:szCs w:val="19"/>
                <w:color w:val="auto"/>
              </w:rPr>
            </w:pPr>
          </w:p>
        </w:tc>
        <w:tc>
          <w:tcPr>
            <w:tcW w:w="120" w:type="dxa"/>
            <w:vAlign w:val="bottom"/>
            <w:tcBorders>
              <w:top w:val="single" w:sz="8" w:color="DDDDDD"/>
            </w:tcBorders>
            <w:shd w:val="clear" w:color="auto" w:fill="DDDDDD"/>
          </w:tcPr>
          <w:p>
            <w:pPr>
              <w:spacing w:after="0"/>
              <w:rPr>
                <w:sz w:val="19"/>
                <w:szCs w:val="19"/>
                <w:color w:val="auto"/>
              </w:rPr>
            </w:pPr>
          </w:p>
        </w:tc>
        <w:tc>
          <w:tcPr>
            <w:tcW w:w="380" w:type="dxa"/>
            <w:vAlign w:val="bottom"/>
            <w:tcBorders>
              <w:top w:val="single" w:sz="8" w:color="auto"/>
            </w:tcBorders>
            <w:shd w:val="clear" w:color="auto" w:fill="DDDDDD"/>
          </w:tcPr>
          <w:p>
            <w:pPr>
              <w:spacing w:after="0"/>
              <w:rPr>
                <w:sz w:val="19"/>
                <w:szCs w:val="19"/>
                <w:color w:val="auto"/>
              </w:rPr>
            </w:pPr>
          </w:p>
        </w:tc>
        <w:tc>
          <w:tcPr>
            <w:tcW w:w="1200" w:type="dxa"/>
            <w:vAlign w:val="bottom"/>
            <w:tcBorders>
              <w:top w:val="single" w:sz="8" w:color="auto"/>
            </w:tcBorders>
            <w:shd w:val="clear" w:color="auto" w:fill="DDDDDD"/>
          </w:tcPr>
          <w:p>
            <w:pPr>
              <w:spacing w:after="0"/>
              <w:rPr>
                <w:sz w:val="19"/>
                <w:szCs w:val="19"/>
                <w:color w:val="auto"/>
              </w:rPr>
            </w:pPr>
          </w:p>
        </w:tc>
      </w:tr>
      <w:tr>
        <w:trPr>
          <w:trHeight w:val="269"/>
        </w:trPr>
        <w:tc>
          <w:tcPr>
            <w:tcW w:w="4680" w:type="dxa"/>
            <w:vAlign w:val="bottom"/>
          </w:tcPr>
          <w:p>
            <w:pPr>
              <w:ind w:left="20"/>
              <w:spacing w:after="0"/>
              <w:rPr>
                <w:sz w:val="20"/>
                <w:szCs w:val="20"/>
                <w:color w:val="auto"/>
              </w:rPr>
            </w:pPr>
            <w:r>
              <w:rPr>
                <w:rFonts w:ascii="Arial" w:cs="Arial" w:eastAsia="Arial" w:hAnsi="Arial"/>
                <w:sz w:val="17"/>
                <w:szCs w:val="17"/>
                <w:color w:val="auto"/>
              </w:rPr>
              <w:t>Beginning balance</w:t>
            </w:r>
          </w:p>
        </w:tc>
        <w:tc>
          <w:tcPr>
            <w:tcW w:w="300" w:type="dxa"/>
            <w:vAlign w:val="bottom"/>
            <w:shd w:val="clear" w:color="auto" w:fill="DDDDDD"/>
          </w:tcPr>
          <w:p>
            <w:pPr>
              <w:jc w:val="right"/>
              <w:ind w:right="95"/>
              <w:spacing w:after="0"/>
              <w:rPr>
                <w:sz w:val="20"/>
                <w:szCs w:val="20"/>
                <w:color w:val="auto"/>
              </w:rPr>
            </w:pPr>
            <w:r>
              <w:rPr>
                <w:rFonts w:ascii="Arial" w:cs="Arial" w:eastAsia="Arial" w:hAnsi="Arial"/>
                <w:sz w:val="17"/>
                <w:szCs w:val="17"/>
                <w:color w:val="2573BA"/>
              </w:rPr>
              <w:t>$</w:t>
            </w:r>
          </w:p>
        </w:tc>
        <w:tc>
          <w:tcPr>
            <w:tcW w:w="132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71.6</w:t>
            </w:r>
          </w:p>
        </w:tc>
        <w:tc>
          <w:tcPr>
            <w:tcW w:w="380" w:type="dxa"/>
            <w:vAlign w:val="bottom"/>
            <w:gridSpan w:val="2"/>
            <w:shd w:val="clear" w:color="auto" w:fill="DDDDDD"/>
          </w:tcPr>
          <w:p>
            <w:pPr>
              <w:jc w:val="right"/>
              <w:ind w:right="55"/>
              <w:spacing w:after="0"/>
              <w:rPr>
                <w:sz w:val="20"/>
                <w:szCs w:val="20"/>
                <w:color w:val="auto"/>
              </w:rPr>
            </w:pPr>
            <w:r>
              <w:rPr>
                <w:rFonts w:ascii="Arial" w:cs="Arial" w:eastAsia="Arial" w:hAnsi="Arial"/>
                <w:sz w:val="17"/>
                <w:szCs w:val="17"/>
                <w:color w:val="2573BA"/>
              </w:rPr>
              <w:t>$</w:t>
            </w:r>
          </w:p>
        </w:tc>
        <w:tc>
          <w:tcPr>
            <w:tcW w:w="134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482.7</w:t>
            </w:r>
          </w:p>
        </w:tc>
        <w:tc>
          <w:tcPr>
            <w:tcW w:w="420" w:type="dxa"/>
            <w:vAlign w:val="bottom"/>
            <w:gridSpan w:val="2"/>
            <w:shd w:val="clear" w:color="auto" w:fill="DDDDDD"/>
          </w:tcPr>
          <w:p>
            <w:pPr>
              <w:jc w:val="right"/>
              <w:ind w:right="200"/>
              <w:spacing w:after="0"/>
              <w:rPr>
                <w:sz w:val="20"/>
                <w:szCs w:val="20"/>
                <w:color w:val="auto"/>
              </w:rPr>
            </w:pPr>
            <w:r>
              <w:rPr>
                <w:rFonts w:ascii="Arial" w:cs="Arial" w:eastAsia="Arial" w:hAnsi="Arial"/>
                <w:sz w:val="17"/>
                <w:szCs w:val="17"/>
                <w:color w:val="2573BA"/>
              </w:rPr>
              <w:t>$</w:t>
            </w:r>
          </w:p>
        </w:tc>
        <w:tc>
          <w:tcPr>
            <w:tcW w:w="126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51.2</w:t>
            </w:r>
          </w:p>
        </w:tc>
        <w:tc>
          <w:tcPr>
            <w:tcW w:w="120" w:type="dxa"/>
            <w:vAlign w:val="bottom"/>
            <w:shd w:val="clear" w:color="auto" w:fill="DDDDDD"/>
          </w:tcPr>
          <w:p>
            <w:pPr>
              <w:spacing w:after="0"/>
              <w:rPr>
                <w:sz w:val="23"/>
                <w:szCs w:val="23"/>
                <w:color w:val="auto"/>
              </w:rPr>
            </w:pPr>
          </w:p>
        </w:tc>
        <w:tc>
          <w:tcPr>
            <w:tcW w:w="380" w:type="dxa"/>
            <w:vAlign w:val="bottom"/>
            <w:shd w:val="clear" w:color="auto" w:fill="DDDDDD"/>
          </w:tcPr>
          <w:p>
            <w:pPr>
              <w:jc w:val="right"/>
              <w:ind w:right="175"/>
              <w:spacing w:after="0"/>
              <w:rPr>
                <w:sz w:val="20"/>
                <w:szCs w:val="20"/>
                <w:color w:val="auto"/>
              </w:rPr>
            </w:pPr>
            <w:r>
              <w:rPr>
                <w:rFonts w:ascii="Arial" w:cs="Arial" w:eastAsia="Arial" w:hAnsi="Arial"/>
                <w:sz w:val="17"/>
                <w:szCs w:val="17"/>
                <w:color w:val="2573BA"/>
              </w:rPr>
              <w:t>$</w:t>
            </w:r>
          </w:p>
        </w:tc>
        <w:tc>
          <w:tcPr>
            <w:tcW w:w="12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605.5</w:t>
            </w:r>
          </w:p>
        </w:tc>
      </w:tr>
      <w:tr>
        <w:trPr>
          <w:trHeight w:val="256"/>
        </w:trPr>
        <w:tc>
          <w:tcPr>
            <w:tcW w:w="4680" w:type="dxa"/>
            <w:vAlign w:val="bottom"/>
          </w:tcPr>
          <w:p>
            <w:pPr>
              <w:ind w:left="160"/>
              <w:spacing w:after="0"/>
              <w:rPr>
                <w:sz w:val="20"/>
                <w:szCs w:val="20"/>
                <w:color w:val="auto"/>
              </w:rPr>
            </w:pPr>
            <w:r>
              <w:rPr>
                <w:rFonts w:ascii="Arial" w:cs="Arial" w:eastAsia="Arial" w:hAnsi="Arial"/>
                <w:sz w:val="17"/>
                <w:szCs w:val="17"/>
                <w:color w:val="auto"/>
              </w:rPr>
              <w:t>Current provisions relating to sales in current year</w:t>
            </w:r>
          </w:p>
        </w:tc>
        <w:tc>
          <w:tcPr>
            <w:tcW w:w="300" w:type="dxa"/>
            <w:vAlign w:val="bottom"/>
            <w:shd w:val="clear" w:color="auto" w:fill="DDDDDD"/>
          </w:tcPr>
          <w:p>
            <w:pPr>
              <w:spacing w:after="0"/>
              <w:rPr>
                <w:sz w:val="22"/>
                <w:szCs w:val="22"/>
                <w:color w:val="auto"/>
              </w:rPr>
            </w:pPr>
          </w:p>
        </w:tc>
        <w:tc>
          <w:tcPr>
            <w:tcW w:w="132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583.0</w:t>
            </w:r>
          </w:p>
        </w:tc>
        <w:tc>
          <w:tcPr>
            <w:tcW w:w="12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134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2,307.4</w:t>
            </w:r>
          </w:p>
        </w:tc>
        <w:tc>
          <w:tcPr>
            <w:tcW w:w="100" w:type="dxa"/>
            <w:vAlign w:val="bottom"/>
            <w:shd w:val="clear" w:color="auto" w:fill="DDDDDD"/>
          </w:tcPr>
          <w:p>
            <w:pPr>
              <w:spacing w:after="0"/>
              <w:rPr>
                <w:sz w:val="22"/>
                <w:szCs w:val="22"/>
                <w:color w:val="auto"/>
              </w:rPr>
            </w:pPr>
          </w:p>
        </w:tc>
        <w:tc>
          <w:tcPr>
            <w:tcW w:w="320" w:type="dxa"/>
            <w:vAlign w:val="bottom"/>
            <w:shd w:val="clear" w:color="auto" w:fill="DDDDDD"/>
          </w:tcPr>
          <w:p>
            <w:pPr>
              <w:spacing w:after="0"/>
              <w:rPr>
                <w:sz w:val="22"/>
                <w:szCs w:val="22"/>
                <w:color w:val="auto"/>
              </w:rPr>
            </w:pPr>
          </w:p>
        </w:tc>
        <w:tc>
          <w:tcPr>
            <w:tcW w:w="126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26.9</w:t>
            </w:r>
          </w:p>
        </w:tc>
        <w:tc>
          <w:tcPr>
            <w:tcW w:w="120" w:type="dxa"/>
            <w:vAlign w:val="bottom"/>
            <w:shd w:val="clear" w:color="auto" w:fill="DDDDDD"/>
          </w:tcPr>
          <w:p>
            <w:pPr>
              <w:spacing w:after="0"/>
              <w:rPr>
                <w:sz w:val="22"/>
                <w:szCs w:val="22"/>
                <w:color w:val="auto"/>
              </w:rPr>
            </w:pPr>
          </w:p>
        </w:tc>
        <w:tc>
          <w:tcPr>
            <w:tcW w:w="380" w:type="dxa"/>
            <w:vAlign w:val="bottom"/>
            <w:shd w:val="clear" w:color="auto" w:fill="DDDDDD"/>
          </w:tcPr>
          <w:p>
            <w:pPr>
              <w:spacing w:after="0"/>
              <w:rPr>
                <w:sz w:val="22"/>
                <w:szCs w:val="22"/>
                <w:color w:val="auto"/>
              </w:rPr>
            </w:pPr>
          </w:p>
        </w:tc>
        <w:tc>
          <w:tcPr>
            <w:tcW w:w="12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2,917.3</w:t>
            </w:r>
          </w:p>
        </w:tc>
      </w:tr>
      <w:tr>
        <w:trPr>
          <w:trHeight w:val="256"/>
        </w:trPr>
        <w:tc>
          <w:tcPr>
            <w:tcW w:w="4680" w:type="dxa"/>
            <w:vAlign w:val="bottom"/>
          </w:tcPr>
          <w:p>
            <w:pPr>
              <w:ind w:left="160"/>
              <w:spacing w:after="0"/>
              <w:rPr>
                <w:sz w:val="20"/>
                <w:szCs w:val="20"/>
                <w:color w:val="auto"/>
              </w:rPr>
            </w:pPr>
            <w:r>
              <w:rPr>
                <w:rFonts w:ascii="Arial" w:cs="Arial" w:eastAsia="Arial" w:hAnsi="Arial"/>
                <w:sz w:val="17"/>
                <w:szCs w:val="17"/>
                <w:color w:val="auto"/>
              </w:rPr>
              <w:t>Adjustments relating to prior years</w:t>
            </w:r>
          </w:p>
        </w:tc>
        <w:tc>
          <w:tcPr>
            <w:tcW w:w="300" w:type="dxa"/>
            <w:vAlign w:val="bottom"/>
            <w:shd w:val="clear" w:color="auto" w:fill="DDDDDD"/>
          </w:tcPr>
          <w:p>
            <w:pPr>
              <w:spacing w:after="0"/>
              <w:rPr>
                <w:sz w:val="22"/>
                <w:szCs w:val="22"/>
                <w:color w:val="auto"/>
              </w:rPr>
            </w:pPr>
          </w:p>
        </w:tc>
        <w:tc>
          <w:tcPr>
            <w:tcW w:w="132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(0.1)</w:t>
            </w:r>
          </w:p>
        </w:tc>
        <w:tc>
          <w:tcPr>
            <w:tcW w:w="12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134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15.0</w:t>
            </w:r>
          </w:p>
        </w:tc>
        <w:tc>
          <w:tcPr>
            <w:tcW w:w="100" w:type="dxa"/>
            <w:vAlign w:val="bottom"/>
            <w:shd w:val="clear" w:color="auto" w:fill="DDDDDD"/>
          </w:tcPr>
          <w:p>
            <w:pPr>
              <w:spacing w:after="0"/>
              <w:rPr>
                <w:sz w:val="22"/>
                <w:szCs w:val="22"/>
                <w:color w:val="auto"/>
              </w:rPr>
            </w:pPr>
          </w:p>
        </w:tc>
        <w:tc>
          <w:tcPr>
            <w:tcW w:w="320" w:type="dxa"/>
            <w:vAlign w:val="bottom"/>
            <w:shd w:val="clear" w:color="auto" w:fill="DDDDDD"/>
          </w:tcPr>
          <w:p>
            <w:pPr>
              <w:spacing w:after="0"/>
              <w:rPr>
                <w:sz w:val="22"/>
                <w:szCs w:val="22"/>
                <w:color w:val="auto"/>
              </w:rPr>
            </w:pPr>
          </w:p>
        </w:tc>
        <w:tc>
          <w:tcPr>
            <w:tcW w:w="12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(8.9)</w:t>
            </w:r>
          </w:p>
        </w:tc>
        <w:tc>
          <w:tcPr>
            <w:tcW w:w="120" w:type="dxa"/>
            <w:vAlign w:val="bottom"/>
            <w:shd w:val="clear" w:color="auto" w:fill="DDDDDD"/>
          </w:tcPr>
          <w:p>
            <w:pPr>
              <w:spacing w:after="0"/>
              <w:rPr>
                <w:sz w:val="22"/>
                <w:szCs w:val="22"/>
                <w:color w:val="auto"/>
              </w:rPr>
            </w:pPr>
          </w:p>
        </w:tc>
        <w:tc>
          <w:tcPr>
            <w:tcW w:w="380" w:type="dxa"/>
            <w:vAlign w:val="bottom"/>
            <w:shd w:val="clear" w:color="auto" w:fill="DDDDDD"/>
          </w:tcPr>
          <w:p>
            <w:pPr>
              <w:spacing w:after="0"/>
              <w:rPr>
                <w:sz w:val="22"/>
                <w:szCs w:val="22"/>
                <w:color w:val="auto"/>
              </w:rPr>
            </w:pPr>
          </w:p>
        </w:tc>
        <w:tc>
          <w:tcPr>
            <w:tcW w:w="12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6.0</w:t>
            </w:r>
          </w:p>
        </w:tc>
      </w:tr>
      <w:tr>
        <w:trPr>
          <w:trHeight w:val="256"/>
        </w:trPr>
        <w:tc>
          <w:tcPr>
            <w:tcW w:w="4680" w:type="dxa"/>
            <w:vAlign w:val="bottom"/>
          </w:tcPr>
          <w:p>
            <w:pPr>
              <w:ind w:left="160"/>
              <w:spacing w:after="0"/>
              <w:rPr>
                <w:sz w:val="20"/>
                <w:szCs w:val="20"/>
                <w:color w:val="auto"/>
              </w:rPr>
            </w:pPr>
            <w:r>
              <w:rPr>
                <w:rFonts w:ascii="Arial" w:cs="Arial" w:eastAsia="Arial" w:hAnsi="Arial"/>
                <w:sz w:val="17"/>
                <w:szCs w:val="17"/>
                <w:color w:val="auto"/>
              </w:rPr>
              <w:t>Payments/returns relating to sales in current year</w:t>
            </w:r>
          </w:p>
        </w:tc>
        <w:tc>
          <w:tcPr>
            <w:tcW w:w="300" w:type="dxa"/>
            <w:vAlign w:val="bottom"/>
            <w:shd w:val="clear" w:color="auto" w:fill="DDDDDD"/>
          </w:tcPr>
          <w:p>
            <w:pPr>
              <w:spacing w:after="0"/>
              <w:rPr>
                <w:sz w:val="22"/>
                <w:szCs w:val="22"/>
                <w:color w:val="auto"/>
              </w:rPr>
            </w:pPr>
          </w:p>
        </w:tc>
        <w:tc>
          <w:tcPr>
            <w:tcW w:w="132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(475.8)</w:t>
            </w:r>
          </w:p>
        </w:tc>
        <w:tc>
          <w:tcPr>
            <w:tcW w:w="12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134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(1,756.9)</w:t>
            </w:r>
          </w:p>
        </w:tc>
        <w:tc>
          <w:tcPr>
            <w:tcW w:w="100" w:type="dxa"/>
            <w:vAlign w:val="bottom"/>
            <w:shd w:val="clear" w:color="auto" w:fill="DDDDDD"/>
          </w:tcPr>
          <w:p>
            <w:pPr>
              <w:spacing w:after="0"/>
              <w:rPr>
                <w:sz w:val="22"/>
                <w:szCs w:val="22"/>
                <w:color w:val="auto"/>
              </w:rPr>
            </w:pPr>
          </w:p>
        </w:tc>
        <w:tc>
          <w:tcPr>
            <w:tcW w:w="320" w:type="dxa"/>
            <w:vAlign w:val="bottom"/>
            <w:shd w:val="clear" w:color="auto" w:fill="DDDDDD"/>
          </w:tcPr>
          <w:p>
            <w:pPr>
              <w:spacing w:after="0"/>
              <w:rPr>
                <w:sz w:val="22"/>
                <w:szCs w:val="22"/>
                <w:color w:val="auto"/>
              </w:rPr>
            </w:pPr>
          </w:p>
        </w:tc>
        <w:tc>
          <w:tcPr>
            <w:tcW w:w="12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(0.1)</w:t>
            </w:r>
          </w:p>
        </w:tc>
        <w:tc>
          <w:tcPr>
            <w:tcW w:w="120" w:type="dxa"/>
            <w:vAlign w:val="bottom"/>
            <w:shd w:val="clear" w:color="auto" w:fill="DDDDDD"/>
          </w:tcPr>
          <w:p>
            <w:pPr>
              <w:spacing w:after="0"/>
              <w:rPr>
                <w:sz w:val="22"/>
                <w:szCs w:val="22"/>
                <w:color w:val="auto"/>
              </w:rPr>
            </w:pPr>
          </w:p>
        </w:tc>
        <w:tc>
          <w:tcPr>
            <w:tcW w:w="380" w:type="dxa"/>
            <w:vAlign w:val="bottom"/>
            <w:shd w:val="clear" w:color="auto" w:fill="DDDDDD"/>
          </w:tcPr>
          <w:p>
            <w:pPr>
              <w:spacing w:after="0"/>
              <w:rPr>
                <w:sz w:val="22"/>
                <w:szCs w:val="22"/>
                <w:color w:val="auto"/>
              </w:rPr>
            </w:pPr>
          </w:p>
        </w:tc>
        <w:tc>
          <w:tcPr>
            <w:tcW w:w="120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(2,232.8)</w:t>
            </w:r>
          </w:p>
        </w:tc>
      </w:tr>
      <w:tr>
        <w:trPr>
          <w:trHeight w:val="263"/>
        </w:trPr>
        <w:tc>
          <w:tcPr>
            <w:tcW w:w="4680" w:type="dxa"/>
            <w:vAlign w:val="bottom"/>
          </w:tcPr>
          <w:p>
            <w:pPr>
              <w:ind w:left="160"/>
              <w:spacing w:after="0"/>
              <w:rPr>
                <w:sz w:val="20"/>
                <w:szCs w:val="20"/>
                <w:color w:val="auto"/>
              </w:rPr>
            </w:pPr>
            <w:r>
              <w:rPr>
                <w:rFonts w:ascii="Arial" w:cs="Arial" w:eastAsia="Arial" w:hAnsi="Arial"/>
                <w:sz w:val="17"/>
                <w:szCs w:val="17"/>
                <w:color w:val="auto"/>
              </w:rPr>
              <w:t>Payments/returns relating to sales in prior years</w:t>
            </w:r>
          </w:p>
        </w:tc>
        <w:tc>
          <w:tcPr>
            <w:tcW w:w="300" w:type="dxa"/>
            <w:vAlign w:val="bottom"/>
            <w:tcBorders>
              <w:bottom w:val="single" w:sz="8" w:color="auto"/>
            </w:tcBorders>
            <w:shd w:val="clear" w:color="auto" w:fill="DDDDDD"/>
          </w:tcPr>
          <w:p>
            <w:pPr>
              <w:spacing w:after="0"/>
              <w:rPr>
                <w:sz w:val="22"/>
                <w:szCs w:val="22"/>
                <w:color w:val="auto"/>
              </w:rPr>
            </w:pPr>
          </w:p>
        </w:tc>
        <w:tc>
          <w:tcPr>
            <w:tcW w:w="1320" w:type="dxa"/>
            <w:vAlign w:val="bottom"/>
            <w:tcBorders>
              <w:bottom w:val="single" w:sz="8" w:color="auto"/>
            </w:tcBorders>
            <w:shd w:val="clear" w:color="auto" w:fill="DDDDDD"/>
          </w:tcPr>
          <w:p>
            <w:pPr>
              <w:jc w:val="right"/>
              <w:ind w:right="37"/>
              <w:spacing w:after="0"/>
              <w:rPr>
                <w:sz w:val="20"/>
                <w:szCs w:val="20"/>
                <w:color w:val="auto"/>
              </w:rPr>
            </w:pPr>
            <w:r>
              <w:rPr>
                <w:rFonts w:ascii="Arial" w:cs="Arial" w:eastAsia="Arial" w:hAnsi="Arial"/>
                <w:sz w:val="17"/>
                <w:szCs w:val="17"/>
                <w:color w:val="2573BA"/>
              </w:rPr>
              <w:t>(69.1)</w:t>
            </w:r>
          </w:p>
        </w:tc>
        <w:tc>
          <w:tcPr>
            <w:tcW w:w="120" w:type="dxa"/>
            <w:vAlign w:val="bottom"/>
            <w:tcBorders>
              <w:bottom w:val="single" w:sz="8" w:color="DDDDDD"/>
            </w:tcBorders>
            <w:shd w:val="clear" w:color="auto" w:fill="DDDDDD"/>
          </w:tcPr>
          <w:p>
            <w:pPr>
              <w:spacing w:after="0"/>
              <w:rPr>
                <w:sz w:val="22"/>
                <w:szCs w:val="22"/>
                <w:color w:val="auto"/>
              </w:rPr>
            </w:pPr>
          </w:p>
        </w:tc>
        <w:tc>
          <w:tcPr>
            <w:tcW w:w="260" w:type="dxa"/>
            <w:vAlign w:val="bottom"/>
            <w:tcBorders>
              <w:bottom w:val="single" w:sz="8" w:color="auto"/>
            </w:tcBorders>
            <w:shd w:val="clear" w:color="auto" w:fill="DDDDDD"/>
          </w:tcPr>
          <w:p>
            <w:pPr>
              <w:spacing w:after="0"/>
              <w:rPr>
                <w:sz w:val="22"/>
                <w:szCs w:val="22"/>
                <w:color w:val="auto"/>
              </w:rPr>
            </w:pPr>
          </w:p>
        </w:tc>
        <w:tc>
          <w:tcPr>
            <w:tcW w:w="1340" w:type="dxa"/>
            <w:vAlign w:val="bottom"/>
            <w:tcBorders>
              <w:bottom w:val="single" w:sz="8" w:color="auto"/>
            </w:tcBorders>
            <w:shd w:val="clear" w:color="auto" w:fill="DDDDDD"/>
          </w:tcPr>
          <w:p>
            <w:pPr>
              <w:jc w:val="right"/>
              <w:ind w:right="19"/>
              <w:spacing w:after="0"/>
              <w:rPr>
                <w:sz w:val="20"/>
                <w:szCs w:val="20"/>
                <w:color w:val="auto"/>
              </w:rPr>
            </w:pPr>
            <w:r>
              <w:rPr>
                <w:rFonts w:ascii="Arial" w:cs="Arial" w:eastAsia="Arial" w:hAnsi="Arial"/>
                <w:sz w:val="17"/>
                <w:szCs w:val="17"/>
                <w:color w:val="2573BA"/>
              </w:rPr>
              <w:t>(442.2)</w:t>
            </w:r>
          </w:p>
        </w:tc>
        <w:tc>
          <w:tcPr>
            <w:tcW w:w="100" w:type="dxa"/>
            <w:vAlign w:val="bottom"/>
            <w:tcBorders>
              <w:bottom w:val="single" w:sz="8" w:color="DDDDDD"/>
            </w:tcBorders>
            <w:shd w:val="clear" w:color="auto" w:fill="DDDDDD"/>
          </w:tcPr>
          <w:p>
            <w:pPr>
              <w:spacing w:after="0"/>
              <w:rPr>
                <w:sz w:val="22"/>
                <w:szCs w:val="22"/>
                <w:color w:val="auto"/>
              </w:rPr>
            </w:pPr>
          </w:p>
        </w:tc>
        <w:tc>
          <w:tcPr>
            <w:tcW w:w="320" w:type="dxa"/>
            <w:vAlign w:val="bottom"/>
            <w:tcBorders>
              <w:bottom w:val="single" w:sz="8" w:color="auto"/>
            </w:tcBorders>
            <w:shd w:val="clear" w:color="auto" w:fill="DDDDDD"/>
          </w:tcPr>
          <w:p>
            <w:pPr>
              <w:spacing w:after="0"/>
              <w:rPr>
                <w:sz w:val="22"/>
                <w:szCs w:val="22"/>
                <w:color w:val="auto"/>
              </w:rPr>
            </w:pPr>
          </w:p>
        </w:tc>
        <w:tc>
          <w:tcPr>
            <w:tcW w:w="12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(23.1)</w:t>
            </w:r>
          </w:p>
        </w:tc>
        <w:tc>
          <w:tcPr>
            <w:tcW w:w="120" w:type="dxa"/>
            <w:vAlign w:val="bottom"/>
            <w:tcBorders>
              <w:bottom w:val="single" w:sz="8" w:color="DDDDDD"/>
            </w:tcBorders>
            <w:shd w:val="clear" w:color="auto" w:fill="DDDDDD"/>
          </w:tcPr>
          <w:p>
            <w:pPr>
              <w:spacing w:after="0"/>
              <w:rPr>
                <w:sz w:val="22"/>
                <w:szCs w:val="22"/>
                <w:color w:val="auto"/>
              </w:rPr>
            </w:pPr>
          </w:p>
        </w:tc>
        <w:tc>
          <w:tcPr>
            <w:tcW w:w="380" w:type="dxa"/>
            <w:vAlign w:val="bottom"/>
            <w:tcBorders>
              <w:bottom w:val="single" w:sz="8" w:color="auto"/>
            </w:tcBorders>
            <w:shd w:val="clear" w:color="auto" w:fill="DDDDDD"/>
          </w:tcPr>
          <w:p>
            <w:pPr>
              <w:spacing w:after="0"/>
              <w:rPr>
                <w:sz w:val="22"/>
                <w:szCs w:val="22"/>
                <w:color w:val="auto"/>
              </w:rPr>
            </w:pPr>
          </w:p>
        </w:tc>
        <w:tc>
          <w:tcPr>
            <w:tcW w:w="12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(534.4)</w:t>
            </w:r>
          </w:p>
        </w:tc>
      </w:tr>
      <w:tr>
        <w:trPr>
          <w:trHeight w:val="236"/>
        </w:trPr>
        <w:tc>
          <w:tcPr>
            <w:tcW w:w="4680" w:type="dxa"/>
            <w:vAlign w:val="bottom"/>
          </w:tcPr>
          <w:p>
            <w:pPr>
              <w:ind w:left="20"/>
              <w:spacing w:after="0"/>
              <w:rPr>
                <w:sz w:val="20"/>
                <w:szCs w:val="20"/>
                <w:color w:val="auto"/>
              </w:rPr>
            </w:pPr>
            <w:r>
              <w:rPr>
                <w:rFonts w:ascii="Arial" w:cs="Arial" w:eastAsia="Arial" w:hAnsi="Arial"/>
                <w:sz w:val="17"/>
                <w:szCs w:val="17"/>
                <w:color w:val="auto"/>
              </w:rPr>
              <w:t>Ending balance</w:t>
            </w:r>
          </w:p>
        </w:tc>
        <w:tc>
          <w:tcPr>
            <w:tcW w:w="300" w:type="dxa"/>
            <w:vAlign w:val="bottom"/>
            <w:shd w:val="clear" w:color="auto" w:fill="DDDDDD"/>
          </w:tcPr>
          <w:p>
            <w:pPr>
              <w:jc w:val="right"/>
              <w:ind w:right="95"/>
              <w:spacing w:after="0"/>
              <w:rPr>
                <w:sz w:val="20"/>
                <w:szCs w:val="20"/>
                <w:color w:val="auto"/>
              </w:rPr>
            </w:pPr>
            <w:r>
              <w:rPr>
                <w:rFonts w:ascii="Arial" w:cs="Arial" w:eastAsia="Arial" w:hAnsi="Arial"/>
                <w:sz w:val="17"/>
                <w:szCs w:val="17"/>
                <w:color w:val="2573BA"/>
              </w:rPr>
              <w:t>$</w:t>
            </w:r>
          </w:p>
        </w:tc>
        <w:tc>
          <w:tcPr>
            <w:tcW w:w="132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109.6</w:t>
            </w:r>
          </w:p>
        </w:tc>
        <w:tc>
          <w:tcPr>
            <w:tcW w:w="120" w:type="dxa"/>
            <w:vAlign w:val="bottom"/>
            <w:shd w:val="clear" w:color="auto" w:fill="DDDDDD"/>
          </w:tcPr>
          <w:p>
            <w:pPr>
              <w:spacing w:after="0"/>
              <w:rPr>
                <w:sz w:val="20"/>
                <w:szCs w:val="20"/>
                <w:color w:val="auto"/>
              </w:rPr>
            </w:pPr>
          </w:p>
        </w:tc>
        <w:tc>
          <w:tcPr>
            <w:tcW w:w="260" w:type="dxa"/>
            <w:vAlign w:val="bottom"/>
            <w:shd w:val="clear" w:color="auto" w:fill="DDDDDD"/>
          </w:tcPr>
          <w:p>
            <w:pPr>
              <w:jc w:val="right"/>
              <w:ind w:right="55"/>
              <w:spacing w:after="0"/>
              <w:rPr>
                <w:sz w:val="20"/>
                <w:szCs w:val="20"/>
                <w:color w:val="auto"/>
              </w:rPr>
            </w:pPr>
            <w:r>
              <w:rPr>
                <w:rFonts w:ascii="Arial" w:cs="Arial" w:eastAsia="Arial" w:hAnsi="Arial"/>
                <w:sz w:val="17"/>
                <w:szCs w:val="17"/>
                <w:color w:val="2573BA"/>
              </w:rPr>
              <w:t>$</w:t>
            </w:r>
          </w:p>
        </w:tc>
        <w:tc>
          <w:tcPr>
            <w:tcW w:w="134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606.0</w:t>
            </w:r>
          </w:p>
        </w:tc>
        <w:tc>
          <w:tcPr>
            <w:tcW w:w="420" w:type="dxa"/>
            <w:vAlign w:val="bottom"/>
            <w:gridSpan w:val="2"/>
            <w:shd w:val="clear" w:color="auto" w:fill="DDDDDD"/>
          </w:tcPr>
          <w:p>
            <w:pPr>
              <w:jc w:val="right"/>
              <w:ind w:right="200"/>
              <w:spacing w:after="0"/>
              <w:rPr>
                <w:sz w:val="20"/>
                <w:szCs w:val="20"/>
                <w:color w:val="auto"/>
              </w:rPr>
            </w:pPr>
            <w:r>
              <w:rPr>
                <w:rFonts w:ascii="Arial" w:cs="Arial" w:eastAsia="Arial" w:hAnsi="Arial"/>
                <w:sz w:val="17"/>
                <w:szCs w:val="17"/>
                <w:color w:val="2573BA"/>
              </w:rPr>
              <w:t>$</w:t>
            </w:r>
          </w:p>
        </w:tc>
        <w:tc>
          <w:tcPr>
            <w:tcW w:w="126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46.0</w:t>
            </w:r>
          </w:p>
        </w:tc>
        <w:tc>
          <w:tcPr>
            <w:tcW w:w="120" w:type="dxa"/>
            <w:vAlign w:val="bottom"/>
            <w:shd w:val="clear" w:color="auto" w:fill="DDDDDD"/>
          </w:tcPr>
          <w:p>
            <w:pPr>
              <w:spacing w:after="0"/>
              <w:rPr>
                <w:sz w:val="20"/>
                <w:szCs w:val="20"/>
                <w:color w:val="auto"/>
              </w:rPr>
            </w:pPr>
          </w:p>
        </w:tc>
        <w:tc>
          <w:tcPr>
            <w:tcW w:w="380" w:type="dxa"/>
            <w:vAlign w:val="bottom"/>
            <w:shd w:val="clear" w:color="auto" w:fill="DDDDDD"/>
          </w:tcPr>
          <w:p>
            <w:pPr>
              <w:jc w:val="right"/>
              <w:ind w:right="175"/>
              <w:spacing w:after="0"/>
              <w:rPr>
                <w:sz w:val="20"/>
                <w:szCs w:val="20"/>
                <w:color w:val="auto"/>
              </w:rPr>
            </w:pPr>
            <w:r>
              <w:rPr>
                <w:rFonts w:ascii="Arial" w:cs="Arial" w:eastAsia="Arial" w:hAnsi="Arial"/>
                <w:sz w:val="17"/>
                <w:szCs w:val="17"/>
                <w:color w:val="2573BA"/>
              </w:rPr>
              <w:t>$</w:t>
            </w:r>
          </w:p>
        </w:tc>
        <w:tc>
          <w:tcPr>
            <w:tcW w:w="12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761.6</w:t>
            </w:r>
          </w:p>
        </w:tc>
      </w:tr>
      <w:tr>
        <w:trPr>
          <w:trHeight w:val="20"/>
        </w:trPr>
        <w:tc>
          <w:tcPr>
            <w:tcW w:w="46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420"/>
        </w:trPr>
        <w:tc>
          <w:tcPr>
            <w:tcW w:w="4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ind w:right="297"/>
              <w:spacing w:after="0"/>
              <w:rPr>
                <w:sz w:val="20"/>
                <w:szCs w:val="20"/>
                <w:color w:val="auto"/>
              </w:rPr>
            </w:pPr>
            <w:r>
              <w:rPr>
                <w:rFonts w:ascii="Arial" w:cs="Arial" w:eastAsia="Arial" w:hAnsi="Arial"/>
                <w:sz w:val="17"/>
                <w:szCs w:val="17"/>
                <w:color w:val="auto"/>
              </w:rPr>
              <w:t>F- 26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39" w:right="239" w:bottom="1440" w:gutter="0" w:footer="0" w:header="0"/>
        </w:sectPr>
      </w:pPr>
    </w:p>
    <w:bookmarkStart w:id="128" w:name="page129"/>
    <w:bookmarkEnd w:id="1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Contractual</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5"/>
        </w:trPr>
        <w:tc>
          <w:tcPr>
            <w:tcW w:w="47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1440" w:type="dxa"/>
            <w:vAlign w:val="bottom"/>
            <w:gridSpan w:val="3"/>
          </w:tcPr>
          <w:p>
            <w:pPr>
              <w:ind w:left="200"/>
              <w:spacing w:after="0"/>
              <w:rPr>
                <w:sz w:val="20"/>
                <w:szCs w:val="20"/>
                <w:color w:val="auto"/>
              </w:rPr>
            </w:pPr>
            <w:r>
              <w:rPr>
                <w:rFonts w:ascii="Arial" w:cs="Arial" w:eastAsia="Arial" w:hAnsi="Arial"/>
                <w:sz w:val="14"/>
                <w:szCs w:val="14"/>
                <w:b w:val="1"/>
                <w:bCs w:val="1"/>
                <w:color w:val="auto"/>
              </w:rPr>
              <w:t>Discounts</w:t>
            </w:r>
          </w:p>
        </w:tc>
        <w:tc>
          <w:tcPr>
            <w:tcW w:w="260" w:type="dxa"/>
            <w:vAlign w:val="bottom"/>
          </w:tcPr>
          <w:p>
            <w:pPr>
              <w:spacing w:after="0"/>
              <w:rPr>
                <w:sz w:val="16"/>
                <w:szCs w:val="16"/>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Adjustments</w:t>
            </w:r>
          </w:p>
        </w:tc>
        <w:tc>
          <w:tcPr>
            <w:tcW w:w="320" w:type="dxa"/>
            <w:vAlign w:val="bottom"/>
          </w:tcPr>
          <w:p>
            <w:pPr>
              <w:spacing w:after="0"/>
              <w:rPr>
                <w:sz w:val="16"/>
                <w:szCs w:val="16"/>
                <w:color w:val="auto"/>
              </w:rPr>
            </w:pPr>
          </w:p>
        </w:tc>
        <w:tc>
          <w:tcPr>
            <w:tcW w:w="1380" w:type="dxa"/>
            <w:vAlign w:val="bottom"/>
            <w:gridSpan w:val="3"/>
          </w:tcPr>
          <w:p>
            <w:pPr>
              <w:ind w:left="220"/>
              <w:spacing w:after="0"/>
              <w:rPr>
                <w:sz w:val="20"/>
                <w:szCs w:val="20"/>
                <w:color w:val="auto"/>
              </w:rPr>
            </w:pPr>
            <w:r>
              <w:rPr>
                <w:rFonts w:ascii="Arial" w:cs="Arial" w:eastAsia="Arial" w:hAnsi="Arial"/>
                <w:sz w:val="14"/>
                <w:szCs w:val="14"/>
                <w:b w:val="1"/>
                <w:bCs w:val="1"/>
                <w:color w:val="auto"/>
              </w:rPr>
              <w:t>Returns</w:t>
            </w:r>
          </w:p>
        </w:tc>
        <w:tc>
          <w:tcPr>
            <w:tcW w:w="380" w:type="dxa"/>
            <w:vAlign w:val="bottom"/>
          </w:tcPr>
          <w:p>
            <w:pPr>
              <w:spacing w:after="0"/>
              <w:rPr>
                <w:sz w:val="16"/>
                <w:szCs w:val="16"/>
                <w:color w:val="auto"/>
              </w:rPr>
            </w:pPr>
          </w:p>
        </w:tc>
        <w:tc>
          <w:tcPr>
            <w:tcW w:w="122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r>
      <w:tr>
        <w:trPr>
          <w:trHeight w:val="228"/>
        </w:trPr>
        <w:tc>
          <w:tcPr>
            <w:tcW w:w="468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2016</w:t>
            </w:r>
          </w:p>
        </w:tc>
        <w:tc>
          <w:tcPr>
            <w:tcW w:w="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r>
      <w:tr>
        <w:trPr>
          <w:trHeight w:val="269"/>
        </w:trPr>
        <w:tc>
          <w:tcPr>
            <w:tcW w:w="4700" w:type="dxa"/>
            <w:vAlign w:val="bottom"/>
            <w:gridSpan w:val="2"/>
          </w:tcPr>
          <w:p>
            <w:pPr>
              <w:ind w:left="20"/>
              <w:spacing w:after="0"/>
              <w:rPr>
                <w:sz w:val="20"/>
                <w:szCs w:val="20"/>
                <w:color w:val="auto"/>
              </w:rPr>
            </w:pPr>
            <w:r>
              <w:rPr>
                <w:rFonts w:ascii="Arial" w:cs="Arial" w:eastAsia="Arial" w:hAnsi="Arial"/>
                <w:sz w:val="17"/>
                <w:szCs w:val="17"/>
                <w:color w:val="auto"/>
              </w:rPr>
              <w:t>Beginning balance</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56.1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9"/>
              <w:spacing w:after="0"/>
              <w:rPr>
                <w:sz w:val="20"/>
                <w:szCs w:val="20"/>
                <w:color w:val="auto"/>
              </w:rPr>
            </w:pPr>
            <w:r>
              <w:rPr>
                <w:rFonts w:ascii="Arial" w:cs="Arial" w:eastAsia="Arial" w:hAnsi="Arial"/>
                <w:sz w:val="17"/>
                <w:szCs w:val="17"/>
                <w:color w:val="auto"/>
              </w:rPr>
              <w:t>548.7</w:t>
            </w:r>
          </w:p>
        </w:tc>
        <w:tc>
          <w:tcPr>
            <w:tcW w:w="100" w:type="dxa"/>
            <w:vAlign w:val="bottom"/>
          </w:tcPr>
          <w:p>
            <w:pPr>
              <w:spacing w:after="0"/>
              <w:rPr>
                <w:sz w:val="23"/>
                <w:szCs w:val="23"/>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57.9</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662.7</w:t>
            </w:r>
          </w:p>
        </w:tc>
        <w:tc>
          <w:tcPr>
            <w:tcW w:w="20" w:type="dxa"/>
            <w:vAlign w:val="bottom"/>
          </w:tcPr>
          <w:p>
            <w:pPr>
              <w:spacing w:after="0"/>
              <w:rPr>
                <w:sz w:val="23"/>
                <w:szCs w:val="23"/>
                <w:color w:val="auto"/>
              </w:rPr>
            </w:pPr>
          </w:p>
        </w:tc>
      </w:tr>
      <w:tr>
        <w:trPr>
          <w:trHeight w:val="256"/>
        </w:trPr>
        <w:tc>
          <w:tcPr>
            <w:tcW w:w="4700" w:type="dxa"/>
            <w:vAlign w:val="bottom"/>
            <w:gridSpan w:val="2"/>
          </w:tcPr>
          <w:p>
            <w:pPr>
              <w:ind w:left="160"/>
              <w:spacing w:after="0"/>
              <w:rPr>
                <w:sz w:val="20"/>
                <w:szCs w:val="20"/>
                <w:color w:val="auto"/>
              </w:rPr>
            </w:pPr>
            <w:r>
              <w:rPr>
                <w:rFonts w:ascii="Arial" w:cs="Arial" w:eastAsia="Arial" w:hAnsi="Arial"/>
                <w:sz w:val="17"/>
                <w:szCs w:val="17"/>
                <w:color w:val="auto"/>
              </w:rPr>
              <w:t>Current provisions relating to sales in current year</w:t>
            </w:r>
          </w:p>
        </w:tc>
        <w:tc>
          <w:tcPr>
            <w:tcW w:w="2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592.6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7"/>
                <w:szCs w:val="17"/>
                <w:color w:val="auto"/>
              </w:rPr>
              <w:t>2,044.5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30.9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2,668.0</w:t>
            </w:r>
          </w:p>
        </w:tc>
        <w:tc>
          <w:tcPr>
            <w:tcW w:w="20" w:type="dxa"/>
            <w:vAlign w:val="bottom"/>
          </w:tcPr>
          <w:p>
            <w:pPr>
              <w:spacing w:after="0"/>
              <w:rPr>
                <w:sz w:val="22"/>
                <w:szCs w:val="22"/>
                <w:color w:val="auto"/>
              </w:rPr>
            </w:pPr>
          </w:p>
        </w:tc>
      </w:tr>
      <w:tr>
        <w:trPr>
          <w:trHeight w:val="256"/>
        </w:trPr>
        <w:tc>
          <w:tcPr>
            <w:tcW w:w="4700" w:type="dxa"/>
            <w:vAlign w:val="bottom"/>
            <w:gridSpan w:val="2"/>
          </w:tcPr>
          <w:p>
            <w:pPr>
              <w:ind w:left="160"/>
              <w:spacing w:after="0"/>
              <w:rPr>
                <w:sz w:val="20"/>
                <w:szCs w:val="20"/>
                <w:color w:val="auto"/>
              </w:rPr>
            </w:pPr>
            <w:r>
              <w:rPr>
                <w:rFonts w:ascii="Arial" w:cs="Arial" w:eastAsia="Arial" w:hAnsi="Arial"/>
                <w:sz w:val="17"/>
                <w:szCs w:val="17"/>
                <w:color w:val="auto"/>
              </w:rPr>
              <w:t>Adjustments relating to prior years</w:t>
            </w:r>
          </w:p>
        </w:tc>
        <w:tc>
          <w:tcPr>
            <w:tcW w:w="2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(16.8)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(16.7)</w:t>
            </w:r>
          </w:p>
        </w:tc>
        <w:tc>
          <w:tcPr>
            <w:tcW w:w="20" w:type="dxa"/>
            <w:vAlign w:val="bottom"/>
          </w:tcPr>
          <w:p>
            <w:pPr>
              <w:spacing w:after="0"/>
              <w:rPr>
                <w:sz w:val="22"/>
                <w:szCs w:val="22"/>
                <w:color w:val="auto"/>
              </w:rPr>
            </w:pPr>
          </w:p>
        </w:tc>
      </w:tr>
      <w:tr>
        <w:trPr>
          <w:trHeight w:val="256"/>
        </w:trPr>
        <w:tc>
          <w:tcPr>
            <w:tcW w:w="4700" w:type="dxa"/>
            <w:vAlign w:val="bottom"/>
            <w:gridSpan w:val="2"/>
          </w:tcPr>
          <w:p>
            <w:pPr>
              <w:ind w:left="160"/>
              <w:spacing w:after="0"/>
              <w:rPr>
                <w:sz w:val="20"/>
                <w:szCs w:val="20"/>
                <w:color w:val="auto"/>
              </w:rPr>
            </w:pPr>
            <w:r>
              <w:rPr>
                <w:rFonts w:ascii="Arial" w:cs="Arial" w:eastAsia="Arial" w:hAnsi="Arial"/>
                <w:sz w:val="17"/>
                <w:szCs w:val="17"/>
                <w:color w:val="auto"/>
              </w:rPr>
              <w:t>Payments/returns relating to sales in current year</w:t>
            </w:r>
          </w:p>
        </w:tc>
        <w:tc>
          <w:tcPr>
            <w:tcW w:w="2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(522.5)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(1,576.0)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(2,099.5)</w:t>
            </w:r>
          </w:p>
        </w:tc>
        <w:tc>
          <w:tcPr>
            <w:tcW w:w="20" w:type="dxa"/>
            <w:vAlign w:val="bottom"/>
          </w:tcPr>
          <w:p>
            <w:pPr>
              <w:spacing w:after="0"/>
              <w:rPr>
                <w:sz w:val="22"/>
                <w:szCs w:val="22"/>
                <w:color w:val="auto"/>
              </w:rPr>
            </w:pPr>
          </w:p>
        </w:tc>
      </w:tr>
      <w:tr>
        <w:trPr>
          <w:trHeight w:val="263"/>
        </w:trPr>
        <w:tc>
          <w:tcPr>
            <w:tcW w:w="4700" w:type="dxa"/>
            <w:vAlign w:val="bottom"/>
            <w:gridSpan w:val="2"/>
          </w:tcPr>
          <w:p>
            <w:pPr>
              <w:ind w:left="160"/>
              <w:spacing w:after="0"/>
              <w:rPr>
                <w:sz w:val="20"/>
                <w:szCs w:val="20"/>
                <w:color w:val="auto"/>
              </w:rPr>
            </w:pPr>
            <w:r>
              <w:rPr>
                <w:rFonts w:ascii="Arial" w:cs="Arial" w:eastAsia="Arial" w:hAnsi="Arial"/>
                <w:sz w:val="17"/>
                <w:szCs w:val="17"/>
                <w:color w:val="auto"/>
              </w:rPr>
              <w:t>Payments/returns relating to sales in prior years</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(53.2)</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(536.0)</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(609.0)</w:t>
            </w:r>
          </w:p>
        </w:tc>
        <w:tc>
          <w:tcPr>
            <w:tcW w:w="20" w:type="dxa"/>
            <w:vAlign w:val="bottom"/>
            <w:tcBorders>
              <w:bottom w:val="single" w:sz="8" w:color="auto"/>
            </w:tcBorders>
          </w:tcPr>
          <w:p>
            <w:pPr>
              <w:spacing w:after="0"/>
              <w:rPr>
                <w:sz w:val="22"/>
                <w:szCs w:val="22"/>
                <w:color w:val="auto"/>
              </w:rPr>
            </w:pPr>
          </w:p>
        </w:tc>
      </w:tr>
      <w:tr>
        <w:trPr>
          <w:trHeight w:val="236"/>
        </w:trPr>
        <w:tc>
          <w:tcPr>
            <w:tcW w:w="4700" w:type="dxa"/>
            <w:vAlign w:val="bottom"/>
            <w:gridSpan w:val="2"/>
          </w:tcPr>
          <w:p>
            <w:pPr>
              <w:ind w:left="20"/>
              <w:spacing w:after="0"/>
              <w:rPr>
                <w:sz w:val="20"/>
                <w:szCs w:val="20"/>
                <w:color w:val="auto"/>
              </w:rPr>
            </w:pPr>
            <w:r>
              <w:rPr>
                <w:rFonts w:ascii="Arial" w:cs="Arial" w:eastAsia="Arial" w:hAnsi="Arial"/>
                <w:sz w:val="17"/>
                <w:szCs w:val="17"/>
                <w:color w:val="auto"/>
              </w:rPr>
              <w:t>Ending balance</w:t>
            </w: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71.6</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482.7</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51.2</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605.5</w:t>
            </w:r>
          </w:p>
        </w:tc>
        <w:tc>
          <w:tcPr>
            <w:tcW w:w="20" w:type="dxa"/>
            <w:vAlign w:val="bottom"/>
            <w:tcBorders>
              <w:bottom w:val="single" w:sz="8" w:color="auto"/>
            </w:tcBorders>
          </w:tcPr>
          <w:p>
            <w:pPr>
              <w:spacing w:after="0"/>
              <w:rPr>
                <w:sz w:val="20"/>
                <w:szCs w:val="20"/>
                <w:color w:val="auto"/>
              </w:rPr>
            </w:pPr>
          </w:p>
        </w:tc>
      </w:tr>
      <w:tr>
        <w:trPr>
          <w:trHeight w:val="20"/>
        </w:trPr>
        <w:tc>
          <w:tcPr>
            <w:tcW w:w="4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81"/>
        </w:trPr>
        <w:tc>
          <w:tcPr>
            <w:tcW w:w="4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Contractual</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5"/>
        </w:trPr>
        <w:tc>
          <w:tcPr>
            <w:tcW w:w="47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1440" w:type="dxa"/>
            <w:vAlign w:val="bottom"/>
            <w:gridSpan w:val="3"/>
          </w:tcPr>
          <w:p>
            <w:pPr>
              <w:ind w:left="180"/>
              <w:spacing w:after="0"/>
              <w:rPr>
                <w:sz w:val="20"/>
                <w:szCs w:val="20"/>
                <w:color w:val="auto"/>
              </w:rPr>
            </w:pPr>
            <w:r>
              <w:rPr>
                <w:rFonts w:ascii="Arial" w:cs="Arial" w:eastAsia="Arial" w:hAnsi="Arial"/>
                <w:sz w:val="14"/>
                <w:szCs w:val="14"/>
                <w:b w:val="1"/>
                <w:bCs w:val="1"/>
                <w:color w:val="auto"/>
              </w:rPr>
              <w:t>Discounts</w:t>
            </w:r>
          </w:p>
        </w:tc>
        <w:tc>
          <w:tcPr>
            <w:tcW w:w="260" w:type="dxa"/>
            <w:vAlign w:val="bottom"/>
          </w:tcPr>
          <w:p>
            <w:pPr>
              <w:spacing w:after="0"/>
              <w:rPr>
                <w:sz w:val="16"/>
                <w:szCs w:val="16"/>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Adjustments</w:t>
            </w:r>
          </w:p>
        </w:tc>
        <w:tc>
          <w:tcPr>
            <w:tcW w:w="320" w:type="dxa"/>
            <w:vAlign w:val="bottom"/>
          </w:tcPr>
          <w:p>
            <w:pPr>
              <w:spacing w:after="0"/>
              <w:rPr>
                <w:sz w:val="16"/>
                <w:szCs w:val="16"/>
                <w:color w:val="auto"/>
              </w:rPr>
            </w:pPr>
          </w:p>
        </w:tc>
        <w:tc>
          <w:tcPr>
            <w:tcW w:w="1380" w:type="dxa"/>
            <w:vAlign w:val="bottom"/>
            <w:gridSpan w:val="3"/>
          </w:tcPr>
          <w:p>
            <w:pPr>
              <w:ind w:left="220"/>
              <w:spacing w:after="0"/>
              <w:rPr>
                <w:sz w:val="20"/>
                <w:szCs w:val="20"/>
                <w:color w:val="auto"/>
              </w:rPr>
            </w:pPr>
            <w:r>
              <w:rPr>
                <w:rFonts w:ascii="Arial" w:cs="Arial" w:eastAsia="Arial" w:hAnsi="Arial"/>
                <w:sz w:val="14"/>
                <w:szCs w:val="14"/>
                <w:b w:val="1"/>
                <w:bCs w:val="1"/>
                <w:color w:val="auto"/>
              </w:rPr>
              <w:t>Returns</w:t>
            </w:r>
          </w:p>
        </w:tc>
        <w:tc>
          <w:tcPr>
            <w:tcW w:w="38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r>
      <w:tr>
        <w:trPr>
          <w:trHeight w:val="228"/>
        </w:trPr>
        <w:tc>
          <w:tcPr>
            <w:tcW w:w="468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2015</w:t>
            </w:r>
          </w:p>
        </w:tc>
        <w:tc>
          <w:tcPr>
            <w:tcW w:w="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69"/>
        </w:trPr>
        <w:tc>
          <w:tcPr>
            <w:tcW w:w="4700" w:type="dxa"/>
            <w:vAlign w:val="bottom"/>
            <w:gridSpan w:val="2"/>
          </w:tcPr>
          <w:p>
            <w:pPr>
              <w:ind w:left="20"/>
              <w:spacing w:after="0"/>
              <w:rPr>
                <w:sz w:val="20"/>
                <w:szCs w:val="20"/>
                <w:color w:val="auto"/>
              </w:rPr>
            </w:pPr>
            <w:r>
              <w:rPr>
                <w:rFonts w:ascii="Arial" w:cs="Arial" w:eastAsia="Arial" w:hAnsi="Arial"/>
                <w:sz w:val="17"/>
                <w:szCs w:val="17"/>
                <w:color w:val="auto"/>
              </w:rPr>
              <w:t>Beginning balance</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ind w:right="37"/>
              <w:spacing w:after="0"/>
              <w:rPr>
                <w:sz w:val="20"/>
                <w:szCs w:val="20"/>
                <w:color w:val="auto"/>
              </w:rPr>
            </w:pPr>
            <w:r>
              <w:rPr>
                <w:rFonts w:ascii="Arial" w:cs="Arial" w:eastAsia="Arial" w:hAnsi="Arial"/>
                <w:sz w:val="17"/>
                <w:szCs w:val="17"/>
                <w:color w:val="auto"/>
              </w:rPr>
              <w:t>47.6</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9"/>
              <w:spacing w:after="0"/>
              <w:rPr>
                <w:sz w:val="20"/>
                <w:szCs w:val="20"/>
                <w:color w:val="auto"/>
              </w:rPr>
            </w:pPr>
            <w:r>
              <w:rPr>
                <w:rFonts w:ascii="Arial" w:cs="Arial" w:eastAsia="Arial" w:hAnsi="Arial"/>
                <w:sz w:val="17"/>
                <w:szCs w:val="17"/>
                <w:color w:val="auto"/>
              </w:rPr>
              <w:t>387.1</w:t>
            </w:r>
          </w:p>
        </w:tc>
        <w:tc>
          <w:tcPr>
            <w:tcW w:w="100" w:type="dxa"/>
            <w:vAlign w:val="bottom"/>
          </w:tcPr>
          <w:p>
            <w:pPr>
              <w:spacing w:after="0"/>
              <w:rPr>
                <w:sz w:val="23"/>
                <w:szCs w:val="23"/>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7"/>
              <w:spacing w:after="0"/>
              <w:rPr>
                <w:sz w:val="20"/>
                <w:szCs w:val="20"/>
                <w:color w:val="auto"/>
              </w:rPr>
            </w:pPr>
            <w:r>
              <w:rPr>
                <w:rFonts w:ascii="Arial" w:cs="Arial" w:eastAsia="Arial" w:hAnsi="Arial"/>
                <w:sz w:val="17"/>
                <w:szCs w:val="17"/>
                <w:color w:val="auto"/>
              </w:rPr>
              <w:t>49.1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7"/>
              <w:spacing w:after="0"/>
              <w:rPr>
                <w:sz w:val="20"/>
                <w:szCs w:val="20"/>
                <w:color w:val="auto"/>
              </w:rPr>
            </w:pPr>
            <w:r>
              <w:rPr>
                <w:rFonts w:ascii="Arial" w:cs="Arial" w:eastAsia="Arial" w:hAnsi="Arial"/>
                <w:sz w:val="17"/>
                <w:szCs w:val="17"/>
                <w:color w:val="auto"/>
              </w:rPr>
              <w:t>483.8</w:t>
            </w:r>
          </w:p>
        </w:tc>
        <w:tc>
          <w:tcPr>
            <w:tcW w:w="20" w:type="dxa"/>
            <w:vAlign w:val="bottom"/>
          </w:tcPr>
          <w:p>
            <w:pPr>
              <w:spacing w:after="0"/>
              <w:rPr>
                <w:sz w:val="23"/>
                <w:szCs w:val="23"/>
                <w:color w:val="auto"/>
              </w:rPr>
            </w:pPr>
          </w:p>
        </w:tc>
      </w:tr>
      <w:tr>
        <w:trPr>
          <w:trHeight w:val="256"/>
        </w:trPr>
        <w:tc>
          <w:tcPr>
            <w:tcW w:w="4700" w:type="dxa"/>
            <w:vAlign w:val="bottom"/>
            <w:gridSpan w:val="2"/>
          </w:tcPr>
          <w:p>
            <w:pPr>
              <w:ind w:left="160"/>
              <w:spacing w:after="0"/>
              <w:rPr>
                <w:sz w:val="20"/>
                <w:szCs w:val="20"/>
                <w:color w:val="auto"/>
              </w:rPr>
            </w:pPr>
            <w:r>
              <w:rPr>
                <w:rFonts w:ascii="Arial" w:cs="Arial" w:eastAsia="Arial" w:hAnsi="Arial"/>
                <w:sz w:val="17"/>
                <w:szCs w:val="17"/>
                <w:color w:val="auto"/>
              </w:rPr>
              <w:t>Current provisions relating to sales in current year</w:t>
            </w:r>
          </w:p>
        </w:tc>
        <w:tc>
          <w:tcPr>
            <w:tcW w:w="280" w:type="dxa"/>
            <w:vAlign w:val="bottom"/>
          </w:tcPr>
          <w:p>
            <w:pPr>
              <w:spacing w:after="0"/>
              <w:rPr>
                <w:sz w:val="22"/>
                <w:szCs w:val="22"/>
                <w:color w:val="auto"/>
              </w:rPr>
            </w:pPr>
          </w:p>
        </w:tc>
        <w:tc>
          <w:tcPr>
            <w:tcW w:w="1320" w:type="dxa"/>
            <w:vAlign w:val="bottom"/>
          </w:tcPr>
          <w:p>
            <w:pPr>
              <w:jc w:val="right"/>
              <w:ind w:right="37"/>
              <w:spacing w:after="0"/>
              <w:rPr>
                <w:sz w:val="20"/>
                <w:szCs w:val="20"/>
                <w:color w:val="auto"/>
              </w:rPr>
            </w:pPr>
            <w:r>
              <w:rPr>
                <w:rFonts w:ascii="Arial" w:cs="Arial" w:eastAsia="Arial" w:hAnsi="Arial"/>
                <w:sz w:val="17"/>
                <w:szCs w:val="17"/>
                <w:color w:val="auto"/>
              </w:rPr>
              <w:t>459.7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7"/>
                <w:szCs w:val="17"/>
                <w:color w:val="auto"/>
              </w:rPr>
              <w:t>1,732.1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17"/>
              <w:spacing w:after="0"/>
              <w:rPr>
                <w:sz w:val="20"/>
                <w:szCs w:val="20"/>
                <w:color w:val="auto"/>
              </w:rPr>
            </w:pPr>
            <w:r>
              <w:rPr>
                <w:rFonts w:ascii="Arial" w:cs="Arial" w:eastAsia="Arial" w:hAnsi="Arial"/>
                <w:sz w:val="17"/>
                <w:szCs w:val="17"/>
                <w:color w:val="auto"/>
              </w:rPr>
              <w:t>37.6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17"/>
              <w:spacing w:after="0"/>
              <w:rPr>
                <w:sz w:val="20"/>
                <w:szCs w:val="20"/>
                <w:color w:val="auto"/>
              </w:rPr>
            </w:pPr>
            <w:r>
              <w:rPr>
                <w:rFonts w:ascii="Arial" w:cs="Arial" w:eastAsia="Arial" w:hAnsi="Arial"/>
                <w:sz w:val="17"/>
                <w:szCs w:val="17"/>
                <w:color w:val="auto"/>
              </w:rPr>
              <w:t>2,229.4</w:t>
            </w:r>
          </w:p>
        </w:tc>
        <w:tc>
          <w:tcPr>
            <w:tcW w:w="20" w:type="dxa"/>
            <w:vAlign w:val="bottom"/>
          </w:tcPr>
          <w:p>
            <w:pPr>
              <w:spacing w:after="0"/>
              <w:rPr>
                <w:sz w:val="22"/>
                <w:szCs w:val="22"/>
                <w:color w:val="auto"/>
              </w:rPr>
            </w:pPr>
          </w:p>
        </w:tc>
      </w:tr>
      <w:tr>
        <w:trPr>
          <w:trHeight w:val="256"/>
        </w:trPr>
        <w:tc>
          <w:tcPr>
            <w:tcW w:w="4700" w:type="dxa"/>
            <w:vAlign w:val="bottom"/>
            <w:gridSpan w:val="2"/>
          </w:tcPr>
          <w:p>
            <w:pPr>
              <w:ind w:left="160"/>
              <w:spacing w:after="0"/>
              <w:rPr>
                <w:sz w:val="20"/>
                <w:szCs w:val="20"/>
                <w:color w:val="auto"/>
              </w:rPr>
            </w:pPr>
            <w:r>
              <w:rPr>
                <w:rFonts w:ascii="Arial" w:cs="Arial" w:eastAsia="Arial" w:hAnsi="Arial"/>
                <w:sz w:val="17"/>
                <w:szCs w:val="17"/>
                <w:color w:val="auto"/>
              </w:rPr>
              <w:t>Adjustments relating to prior years</w:t>
            </w:r>
          </w:p>
        </w:tc>
        <w:tc>
          <w:tcPr>
            <w:tcW w:w="2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(16.3)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(14.7)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(32.3)</w:t>
            </w:r>
          </w:p>
        </w:tc>
        <w:tc>
          <w:tcPr>
            <w:tcW w:w="20" w:type="dxa"/>
            <w:vAlign w:val="bottom"/>
          </w:tcPr>
          <w:p>
            <w:pPr>
              <w:spacing w:after="0"/>
              <w:rPr>
                <w:sz w:val="22"/>
                <w:szCs w:val="22"/>
                <w:color w:val="auto"/>
              </w:rPr>
            </w:pPr>
          </w:p>
        </w:tc>
      </w:tr>
      <w:tr>
        <w:trPr>
          <w:trHeight w:val="256"/>
        </w:trPr>
        <w:tc>
          <w:tcPr>
            <w:tcW w:w="4700" w:type="dxa"/>
            <w:vAlign w:val="bottom"/>
            <w:gridSpan w:val="2"/>
          </w:tcPr>
          <w:p>
            <w:pPr>
              <w:ind w:left="160"/>
              <w:spacing w:after="0"/>
              <w:rPr>
                <w:sz w:val="20"/>
                <w:szCs w:val="20"/>
                <w:color w:val="auto"/>
              </w:rPr>
            </w:pPr>
            <w:r>
              <w:rPr>
                <w:rFonts w:ascii="Arial" w:cs="Arial" w:eastAsia="Arial" w:hAnsi="Arial"/>
                <w:sz w:val="17"/>
                <w:szCs w:val="17"/>
                <w:color w:val="auto"/>
              </w:rPr>
              <w:t>Payments/returns relating to sales in current year</w:t>
            </w:r>
          </w:p>
        </w:tc>
        <w:tc>
          <w:tcPr>
            <w:tcW w:w="2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(405.9)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(1,258.1)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(1,666.6)</w:t>
            </w:r>
          </w:p>
        </w:tc>
        <w:tc>
          <w:tcPr>
            <w:tcW w:w="20" w:type="dxa"/>
            <w:vAlign w:val="bottom"/>
          </w:tcPr>
          <w:p>
            <w:pPr>
              <w:spacing w:after="0"/>
              <w:rPr>
                <w:sz w:val="22"/>
                <w:szCs w:val="22"/>
                <w:color w:val="auto"/>
              </w:rPr>
            </w:pPr>
          </w:p>
        </w:tc>
      </w:tr>
      <w:tr>
        <w:trPr>
          <w:trHeight w:val="263"/>
        </w:trPr>
        <w:tc>
          <w:tcPr>
            <w:tcW w:w="4680" w:type="dxa"/>
            <w:vAlign w:val="bottom"/>
          </w:tcPr>
          <w:p>
            <w:pPr>
              <w:ind w:left="160"/>
              <w:spacing w:after="0"/>
              <w:rPr>
                <w:sz w:val="20"/>
                <w:szCs w:val="20"/>
                <w:color w:val="auto"/>
              </w:rPr>
            </w:pPr>
            <w:r>
              <w:rPr>
                <w:rFonts w:ascii="Arial" w:cs="Arial" w:eastAsia="Arial" w:hAnsi="Arial"/>
                <w:sz w:val="17"/>
                <w:szCs w:val="17"/>
                <w:color w:val="auto"/>
              </w:rPr>
              <w:t>Payments/returns relating to sales in prior years</w:t>
            </w: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(296.1)</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(351.6)</w:t>
            </w:r>
          </w:p>
        </w:tc>
        <w:tc>
          <w:tcPr>
            <w:tcW w:w="20" w:type="dxa"/>
            <w:vAlign w:val="bottom"/>
          </w:tcPr>
          <w:p>
            <w:pPr>
              <w:spacing w:after="0"/>
              <w:rPr>
                <w:sz w:val="22"/>
                <w:szCs w:val="22"/>
                <w:color w:val="auto"/>
              </w:rPr>
            </w:pPr>
          </w:p>
        </w:tc>
      </w:tr>
      <w:tr>
        <w:trPr>
          <w:trHeight w:val="236"/>
        </w:trPr>
        <w:tc>
          <w:tcPr>
            <w:tcW w:w="4700" w:type="dxa"/>
            <w:vAlign w:val="bottom"/>
            <w:gridSpan w:val="2"/>
          </w:tcPr>
          <w:p>
            <w:pPr>
              <w:ind w:left="20"/>
              <w:spacing w:after="0"/>
              <w:rPr>
                <w:sz w:val="20"/>
                <w:szCs w:val="20"/>
                <w:color w:val="auto"/>
              </w:rPr>
            </w:pPr>
            <w:r>
              <w:rPr>
                <w:rFonts w:ascii="Arial" w:cs="Arial" w:eastAsia="Arial" w:hAnsi="Arial"/>
                <w:sz w:val="17"/>
                <w:szCs w:val="17"/>
                <w:color w:val="auto"/>
              </w:rPr>
              <w:t>Ending balance</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ind w:right="37"/>
              <w:spacing w:after="0"/>
              <w:rPr>
                <w:sz w:val="20"/>
                <w:szCs w:val="20"/>
                <w:color w:val="auto"/>
              </w:rPr>
            </w:pPr>
            <w:r>
              <w:rPr>
                <w:rFonts w:ascii="Arial" w:cs="Arial" w:eastAsia="Arial" w:hAnsi="Arial"/>
                <w:sz w:val="17"/>
                <w:szCs w:val="17"/>
                <w:color w:val="auto"/>
              </w:rPr>
              <w:t>56.1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9"/>
              <w:spacing w:after="0"/>
              <w:rPr>
                <w:sz w:val="20"/>
                <w:szCs w:val="20"/>
                <w:color w:val="auto"/>
              </w:rPr>
            </w:pPr>
            <w:r>
              <w:rPr>
                <w:rFonts w:ascii="Arial" w:cs="Arial" w:eastAsia="Arial" w:hAnsi="Arial"/>
                <w:sz w:val="17"/>
                <w:szCs w:val="17"/>
                <w:color w:val="auto"/>
              </w:rPr>
              <w:t>548.7</w:t>
            </w:r>
          </w:p>
        </w:tc>
        <w:tc>
          <w:tcPr>
            <w:tcW w:w="100" w:type="dxa"/>
            <w:vAlign w:val="bottom"/>
          </w:tcPr>
          <w:p>
            <w:pPr>
              <w:spacing w:after="0"/>
              <w:rPr>
                <w:sz w:val="20"/>
                <w:szCs w:val="20"/>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7"/>
              <w:spacing w:after="0"/>
              <w:rPr>
                <w:sz w:val="20"/>
                <w:szCs w:val="20"/>
                <w:color w:val="auto"/>
              </w:rPr>
            </w:pPr>
            <w:r>
              <w:rPr>
                <w:rFonts w:ascii="Arial" w:cs="Arial" w:eastAsia="Arial" w:hAnsi="Arial"/>
                <w:sz w:val="17"/>
                <w:szCs w:val="17"/>
                <w:color w:val="auto"/>
              </w:rPr>
              <w:t>57.9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7"/>
              <w:spacing w:after="0"/>
              <w:rPr>
                <w:sz w:val="20"/>
                <w:szCs w:val="20"/>
                <w:color w:val="auto"/>
              </w:rPr>
            </w:pPr>
            <w:r>
              <w:rPr>
                <w:rFonts w:ascii="Arial" w:cs="Arial" w:eastAsia="Arial" w:hAnsi="Arial"/>
                <w:sz w:val="17"/>
                <w:szCs w:val="17"/>
                <w:color w:val="auto"/>
              </w:rPr>
              <w:t>662.7</w:t>
            </w:r>
          </w:p>
        </w:tc>
        <w:tc>
          <w:tcPr>
            <w:tcW w:w="20" w:type="dxa"/>
            <w:vAlign w:val="bottom"/>
          </w:tcPr>
          <w:p>
            <w:pPr>
              <w:spacing w:after="0"/>
              <w:rPr>
                <w:sz w:val="20"/>
                <w:szCs w:val="20"/>
                <w:color w:val="auto"/>
              </w:rPr>
            </w:pPr>
          </w:p>
        </w:tc>
      </w:tr>
      <w:tr>
        <w:trPr>
          <w:trHeight w:val="20"/>
        </w:trPr>
        <w:tc>
          <w:tcPr>
            <w:tcW w:w="46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total revenue-related reserves above, included in our consolidated balance sheets, are summarized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6"/>
                <w:szCs w:val="16"/>
                <w:color w:val="auto"/>
              </w:rPr>
            </w:pPr>
          </w:p>
        </w:tc>
      </w:tr>
      <w:tr>
        <w:trPr>
          <w:trHeight w:val="249"/>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bottom w:val="single" w:sz="8" w:color="auto"/>
            </w:tcBorders>
            <w:shd w:val="clear" w:color="auto" w:fill="DDDDDD"/>
          </w:tcPr>
          <w:p>
            <w:pPr>
              <w:spacing w:after="0"/>
              <w:rPr>
                <w:sz w:val="21"/>
                <w:szCs w:val="21"/>
                <w:color w:val="auto"/>
              </w:rPr>
            </w:pPr>
          </w:p>
        </w:tc>
        <w:tc>
          <w:tcPr>
            <w:tcW w:w="1400" w:type="dxa"/>
            <w:vAlign w:val="bottom"/>
            <w:tcBorders>
              <w:bottom w:val="single" w:sz="8" w:color="auto"/>
            </w:tcBorders>
            <w:shd w:val="clear" w:color="auto" w:fill="DDDDDD"/>
          </w:tcPr>
          <w:p>
            <w:pPr>
              <w:jc w:val="right"/>
              <w:ind w:right="681"/>
              <w:spacing w:after="0"/>
              <w:rPr>
                <w:sz w:val="20"/>
                <w:szCs w:val="20"/>
                <w:color w:val="auto"/>
              </w:rPr>
            </w:pPr>
            <w:r>
              <w:rPr>
                <w:rFonts w:ascii="Arial" w:cs="Arial" w:eastAsia="Arial" w:hAnsi="Arial"/>
                <w:sz w:val="14"/>
                <w:szCs w:val="14"/>
                <w:b w:val="1"/>
                <w:bCs w:val="1"/>
                <w:color w:val="2573BA"/>
              </w:rPr>
              <w:t>2017</w:t>
            </w:r>
          </w:p>
        </w:tc>
        <w:tc>
          <w:tcPr>
            <w:tcW w:w="10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2016</w:t>
            </w:r>
          </w:p>
        </w:tc>
      </w:tr>
      <w:tr>
        <w:trPr>
          <w:trHeight w:val="228"/>
        </w:trPr>
        <w:tc>
          <w:tcPr>
            <w:tcW w:w="7640" w:type="dxa"/>
            <w:vAlign w:val="bottom"/>
          </w:tcPr>
          <w:p>
            <w:pPr>
              <w:ind w:left="20"/>
              <w:spacing w:after="0"/>
              <w:rPr>
                <w:sz w:val="20"/>
                <w:szCs w:val="20"/>
                <w:color w:val="auto"/>
              </w:rPr>
            </w:pPr>
            <w:r>
              <w:rPr>
                <w:rFonts w:ascii="Arial" w:cs="Arial" w:eastAsia="Arial" w:hAnsi="Arial"/>
                <w:sz w:val="17"/>
                <w:szCs w:val="17"/>
                <w:color w:val="auto"/>
              </w:rPr>
              <w:t>Reduction of accounts receivable</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21"/>
              <w:spacing w:after="0"/>
              <w:rPr>
                <w:sz w:val="20"/>
                <w:szCs w:val="20"/>
                <w:color w:val="auto"/>
              </w:rPr>
            </w:pPr>
            <w:r>
              <w:rPr>
                <w:rFonts w:ascii="Arial" w:cs="Arial" w:eastAsia="Arial" w:hAnsi="Arial"/>
                <w:sz w:val="17"/>
                <w:szCs w:val="17"/>
                <w:color w:val="2573BA"/>
              </w:rPr>
              <w:t>189.6</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9"/>
              <w:spacing w:after="0"/>
              <w:rPr>
                <w:sz w:val="20"/>
                <w:szCs w:val="20"/>
                <w:color w:val="auto"/>
              </w:rPr>
            </w:pPr>
            <w:r>
              <w:rPr>
                <w:rFonts w:ascii="Arial" w:cs="Arial" w:eastAsia="Arial" w:hAnsi="Arial"/>
                <w:sz w:val="17"/>
                <w:szCs w:val="17"/>
                <w:color w:val="auto"/>
              </w:rPr>
              <w:t>166.9</w:t>
            </w:r>
          </w:p>
        </w:tc>
      </w:tr>
      <w:tr>
        <w:trPr>
          <w:trHeight w:val="263"/>
        </w:trPr>
        <w:tc>
          <w:tcPr>
            <w:tcW w:w="7640" w:type="dxa"/>
            <w:vAlign w:val="bottom"/>
          </w:tcPr>
          <w:p>
            <w:pPr>
              <w:ind w:left="20"/>
              <w:spacing w:after="0"/>
              <w:rPr>
                <w:sz w:val="20"/>
                <w:szCs w:val="20"/>
                <w:color w:val="auto"/>
              </w:rPr>
            </w:pPr>
            <w:r>
              <w:rPr>
                <w:rFonts w:ascii="Arial" w:cs="Arial" w:eastAsia="Arial" w:hAnsi="Arial"/>
                <w:sz w:val="17"/>
                <w:szCs w:val="17"/>
                <w:color w:val="auto"/>
              </w:rPr>
              <w:t>Component of accrued expenses and other</w:t>
            </w:r>
          </w:p>
        </w:tc>
        <w:tc>
          <w:tcPr>
            <w:tcW w:w="440" w:type="dxa"/>
            <w:vAlign w:val="bottom"/>
            <w:tcBorders>
              <w:bottom w:val="single" w:sz="8" w:color="auto"/>
            </w:tcBorders>
            <w:shd w:val="clear" w:color="auto" w:fill="DDDDDD"/>
          </w:tcPr>
          <w:p>
            <w:pPr>
              <w:spacing w:after="0"/>
              <w:rPr>
                <w:sz w:val="22"/>
                <w:szCs w:val="22"/>
                <w:color w:val="auto"/>
              </w:rPr>
            </w:pPr>
          </w:p>
        </w:tc>
        <w:tc>
          <w:tcPr>
            <w:tcW w:w="1400" w:type="dxa"/>
            <w:vAlign w:val="bottom"/>
            <w:tcBorders>
              <w:bottom w:val="single" w:sz="8" w:color="auto"/>
            </w:tcBorders>
            <w:shd w:val="clear" w:color="auto" w:fill="DDDDDD"/>
          </w:tcPr>
          <w:p>
            <w:pPr>
              <w:jc w:val="right"/>
              <w:ind w:right="21"/>
              <w:spacing w:after="0"/>
              <w:rPr>
                <w:sz w:val="20"/>
                <w:szCs w:val="20"/>
                <w:color w:val="auto"/>
              </w:rPr>
            </w:pPr>
            <w:r>
              <w:rPr>
                <w:rFonts w:ascii="Arial" w:cs="Arial" w:eastAsia="Arial" w:hAnsi="Arial"/>
                <w:sz w:val="17"/>
                <w:szCs w:val="17"/>
                <w:color w:val="2573BA"/>
              </w:rPr>
              <w:t>572.0</w:t>
            </w:r>
          </w:p>
        </w:tc>
        <w:tc>
          <w:tcPr>
            <w:tcW w:w="10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438.6</w:t>
            </w:r>
          </w:p>
        </w:tc>
      </w:tr>
      <w:tr>
        <w:trPr>
          <w:trHeight w:val="236"/>
        </w:trPr>
        <w:tc>
          <w:tcPr>
            <w:tcW w:w="7640" w:type="dxa"/>
            <w:vAlign w:val="bottom"/>
          </w:tcPr>
          <w:p>
            <w:pPr>
              <w:ind w:left="160"/>
              <w:spacing w:after="0"/>
              <w:rPr>
                <w:sz w:val="20"/>
                <w:szCs w:val="20"/>
                <w:color w:val="auto"/>
              </w:rPr>
            </w:pPr>
            <w:r>
              <w:rPr>
                <w:rFonts w:ascii="Arial" w:cs="Arial" w:eastAsia="Arial" w:hAnsi="Arial"/>
                <w:sz w:val="17"/>
                <w:szCs w:val="17"/>
                <w:color w:val="auto"/>
              </w:rPr>
              <w:t>Total revenue-related reserves</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21"/>
              <w:spacing w:after="0"/>
              <w:rPr>
                <w:sz w:val="20"/>
                <w:szCs w:val="20"/>
                <w:color w:val="auto"/>
              </w:rPr>
            </w:pPr>
            <w:r>
              <w:rPr>
                <w:rFonts w:ascii="Arial" w:cs="Arial" w:eastAsia="Arial" w:hAnsi="Arial"/>
                <w:sz w:val="17"/>
                <w:szCs w:val="17"/>
                <w:color w:val="2573BA"/>
              </w:rPr>
              <w:t>761.6</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9"/>
              <w:spacing w:after="0"/>
              <w:rPr>
                <w:sz w:val="20"/>
                <w:szCs w:val="20"/>
                <w:color w:val="auto"/>
              </w:rPr>
            </w:pPr>
            <w:r>
              <w:rPr>
                <w:rFonts w:ascii="Arial" w:cs="Arial" w:eastAsia="Arial" w:hAnsi="Arial"/>
                <w:sz w:val="17"/>
                <w:szCs w:val="17"/>
                <w:color w:val="auto"/>
              </w:rPr>
              <w:t>605.5</w:t>
            </w:r>
          </w:p>
        </w:tc>
      </w:tr>
      <w:tr>
        <w:trPr>
          <w:trHeight w:val="20"/>
        </w:trPr>
        <w:tc>
          <w:tcPr>
            <w:tcW w:w="76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300" w:type="dxa"/>
            <w:vAlign w:val="bottom"/>
          </w:tcPr>
          <w:p>
            <w:pPr>
              <w:spacing w:after="0"/>
              <w:rPr>
                <w:sz w:val="20"/>
                <w:szCs w:val="20"/>
                <w:color w:val="auto"/>
              </w:rPr>
            </w:pPr>
            <w:r>
              <w:rPr>
                <w:rFonts w:ascii="Arial" w:cs="Arial" w:eastAsia="Arial" w:hAnsi="Arial"/>
                <w:sz w:val="20"/>
                <w:szCs w:val="20"/>
                <w:b w:val="1"/>
                <w:bCs w:val="1"/>
                <w:color w:val="578196"/>
              </w:rPr>
              <w:t>6.</w:t>
            </w:r>
          </w:p>
        </w:tc>
        <w:tc>
          <w:tcPr>
            <w:tcW w:w="7340" w:type="dxa"/>
            <w:vAlign w:val="bottom"/>
          </w:tcPr>
          <w:p>
            <w:pPr>
              <w:ind w:left="320"/>
              <w:spacing w:after="0"/>
              <w:rPr>
                <w:sz w:val="20"/>
                <w:szCs w:val="20"/>
                <w:color w:val="auto"/>
              </w:rPr>
            </w:pPr>
            <w:r>
              <w:rPr>
                <w:rFonts w:ascii="Arial" w:cs="Arial" w:eastAsia="Arial" w:hAnsi="Arial"/>
                <w:sz w:val="20"/>
                <w:szCs w:val="20"/>
                <w:b w:val="1"/>
                <w:bCs w:val="1"/>
                <w:color w:val="578196"/>
              </w:rPr>
              <w:t>Inventory</w:t>
            </w:r>
          </w:p>
        </w:tc>
        <w:tc>
          <w:tcPr>
            <w:tcW w:w="4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2"/>
        </w:trPr>
        <w:tc>
          <w:tcPr>
            <w:tcW w:w="300" w:type="dxa"/>
            <w:vAlign w:val="bottom"/>
          </w:tcPr>
          <w:p>
            <w:pPr>
              <w:spacing w:after="0"/>
              <w:rPr>
                <w:sz w:val="23"/>
                <w:szCs w:val="23"/>
                <w:color w:val="auto"/>
              </w:rPr>
            </w:pPr>
          </w:p>
        </w:tc>
        <w:tc>
          <w:tcPr>
            <w:tcW w:w="7340" w:type="dxa"/>
            <w:vAlign w:val="bottom"/>
          </w:tcPr>
          <w:p>
            <w:pPr>
              <w:ind w:left="120"/>
              <w:spacing w:after="0"/>
              <w:rPr>
                <w:sz w:val="20"/>
                <w:szCs w:val="20"/>
                <w:color w:val="auto"/>
              </w:rPr>
            </w:pPr>
            <w:r>
              <w:rPr>
                <w:rFonts w:ascii="Arial" w:cs="Arial" w:eastAsia="Arial" w:hAnsi="Arial"/>
                <w:sz w:val="17"/>
                <w:szCs w:val="17"/>
                <w:color w:val="auto"/>
              </w:rPr>
              <w:t>The components of inventory are summarized as follows:</w:t>
            </w:r>
          </w:p>
        </w:tc>
        <w:tc>
          <w:tcPr>
            <w:tcW w:w="4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329"/>
        </w:trPr>
        <w:tc>
          <w:tcPr>
            <w:tcW w:w="30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24"/>
                <w:szCs w:val="24"/>
                <w:color w:val="auto"/>
              </w:rPr>
            </w:pPr>
          </w:p>
        </w:tc>
      </w:tr>
      <w:tr>
        <w:trPr>
          <w:trHeight w:val="249"/>
        </w:trPr>
        <w:tc>
          <w:tcPr>
            <w:tcW w:w="76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bottom w:val="single" w:sz="8" w:color="auto"/>
            </w:tcBorders>
            <w:shd w:val="clear" w:color="auto" w:fill="DDDDDD"/>
          </w:tcPr>
          <w:p>
            <w:pPr>
              <w:spacing w:after="0"/>
              <w:rPr>
                <w:sz w:val="21"/>
                <w:szCs w:val="21"/>
                <w:color w:val="auto"/>
              </w:rPr>
            </w:pPr>
          </w:p>
        </w:tc>
        <w:tc>
          <w:tcPr>
            <w:tcW w:w="1400" w:type="dxa"/>
            <w:vAlign w:val="bottom"/>
            <w:tcBorders>
              <w:bottom w:val="single" w:sz="8" w:color="auto"/>
            </w:tcBorders>
            <w:shd w:val="clear" w:color="auto" w:fill="DDDDDD"/>
          </w:tcPr>
          <w:p>
            <w:pPr>
              <w:jc w:val="right"/>
              <w:ind w:right="678"/>
              <w:spacing w:after="0"/>
              <w:rPr>
                <w:sz w:val="20"/>
                <w:szCs w:val="20"/>
                <w:color w:val="auto"/>
              </w:rPr>
            </w:pPr>
            <w:r>
              <w:rPr>
                <w:rFonts w:ascii="Arial" w:cs="Arial" w:eastAsia="Arial" w:hAnsi="Arial"/>
                <w:sz w:val="14"/>
                <w:szCs w:val="14"/>
                <w:b w:val="1"/>
                <w:bCs w:val="1"/>
                <w:color w:val="2573BA"/>
              </w:rPr>
              <w:t>2017</w:t>
            </w:r>
          </w:p>
        </w:tc>
        <w:tc>
          <w:tcPr>
            <w:tcW w:w="10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2016</w:t>
            </w:r>
          </w:p>
        </w:tc>
      </w:tr>
      <w:tr>
        <w:trPr>
          <w:trHeight w:val="228"/>
        </w:trPr>
        <w:tc>
          <w:tcPr>
            <w:tcW w:w="7640" w:type="dxa"/>
            <w:vAlign w:val="bottom"/>
            <w:gridSpan w:val="2"/>
          </w:tcPr>
          <w:p>
            <w:pPr>
              <w:ind w:left="20"/>
              <w:spacing w:after="0"/>
              <w:rPr>
                <w:sz w:val="20"/>
                <w:szCs w:val="20"/>
                <w:color w:val="auto"/>
              </w:rPr>
            </w:pPr>
            <w:r>
              <w:rPr>
                <w:rFonts w:ascii="Arial" w:cs="Arial" w:eastAsia="Arial" w:hAnsi="Arial"/>
                <w:sz w:val="17"/>
                <w:szCs w:val="17"/>
                <w:color w:val="auto"/>
              </w:rPr>
              <w:t>Raw materials</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162.4</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170.4</w:t>
            </w:r>
          </w:p>
        </w:tc>
      </w:tr>
      <w:tr>
        <w:trPr>
          <w:trHeight w:val="256"/>
        </w:trPr>
        <w:tc>
          <w:tcPr>
            <w:tcW w:w="7640" w:type="dxa"/>
            <w:vAlign w:val="bottom"/>
            <w:gridSpan w:val="2"/>
          </w:tcPr>
          <w:p>
            <w:pPr>
              <w:ind w:left="20"/>
              <w:spacing w:after="0"/>
              <w:rPr>
                <w:sz w:val="20"/>
                <w:szCs w:val="20"/>
                <w:color w:val="auto"/>
              </w:rPr>
            </w:pPr>
            <w:r>
              <w:rPr>
                <w:rFonts w:ascii="Arial" w:cs="Arial" w:eastAsia="Arial" w:hAnsi="Arial"/>
                <w:sz w:val="17"/>
                <w:szCs w:val="17"/>
                <w:color w:val="auto"/>
              </w:rPr>
              <w:t>Work in process</w:t>
            </w: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605.7</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698.7</w:t>
            </w:r>
          </w:p>
        </w:tc>
      </w:tr>
      <w:tr>
        <w:trPr>
          <w:trHeight w:val="263"/>
        </w:trPr>
        <w:tc>
          <w:tcPr>
            <w:tcW w:w="7640" w:type="dxa"/>
            <w:vAlign w:val="bottom"/>
            <w:gridSpan w:val="2"/>
          </w:tcPr>
          <w:p>
            <w:pPr>
              <w:ind w:left="20"/>
              <w:spacing w:after="0"/>
              <w:rPr>
                <w:sz w:val="20"/>
                <w:szCs w:val="20"/>
                <w:color w:val="auto"/>
              </w:rPr>
            </w:pPr>
            <w:r>
              <w:rPr>
                <w:rFonts w:ascii="Arial" w:cs="Arial" w:eastAsia="Arial" w:hAnsi="Arial"/>
                <w:sz w:val="17"/>
                <w:szCs w:val="17"/>
                <w:color w:val="auto"/>
              </w:rPr>
              <w:t>Finished goods</w:t>
            </w:r>
          </w:p>
        </w:tc>
        <w:tc>
          <w:tcPr>
            <w:tcW w:w="440" w:type="dxa"/>
            <w:vAlign w:val="bottom"/>
            <w:tcBorders>
              <w:bottom w:val="single" w:sz="8" w:color="auto"/>
            </w:tcBorders>
            <w:shd w:val="clear" w:color="auto" w:fill="DDDDDD"/>
          </w:tcPr>
          <w:p>
            <w:pPr>
              <w:spacing w:after="0"/>
              <w:rPr>
                <w:sz w:val="22"/>
                <w:szCs w:val="22"/>
                <w:color w:val="auto"/>
              </w:rPr>
            </w:pPr>
          </w:p>
        </w:tc>
        <w:tc>
          <w:tcPr>
            <w:tcW w:w="1400" w:type="dxa"/>
            <w:vAlign w:val="bottom"/>
            <w:tcBorders>
              <w:bottom w:val="single" w:sz="8" w:color="auto"/>
            </w:tcBorders>
            <w:shd w:val="clear" w:color="auto" w:fill="DDDDDD"/>
          </w:tcPr>
          <w:p>
            <w:pPr>
              <w:jc w:val="right"/>
              <w:ind w:right="18"/>
              <w:spacing w:after="0"/>
              <w:rPr>
                <w:sz w:val="20"/>
                <w:szCs w:val="20"/>
                <w:color w:val="auto"/>
              </w:rPr>
            </w:pPr>
            <w:r>
              <w:rPr>
                <w:rFonts w:ascii="Arial" w:cs="Arial" w:eastAsia="Arial" w:hAnsi="Arial"/>
                <w:sz w:val="17"/>
                <w:szCs w:val="17"/>
                <w:color w:val="2573BA"/>
              </w:rPr>
              <w:t>157.4</w:t>
            </w:r>
          </w:p>
        </w:tc>
        <w:tc>
          <w:tcPr>
            <w:tcW w:w="10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170.3</w:t>
            </w:r>
          </w:p>
        </w:tc>
      </w:tr>
      <w:tr>
        <w:trPr>
          <w:trHeight w:val="276"/>
        </w:trPr>
        <w:tc>
          <w:tcPr>
            <w:tcW w:w="7640" w:type="dxa"/>
            <w:vAlign w:val="bottom"/>
            <w:gridSpan w:val="2"/>
          </w:tcPr>
          <w:p>
            <w:pPr>
              <w:ind w:left="160"/>
              <w:spacing w:after="0"/>
              <w:rPr>
                <w:sz w:val="20"/>
                <w:szCs w:val="20"/>
                <w:color w:val="auto"/>
              </w:rPr>
            </w:pPr>
            <w:r>
              <w:rPr>
                <w:rFonts w:ascii="Arial" w:cs="Arial" w:eastAsia="Arial" w:hAnsi="Arial"/>
                <w:sz w:val="17"/>
                <w:szCs w:val="17"/>
                <w:color w:val="auto"/>
              </w:rPr>
              <w:t>Total inventory</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925.5</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1,039.4</w:t>
            </w:r>
          </w:p>
        </w:tc>
      </w:tr>
      <w:tr>
        <w:trPr>
          <w:trHeight w:val="497"/>
        </w:trPr>
        <w:tc>
          <w:tcPr>
            <w:tcW w:w="7640" w:type="dxa"/>
            <w:vAlign w:val="bottom"/>
            <w:gridSpan w:val="2"/>
          </w:tcPr>
          <w:p>
            <w:pPr>
              <w:ind w:left="20"/>
              <w:spacing w:after="0"/>
              <w:rPr>
                <w:sz w:val="20"/>
                <w:szCs w:val="20"/>
                <w:color w:val="auto"/>
              </w:rPr>
            </w:pPr>
            <w:r>
              <w:rPr>
                <w:rFonts w:ascii="Arial" w:cs="Arial" w:eastAsia="Arial" w:hAnsi="Arial"/>
                <w:sz w:val="17"/>
                <w:szCs w:val="17"/>
                <w:i w:val="1"/>
                <w:iCs w:val="1"/>
                <w:color w:val="auto"/>
              </w:rPr>
              <w:t>Balance Sheet Classification:</w:t>
            </w:r>
          </w:p>
        </w:tc>
        <w:tc>
          <w:tcPr>
            <w:tcW w:w="440" w:type="dxa"/>
            <w:vAlign w:val="bottom"/>
            <w:tcBorders>
              <w:top w:val="single" w:sz="8" w:color="auto"/>
            </w:tcBorders>
            <w:shd w:val="clear" w:color="auto" w:fill="DDDDDD"/>
          </w:tcPr>
          <w:p>
            <w:pPr>
              <w:spacing w:after="0"/>
              <w:rPr>
                <w:sz w:val="24"/>
                <w:szCs w:val="24"/>
                <w:color w:val="auto"/>
              </w:rPr>
            </w:pPr>
          </w:p>
        </w:tc>
        <w:tc>
          <w:tcPr>
            <w:tcW w:w="1400" w:type="dxa"/>
            <w:vAlign w:val="bottom"/>
            <w:tcBorders>
              <w:top w:val="single" w:sz="8" w:color="auto"/>
            </w:tcBorders>
            <w:shd w:val="clear" w:color="auto" w:fill="DDDDDD"/>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69"/>
        </w:trPr>
        <w:tc>
          <w:tcPr>
            <w:tcW w:w="7640" w:type="dxa"/>
            <w:vAlign w:val="bottom"/>
            <w:gridSpan w:val="2"/>
          </w:tcPr>
          <w:p>
            <w:pPr>
              <w:ind w:left="20"/>
              <w:spacing w:after="0"/>
              <w:rPr>
                <w:sz w:val="20"/>
                <w:szCs w:val="20"/>
                <w:color w:val="auto"/>
              </w:rPr>
            </w:pPr>
            <w:r>
              <w:rPr>
                <w:rFonts w:ascii="Arial" w:cs="Arial" w:eastAsia="Arial" w:hAnsi="Arial"/>
                <w:sz w:val="17"/>
                <w:szCs w:val="17"/>
                <w:color w:val="auto"/>
              </w:rPr>
              <w:t>Inventory</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902.7</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1,001.6</w:t>
            </w:r>
          </w:p>
        </w:tc>
      </w:tr>
      <w:tr>
        <w:trPr>
          <w:trHeight w:val="263"/>
        </w:trPr>
        <w:tc>
          <w:tcPr>
            <w:tcW w:w="7640" w:type="dxa"/>
            <w:vAlign w:val="bottom"/>
            <w:gridSpan w:val="2"/>
          </w:tcPr>
          <w:p>
            <w:pPr>
              <w:ind w:left="20"/>
              <w:spacing w:after="0"/>
              <w:rPr>
                <w:sz w:val="20"/>
                <w:szCs w:val="20"/>
                <w:color w:val="auto"/>
              </w:rPr>
            </w:pPr>
            <w:r>
              <w:rPr>
                <w:rFonts w:ascii="Arial" w:cs="Arial" w:eastAsia="Arial" w:hAnsi="Arial"/>
                <w:sz w:val="17"/>
                <w:szCs w:val="17"/>
                <w:color w:val="auto"/>
              </w:rPr>
              <w:t>Investments and other assets</w:t>
            </w:r>
          </w:p>
        </w:tc>
        <w:tc>
          <w:tcPr>
            <w:tcW w:w="440" w:type="dxa"/>
            <w:vAlign w:val="bottom"/>
            <w:tcBorders>
              <w:bottom w:val="single" w:sz="8" w:color="auto"/>
            </w:tcBorders>
            <w:shd w:val="clear" w:color="auto" w:fill="DDDDDD"/>
          </w:tcPr>
          <w:p>
            <w:pPr>
              <w:spacing w:after="0"/>
              <w:rPr>
                <w:sz w:val="22"/>
                <w:szCs w:val="22"/>
                <w:color w:val="auto"/>
              </w:rPr>
            </w:pPr>
          </w:p>
        </w:tc>
        <w:tc>
          <w:tcPr>
            <w:tcW w:w="1400" w:type="dxa"/>
            <w:vAlign w:val="bottom"/>
            <w:tcBorders>
              <w:bottom w:val="single" w:sz="8" w:color="auto"/>
            </w:tcBorders>
            <w:shd w:val="clear" w:color="auto" w:fill="DDDDDD"/>
          </w:tcPr>
          <w:p>
            <w:pPr>
              <w:jc w:val="right"/>
              <w:ind w:right="18"/>
              <w:spacing w:after="0"/>
              <w:rPr>
                <w:sz w:val="20"/>
                <w:szCs w:val="20"/>
                <w:color w:val="auto"/>
              </w:rPr>
            </w:pPr>
            <w:r>
              <w:rPr>
                <w:rFonts w:ascii="Arial" w:cs="Arial" w:eastAsia="Arial" w:hAnsi="Arial"/>
                <w:sz w:val="17"/>
                <w:szCs w:val="17"/>
                <w:color w:val="2573BA"/>
              </w:rPr>
              <w:t>22.8</w:t>
            </w:r>
          </w:p>
        </w:tc>
        <w:tc>
          <w:tcPr>
            <w:tcW w:w="10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37.8</w:t>
            </w:r>
          </w:p>
        </w:tc>
      </w:tr>
      <w:tr>
        <w:trPr>
          <w:trHeight w:val="236"/>
        </w:trPr>
        <w:tc>
          <w:tcPr>
            <w:tcW w:w="7640" w:type="dxa"/>
            <w:vAlign w:val="bottom"/>
            <w:gridSpan w:val="2"/>
          </w:tcPr>
          <w:p>
            <w:pPr>
              <w:ind w:left="160"/>
              <w:spacing w:after="0"/>
              <w:rPr>
                <w:sz w:val="20"/>
                <w:szCs w:val="20"/>
                <w:color w:val="auto"/>
              </w:rPr>
            </w:pPr>
            <w:r>
              <w:rPr>
                <w:rFonts w:ascii="Arial" w:cs="Arial" w:eastAsia="Arial" w:hAnsi="Arial"/>
                <w:sz w:val="17"/>
                <w:szCs w:val="17"/>
                <w:color w:val="auto"/>
              </w:rPr>
              <w:t>Total inventory</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925.5</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1,039.4</w:t>
            </w:r>
          </w:p>
        </w:tc>
      </w:tr>
      <w:tr>
        <w:trPr>
          <w:trHeight w:val="20"/>
        </w:trPr>
        <w:tc>
          <w:tcPr>
            <w:tcW w:w="3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firstLine="384"/>
        <w:spacing w:after="0" w:line="255" w:lineRule="auto"/>
        <w:rPr>
          <w:sz w:val="20"/>
          <w:szCs w:val="20"/>
          <w:color w:val="auto"/>
        </w:rPr>
      </w:pPr>
      <w:r>
        <w:rPr>
          <w:rFonts w:ascii="Arial" w:cs="Arial" w:eastAsia="Arial" w:hAnsi="Arial"/>
          <w:sz w:val="17"/>
          <w:szCs w:val="17"/>
          <w:color w:val="auto"/>
        </w:rPr>
        <w:t xml:space="preserve">Balances in the table above as of December 31, 2017 reflect the elimination of certain amounts transferred to Bioverativ in connection with the completion of the spin-off of our hemophilia business. Balances transferred to Bioverativ related to work in process and finished goods inventory totaled $84.5 million and $31.6 million, respectively. For additional information on the spin-off of our hemophilia business, please read Note 3, </w:t>
      </w:r>
      <w:r>
        <w:rPr>
          <w:rFonts w:ascii="Arial" w:cs="Arial" w:eastAsia="Arial" w:hAnsi="Arial"/>
          <w:sz w:val="17"/>
          <w:szCs w:val="17"/>
          <w:i w:val="1"/>
          <w:iCs w:val="1"/>
          <w:color w:val="auto"/>
        </w:rPr>
        <w:t>Hemophilia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Spin-Off, </w:t>
      </w:r>
      <w:r>
        <w:rPr>
          <w:rFonts w:ascii="Arial" w:cs="Arial" w:eastAsia="Arial" w:hAnsi="Arial"/>
          <w:sz w:val="17"/>
          <w:szCs w:val="17"/>
          <w:color w:val="auto"/>
        </w:rPr>
        <w:t>to these consolidated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F- 27</w:t>
      </w:r>
    </w:p>
    <w:p>
      <w:pPr>
        <w:sectPr>
          <w:pgSz w:w="11900" w:h="16838" w:orient="portrait"/>
          <w:cols w:equalWidth="0" w:num="1">
            <w:col w:w="11420"/>
          </w:cols>
          <w:pgMar w:left="240" w:top="139" w:right="239" w:bottom="1440" w:gutter="0" w:footer="0" w:header="0"/>
        </w:sectPr>
      </w:pPr>
    </w:p>
    <w:bookmarkStart w:id="129" w:name="page130"/>
    <w:bookmarkEnd w:id="1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9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Long-term inventory, which primarily consists of work in process, is included in investments and other assets in our consolidated balance sheets.</w:t>
      </w:r>
    </w:p>
    <w:p>
      <w:pPr>
        <w:spacing w:after="0" w:line="163" w:lineRule="exact"/>
        <w:rPr>
          <w:sz w:val="20"/>
          <w:szCs w:val="20"/>
          <w:color w:val="auto"/>
        </w:rPr>
      </w:pPr>
    </w:p>
    <w:p>
      <w:pPr>
        <w:ind w:right="240" w:firstLine="410"/>
        <w:spacing w:after="0" w:line="262" w:lineRule="auto"/>
        <w:rPr>
          <w:sz w:val="20"/>
          <w:szCs w:val="20"/>
          <w:color w:val="auto"/>
        </w:rPr>
      </w:pPr>
      <w:r>
        <w:rPr>
          <w:rFonts w:ascii="Arial" w:cs="Arial" w:eastAsia="Arial" w:hAnsi="Arial"/>
          <w:sz w:val="17"/>
          <w:szCs w:val="17"/>
          <w:color w:val="auto"/>
        </w:rPr>
        <w:t>Inventory amounts written down as a result of excess, obsolescence, unmarketability or other reasons are charged to cost of sales, and totaled $76.9 million, $48.2 million and $41.9 million for the years ended December 31, 2017, 2016 and 2015, respectively.</w:t>
      </w:r>
    </w:p>
    <w:p>
      <w:pPr>
        <w:spacing w:after="0" w:line="118" w:lineRule="exact"/>
        <w:rPr>
          <w:sz w:val="20"/>
          <w:szCs w:val="20"/>
          <w:color w:val="auto"/>
        </w:rPr>
      </w:pPr>
    </w:p>
    <w:p>
      <w:pPr>
        <w:ind w:left="620" w:hanging="618"/>
        <w:spacing w:after="0"/>
        <w:tabs>
          <w:tab w:leader="none" w:pos="620" w:val="left"/>
        </w:tabs>
        <w:numPr>
          <w:ilvl w:val="0"/>
          <w:numId w:val="101"/>
        </w:numPr>
        <w:rPr>
          <w:rFonts w:ascii="Arial" w:cs="Arial" w:eastAsia="Arial" w:hAnsi="Arial"/>
          <w:sz w:val="20"/>
          <w:szCs w:val="20"/>
          <w:b w:val="1"/>
          <w:bCs w:val="1"/>
          <w:color w:val="578196"/>
        </w:rPr>
      </w:pPr>
      <w:r>
        <w:rPr>
          <w:rFonts w:ascii="Arial" w:cs="Arial" w:eastAsia="Arial" w:hAnsi="Arial"/>
          <w:sz w:val="20"/>
          <w:szCs w:val="20"/>
          <w:b w:val="1"/>
          <w:bCs w:val="1"/>
          <w:color w:val="578196"/>
        </w:rPr>
        <w:t>Intangible Assets and Goodwill</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Intangible Assets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Intangible assets, net of accumulated amortization, impairment charges and adjustments are summarized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4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shd w:val="clear" w:color="auto" w:fill="DDDDDD"/>
          </w:tcPr>
          <w:p>
            <w:pPr>
              <w:spacing w:after="0"/>
              <w:rPr>
                <w:sz w:val="21"/>
                <w:szCs w:val="21"/>
                <w:color w:val="auto"/>
              </w:rPr>
            </w:pPr>
          </w:p>
        </w:tc>
        <w:tc>
          <w:tcPr>
            <w:tcW w:w="2420" w:type="dxa"/>
            <w:vAlign w:val="bottom"/>
            <w:tcBorders>
              <w:bottom w:val="single" w:sz="8" w:color="auto"/>
            </w:tcBorders>
            <w:gridSpan w:val="6"/>
            <w:shd w:val="clear" w:color="auto" w:fill="DDDDDD"/>
          </w:tcPr>
          <w:p>
            <w:pPr>
              <w:jc w:val="center"/>
              <w:ind w:left="479"/>
              <w:spacing w:after="0"/>
              <w:rPr>
                <w:sz w:val="20"/>
                <w:szCs w:val="20"/>
                <w:color w:val="auto"/>
              </w:rPr>
            </w:pPr>
            <w:r>
              <w:rPr>
                <w:rFonts w:ascii="Arial" w:cs="Arial" w:eastAsia="Arial" w:hAnsi="Arial"/>
                <w:sz w:val="14"/>
                <w:szCs w:val="14"/>
                <w:b w:val="1"/>
                <w:bCs w:val="1"/>
                <w:color w:val="2573BA"/>
                <w:w w:val="98"/>
              </w:rPr>
              <w:t>As of December 31, 2017</w:t>
            </w:r>
          </w:p>
        </w:tc>
        <w:tc>
          <w:tcPr>
            <w:tcW w:w="780" w:type="dxa"/>
            <w:vAlign w:val="bottom"/>
            <w:tcBorders>
              <w:bottom w:val="single" w:sz="8" w:color="auto"/>
            </w:tcBorders>
            <w:shd w:val="clear" w:color="auto" w:fill="DDDDDD"/>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6"/>
          </w:tcPr>
          <w:p>
            <w:pPr>
              <w:jc w:val="center"/>
              <w:ind w:left="499"/>
              <w:spacing w:after="0"/>
              <w:rPr>
                <w:sz w:val="20"/>
                <w:szCs w:val="20"/>
                <w:color w:val="auto"/>
              </w:rPr>
            </w:pPr>
            <w:r>
              <w:rPr>
                <w:rFonts w:ascii="Arial" w:cs="Arial" w:eastAsia="Arial" w:hAnsi="Arial"/>
                <w:sz w:val="14"/>
                <w:szCs w:val="14"/>
                <w:b w:val="1"/>
                <w:bCs w:val="1"/>
                <w:color w:val="auto"/>
                <w:w w:val="96"/>
              </w:rPr>
              <w:t>As of December 31, 2016</w:t>
            </w:r>
          </w:p>
        </w:tc>
        <w:tc>
          <w:tcPr>
            <w:tcW w:w="780" w:type="dxa"/>
            <w:vAlign w:val="bottom"/>
            <w:tcBorders>
              <w:bottom w:val="single" w:sz="8" w:color="auto"/>
            </w:tcBorders>
          </w:tcPr>
          <w:p>
            <w:pPr>
              <w:spacing w:after="0"/>
              <w:rPr>
                <w:sz w:val="21"/>
                <w:szCs w:val="21"/>
                <w:color w:val="auto"/>
              </w:rPr>
            </w:pPr>
          </w:p>
        </w:tc>
      </w:tr>
      <w:tr>
        <w:trPr>
          <w:trHeight w:val="166"/>
        </w:trPr>
        <w:tc>
          <w:tcPr>
            <w:tcW w:w="24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39"/>
              <w:spacing w:after="0"/>
              <w:rPr>
                <w:sz w:val="20"/>
                <w:szCs w:val="20"/>
                <w:color w:val="auto"/>
              </w:rPr>
            </w:pPr>
            <w:r>
              <w:rPr>
                <w:rFonts w:ascii="Arial" w:cs="Arial" w:eastAsia="Arial" w:hAnsi="Arial"/>
                <w:sz w:val="14"/>
                <w:szCs w:val="14"/>
                <w:b w:val="1"/>
                <w:bCs w:val="1"/>
                <w:color w:val="auto"/>
                <w:w w:val="97"/>
              </w:rPr>
              <w:t>Accumulated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Accumulated</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85"/>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960" w:type="dxa"/>
            <w:vAlign w:val="bottom"/>
            <w:tcBorders>
              <w:bottom w:val="single" w:sz="8" w:color="auto"/>
            </w:tcBorders>
          </w:tcPr>
          <w:p>
            <w:pPr>
              <w:jc w:val="right"/>
              <w:ind w:right="917"/>
              <w:spacing w:after="0"/>
              <w:rPr>
                <w:sz w:val="20"/>
                <w:szCs w:val="20"/>
                <w:color w:val="auto"/>
              </w:rPr>
            </w:pPr>
            <w:r>
              <w:rPr>
                <w:rFonts w:ascii="Arial" w:cs="Arial" w:eastAsia="Arial" w:hAnsi="Arial"/>
                <w:sz w:val="14"/>
                <w:szCs w:val="14"/>
                <w:b w:val="1"/>
                <w:bCs w:val="1"/>
                <w:color w:val="auto"/>
                <w:w w:val="98"/>
              </w:rPr>
              <w:t>Estimated Life</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DDDDDD"/>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8"/>
              </w:rPr>
              <w:t>Amortization</w:t>
            </w:r>
          </w:p>
        </w:tc>
        <w:tc>
          <w:tcPr>
            <w:tcW w:w="100" w:type="dxa"/>
            <w:vAlign w:val="bottom"/>
            <w:tcBorders>
              <w:bottom w:val="single" w:sz="8" w:color="DDDDDD"/>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Net</w:t>
            </w:r>
          </w:p>
        </w:tc>
      </w:tr>
      <w:tr>
        <w:trPr>
          <w:trHeight w:val="228"/>
        </w:trPr>
        <w:tc>
          <w:tcPr>
            <w:tcW w:w="2400" w:type="dxa"/>
            <w:vAlign w:val="bottom"/>
          </w:tcPr>
          <w:p>
            <w:pPr>
              <w:ind w:left="20"/>
              <w:spacing w:after="0"/>
              <w:rPr>
                <w:sz w:val="20"/>
                <w:szCs w:val="20"/>
                <w:color w:val="auto"/>
              </w:rPr>
            </w:pPr>
            <w:r>
              <w:rPr>
                <w:rFonts w:ascii="Arial" w:cs="Arial" w:eastAsia="Arial" w:hAnsi="Arial"/>
                <w:sz w:val="17"/>
                <w:szCs w:val="17"/>
                <w:color w:val="auto"/>
              </w:rPr>
              <w:t>Out-licensed patents</w:t>
            </w:r>
          </w:p>
        </w:tc>
        <w:tc>
          <w:tcPr>
            <w:tcW w:w="2080" w:type="dxa"/>
            <w:vAlign w:val="bottom"/>
            <w:gridSpan w:val="2"/>
          </w:tcPr>
          <w:p>
            <w:pPr>
              <w:jc w:val="right"/>
              <w:ind w:right="140"/>
              <w:spacing w:after="0"/>
              <w:rPr>
                <w:sz w:val="20"/>
                <w:szCs w:val="20"/>
                <w:color w:val="auto"/>
              </w:rPr>
            </w:pPr>
            <w:r>
              <w:rPr>
                <w:rFonts w:ascii="Arial" w:cs="Arial" w:eastAsia="Arial" w:hAnsi="Arial"/>
                <w:sz w:val="17"/>
                <w:szCs w:val="17"/>
                <w:color w:val="auto"/>
              </w:rPr>
              <w:t>13-23 years</w:t>
            </w:r>
          </w:p>
        </w:tc>
        <w:tc>
          <w:tcPr>
            <w:tcW w:w="240" w:type="dxa"/>
            <w:vAlign w:val="bottom"/>
            <w:shd w:val="clear" w:color="auto" w:fill="DDDDDD"/>
          </w:tcPr>
          <w:p>
            <w:pPr>
              <w:jc w:val="right"/>
              <w:ind w:right="35"/>
              <w:spacing w:after="0"/>
              <w:rPr>
                <w:sz w:val="20"/>
                <w:szCs w:val="20"/>
                <w:color w:val="auto"/>
              </w:rPr>
            </w:pPr>
            <w:r>
              <w:rPr>
                <w:rFonts w:ascii="Arial" w:cs="Arial" w:eastAsia="Arial" w:hAnsi="Arial"/>
                <w:sz w:val="17"/>
                <w:szCs w:val="17"/>
                <w:color w:val="2573BA"/>
              </w:rPr>
              <w:t>$</w:t>
            </w:r>
          </w:p>
        </w:tc>
        <w:tc>
          <w:tcPr>
            <w:tcW w:w="820" w:type="dxa"/>
            <w:vAlign w:val="bottom"/>
            <w:shd w:val="clear" w:color="auto" w:fill="DDDDDD"/>
          </w:tcPr>
          <w:p>
            <w:pPr>
              <w:jc w:val="right"/>
              <w:ind w:right="39"/>
              <w:spacing w:after="0"/>
              <w:rPr>
                <w:sz w:val="20"/>
                <w:szCs w:val="20"/>
                <w:color w:val="auto"/>
              </w:rPr>
            </w:pPr>
            <w:r>
              <w:rPr>
                <w:rFonts w:ascii="Arial" w:cs="Arial" w:eastAsia="Arial" w:hAnsi="Arial"/>
                <w:sz w:val="17"/>
                <w:szCs w:val="17"/>
                <w:color w:val="2573BA"/>
              </w:rPr>
              <w:t>543.3</w:t>
            </w:r>
          </w:p>
        </w:tc>
        <w:tc>
          <w:tcPr>
            <w:tcW w:w="240" w:type="dxa"/>
            <w:vAlign w:val="bottom"/>
            <w:gridSpan w:val="2"/>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0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(535.6)</w:t>
            </w:r>
          </w:p>
        </w:tc>
        <w:tc>
          <w:tcPr>
            <w:tcW w:w="340" w:type="dxa"/>
            <w:vAlign w:val="bottom"/>
            <w:gridSpan w:val="2"/>
            <w:shd w:val="clear" w:color="auto" w:fill="DDDDDD"/>
          </w:tcPr>
          <w:p>
            <w:pPr>
              <w:jc w:val="right"/>
              <w:ind w:right="120"/>
              <w:spacing w:after="0"/>
              <w:rPr>
                <w:sz w:val="20"/>
                <w:szCs w:val="20"/>
                <w:color w:val="auto"/>
              </w:rPr>
            </w:pPr>
            <w:r>
              <w:rPr>
                <w:rFonts w:ascii="Arial" w:cs="Arial" w:eastAsia="Arial" w:hAnsi="Arial"/>
                <w:sz w:val="17"/>
                <w:szCs w:val="17"/>
                <w:color w:val="2573BA"/>
              </w:rPr>
              <w:t>$</w:t>
            </w:r>
          </w:p>
        </w:tc>
        <w:tc>
          <w:tcPr>
            <w:tcW w:w="78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7.7</w:t>
            </w:r>
          </w:p>
        </w:tc>
        <w:tc>
          <w:tcPr>
            <w:tcW w:w="3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9"/>
              <w:spacing w:after="0"/>
              <w:rPr>
                <w:sz w:val="20"/>
                <w:szCs w:val="20"/>
                <w:color w:val="auto"/>
              </w:rPr>
            </w:pPr>
            <w:r>
              <w:rPr>
                <w:rFonts w:ascii="Arial" w:cs="Arial" w:eastAsia="Arial" w:hAnsi="Arial"/>
                <w:sz w:val="17"/>
                <w:szCs w:val="17"/>
                <w:color w:val="auto"/>
              </w:rPr>
              <w:t>543.3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(523.6)</w:t>
            </w:r>
          </w:p>
        </w:tc>
        <w:tc>
          <w:tcPr>
            <w:tcW w:w="100" w:type="dxa"/>
            <w:vAlign w:val="bottom"/>
          </w:tcPr>
          <w:p>
            <w:pPr>
              <w:spacing w:after="0"/>
              <w:rPr>
                <w:sz w:val="19"/>
                <w:szCs w:val="19"/>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7"/>
              <w:spacing w:after="0"/>
              <w:rPr>
                <w:sz w:val="20"/>
                <w:szCs w:val="20"/>
                <w:color w:val="auto"/>
              </w:rPr>
            </w:pPr>
            <w:r>
              <w:rPr>
                <w:rFonts w:ascii="Arial" w:cs="Arial" w:eastAsia="Arial" w:hAnsi="Arial"/>
                <w:sz w:val="17"/>
                <w:szCs w:val="17"/>
                <w:color w:val="auto"/>
              </w:rPr>
              <w:t>19.7</w:t>
            </w:r>
          </w:p>
        </w:tc>
      </w:tr>
      <w:tr>
        <w:trPr>
          <w:trHeight w:val="256"/>
        </w:trPr>
        <w:tc>
          <w:tcPr>
            <w:tcW w:w="2400" w:type="dxa"/>
            <w:vAlign w:val="bottom"/>
          </w:tcPr>
          <w:p>
            <w:pPr>
              <w:ind w:left="20"/>
              <w:spacing w:after="0"/>
              <w:rPr>
                <w:sz w:val="20"/>
                <w:szCs w:val="20"/>
                <w:color w:val="auto"/>
              </w:rPr>
            </w:pPr>
            <w:r>
              <w:rPr>
                <w:rFonts w:ascii="Arial" w:cs="Arial" w:eastAsia="Arial" w:hAnsi="Arial"/>
                <w:sz w:val="17"/>
                <w:szCs w:val="17"/>
                <w:color w:val="auto"/>
              </w:rPr>
              <w:t>Developed technology</w:t>
            </w:r>
          </w:p>
        </w:tc>
        <w:tc>
          <w:tcPr>
            <w:tcW w:w="2080" w:type="dxa"/>
            <w:vAlign w:val="bottom"/>
            <w:gridSpan w:val="2"/>
          </w:tcPr>
          <w:p>
            <w:pPr>
              <w:jc w:val="right"/>
              <w:ind w:right="140"/>
              <w:spacing w:after="0"/>
              <w:rPr>
                <w:sz w:val="20"/>
                <w:szCs w:val="20"/>
                <w:color w:val="auto"/>
              </w:rPr>
            </w:pPr>
            <w:r>
              <w:rPr>
                <w:rFonts w:ascii="Arial" w:cs="Arial" w:eastAsia="Arial" w:hAnsi="Arial"/>
                <w:sz w:val="17"/>
                <w:szCs w:val="17"/>
                <w:color w:val="auto"/>
              </w:rPr>
              <w:t>15-23 years</w:t>
            </w:r>
          </w:p>
        </w:tc>
        <w:tc>
          <w:tcPr>
            <w:tcW w:w="240" w:type="dxa"/>
            <w:vAlign w:val="bottom"/>
            <w:shd w:val="clear" w:color="auto" w:fill="DDDDDD"/>
          </w:tcPr>
          <w:p>
            <w:pPr>
              <w:spacing w:after="0"/>
              <w:rPr>
                <w:sz w:val="22"/>
                <w:szCs w:val="22"/>
                <w:color w:val="auto"/>
              </w:rPr>
            </w:pPr>
          </w:p>
        </w:tc>
        <w:tc>
          <w:tcPr>
            <w:tcW w:w="820" w:type="dxa"/>
            <w:vAlign w:val="bottom"/>
            <w:shd w:val="clear" w:color="auto" w:fill="DDDDDD"/>
          </w:tcPr>
          <w:p>
            <w:pPr>
              <w:jc w:val="right"/>
              <w:ind w:right="39"/>
              <w:spacing w:after="0"/>
              <w:rPr>
                <w:sz w:val="20"/>
                <w:szCs w:val="20"/>
                <w:color w:val="auto"/>
              </w:rPr>
            </w:pPr>
            <w:r>
              <w:rPr>
                <w:rFonts w:ascii="Arial" w:cs="Arial" w:eastAsia="Arial" w:hAnsi="Arial"/>
                <w:sz w:val="17"/>
                <w:szCs w:val="17"/>
                <w:color w:val="2573BA"/>
              </w:rPr>
              <w:t>3,005.3</w:t>
            </w:r>
          </w:p>
        </w:tc>
        <w:tc>
          <w:tcPr>
            <w:tcW w:w="100" w:type="dxa"/>
            <w:vAlign w:val="bottom"/>
            <w:shd w:val="clear" w:color="auto" w:fill="DDDDDD"/>
          </w:tcPr>
          <w:p>
            <w:pPr>
              <w:spacing w:after="0"/>
              <w:rPr>
                <w:sz w:val="22"/>
                <w:szCs w:val="22"/>
                <w:color w:val="auto"/>
              </w:rPr>
            </w:pPr>
          </w:p>
        </w:tc>
        <w:tc>
          <w:tcPr>
            <w:tcW w:w="140" w:type="dxa"/>
            <w:vAlign w:val="bottom"/>
            <w:shd w:val="clear" w:color="auto" w:fill="DDDDDD"/>
          </w:tcPr>
          <w:p>
            <w:pPr>
              <w:spacing w:after="0"/>
              <w:rPr>
                <w:sz w:val="22"/>
                <w:szCs w:val="22"/>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(2,689.0)</w:t>
            </w:r>
          </w:p>
        </w:tc>
        <w:tc>
          <w:tcPr>
            <w:tcW w:w="100" w:type="dxa"/>
            <w:vAlign w:val="bottom"/>
            <w:shd w:val="clear" w:color="auto" w:fill="DDDDDD"/>
          </w:tcPr>
          <w:p>
            <w:pPr>
              <w:spacing w:after="0"/>
              <w:rPr>
                <w:sz w:val="22"/>
                <w:szCs w:val="22"/>
                <w:color w:val="auto"/>
              </w:rPr>
            </w:pPr>
          </w:p>
        </w:tc>
        <w:tc>
          <w:tcPr>
            <w:tcW w:w="240" w:type="dxa"/>
            <w:vAlign w:val="bottom"/>
            <w:shd w:val="clear" w:color="auto" w:fill="DDDDDD"/>
          </w:tcPr>
          <w:p>
            <w:pPr>
              <w:spacing w:after="0"/>
              <w:rPr>
                <w:sz w:val="22"/>
                <w:szCs w:val="22"/>
                <w:color w:val="auto"/>
              </w:rPr>
            </w:pPr>
          </w:p>
        </w:tc>
        <w:tc>
          <w:tcPr>
            <w:tcW w:w="78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316.3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7"/>
                <w:szCs w:val="17"/>
                <w:color w:val="auto"/>
              </w:rPr>
              <w:t>3,005.3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(2,634.3)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17"/>
              <w:spacing w:after="0"/>
              <w:rPr>
                <w:sz w:val="20"/>
                <w:szCs w:val="20"/>
                <w:color w:val="auto"/>
              </w:rPr>
            </w:pPr>
            <w:r>
              <w:rPr>
                <w:rFonts w:ascii="Arial" w:cs="Arial" w:eastAsia="Arial" w:hAnsi="Arial"/>
                <w:sz w:val="17"/>
                <w:szCs w:val="17"/>
                <w:color w:val="auto"/>
              </w:rPr>
              <w:t>371.0</w:t>
            </w:r>
          </w:p>
        </w:tc>
      </w:tr>
      <w:tr>
        <w:trPr>
          <w:trHeight w:val="231"/>
        </w:trPr>
        <w:tc>
          <w:tcPr>
            <w:tcW w:w="2400" w:type="dxa"/>
            <w:vAlign w:val="bottom"/>
          </w:tcPr>
          <w:p>
            <w:pPr>
              <w:ind w:left="20"/>
              <w:spacing w:after="0"/>
              <w:rPr>
                <w:sz w:val="20"/>
                <w:szCs w:val="20"/>
                <w:color w:val="auto"/>
              </w:rPr>
            </w:pPr>
            <w:r>
              <w:rPr>
                <w:rFonts w:ascii="Arial" w:cs="Arial" w:eastAsia="Arial" w:hAnsi="Arial"/>
                <w:sz w:val="17"/>
                <w:szCs w:val="17"/>
                <w:color w:val="auto"/>
              </w:rPr>
              <w:t>In-process research and</w:t>
            </w:r>
          </w:p>
        </w:tc>
        <w:tc>
          <w:tcPr>
            <w:tcW w:w="2080" w:type="dxa"/>
            <w:vAlign w:val="bottom"/>
            <w:gridSpan w:val="2"/>
          </w:tcPr>
          <w:p>
            <w:pPr>
              <w:jc w:val="right"/>
              <w:ind w:right="140"/>
              <w:spacing w:after="0"/>
              <w:rPr>
                <w:sz w:val="20"/>
                <w:szCs w:val="20"/>
                <w:color w:val="auto"/>
              </w:rPr>
            </w:pPr>
            <w:r>
              <w:rPr>
                <w:rFonts w:ascii="Arial" w:cs="Arial" w:eastAsia="Arial" w:hAnsi="Arial"/>
                <w:sz w:val="17"/>
                <w:szCs w:val="17"/>
                <w:color w:val="auto"/>
              </w:rPr>
              <w:t>Indefinite until</w:t>
            </w:r>
          </w:p>
        </w:tc>
        <w:tc>
          <w:tcPr>
            <w:tcW w:w="240" w:type="dxa"/>
            <w:vAlign w:val="bottom"/>
            <w:shd w:val="clear" w:color="auto" w:fill="DDDDDD"/>
          </w:tcPr>
          <w:p>
            <w:pPr>
              <w:spacing w:after="0"/>
              <w:rPr>
                <w:sz w:val="20"/>
                <w:szCs w:val="20"/>
                <w:color w:val="auto"/>
              </w:rPr>
            </w:pPr>
          </w:p>
        </w:tc>
        <w:tc>
          <w:tcPr>
            <w:tcW w:w="8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10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780" w:type="dxa"/>
            <w:vAlign w:val="bottom"/>
            <w:shd w:val="clear" w:color="auto" w:fill="DDDDDD"/>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04"/>
        </w:trPr>
        <w:tc>
          <w:tcPr>
            <w:tcW w:w="2400" w:type="dxa"/>
            <w:vAlign w:val="bottom"/>
          </w:tcPr>
          <w:p>
            <w:pPr>
              <w:ind w:left="20"/>
              <w:spacing w:after="0"/>
              <w:rPr>
                <w:sz w:val="20"/>
                <w:szCs w:val="20"/>
                <w:color w:val="auto"/>
              </w:rPr>
            </w:pPr>
            <w:r>
              <w:rPr>
                <w:rFonts w:ascii="Arial" w:cs="Arial" w:eastAsia="Arial" w:hAnsi="Arial"/>
                <w:sz w:val="17"/>
                <w:szCs w:val="17"/>
                <w:color w:val="auto"/>
              </w:rPr>
              <w:t>development</w:t>
            </w:r>
          </w:p>
        </w:tc>
        <w:tc>
          <w:tcPr>
            <w:tcW w:w="2080" w:type="dxa"/>
            <w:vAlign w:val="bottom"/>
            <w:gridSpan w:val="2"/>
          </w:tcPr>
          <w:p>
            <w:pPr>
              <w:jc w:val="right"/>
              <w:ind w:right="140"/>
              <w:spacing w:after="0"/>
              <w:rPr>
                <w:sz w:val="20"/>
                <w:szCs w:val="20"/>
                <w:color w:val="auto"/>
              </w:rPr>
            </w:pPr>
            <w:r>
              <w:rPr>
                <w:rFonts w:ascii="Arial" w:cs="Arial" w:eastAsia="Arial" w:hAnsi="Arial"/>
                <w:sz w:val="17"/>
                <w:szCs w:val="17"/>
                <w:color w:val="auto"/>
              </w:rPr>
              <w:t>commercialization</w:t>
            </w:r>
          </w:p>
        </w:tc>
        <w:tc>
          <w:tcPr>
            <w:tcW w:w="240" w:type="dxa"/>
            <w:vAlign w:val="bottom"/>
            <w:shd w:val="clear" w:color="auto" w:fill="DDDDDD"/>
          </w:tcPr>
          <w:p>
            <w:pPr>
              <w:spacing w:after="0"/>
              <w:rPr>
                <w:sz w:val="17"/>
                <w:szCs w:val="17"/>
                <w:color w:val="auto"/>
              </w:rPr>
            </w:pPr>
          </w:p>
        </w:tc>
        <w:tc>
          <w:tcPr>
            <w:tcW w:w="820" w:type="dxa"/>
            <w:vAlign w:val="bottom"/>
            <w:shd w:val="clear" w:color="auto" w:fill="DDDDDD"/>
          </w:tcPr>
          <w:p>
            <w:pPr>
              <w:jc w:val="right"/>
              <w:ind w:right="39"/>
              <w:spacing w:after="0"/>
              <w:rPr>
                <w:sz w:val="20"/>
                <w:szCs w:val="20"/>
                <w:color w:val="auto"/>
              </w:rPr>
            </w:pPr>
            <w:r>
              <w:rPr>
                <w:rFonts w:ascii="Arial" w:cs="Arial" w:eastAsia="Arial" w:hAnsi="Arial"/>
                <w:sz w:val="17"/>
                <w:szCs w:val="17"/>
                <w:color w:val="2573BA"/>
              </w:rPr>
              <w:t>680.6</w:t>
            </w:r>
          </w:p>
        </w:tc>
        <w:tc>
          <w:tcPr>
            <w:tcW w:w="10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102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w:t>
            </w:r>
          </w:p>
        </w:tc>
        <w:tc>
          <w:tcPr>
            <w:tcW w:w="100" w:type="dxa"/>
            <w:vAlign w:val="bottom"/>
            <w:shd w:val="clear" w:color="auto" w:fill="DDDDDD"/>
          </w:tcPr>
          <w:p>
            <w:pPr>
              <w:spacing w:after="0"/>
              <w:rPr>
                <w:sz w:val="17"/>
                <w:szCs w:val="17"/>
                <w:color w:val="auto"/>
              </w:rPr>
            </w:pPr>
          </w:p>
        </w:tc>
        <w:tc>
          <w:tcPr>
            <w:tcW w:w="240" w:type="dxa"/>
            <w:vAlign w:val="bottom"/>
            <w:shd w:val="clear" w:color="auto" w:fill="DDDDDD"/>
          </w:tcPr>
          <w:p>
            <w:pPr>
              <w:spacing w:after="0"/>
              <w:rPr>
                <w:sz w:val="17"/>
                <w:szCs w:val="17"/>
                <w:color w:val="auto"/>
              </w:rPr>
            </w:pPr>
          </w:p>
        </w:tc>
        <w:tc>
          <w:tcPr>
            <w:tcW w:w="78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680.6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7"/>
                <w:szCs w:val="17"/>
                <w:color w:val="auto"/>
              </w:rPr>
              <w:t>648.0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780" w:type="dxa"/>
            <w:vAlign w:val="bottom"/>
          </w:tcPr>
          <w:p>
            <w:pPr>
              <w:jc w:val="right"/>
              <w:ind w:right="17"/>
              <w:spacing w:after="0"/>
              <w:rPr>
                <w:sz w:val="20"/>
                <w:szCs w:val="20"/>
                <w:color w:val="auto"/>
              </w:rPr>
            </w:pPr>
            <w:r>
              <w:rPr>
                <w:rFonts w:ascii="Arial" w:cs="Arial" w:eastAsia="Arial" w:hAnsi="Arial"/>
                <w:sz w:val="17"/>
                <w:szCs w:val="17"/>
                <w:color w:val="auto"/>
              </w:rPr>
              <w:t>648.0</w:t>
            </w:r>
          </w:p>
        </w:tc>
      </w:tr>
      <w:tr>
        <w:trPr>
          <w:trHeight w:val="270"/>
        </w:trPr>
        <w:tc>
          <w:tcPr>
            <w:tcW w:w="2400" w:type="dxa"/>
            <w:vAlign w:val="bottom"/>
          </w:tcPr>
          <w:p>
            <w:pPr>
              <w:ind w:left="20"/>
              <w:spacing w:after="0"/>
              <w:rPr>
                <w:sz w:val="20"/>
                <w:szCs w:val="20"/>
                <w:color w:val="auto"/>
              </w:rPr>
            </w:pPr>
            <w:r>
              <w:rPr>
                <w:rFonts w:ascii="Arial" w:cs="Arial" w:eastAsia="Arial" w:hAnsi="Arial"/>
                <w:sz w:val="17"/>
                <w:szCs w:val="17"/>
                <w:color w:val="auto"/>
              </w:rPr>
              <w:t>Trademarks and trade names</w:t>
            </w:r>
          </w:p>
        </w:tc>
        <w:tc>
          <w:tcPr>
            <w:tcW w:w="2080" w:type="dxa"/>
            <w:vAlign w:val="bottom"/>
            <w:gridSpan w:val="2"/>
          </w:tcPr>
          <w:p>
            <w:pPr>
              <w:jc w:val="right"/>
              <w:ind w:right="140"/>
              <w:spacing w:after="0"/>
              <w:rPr>
                <w:sz w:val="20"/>
                <w:szCs w:val="20"/>
                <w:color w:val="auto"/>
              </w:rPr>
            </w:pPr>
            <w:r>
              <w:rPr>
                <w:rFonts w:ascii="Arial" w:cs="Arial" w:eastAsia="Arial" w:hAnsi="Arial"/>
                <w:sz w:val="17"/>
                <w:szCs w:val="17"/>
                <w:color w:val="auto"/>
              </w:rPr>
              <w:t>Indefinite</w:t>
            </w:r>
          </w:p>
        </w:tc>
        <w:tc>
          <w:tcPr>
            <w:tcW w:w="240" w:type="dxa"/>
            <w:vAlign w:val="bottom"/>
            <w:shd w:val="clear" w:color="auto" w:fill="DDDDDD"/>
          </w:tcPr>
          <w:p>
            <w:pPr>
              <w:spacing w:after="0"/>
              <w:rPr>
                <w:sz w:val="23"/>
                <w:szCs w:val="23"/>
                <w:color w:val="auto"/>
              </w:rPr>
            </w:pPr>
          </w:p>
        </w:tc>
        <w:tc>
          <w:tcPr>
            <w:tcW w:w="820" w:type="dxa"/>
            <w:vAlign w:val="bottom"/>
            <w:shd w:val="clear" w:color="auto" w:fill="DDDDDD"/>
          </w:tcPr>
          <w:p>
            <w:pPr>
              <w:jc w:val="right"/>
              <w:ind w:right="39"/>
              <w:spacing w:after="0"/>
              <w:rPr>
                <w:sz w:val="20"/>
                <w:szCs w:val="20"/>
                <w:color w:val="auto"/>
              </w:rPr>
            </w:pPr>
            <w:r>
              <w:rPr>
                <w:rFonts w:ascii="Arial" w:cs="Arial" w:eastAsia="Arial" w:hAnsi="Arial"/>
                <w:sz w:val="17"/>
                <w:szCs w:val="17"/>
                <w:color w:val="2573BA"/>
              </w:rPr>
              <w:t>64.0</w:t>
            </w:r>
          </w:p>
        </w:tc>
        <w:tc>
          <w:tcPr>
            <w:tcW w:w="100" w:type="dxa"/>
            <w:vAlign w:val="bottom"/>
            <w:shd w:val="clear" w:color="auto" w:fill="DDDDDD"/>
          </w:tcPr>
          <w:p>
            <w:pPr>
              <w:spacing w:after="0"/>
              <w:rPr>
                <w:sz w:val="23"/>
                <w:szCs w:val="23"/>
                <w:color w:val="auto"/>
              </w:rPr>
            </w:pPr>
          </w:p>
        </w:tc>
        <w:tc>
          <w:tcPr>
            <w:tcW w:w="140" w:type="dxa"/>
            <w:vAlign w:val="bottom"/>
            <w:shd w:val="clear" w:color="auto" w:fill="DDDDDD"/>
          </w:tcPr>
          <w:p>
            <w:pPr>
              <w:spacing w:after="0"/>
              <w:rPr>
                <w:sz w:val="23"/>
                <w:szCs w:val="23"/>
                <w:color w:val="auto"/>
              </w:rPr>
            </w:pPr>
          </w:p>
        </w:tc>
        <w:tc>
          <w:tcPr>
            <w:tcW w:w="102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w:t>
            </w:r>
          </w:p>
        </w:tc>
        <w:tc>
          <w:tcPr>
            <w:tcW w:w="100" w:type="dxa"/>
            <w:vAlign w:val="bottom"/>
            <w:shd w:val="clear" w:color="auto" w:fill="DDDDDD"/>
          </w:tcPr>
          <w:p>
            <w:pPr>
              <w:spacing w:after="0"/>
              <w:rPr>
                <w:sz w:val="23"/>
                <w:szCs w:val="23"/>
                <w:color w:val="auto"/>
              </w:rPr>
            </w:pPr>
          </w:p>
        </w:tc>
        <w:tc>
          <w:tcPr>
            <w:tcW w:w="240" w:type="dxa"/>
            <w:vAlign w:val="bottom"/>
            <w:shd w:val="clear" w:color="auto" w:fill="DDDDDD"/>
          </w:tcPr>
          <w:p>
            <w:pPr>
              <w:spacing w:after="0"/>
              <w:rPr>
                <w:sz w:val="23"/>
                <w:szCs w:val="23"/>
                <w:color w:val="auto"/>
              </w:rPr>
            </w:pPr>
          </w:p>
        </w:tc>
        <w:tc>
          <w:tcPr>
            <w:tcW w:w="78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64.0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7"/>
                <w:szCs w:val="17"/>
                <w:color w:val="auto"/>
              </w:rPr>
              <w:t>64.0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3"/>
                <w:szCs w:val="23"/>
                <w:color w:val="auto"/>
              </w:rPr>
            </w:pPr>
          </w:p>
        </w:tc>
        <w:tc>
          <w:tcPr>
            <w:tcW w:w="780" w:type="dxa"/>
            <w:vAlign w:val="bottom"/>
          </w:tcPr>
          <w:p>
            <w:pPr>
              <w:jc w:val="right"/>
              <w:ind w:right="17"/>
              <w:spacing w:after="0"/>
              <w:rPr>
                <w:sz w:val="20"/>
                <w:szCs w:val="20"/>
                <w:color w:val="auto"/>
              </w:rPr>
            </w:pPr>
            <w:r>
              <w:rPr>
                <w:rFonts w:ascii="Arial" w:cs="Arial" w:eastAsia="Arial" w:hAnsi="Arial"/>
                <w:sz w:val="17"/>
                <w:szCs w:val="17"/>
                <w:color w:val="auto"/>
              </w:rPr>
              <w:t>64.0</w:t>
            </w:r>
          </w:p>
        </w:tc>
      </w:tr>
      <w:tr>
        <w:trPr>
          <w:trHeight w:val="217"/>
        </w:trPr>
        <w:tc>
          <w:tcPr>
            <w:tcW w:w="2400" w:type="dxa"/>
            <w:vAlign w:val="bottom"/>
          </w:tcPr>
          <w:p>
            <w:pPr>
              <w:ind w:left="20"/>
              <w:spacing w:after="0"/>
              <w:rPr>
                <w:sz w:val="20"/>
                <w:szCs w:val="20"/>
                <w:color w:val="auto"/>
              </w:rPr>
            </w:pPr>
            <w:r>
              <w:rPr>
                <w:rFonts w:ascii="Arial" w:cs="Arial" w:eastAsia="Arial" w:hAnsi="Arial"/>
                <w:sz w:val="17"/>
                <w:szCs w:val="17"/>
                <w:color w:val="auto"/>
              </w:rPr>
              <w:t>Acquired and in-licensed rights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shd w:val="clear" w:color="auto" w:fill="DDDDDD"/>
          </w:tcPr>
          <w:p>
            <w:pPr>
              <w:spacing w:after="0"/>
              <w:rPr>
                <w:sz w:val="18"/>
                <w:szCs w:val="18"/>
                <w:color w:val="auto"/>
              </w:rPr>
            </w:pPr>
          </w:p>
        </w:tc>
        <w:tc>
          <w:tcPr>
            <w:tcW w:w="8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1"/>
        </w:trPr>
        <w:tc>
          <w:tcPr>
            <w:tcW w:w="2400" w:type="dxa"/>
            <w:vAlign w:val="bottom"/>
          </w:tcPr>
          <w:p>
            <w:pPr>
              <w:ind w:left="20"/>
              <w:spacing w:after="0"/>
              <w:rPr>
                <w:sz w:val="20"/>
                <w:szCs w:val="20"/>
                <w:color w:val="auto"/>
              </w:rPr>
            </w:pPr>
            <w:r>
              <w:rPr>
                <w:rFonts w:ascii="Arial" w:cs="Arial" w:eastAsia="Arial" w:hAnsi="Arial"/>
                <w:sz w:val="17"/>
                <w:szCs w:val="17"/>
                <w:color w:val="auto"/>
              </w:rPr>
              <w:t>and patents</w:t>
            </w:r>
          </w:p>
        </w:tc>
        <w:tc>
          <w:tcPr>
            <w:tcW w:w="2080" w:type="dxa"/>
            <w:vAlign w:val="bottom"/>
            <w:gridSpan w:val="2"/>
          </w:tcPr>
          <w:p>
            <w:pPr>
              <w:jc w:val="right"/>
              <w:ind w:right="140"/>
              <w:spacing w:after="0"/>
              <w:rPr>
                <w:sz w:val="20"/>
                <w:szCs w:val="20"/>
                <w:color w:val="auto"/>
              </w:rPr>
            </w:pPr>
            <w:r>
              <w:rPr>
                <w:rFonts w:ascii="Arial" w:cs="Arial" w:eastAsia="Arial" w:hAnsi="Arial"/>
                <w:sz w:val="17"/>
                <w:szCs w:val="17"/>
                <w:color w:val="auto"/>
              </w:rPr>
              <w:t>4-18 years</w:t>
            </w:r>
          </w:p>
        </w:tc>
        <w:tc>
          <w:tcPr>
            <w:tcW w:w="240" w:type="dxa"/>
            <w:vAlign w:val="bottom"/>
            <w:tcBorders>
              <w:bottom w:val="single" w:sz="8" w:color="auto"/>
            </w:tcBorders>
            <w:shd w:val="clear" w:color="auto" w:fill="DDDDDD"/>
          </w:tcPr>
          <w:p>
            <w:pPr>
              <w:spacing w:after="0"/>
              <w:rPr>
                <w:sz w:val="18"/>
                <w:szCs w:val="18"/>
                <w:color w:val="auto"/>
              </w:rPr>
            </w:pPr>
          </w:p>
        </w:tc>
        <w:tc>
          <w:tcPr>
            <w:tcW w:w="820" w:type="dxa"/>
            <w:vAlign w:val="bottom"/>
            <w:tcBorders>
              <w:bottom w:val="single" w:sz="8" w:color="auto"/>
            </w:tcBorders>
            <w:shd w:val="clear" w:color="auto" w:fill="DDDDDD"/>
          </w:tcPr>
          <w:p>
            <w:pPr>
              <w:jc w:val="right"/>
              <w:ind w:right="39"/>
              <w:spacing w:after="0"/>
              <w:rPr>
                <w:sz w:val="20"/>
                <w:szCs w:val="20"/>
                <w:color w:val="auto"/>
              </w:rPr>
            </w:pPr>
            <w:r>
              <w:rPr>
                <w:rFonts w:ascii="Arial" w:cs="Arial" w:eastAsia="Arial" w:hAnsi="Arial"/>
                <w:sz w:val="17"/>
                <w:szCs w:val="17"/>
                <w:color w:val="2573BA"/>
              </w:rPr>
              <w:t>3,971.4</w:t>
            </w:r>
          </w:p>
        </w:tc>
        <w:tc>
          <w:tcPr>
            <w:tcW w:w="100" w:type="dxa"/>
            <w:vAlign w:val="bottom"/>
            <w:tcBorders>
              <w:bottom w:val="single" w:sz="8" w:color="DDDDDD"/>
            </w:tcBorders>
            <w:shd w:val="clear" w:color="auto" w:fill="DDDDDD"/>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(1,160.4)</w:t>
            </w:r>
          </w:p>
        </w:tc>
        <w:tc>
          <w:tcPr>
            <w:tcW w:w="100" w:type="dxa"/>
            <w:vAlign w:val="bottom"/>
            <w:tcBorders>
              <w:bottom w:val="single" w:sz="8" w:color="DDDDDD"/>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2573BA"/>
              </w:rPr>
              <w:t>2,811.0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3,481.7</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(776.1)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2,705.6</w:t>
            </w:r>
          </w:p>
        </w:tc>
      </w:tr>
      <w:tr>
        <w:trPr>
          <w:trHeight w:val="236"/>
        </w:trPr>
        <w:tc>
          <w:tcPr>
            <w:tcW w:w="2400" w:type="dxa"/>
            <w:vAlign w:val="bottom"/>
          </w:tcPr>
          <w:p>
            <w:pPr>
              <w:ind w:left="360"/>
              <w:spacing w:after="0"/>
              <w:rPr>
                <w:sz w:val="20"/>
                <w:szCs w:val="20"/>
                <w:color w:val="auto"/>
              </w:rPr>
            </w:pPr>
            <w:r>
              <w:rPr>
                <w:rFonts w:ascii="Arial" w:cs="Arial" w:eastAsia="Arial" w:hAnsi="Arial"/>
                <w:sz w:val="17"/>
                <w:szCs w:val="17"/>
                <w:color w:val="auto"/>
              </w:rPr>
              <w:t>Total intangible assets</w:t>
            </w: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shd w:val="clear" w:color="auto" w:fill="DDDDDD"/>
          </w:tcPr>
          <w:p>
            <w:pPr>
              <w:jc w:val="right"/>
              <w:ind w:right="35"/>
              <w:spacing w:after="0"/>
              <w:rPr>
                <w:sz w:val="20"/>
                <w:szCs w:val="20"/>
                <w:color w:val="auto"/>
              </w:rPr>
            </w:pPr>
            <w:r>
              <w:rPr>
                <w:rFonts w:ascii="Arial" w:cs="Arial" w:eastAsia="Arial" w:hAnsi="Arial"/>
                <w:sz w:val="17"/>
                <w:szCs w:val="17"/>
                <w:color w:val="2573BA"/>
              </w:rPr>
              <w:t>$</w:t>
            </w:r>
          </w:p>
        </w:tc>
        <w:tc>
          <w:tcPr>
            <w:tcW w:w="820" w:type="dxa"/>
            <w:vAlign w:val="bottom"/>
            <w:shd w:val="clear" w:color="auto" w:fill="DDDDDD"/>
          </w:tcPr>
          <w:p>
            <w:pPr>
              <w:jc w:val="right"/>
              <w:ind w:right="39"/>
              <w:spacing w:after="0"/>
              <w:rPr>
                <w:sz w:val="20"/>
                <w:szCs w:val="20"/>
                <w:color w:val="auto"/>
              </w:rPr>
            </w:pPr>
            <w:r>
              <w:rPr>
                <w:rFonts w:ascii="Arial" w:cs="Arial" w:eastAsia="Arial" w:hAnsi="Arial"/>
                <w:sz w:val="17"/>
                <w:szCs w:val="17"/>
                <w:color w:val="2573BA"/>
              </w:rPr>
              <w:t>8,264.6</w:t>
            </w:r>
          </w:p>
        </w:tc>
        <w:tc>
          <w:tcPr>
            <w:tcW w:w="100" w:type="dxa"/>
            <w:vAlign w:val="bottom"/>
            <w:shd w:val="clear" w:color="auto" w:fill="DDDDDD"/>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2573BA"/>
              </w:rPr>
              <w:t>$</w:t>
            </w:r>
          </w:p>
        </w:tc>
        <w:tc>
          <w:tcPr>
            <w:tcW w:w="1020" w:type="dxa"/>
            <w:vAlign w:val="bottom"/>
          </w:tcPr>
          <w:p>
            <w:pPr>
              <w:jc w:val="right"/>
              <w:spacing w:after="0"/>
              <w:rPr>
                <w:sz w:val="20"/>
                <w:szCs w:val="20"/>
                <w:color w:val="auto"/>
              </w:rPr>
            </w:pPr>
            <w:r>
              <w:rPr>
                <w:rFonts w:ascii="Arial" w:cs="Arial" w:eastAsia="Arial" w:hAnsi="Arial"/>
                <w:sz w:val="17"/>
                <w:szCs w:val="17"/>
                <w:color w:val="2573BA"/>
              </w:rPr>
              <w:t>(4,385.0)</w:t>
            </w:r>
          </w:p>
        </w:tc>
        <w:tc>
          <w:tcPr>
            <w:tcW w:w="340" w:type="dxa"/>
            <w:vAlign w:val="bottom"/>
            <w:gridSpan w:val="2"/>
            <w:shd w:val="clear" w:color="auto" w:fill="DDDDDD"/>
          </w:tcPr>
          <w:p>
            <w:pPr>
              <w:jc w:val="right"/>
              <w:ind w:right="120"/>
              <w:spacing w:after="0"/>
              <w:rPr>
                <w:sz w:val="20"/>
                <w:szCs w:val="20"/>
                <w:color w:val="auto"/>
              </w:rPr>
            </w:pPr>
            <w:r>
              <w:rPr>
                <w:rFonts w:ascii="Arial" w:cs="Arial" w:eastAsia="Arial" w:hAnsi="Arial"/>
                <w:sz w:val="17"/>
                <w:szCs w:val="17"/>
                <w:color w:val="2573BA"/>
              </w:rPr>
              <w:t>$</w:t>
            </w:r>
          </w:p>
        </w:tc>
        <w:tc>
          <w:tcPr>
            <w:tcW w:w="78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3,879.6</w:t>
            </w:r>
          </w:p>
        </w:tc>
        <w:tc>
          <w:tcPr>
            <w:tcW w:w="3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9"/>
              <w:spacing w:after="0"/>
              <w:rPr>
                <w:sz w:val="20"/>
                <w:szCs w:val="20"/>
                <w:color w:val="auto"/>
              </w:rPr>
            </w:pPr>
            <w:r>
              <w:rPr>
                <w:rFonts w:ascii="Arial" w:cs="Arial" w:eastAsia="Arial" w:hAnsi="Arial"/>
                <w:sz w:val="17"/>
                <w:szCs w:val="17"/>
                <w:color w:val="auto"/>
              </w:rPr>
              <w:t>7,742.3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(3,934.0)</w:t>
            </w:r>
          </w:p>
        </w:tc>
        <w:tc>
          <w:tcPr>
            <w:tcW w:w="100" w:type="dxa"/>
            <w:vAlign w:val="bottom"/>
          </w:tcPr>
          <w:p>
            <w:pPr>
              <w:spacing w:after="0"/>
              <w:rPr>
                <w:sz w:val="20"/>
                <w:szCs w:val="20"/>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7"/>
              <w:spacing w:after="0"/>
              <w:rPr>
                <w:sz w:val="20"/>
                <w:szCs w:val="20"/>
                <w:color w:val="auto"/>
              </w:rPr>
            </w:pPr>
            <w:r>
              <w:rPr>
                <w:rFonts w:ascii="Arial" w:cs="Arial" w:eastAsia="Arial" w:hAnsi="Arial"/>
                <w:sz w:val="17"/>
                <w:szCs w:val="17"/>
                <w:color w:val="auto"/>
              </w:rPr>
              <w:t>3,808.3</w:t>
            </w:r>
          </w:p>
        </w:tc>
      </w:tr>
      <w:tr>
        <w:trPr>
          <w:trHeight w:val="20"/>
        </w:trPr>
        <w:tc>
          <w:tcPr>
            <w:tcW w:w="24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3587750</wp:posOffset>
            </wp:positionH>
            <wp:positionV relativeFrom="paragraph">
              <wp:posOffset>-625475</wp:posOffset>
            </wp:positionV>
            <wp:extent cx="1447165" cy="6096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2">
                      <a:extLst>
                        <a:ext uri="{28A0092B-C50C-407E-A947-70E740481C1C}"/>
                      </a:extLst>
                    </a:blip>
                    <a:srcRect/>
                    <a:stretch>
                      <a:fillRect/>
                    </a:stretch>
                  </pic:blipFill>
                  <pic:spPr bwMode="auto">
                    <a:xfrm>
                      <a:off x="0" y="0"/>
                      <a:ext cx="1447165" cy="609600"/>
                    </a:xfrm>
                    <a:prstGeom prst="rect">
                      <a:avLst/>
                    </a:prstGeom>
                    <a:noFill/>
                  </pic:spPr>
                </pic:pic>
              </a:graphicData>
            </a:graphic>
          </wp:anchor>
        </w:drawing>
      </w:r>
    </w:p>
    <w:p>
      <w:pPr>
        <w:spacing w:after="0" w:line="133" w:lineRule="exact"/>
        <w:rPr>
          <w:sz w:val="20"/>
          <w:szCs w:val="20"/>
          <w:color w:val="auto"/>
        </w:rPr>
      </w:pPr>
    </w:p>
    <w:p>
      <w:pPr>
        <w:ind w:right="60" w:firstLine="410"/>
        <w:spacing w:after="0" w:line="262" w:lineRule="auto"/>
        <w:rPr>
          <w:sz w:val="20"/>
          <w:szCs w:val="20"/>
          <w:color w:val="auto"/>
        </w:rPr>
      </w:pPr>
      <w:r>
        <w:rPr>
          <w:rFonts w:ascii="Arial" w:cs="Arial" w:eastAsia="Arial" w:hAnsi="Arial"/>
          <w:sz w:val="17"/>
          <w:szCs w:val="17"/>
          <w:color w:val="auto"/>
        </w:rPr>
        <w:t>Amortization of acquired intangible assets totaled $814.7 million, $385.6 million and $382.6 million for the years ended December 31, 2017, 2016 and 2015, respectively.</w:t>
      </w:r>
    </w:p>
    <w:p>
      <w:pPr>
        <w:spacing w:after="0" w:line="137" w:lineRule="exact"/>
        <w:rPr>
          <w:sz w:val="20"/>
          <w:szCs w:val="20"/>
          <w:color w:val="auto"/>
        </w:rPr>
      </w:pPr>
    </w:p>
    <w:p>
      <w:pPr>
        <w:ind w:firstLine="410"/>
        <w:spacing w:after="0" w:line="254" w:lineRule="auto"/>
        <w:rPr>
          <w:sz w:val="20"/>
          <w:szCs w:val="20"/>
          <w:color w:val="auto"/>
        </w:rPr>
      </w:pPr>
      <w:r>
        <w:rPr>
          <w:rFonts w:ascii="Arial" w:cs="Arial" w:eastAsia="Arial" w:hAnsi="Arial"/>
          <w:sz w:val="17"/>
          <w:szCs w:val="17"/>
          <w:color w:val="auto"/>
        </w:rPr>
        <w:t xml:space="preserve">Amortization of acquired intangible assets for the year ended December 31, 2017, includes $444.2 million of amortization and impairment charges related to our U.S. and rest of world licenses to Forward Pharma's intellectual property, including Forward Pharma's intellectual property related to TECFIDERA, as discussed below. Amortization of acquired intangible assets for 2017 also reflects a $31.2 million impairment charge related to the Article 20 Procedure of ZINBRYTA in the E.U. For additional information on the Article 20 Procedure of ZINBRYTA and resulting impairment of ZINBRYTA related assets, please read Note 20, </w:t>
      </w:r>
      <w:r>
        <w:rPr>
          <w:rFonts w:ascii="Arial" w:cs="Arial" w:eastAsia="Arial" w:hAnsi="Arial"/>
          <w:sz w:val="17"/>
          <w:szCs w:val="17"/>
          <w:i w:val="1"/>
          <w:iCs w:val="1"/>
          <w:color w:val="auto"/>
        </w:rPr>
        <w:t>Collaborative and Other Relationships,</w:t>
      </w:r>
      <w:r>
        <w:rPr>
          <w:rFonts w:ascii="Arial" w:cs="Arial" w:eastAsia="Arial" w:hAnsi="Arial"/>
          <w:sz w:val="17"/>
          <w:szCs w:val="17"/>
          <w:color w:val="auto"/>
        </w:rPr>
        <w:t xml:space="preserve"> to these consolidated financial statements.</w:t>
      </w:r>
    </w:p>
    <w:p>
      <w:pPr>
        <w:spacing w:after="0" w:line="144" w:lineRule="exact"/>
        <w:rPr>
          <w:sz w:val="20"/>
          <w:szCs w:val="20"/>
          <w:color w:val="auto"/>
        </w:rPr>
      </w:pPr>
    </w:p>
    <w:p>
      <w:pPr>
        <w:ind w:right="60" w:firstLine="384"/>
        <w:spacing w:after="0" w:line="255" w:lineRule="auto"/>
        <w:rPr>
          <w:sz w:val="20"/>
          <w:szCs w:val="20"/>
          <w:color w:val="auto"/>
        </w:rPr>
      </w:pPr>
      <w:r>
        <w:rPr>
          <w:rFonts w:ascii="Arial" w:cs="Arial" w:eastAsia="Arial" w:hAnsi="Arial"/>
          <w:sz w:val="17"/>
          <w:szCs w:val="17"/>
          <w:color w:val="auto"/>
        </w:rPr>
        <w:t xml:space="preserve">Balances in the table above as of December 31, 2017 also reflect the elimination of certain amounts transferred to Bioverativ in connection with the completion of the spin-off of our hemophilia business. For additional information on the spin-off of our hemophilia business, please read Note 3, </w:t>
      </w:r>
      <w:r>
        <w:rPr>
          <w:rFonts w:ascii="Arial" w:cs="Arial" w:eastAsia="Arial" w:hAnsi="Arial"/>
          <w:sz w:val="17"/>
          <w:szCs w:val="17"/>
          <w:i w:val="1"/>
          <w:iCs w:val="1"/>
          <w:color w:val="auto"/>
        </w:rPr>
        <w:t xml:space="preserve">Hemophilia Spin-Off, </w:t>
      </w:r>
      <w:r>
        <w:rPr>
          <w:rFonts w:ascii="Arial" w:cs="Arial" w:eastAsia="Arial" w:hAnsi="Arial"/>
          <w:sz w:val="17"/>
          <w:szCs w:val="17"/>
          <w:color w:val="auto"/>
        </w:rPr>
        <w:t>to these consolidated financial statements. In-process research and development balances include adjustments related to foreign</w:t>
      </w:r>
      <w:r>
        <w:rPr>
          <w:rFonts w:ascii="Arial" w:cs="Arial" w:eastAsia="Arial" w:hAnsi="Arial"/>
          <w:sz w:val="17"/>
          <w:szCs w:val="17"/>
          <w:i w:val="1"/>
          <w:iCs w:val="1"/>
          <w:color w:val="auto"/>
        </w:rPr>
        <w:t xml:space="preserve"> </w:t>
      </w:r>
      <w:r>
        <w:rPr>
          <w:rFonts w:ascii="Arial" w:cs="Arial" w:eastAsia="Arial" w:hAnsi="Arial"/>
          <w:sz w:val="17"/>
          <w:szCs w:val="17"/>
          <w:color w:val="auto"/>
        </w:rPr>
        <w:t>currency exchange rate fluctuations.</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Out-licensed Patents</w:t>
      </w:r>
    </w:p>
    <w:p>
      <w:pPr>
        <w:spacing w:after="0" w:line="104" w:lineRule="exact"/>
        <w:rPr>
          <w:sz w:val="20"/>
          <w:szCs w:val="20"/>
          <w:color w:val="auto"/>
        </w:rPr>
      </w:pPr>
    </w:p>
    <w:p>
      <w:pPr>
        <w:ind w:right="160" w:firstLine="384"/>
        <w:spacing w:after="0" w:line="262" w:lineRule="auto"/>
        <w:rPr>
          <w:sz w:val="20"/>
          <w:szCs w:val="20"/>
          <w:color w:val="auto"/>
        </w:rPr>
      </w:pPr>
      <w:r>
        <w:rPr>
          <w:rFonts w:ascii="Arial" w:cs="Arial" w:eastAsia="Arial" w:hAnsi="Arial"/>
          <w:sz w:val="17"/>
          <w:szCs w:val="17"/>
          <w:color w:val="auto"/>
        </w:rPr>
        <w:t>Out-licensed patents to third-parties primarily relate to patents acquired in connection with the merger of Biogen, Inc. and IDEC Pharmaceuticals Corporation in 2003.</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Developed Technology</w:t>
      </w:r>
    </w:p>
    <w:p>
      <w:pPr>
        <w:spacing w:after="0" w:line="104" w:lineRule="exact"/>
        <w:rPr>
          <w:sz w:val="20"/>
          <w:szCs w:val="20"/>
          <w:color w:val="auto"/>
        </w:rPr>
      </w:pPr>
    </w:p>
    <w:p>
      <w:pPr>
        <w:ind w:right="440" w:firstLine="384"/>
        <w:spacing w:after="0" w:line="262" w:lineRule="auto"/>
        <w:rPr>
          <w:sz w:val="20"/>
          <w:szCs w:val="20"/>
          <w:color w:val="auto"/>
        </w:rPr>
      </w:pPr>
      <w:r>
        <w:rPr>
          <w:rFonts w:ascii="Arial" w:cs="Arial" w:eastAsia="Arial" w:hAnsi="Arial"/>
          <w:sz w:val="17"/>
          <w:szCs w:val="17"/>
          <w:color w:val="auto"/>
        </w:rPr>
        <w:t>Developed technology primarily relates to our AVONEX product, which was recorded in connection with the merger of Biogen, Inc. and IDEC Pharmaceuticals Corporation in 2003. The net book value of this asset as of December 31, 2017 was $309.5 million.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F- 28</w:t>
      </w:r>
    </w:p>
    <w:p>
      <w:pPr>
        <w:sectPr>
          <w:pgSz w:w="11900" w:h="16838" w:orient="portrait"/>
          <w:cols w:equalWidth="0" w:num="1">
            <w:col w:w="11420"/>
          </w:cols>
          <w:pgMar w:left="240" w:top="139" w:right="239" w:bottom="1440" w:gutter="0" w:footer="0" w:header="0"/>
        </w:sectPr>
      </w:pPr>
    </w:p>
    <w:bookmarkStart w:id="130" w:name="page131"/>
    <w:bookmarkEnd w:id="1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IPR&amp;D</w:t>
      </w:r>
    </w:p>
    <w:p>
      <w:pPr>
        <w:spacing w:after="0" w:line="104" w:lineRule="exact"/>
        <w:rPr>
          <w:sz w:val="20"/>
          <w:szCs w:val="20"/>
          <w:color w:val="auto"/>
        </w:rPr>
      </w:pPr>
    </w:p>
    <w:p>
      <w:pPr>
        <w:ind w:firstLine="384"/>
        <w:spacing w:after="0" w:line="254" w:lineRule="auto"/>
        <w:rPr>
          <w:sz w:val="20"/>
          <w:szCs w:val="20"/>
          <w:color w:val="auto"/>
        </w:rPr>
      </w:pPr>
      <w:r>
        <w:rPr>
          <w:rFonts w:ascii="Arial" w:cs="Arial" w:eastAsia="Arial" w:hAnsi="Arial"/>
          <w:sz w:val="17"/>
          <w:szCs w:val="17"/>
          <w:color w:val="auto"/>
        </w:rPr>
        <w:t>IPR&amp;D represents the fair value assigned to research and development assets that we acquired and had not reached technological feasibility at the date of acquisition. Upon commercialization, we will determine the estimated useful life and amortize these amounts based upon an economic consumption method. The carrying value associated with our IPR&amp;D assets as of December 31, 2017 and 2016 relates to the various IPR&amp;D programs we acquired in connection with our acquisitions of Convergence, Stromedix Inc. (Stromedix) and Biogen International Neuroscience GmbH (BIN) in 2015, 2012 and 2010, respectively. These amounts have and will be adjusted for foreign exchange rate fluctuations.</w:t>
      </w:r>
    </w:p>
    <w:p>
      <w:pPr>
        <w:spacing w:after="0" w:line="144" w:lineRule="exact"/>
        <w:rPr>
          <w:sz w:val="20"/>
          <w:szCs w:val="20"/>
          <w:color w:val="auto"/>
        </w:rPr>
      </w:pPr>
    </w:p>
    <w:p>
      <w:pPr>
        <w:ind w:right="40" w:firstLine="384"/>
        <w:spacing w:after="0" w:line="255" w:lineRule="auto"/>
        <w:rPr>
          <w:sz w:val="20"/>
          <w:szCs w:val="20"/>
          <w:color w:val="auto"/>
        </w:rPr>
      </w:pPr>
      <w:r>
        <w:rPr>
          <w:rFonts w:ascii="Arial" w:cs="Arial" w:eastAsia="Arial" w:hAnsi="Arial"/>
          <w:sz w:val="17"/>
          <w:szCs w:val="17"/>
          <w:color w:val="auto"/>
        </w:rPr>
        <w:t>An analysis of anticipated lifetime revenues and anticipated development costs is performed annually during our long-range planning cycle, which was updated in the third quarter of 2017. This analysis is based upon certain assumptions that we evaluate on a periodic basis, including anticipated future product sales, the expected impact of changes in the amount of development costs and the probabilities of our programs succeeding, the introduction of new products by our competitors and changes in our commercial and pipeline product candidates.</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Acquired and In-licensed Rights and Patents</w:t>
      </w:r>
    </w:p>
    <w:p>
      <w:pPr>
        <w:spacing w:after="0" w:line="104" w:lineRule="exact"/>
        <w:rPr>
          <w:sz w:val="20"/>
          <w:szCs w:val="20"/>
          <w:color w:val="auto"/>
        </w:rPr>
      </w:pPr>
    </w:p>
    <w:p>
      <w:pPr>
        <w:ind w:right="60" w:firstLine="410"/>
        <w:spacing w:after="0" w:line="262" w:lineRule="auto"/>
        <w:rPr>
          <w:sz w:val="20"/>
          <w:szCs w:val="20"/>
          <w:color w:val="auto"/>
        </w:rPr>
      </w:pPr>
      <w:r>
        <w:rPr>
          <w:rFonts w:ascii="Arial" w:cs="Arial" w:eastAsia="Arial" w:hAnsi="Arial"/>
          <w:sz w:val="17"/>
          <w:szCs w:val="17"/>
          <w:color w:val="auto"/>
        </w:rPr>
        <w:t>Acquired and in-licensed rights and patents primarily relate to our acquisition of all remaining rights to TYSABRI from Elan. The net book value of this asset as of December 31, 2017 was $2,236.2 million.</w:t>
      </w:r>
    </w:p>
    <w:p>
      <w:pPr>
        <w:spacing w:after="0" w:line="60" w:lineRule="exact"/>
        <w:rPr>
          <w:sz w:val="20"/>
          <w:szCs w:val="20"/>
          <w:color w:val="auto"/>
        </w:rPr>
      </w:pPr>
    </w:p>
    <w:p>
      <w:pPr>
        <w:ind w:right="40" w:firstLine="410"/>
        <w:spacing w:after="0" w:line="254" w:lineRule="auto"/>
        <w:rPr>
          <w:sz w:val="20"/>
          <w:szCs w:val="20"/>
          <w:color w:val="auto"/>
        </w:rPr>
      </w:pPr>
      <w:r>
        <w:rPr>
          <w:rFonts w:ascii="Arial" w:cs="Arial" w:eastAsia="Arial" w:hAnsi="Arial"/>
          <w:sz w:val="17"/>
          <w:szCs w:val="17"/>
          <w:color w:val="auto"/>
        </w:rPr>
        <w:t>The net change in acquired and in-licensed rights and patents during 2017 reflects $90.0 million in total milestone payments paid to Ionis Pharmaceuticals, Inc. (Ionis) for the approvals of SPINRAZA in the E.U. and Japan in June 2017 and July 2017, respectively, the $25.0 million milestone payment paid to Samsung Bioepis, for the approval of IMRALDI, an adalimumab biosimilar referencing HUMIRA, in the E.U. in August 2017, and the net carrying value recognized in relation to our acquisition of TECFIDERA license rights, as described below. These net increases were in part offset by amortization and the $31.2 million impairment charge related to the Article 20 Procedure of ZINBRYTA.</w:t>
      </w:r>
    </w:p>
    <w:p>
      <w:pPr>
        <w:spacing w:after="0" w:line="144"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 xml:space="preserve">For additional information on our relationships with Ionis and Samsung Bioepis and the European Commission (EC) approved restrictions on the use of ZINBRYTA, please read Note 20, </w:t>
      </w:r>
      <w:r>
        <w:rPr>
          <w:rFonts w:ascii="Arial" w:cs="Arial" w:eastAsia="Arial" w:hAnsi="Arial"/>
          <w:sz w:val="17"/>
          <w:szCs w:val="17"/>
          <w:i w:val="1"/>
          <w:iCs w:val="1"/>
          <w:color w:val="auto"/>
        </w:rPr>
        <w:t>Collaborative and Other Relationships,</w:t>
      </w:r>
      <w:r>
        <w:rPr>
          <w:rFonts w:ascii="Arial" w:cs="Arial" w:eastAsia="Arial" w:hAnsi="Arial"/>
          <w:sz w:val="17"/>
          <w:szCs w:val="17"/>
          <w:color w:val="auto"/>
        </w:rPr>
        <w:t xml:space="preserve"> to these consolidated financial statements.</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TECFIDERA License Rights</w:t>
      </w:r>
    </w:p>
    <w:p>
      <w:pPr>
        <w:spacing w:after="0" w:line="181" w:lineRule="exact"/>
        <w:rPr>
          <w:sz w:val="20"/>
          <w:szCs w:val="20"/>
          <w:color w:val="auto"/>
        </w:rPr>
      </w:pPr>
    </w:p>
    <w:p>
      <w:pPr>
        <w:ind w:firstLine="384"/>
        <w:spacing w:after="0" w:line="252" w:lineRule="auto"/>
        <w:rPr>
          <w:sz w:val="20"/>
          <w:szCs w:val="20"/>
          <w:color w:val="auto"/>
        </w:rPr>
      </w:pPr>
      <w:r>
        <w:rPr>
          <w:rFonts w:ascii="Arial" w:cs="Arial" w:eastAsia="Arial" w:hAnsi="Arial"/>
          <w:sz w:val="17"/>
          <w:szCs w:val="17"/>
          <w:color w:val="auto"/>
        </w:rPr>
        <w:t>In January 2017 we entered into a settlement and license agreement among Biogen Swiss Manufacturing GmbH, Biogen International Holding Ltd., Forward Pharma and certain related parties, which was effective as of February 1, 2017. Pursuant to this agreement, we obtained U.S. and rest of world licenses to Forward Pharma's intellectual property, including Forward Pharma's intellectual property related to TECFIDERA. In exchange, we paid Forward Pharma $1.25 billion in cash. During the fourth quarter of 2016, we recognized a pre-tax charge of $454.8 million related to this agreement and in the first quarter of 2017 we recognized an intangible asset of $795.2 million related to this agreement. The pre-tax charge recognized in the fourth quarter of 2016 represented the fair value of our license to Forward Pharma’s intellectual property for the period April 2014, when we started selling TECFIDERA, through December 31, 2016. The intangible asset represented the fair value of the U.S. and rest of world licenses to Forward Pharma’s intellectual property related to TECFIDERA revenues for the period January 2017, the month in which we entered into this agreement, through December 2020, the last month before royalty payments could first commence pursuant to this agreement.</w:t>
      </w:r>
    </w:p>
    <w:p>
      <w:pPr>
        <w:spacing w:after="0" w:line="151" w:lineRule="exact"/>
        <w:rPr>
          <w:sz w:val="20"/>
          <w:szCs w:val="20"/>
          <w:color w:val="auto"/>
        </w:rPr>
      </w:pPr>
    </w:p>
    <w:p>
      <w:pPr>
        <w:ind w:right="40" w:firstLine="384"/>
        <w:spacing w:after="0" w:line="253" w:lineRule="auto"/>
        <w:rPr>
          <w:sz w:val="20"/>
          <w:szCs w:val="20"/>
          <w:color w:val="auto"/>
        </w:rPr>
      </w:pPr>
      <w:r>
        <w:rPr>
          <w:rFonts w:ascii="Arial" w:cs="Arial" w:eastAsia="Arial" w:hAnsi="Arial"/>
          <w:sz w:val="17"/>
          <w:szCs w:val="17"/>
          <w:color w:val="auto"/>
        </w:rPr>
        <w:t>We have two intellectual property disputes with Forward Pharma, one in the U.S. and one in the E.U., concerning intellectual property related to TECFIDERA. In March 2017 the U.S. intellectual property dispute was decided in our favor. Forward Pharma appealed to the U.S. Court of Appeals for the Federal Circuit and the appeal is pending. We evaluated the recoverability of the U.S. asset acquired from Forward Pharma and recorded an impairment charge in the first quarter of 2017 to adjust the carrying value of the acquired U.S. asset to fair value reflecting the impact of the developments in the U.S. legal dispute. In January 2018 the European Patent Office (EPO) announced its decision revoking Forward Pharma’s European Patent No. 2 801 355. Forward Pharma has stated that it expects to file an appeal to the Technical Board of Appeal of the EPO. Based upon our assessment of these rulings, we continue to amortize the remaining net book value of the U.S. and rest of world intangible assets in our consolidated statements of income utilizing an economic consumption model.</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 xml:space="preserve">For additional information on these disputes, please read Note 21, </w:t>
      </w:r>
      <w:r>
        <w:rPr>
          <w:rFonts w:ascii="Arial" w:cs="Arial" w:eastAsia="Arial" w:hAnsi="Arial"/>
          <w:sz w:val="17"/>
          <w:szCs w:val="17"/>
          <w:i w:val="1"/>
          <w:iCs w:val="1"/>
          <w:color w:val="auto"/>
        </w:rPr>
        <w:t>Litigation,</w:t>
      </w:r>
      <w:r>
        <w:rPr>
          <w:rFonts w:ascii="Arial" w:cs="Arial" w:eastAsia="Arial" w:hAnsi="Arial"/>
          <w:sz w:val="17"/>
          <w:szCs w:val="17"/>
          <w:color w:val="auto"/>
        </w:rPr>
        <w:t xml:space="preserve"> to these consolidated financial statements.</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F- 29</w:t>
      </w:r>
    </w:p>
    <w:p>
      <w:pPr>
        <w:sectPr>
          <w:pgSz w:w="11900" w:h="16838" w:orient="portrait"/>
          <w:cols w:equalWidth="0" w:num="1">
            <w:col w:w="11400"/>
          </w:cols>
          <w:pgMar w:left="240" w:top="139" w:right="259" w:bottom="1440" w:gutter="0" w:footer="0" w:header="0"/>
        </w:sectPr>
      </w:pPr>
    </w:p>
    <w:bookmarkStart w:id="131" w:name="page132"/>
    <w:bookmarkEnd w:id="1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Estimated Future Amortization of Intangible Assets</w:t>
      </w:r>
    </w:p>
    <w:p>
      <w:pPr>
        <w:spacing w:after="0" w:line="104" w:lineRule="exact"/>
        <w:rPr>
          <w:sz w:val="20"/>
          <w:szCs w:val="20"/>
          <w:color w:val="auto"/>
        </w:rPr>
      </w:pPr>
    </w:p>
    <w:p>
      <w:pPr>
        <w:ind w:right="100" w:firstLine="410"/>
        <w:spacing w:after="0" w:line="255" w:lineRule="auto"/>
        <w:rPr>
          <w:sz w:val="20"/>
          <w:szCs w:val="20"/>
          <w:color w:val="auto"/>
        </w:rPr>
      </w:pPr>
      <w:r>
        <w:rPr>
          <w:rFonts w:ascii="Arial" w:cs="Arial" w:eastAsia="Arial" w:hAnsi="Arial"/>
          <w:sz w:val="17"/>
          <w:szCs w:val="17"/>
          <w:color w:val="auto"/>
        </w:rPr>
        <w:t>Our amortization expense is based on the economic consumption and impairment of intangible assets. Our most significant intangible assets are related to our TECFIDERA, AVONEX and TYSABRI products. Annually, during our long-range planning cycle, we perform an analysis of anticipated lifetime revenues of TECFIDERA, AVONEX and TYSABRI. This analysis is also updated whenever events or changes in circumstances would significantly affect the anticipated lifetime revenues of any of these products.</w:t>
      </w:r>
    </w:p>
    <w:p>
      <w:pPr>
        <w:spacing w:after="0" w:line="143" w:lineRule="exact"/>
        <w:rPr>
          <w:sz w:val="20"/>
          <w:szCs w:val="20"/>
          <w:color w:val="auto"/>
        </w:rPr>
      </w:pPr>
    </w:p>
    <w:p>
      <w:pPr>
        <w:ind w:right="960" w:firstLine="410"/>
        <w:spacing w:after="0" w:line="262" w:lineRule="auto"/>
        <w:rPr>
          <w:sz w:val="20"/>
          <w:szCs w:val="20"/>
          <w:color w:val="auto"/>
        </w:rPr>
      </w:pPr>
      <w:r>
        <w:rPr>
          <w:rFonts w:ascii="Arial" w:cs="Arial" w:eastAsia="Arial" w:hAnsi="Arial"/>
          <w:sz w:val="17"/>
          <w:szCs w:val="17"/>
          <w:color w:val="auto"/>
        </w:rPr>
        <w:t>Our most recent long-range planning cycle was completed in the third quarter of 2017. Based upon this analysis, the estimated future amortization of acquired intangible assets for the next five years is expected to be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shd w:val="clear" w:color="auto" w:fill="DDDDDD"/>
          </w:tcPr>
          <w:p>
            <w:pPr>
              <w:spacing w:after="0"/>
              <w:rPr>
                <w:sz w:val="17"/>
                <w:szCs w:val="17"/>
                <w:color w:val="auto"/>
              </w:rPr>
            </w:pPr>
          </w:p>
        </w:tc>
        <w:tc>
          <w:tcPr>
            <w:tcW w:w="1940" w:type="dxa"/>
            <w:vAlign w:val="bottom"/>
            <w:tcBorders>
              <w:bottom w:val="single" w:sz="8" w:color="auto"/>
            </w:tcBorders>
            <w:gridSpan w:val="4"/>
            <w:shd w:val="clear" w:color="auto" w:fill="DDDDDD"/>
          </w:tcPr>
          <w:p>
            <w:pPr>
              <w:ind w:left="60"/>
              <w:spacing w:after="0"/>
              <w:rPr>
                <w:sz w:val="20"/>
                <w:szCs w:val="20"/>
                <w:color w:val="auto"/>
              </w:rPr>
            </w:pPr>
            <w:r>
              <w:rPr>
                <w:rFonts w:ascii="Arial" w:cs="Arial" w:eastAsia="Arial" w:hAnsi="Arial"/>
                <w:sz w:val="14"/>
                <w:szCs w:val="14"/>
                <w:b w:val="1"/>
                <w:bCs w:val="1"/>
                <w:color w:val="2573BA"/>
              </w:rPr>
              <w:t>As of December 31, 2017</w:t>
            </w:r>
          </w:p>
        </w:tc>
      </w:tr>
      <w:tr>
        <w:trPr>
          <w:trHeight w:val="225"/>
        </w:trPr>
        <w:tc>
          <w:tcPr>
            <w:tcW w:w="7640" w:type="dxa"/>
            <w:vAlign w:val="bottom"/>
          </w:tcPr>
          <w:p>
            <w:pPr>
              <w:ind w:left="20"/>
              <w:spacing w:after="0"/>
              <w:rPr>
                <w:sz w:val="20"/>
                <w:szCs w:val="20"/>
                <w:color w:val="auto"/>
              </w:rPr>
            </w:pPr>
            <w:r>
              <w:rPr>
                <w:rFonts w:ascii="Arial" w:cs="Arial" w:eastAsia="Arial" w:hAnsi="Arial"/>
                <w:sz w:val="17"/>
                <w:szCs w:val="17"/>
                <w:color w:val="auto"/>
              </w:rPr>
              <w:t>2018</w:t>
            </w: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w:t>
            </w:r>
          </w:p>
        </w:tc>
        <w:tc>
          <w:tcPr>
            <w:tcW w:w="100" w:type="dxa"/>
            <w:vAlign w:val="bottom"/>
            <w:shd w:val="clear" w:color="auto" w:fill="DDDDDD"/>
          </w:tcPr>
          <w:p>
            <w:pPr>
              <w:spacing w:after="0"/>
              <w:rPr>
                <w:sz w:val="19"/>
                <w:szCs w:val="19"/>
                <w:color w:val="auto"/>
              </w:rPr>
            </w:pPr>
          </w:p>
        </w:tc>
        <w:tc>
          <w:tcPr>
            <w:tcW w:w="680" w:type="dxa"/>
            <w:vAlign w:val="bottom"/>
            <w:shd w:val="clear" w:color="auto" w:fill="DDDDDD"/>
          </w:tcPr>
          <w:p>
            <w:pPr>
              <w:spacing w:after="0"/>
              <w:rPr>
                <w:sz w:val="19"/>
                <w:szCs w:val="19"/>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423.5</w:t>
            </w:r>
          </w:p>
        </w:tc>
        <w:tc>
          <w:tcPr>
            <w:tcW w:w="20" w:type="dxa"/>
            <w:vAlign w:val="bottom"/>
            <w:shd w:val="clear" w:color="auto" w:fill="DDDDDD"/>
          </w:tcPr>
          <w:p>
            <w:pPr>
              <w:spacing w:after="0"/>
              <w:rPr>
                <w:sz w:val="19"/>
                <w:szCs w:val="19"/>
                <w:color w:val="auto"/>
              </w:rPr>
            </w:pPr>
          </w:p>
        </w:tc>
      </w:tr>
      <w:tr>
        <w:trPr>
          <w:trHeight w:val="243"/>
        </w:trPr>
        <w:tc>
          <w:tcPr>
            <w:tcW w:w="7640" w:type="dxa"/>
            <w:vAlign w:val="bottom"/>
          </w:tcPr>
          <w:p>
            <w:pPr>
              <w:ind w:left="20"/>
              <w:spacing w:after="0"/>
              <w:rPr>
                <w:sz w:val="20"/>
                <w:szCs w:val="20"/>
                <w:color w:val="auto"/>
              </w:rPr>
            </w:pPr>
            <w:r>
              <w:rPr>
                <w:rFonts w:ascii="Arial" w:cs="Arial" w:eastAsia="Arial" w:hAnsi="Arial"/>
                <w:sz w:val="17"/>
                <w:szCs w:val="17"/>
                <w:color w:val="auto"/>
              </w:rPr>
              <w:t>2019</w:t>
            </w:r>
          </w:p>
        </w:tc>
        <w:tc>
          <w:tcPr>
            <w:tcW w:w="4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680" w:type="dxa"/>
            <w:vAlign w:val="bottom"/>
            <w:shd w:val="clear" w:color="auto" w:fill="DDDDDD"/>
          </w:tcPr>
          <w:p>
            <w:pPr>
              <w:spacing w:after="0"/>
              <w:rPr>
                <w:sz w:val="21"/>
                <w:szCs w:val="21"/>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401.8</w:t>
            </w:r>
          </w:p>
        </w:tc>
        <w:tc>
          <w:tcPr>
            <w:tcW w:w="20" w:type="dxa"/>
            <w:vAlign w:val="bottom"/>
            <w:shd w:val="clear" w:color="auto" w:fill="DDDDDD"/>
          </w:tcPr>
          <w:p>
            <w:pPr>
              <w:spacing w:after="0"/>
              <w:rPr>
                <w:sz w:val="21"/>
                <w:szCs w:val="21"/>
                <w:color w:val="auto"/>
              </w:rPr>
            </w:pPr>
          </w:p>
        </w:tc>
      </w:tr>
      <w:tr>
        <w:trPr>
          <w:trHeight w:val="243"/>
        </w:trPr>
        <w:tc>
          <w:tcPr>
            <w:tcW w:w="7640" w:type="dxa"/>
            <w:vAlign w:val="bottom"/>
          </w:tcPr>
          <w:p>
            <w:pPr>
              <w:ind w:left="20"/>
              <w:spacing w:after="0"/>
              <w:rPr>
                <w:sz w:val="20"/>
                <w:szCs w:val="20"/>
                <w:color w:val="auto"/>
              </w:rPr>
            </w:pPr>
            <w:r>
              <w:rPr>
                <w:rFonts w:ascii="Arial" w:cs="Arial" w:eastAsia="Arial" w:hAnsi="Arial"/>
                <w:sz w:val="17"/>
                <w:szCs w:val="17"/>
                <w:color w:val="auto"/>
              </w:rPr>
              <w:t>2020</w:t>
            </w:r>
          </w:p>
        </w:tc>
        <w:tc>
          <w:tcPr>
            <w:tcW w:w="4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680" w:type="dxa"/>
            <w:vAlign w:val="bottom"/>
            <w:shd w:val="clear" w:color="auto" w:fill="DDDDDD"/>
          </w:tcPr>
          <w:p>
            <w:pPr>
              <w:spacing w:after="0"/>
              <w:rPr>
                <w:sz w:val="21"/>
                <w:szCs w:val="21"/>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381.6</w:t>
            </w:r>
          </w:p>
        </w:tc>
        <w:tc>
          <w:tcPr>
            <w:tcW w:w="20" w:type="dxa"/>
            <w:vAlign w:val="bottom"/>
            <w:shd w:val="clear" w:color="auto" w:fill="DDDDDD"/>
          </w:tcPr>
          <w:p>
            <w:pPr>
              <w:spacing w:after="0"/>
              <w:rPr>
                <w:sz w:val="21"/>
                <w:szCs w:val="21"/>
                <w:color w:val="auto"/>
              </w:rPr>
            </w:pPr>
          </w:p>
        </w:tc>
      </w:tr>
      <w:tr>
        <w:trPr>
          <w:trHeight w:val="243"/>
        </w:trPr>
        <w:tc>
          <w:tcPr>
            <w:tcW w:w="7640" w:type="dxa"/>
            <w:vAlign w:val="bottom"/>
          </w:tcPr>
          <w:p>
            <w:pPr>
              <w:ind w:left="20"/>
              <w:spacing w:after="0"/>
              <w:rPr>
                <w:sz w:val="20"/>
                <w:szCs w:val="20"/>
                <w:color w:val="auto"/>
              </w:rPr>
            </w:pPr>
            <w:r>
              <w:rPr>
                <w:rFonts w:ascii="Arial" w:cs="Arial" w:eastAsia="Arial" w:hAnsi="Arial"/>
                <w:sz w:val="17"/>
                <w:szCs w:val="17"/>
                <w:color w:val="auto"/>
              </w:rPr>
              <w:t>2021</w:t>
            </w:r>
          </w:p>
        </w:tc>
        <w:tc>
          <w:tcPr>
            <w:tcW w:w="4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680" w:type="dxa"/>
            <w:vAlign w:val="bottom"/>
            <w:shd w:val="clear" w:color="auto" w:fill="DDDDDD"/>
          </w:tcPr>
          <w:p>
            <w:pPr>
              <w:spacing w:after="0"/>
              <w:rPr>
                <w:sz w:val="21"/>
                <w:szCs w:val="21"/>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254.3</w:t>
            </w:r>
          </w:p>
        </w:tc>
        <w:tc>
          <w:tcPr>
            <w:tcW w:w="20" w:type="dxa"/>
            <w:vAlign w:val="bottom"/>
            <w:shd w:val="clear" w:color="auto" w:fill="DDDDDD"/>
          </w:tcPr>
          <w:p>
            <w:pPr>
              <w:spacing w:after="0"/>
              <w:rPr>
                <w:sz w:val="21"/>
                <w:szCs w:val="21"/>
                <w:color w:val="auto"/>
              </w:rPr>
            </w:pPr>
          </w:p>
        </w:tc>
      </w:tr>
      <w:tr>
        <w:trPr>
          <w:trHeight w:val="257"/>
        </w:trPr>
        <w:tc>
          <w:tcPr>
            <w:tcW w:w="7640" w:type="dxa"/>
            <w:vAlign w:val="bottom"/>
          </w:tcPr>
          <w:p>
            <w:pPr>
              <w:ind w:left="20"/>
              <w:spacing w:after="0"/>
              <w:rPr>
                <w:sz w:val="20"/>
                <w:szCs w:val="20"/>
                <w:color w:val="auto"/>
              </w:rPr>
            </w:pPr>
            <w:r>
              <w:rPr>
                <w:rFonts w:ascii="Arial" w:cs="Arial" w:eastAsia="Arial" w:hAnsi="Arial"/>
                <w:sz w:val="17"/>
                <w:szCs w:val="17"/>
                <w:color w:val="auto"/>
              </w:rPr>
              <w:t>2022</w:t>
            </w:r>
          </w:p>
        </w:tc>
        <w:tc>
          <w:tcPr>
            <w:tcW w:w="4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680" w:type="dxa"/>
            <w:vAlign w:val="bottom"/>
            <w:shd w:val="clear" w:color="auto" w:fill="DDDDDD"/>
          </w:tcPr>
          <w:p>
            <w:pPr>
              <w:spacing w:after="0"/>
              <w:rPr>
                <w:sz w:val="22"/>
                <w:szCs w:val="22"/>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242.3</w:t>
            </w:r>
          </w:p>
        </w:tc>
        <w:tc>
          <w:tcPr>
            <w:tcW w:w="20" w:type="dxa"/>
            <w:vAlign w:val="bottom"/>
            <w:shd w:val="clear" w:color="auto" w:fill="DDDDDD"/>
          </w:tcPr>
          <w:p>
            <w:pPr>
              <w:spacing w:after="0"/>
              <w:rPr>
                <w:sz w:val="22"/>
                <w:szCs w:val="22"/>
                <w:color w:val="auto"/>
              </w:rPr>
            </w:pPr>
          </w:p>
        </w:tc>
      </w:tr>
      <w:tr>
        <w:trPr>
          <w:trHeight w:val="357"/>
        </w:trPr>
        <w:tc>
          <w:tcPr>
            <w:tcW w:w="7640" w:type="dxa"/>
            <w:vAlign w:val="bottom"/>
          </w:tcPr>
          <w:p>
            <w:pPr>
              <w:ind w:left="200"/>
              <w:spacing w:after="0"/>
              <w:rPr>
                <w:sz w:val="20"/>
                <w:szCs w:val="20"/>
                <w:color w:val="auto"/>
              </w:rPr>
            </w:pPr>
            <w:r>
              <w:rPr>
                <w:rFonts w:ascii="Arial" w:cs="Arial" w:eastAsia="Arial" w:hAnsi="Arial"/>
                <w:sz w:val="17"/>
                <w:szCs w:val="17"/>
                <w:b w:val="1"/>
                <w:bCs w:val="1"/>
                <w:i w:val="1"/>
                <w:iCs w:val="1"/>
                <w:color w:val="2573BA"/>
              </w:rPr>
              <w:t>Goodwill</w:t>
            </w: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2"/>
        </w:trPr>
        <w:tc>
          <w:tcPr>
            <w:tcW w:w="7640" w:type="dxa"/>
            <w:vAlign w:val="bottom"/>
          </w:tcPr>
          <w:p>
            <w:pPr>
              <w:ind w:left="420"/>
              <w:spacing w:after="0"/>
              <w:rPr>
                <w:sz w:val="20"/>
                <w:szCs w:val="20"/>
                <w:color w:val="auto"/>
              </w:rPr>
            </w:pPr>
            <w:r>
              <w:rPr>
                <w:rFonts w:ascii="Arial" w:cs="Arial" w:eastAsia="Arial" w:hAnsi="Arial"/>
                <w:sz w:val="17"/>
                <w:szCs w:val="17"/>
                <w:color w:val="auto"/>
              </w:rPr>
              <w:t>The following table provides a roll forward of the changes in our goodwill balance:</w:t>
            </w: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9"/>
        </w:trPr>
        <w:tc>
          <w:tcPr>
            <w:tcW w:w="76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49"/>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bottom w:val="single" w:sz="8" w:color="auto"/>
            </w:tcBorders>
            <w:shd w:val="clear" w:color="auto" w:fill="DDDDDD"/>
          </w:tcPr>
          <w:p>
            <w:pPr>
              <w:spacing w:after="0"/>
              <w:rPr>
                <w:sz w:val="21"/>
                <w:szCs w:val="21"/>
                <w:color w:val="auto"/>
              </w:rPr>
            </w:pPr>
          </w:p>
        </w:tc>
        <w:tc>
          <w:tcPr>
            <w:tcW w:w="1180" w:type="dxa"/>
            <w:vAlign w:val="bottom"/>
            <w:tcBorders>
              <w:bottom w:val="single" w:sz="8" w:color="auto"/>
            </w:tcBorders>
            <w:shd w:val="clear" w:color="auto" w:fill="DDDDDD"/>
          </w:tcPr>
          <w:p>
            <w:pPr>
              <w:jc w:val="right"/>
              <w:ind w:right="460"/>
              <w:spacing w:after="0"/>
              <w:rPr>
                <w:sz w:val="20"/>
                <w:szCs w:val="20"/>
                <w:color w:val="auto"/>
              </w:rPr>
            </w:pPr>
            <w:r>
              <w:rPr>
                <w:rFonts w:ascii="Arial" w:cs="Arial" w:eastAsia="Arial" w:hAnsi="Arial"/>
                <w:sz w:val="14"/>
                <w:szCs w:val="14"/>
                <w:b w:val="1"/>
                <w:bCs w:val="1"/>
                <w:color w:val="2573BA"/>
              </w:rPr>
              <w:t>2017</w:t>
            </w:r>
          </w:p>
        </w:tc>
        <w:tc>
          <w:tcPr>
            <w:tcW w:w="220" w:type="dxa"/>
            <w:vAlign w:val="bottom"/>
            <w:tcBorders>
              <w:bottom w:val="single" w:sz="8" w:color="auto"/>
            </w:tcBorders>
            <w:shd w:val="clear" w:color="auto" w:fill="DDDDDD"/>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21"/>
                <w:szCs w:val="21"/>
                <w:color w:val="auto"/>
              </w:rPr>
            </w:pPr>
          </w:p>
        </w:tc>
      </w:tr>
      <w:tr>
        <w:trPr>
          <w:trHeight w:val="242"/>
        </w:trPr>
        <w:tc>
          <w:tcPr>
            <w:tcW w:w="7640" w:type="dxa"/>
            <w:vAlign w:val="bottom"/>
          </w:tcPr>
          <w:p>
            <w:pPr>
              <w:ind w:left="20"/>
              <w:spacing w:after="0"/>
              <w:rPr>
                <w:sz w:val="20"/>
                <w:szCs w:val="20"/>
                <w:color w:val="auto"/>
              </w:rPr>
            </w:pPr>
            <w:r>
              <w:rPr>
                <w:rFonts w:ascii="Arial" w:cs="Arial" w:eastAsia="Arial" w:hAnsi="Arial"/>
                <w:sz w:val="17"/>
                <w:szCs w:val="17"/>
                <w:color w:val="auto"/>
              </w:rPr>
              <w:t>Goodwill, beginning of year</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gridSpan w:val="2"/>
            <w:shd w:val="clear" w:color="auto" w:fill="DDDDDD"/>
          </w:tcPr>
          <w:p>
            <w:pPr>
              <w:jc w:val="right"/>
              <w:ind w:right="15"/>
              <w:spacing w:after="0"/>
              <w:rPr>
                <w:sz w:val="20"/>
                <w:szCs w:val="20"/>
                <w:color w:val="auto"/>
              </w:rPr>
            </w:pPr>
            <w:r>
              <w:rPr>
                <w:rFonts w:ascii="Arial" w:cs="Arial" w:eastAsia="Arial" w:hAnsi="Arial"/>
                <w:sz w:val="17"/>
                <w:szCs w:val="17"/>
                <w:color w:val="2573BA"/>
              </w:rPr>
              <w:t>3,669.3</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2,663.8</w:t>
            </w:r>
          </w:p>
        </w:tc>
        <w:tc>
          <w:tcPr>
            <w:tcW w:w="20" w:type="dxa"/>
            <w:vAlign w:val="bottom"/>
          </w:tcPr>
          <w:p>
            <w:pPr>
              <w:spacing w:after="0"/>
              <w:rPr>
                <w:sz w:val="21"/>
                <w:szCs w:val="21"/>
                <w:color w:val="auto"/>
              </w:rPr>
            </w:pPr>
          </w:p>
        </w:tc>
      </w:tr>
      <w:tr>
        <w:trPr>
          <w:trHeight w:val="242"/>
        </w:trPr>
        <w:tc>
          <w:tcPr>
            <w:tcW w:w="7640" w:type="dxa"/>
            <w:vAlign w:val="bottom"/>
          </w:tcPr>
          <w:p>
            <w:pPr>
              <w:ind w:left="20"/>
              <w:spacing w:after="0"/>
              <w:rPr>
                <w:sz w:val="20"/>
                <w:szCs w:val="20"/>
                <w:color w:val="auto"/>
              </w:rPr>
            </w:pPr>
            <w:r>
              <w:rPr>
                <w:rFonts w:ascii="Arial" w:cs="Arial" w:eastAsia="Arial" w:hAnsi="Arial"/>
                <w:sz w:val="17"/>
                <w:szCs w:val="17"/>
                <w:color w:val="auto"/>
              </w:rPr>
              <w:t>Elimination of goodwill allocated to our hemophilia business</w:t>
            </w:r>
          </w:p>
        </w:tc>
        <w:tc>
          <w:tcPr>
            <w:tcW w:w="440" w:type="dxa"/>
            <w:vAlign w:val="bottom"/>
          </w:tcPr>
          <w:p>
            <w:pPr>
              <w:spacing w:after="0"/>
              <w:rPr>
                <w:sz w:val="21"/>
                <w:szCs w:val="21"/>
                <w:color w:val="auto"/>
              </w:rPr>
            </w:pPr>
          </w:p>
        </w:tc>
        <w:tc>
          <w:tcPr>
            <w:tcW w:w="1400" w:type="dxa"/>
            <w:vAlign w:val="bottom"/>
            <w:gridSpan w:val="2"/>
          </w:tcPr>
          <w:p>
            <w:pPr>
              <w:jc w:val="right"/>
              <w:spacing w:after="0"/>
              <w:rPr>
                <w:sz w:val="20"/>
                <w:szCs w:val="20"/>
                <w:color w:val="auto"/>
              </w:rPr>
            </w:pPr>
            <w:r>
              <w:rPr>
                <w:rFonts w:ascii="Arial" w:cs="Arial" w:eastAsia="Arial" w:hAnsi="Arial"/>
                <w:sz w:val="17"/>
                <w:szCs w:val="17"/>
                <w:color w:val="2573BA"/>
              </w:rPr>
              <w:t>(314.1)</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56"/>
        </w:trPr>
        <w:tc>
          <w:tcPr>
            <w:tcW w:w="7640" w:type="dxa"/>
            <w:vAlign w:val="bottom"/>
          </w:tcPr>
          <w:p>
            <w:pPr>
              <w:ind w:left="160"/>
              <w:spacing w:after="0"/>
              <w:rPr>
                <w:sz w:val="20"/>
                <w:szCs w:val="20"/>
                <w:color w:val="auto"/>
              </w:rPr>
            </w:pPr>
            <w:r>
              <w:rPr>
                <w:rFonts w:ascii="Arial" w:cs="Arial" w:eastAsia="Arial" w:hAnsi="Arial"/>
                <w:sz w:val="17"/>
                <w:szCs w:val="17"/>
                <w:color w:val="auto"/>
              </w:rPr>
              <w:t>Increase to goodwill</w:t>
            </w:r>
          </w:p>
        </w:tc>
        <w:tc>
          <w:tcPr>
            <w:tcW w:w="440" w:type="dxa"/>
            <w:vAlign w:val="bottom"/>
          </w:tcPr>
          <w:p>
            <w:pPr>
              <w:spacing w:after="0"/>
              <w:rPr>
                <w:sz w:val="22"/>
                <w:szCs w:val="22"/>
                <w:color w:val="auto"/>
              </w:rPr>
            </w:pPr>
          </w:p>
        </w:tc>
        <w:tc>
          <w:tcPr>
            <w:tcW w:w="1400" w:type="dxa"/>
            <w:vAlign w:val="bottom"/>
            <w:gridSpan w:val="2"/>
          </w:tcPr>
          <w:p>
            <w:pPr>
              <w:jc w:val="right"/>
              <w:ind w:right="15"/>
              <w:spacing w:after="0"/>
              <w:rPr>
                <w:sz w:val="20"/>
                <w:szCs w:val="20"/>
                <w:color w:val="auto"/>
              </w:rPr>
            </w:pPr>
            <w:r>
              <w:rPr>
                <w:rFonts w:ascii="Arial" w:cs="Arial" w:eastAsia="Arial" w:hAnsi="Arial"/>
                <w:sz w:val="17"/>
                <w:szCs w:val="17"/>
                <w:color w:val="2573BA"/>
              </w:rPr>
              <w:t>1,267.3</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1,026.9</w:t>
            </w:r>
          </w:p>
        </w:tc>
        <w:tc>
          <w:tcPr>
            <w:tcW w:w="20" w:type="dxa"/>
            <w:vAlign w:val="bottom"/>
          </w:tcPr>
          <w:p>
            <w:pPr>
              <w:spacing w:after="0"/>
              <w:rPr>
                <w:sz w:val="22"/>
                <w:szCs w:val="22"/>
                <w:color w:val="auto"/>
              </w:rPr>
            </w:pPr>
          </w:p>
        </w:tc>
      </w:tr>
      <w:tr>
        <w:trPr>
          <w:trHeight w:val="263"/>
        </w:trPr>
        <w:tc>
          <w:tcPr>
            <w:tcW w:w="7640" w:type="dxa"/>
            <w:vAlign w:val="bottom"/>
          </w:tcPr>
          <w:p>
            <w:pPr>
              <w:ind w:left="160"/>
              <w:spacing w:after="0"/>
              <w:rPr>
                <w:sz w:val="20"/>
                <w:szCs w:val="20"/>
                <w:color w:val="auto"/>
              </w:rPr>
            </w:pPr>
            <w:r>
              <w:rPr>
                <w:rFonts w:ascii="Arial" w:cs="Arial" w:eastAsia="Arial" w:hAnsi="Arial"/>
                <w:sz w:val="17"/>
                <w:szCs w:val="17"/>
                <w:color w:val="auto"/>
              </w:rPr>
              <w:t>Other</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7"/>
                <w:szCs w:val="17"/>
                <w:color w:val="2573BA"/>
              </w:rPr>
              <w:t>10.0</w:t>
            </w:r>
          </w:p>
        </w:tc>
        <w:tc>
          <w:tcPr>
            <w:tcW w:w="10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w:t>
            </w:r>
          </w:p>
        </w:tc>
        <w:tc>
          <w:tcPr>
            <w:tcW w:w="20" w:type="dxa"/>
            <w:vAlign w:val="bottom"/>
          </w:tcPr>
          <w:p>
            <w:pPr>
              <w:spacing w:after="0"/>
              <w:rPr>
                <w:sz w:val="22"/>
                <w:szCs w:val="22"/>
                <w:color w:val="auto"/>
              </w:rPr>
            </w:pPr>
          </w:p>
        </w:tc>
      </w:tr>
      <w:tr>
        <w:trPr>
          <w:trHeight w:val="236"/>
        </w:trPr>
        <w:tc>
          <w:tcPr>
            <w:tcW w:w="7640" w:type="dxa"/>
            <w:vAlign w:val="bottom"/>
          </w:tcPr>
          <w:p>
            <w:pPr>
              <w:ind w:left="20"/>
              <w:spacing w:after="0"/>
              <w:rPr>
                <w:sz w:val="20"/>
                <w:szCs w:val="20"/>
                <w:color w:val="auto"/>
              </w:rPr>
            </w:pPr>
            <w:r>
              <w:rPr>
                <w:rFonts w:ascii="Arial" w:cs="Arial" w:eastAsia="Arial" w:hAnsi="Arial"/>
                <w:sz w:val="17"/>
                <w:szCs w:val="17"/>
                <w:color w:val="auto"/>
              </w:rPr>
              <w:t>Goodwill, end of year</w:t>
            </w:r>
          </w:p>
        </w:tc>
        <w:tc>
          <w:tcPr>
            <w:tcW w:w="440" w:type="dxa"/>
            <w:vAlign w:val="bottom"/>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gridSpan w:val="2"/>
          </w:tcPr>
          <w:p>
            <w:pPr>
              <w:jc w:val="right"/>
              <w:ind w:right="15"/>
              <w:spacing w:after="0"/>
              <w:rPr>
                <w:sz w:val="20"/>
                <w:szCs w:val="20"/>
                <w:color w:val="auto"/>
              </w:rPr>
            </w:pPr>
            <w:r>
              <w:rPr>
                <w:rFonts w:ascii="Arial" w:cs="Arial" w:eastAsia="Arial" w:hAnsi="Arial"/>
                <w:sz w:val="17"/>
                <w:szCs w:val="17"/>
                <w:color w:val="2573BA"/>
              </w:rPr>
              <w:t>4,632.5</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3,669.3</w:t>
            </w:r>
          </w:p>
        </w:tc>
        <w:tc>
          <w:tcPr>
            <w:tcW w:w="20" w:type="dxa"/>
            <w:vAlign w:val="bottom"/>
          </w:tcPr>
          <w:p>
            <w:pPr>
              <w:spacing w:after="0"/>
              <w:rPr>
                <w:sz w:val="20"/>
                <w:szCs w:val="20"/>
                <w:color w:val="auto"/>
              </w:rPr>
            </w:pPr>
          </w:p>
        </w:tc>
      </w:tr>
      <w:tr>
        <w:trPr>
          <w:trHeight w:val="20"/>
        </w:trPr>
        <w:tc>
          <w:tcPr>
            <w:tcW w:w="76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4856480</wp:posOffset>
            </wp:positionH>
            <wp:positionV relativeFrom="paragraph">
              <wp:posOffset>-836930</wp:posOffset>
            </wp:positionV>
            <wp:extent cx="1162685" cy="8210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3">
                      <a:extLst>
                        <a:ext uri="{28A0092B-C50C-407E-A947-70E740481C1C}"/>
                      </a:extLst>
                    </a:blip>
                    <a:srcRect/>
                    <a:stretch>
                      <a:fillRect/>
                    </a:stretch>
                  </pic:blipFill>
                  <pic:spPr bwMode="auto">
                    <a:xfrm>
                      <a:off x="0" y="0"/>
                      <a:ext cx="1162685" cy="821055"/>
                    </a:xfrm>
                    <a:prstGeom prst="rect">
                      <a:avLst/>
                    </a:prstGeom>
                    <a:noFill/>
                  </pic:spPr>
                </pic:pic>
              </a:graphicData>
            </a:graphic>
          </wp:anchor>
        </w:drawing>
      </w:r>
    </w:p>
    <w:p>
      <w:pPr>
        <w:spacing w:after="0" w:line="133" w:lineRule="exact"/>
        <w:rPr>
          <w:sz w:val="20"/>
          <w:szCs w:val="20"/>
          <w:color w:val="auto"/>
        </w:rPr>
      </w:pPr>
    </w:p>
    <w:p>
      <w:pPr>
        <w:ind w:right="120" w:firstLine="410"/>
        <w:spacing w:after="0" w:line="257" w:lineRule="auto"/>
        <w:rPr>
          <w:sz w:val="20"/>
          <w:szCs w:val="20"/>
          <w:color w:val="auto"/>
        </w:rPr>
      </w:pPr>
      <w:r>
        <w:rPr>
          <w:rFonts w:ascii="Arial" w:cs="Arial" w:eastAsia="Arial" w:hAnsi="Arial"/>
          <w:sz w:val="17"/>
          <w:szCs w:val="17"/>
          <w:color w:val="auto"/>
        </w:rPr>
        <w:t xml:space="preserve">The elimination of goodwill represents an allocation based upon the relative enterprise fair value of the hemophilia business as of the distribution date. For additional information on the spin-off of our hemophilia business, please read Note 3, </w:t>
      </w:r>
      <w:r>
        <w:rPr>
          <w:rFonts w:ascii="Arial" w:cs="Arial" w:eastAsia="Arial" w:hAnsi="Arial"/>
          <w:sz w:val="17"/>
          <w:szCs w:val="17"/>
          <w:i w:val="1"/>
          <w:iCs w:val="1"/>
          <w:color w:val="auto"/>
        </w:rPr>
        <w:t>Hemophilia Spin-Off,</w:t>
      </w:r>
      <w:r>
        <w:rPr>
          <w:rFonts w:ascii="Arial" w:cs="Arial" w:eastAsia="Arial" w:hAnsi="Arial"/>
          <w:sz w:val="17"/>
          <w:szCs w:val="17"/>
          <w:color w:val="auto"/>
        </w:rPr>
        <w:t xml:space="preserve"> to these consolidated financial statements.</w:t>
      </w:r>
    </w:p>
    <w:p>
      <w:pPr>
        <w:spacing w:after="0" w:line="140" w:lineRule="exact"/>
        <w:rPr>
          <w:sz w:val="20"/>
          <w:szCs w:val="20"/>
          <w:color w:val="auto"/>
        </w:rPr>
      </w:pPr>
    </w:p>
    <w:p>
      <w:pPr>
        <w:ind w:right="120" w:firstLine="410"/>
        <w:spacing w:after="0" w:line="262" w:lineRule="auto"/>
        <w:rPr>
          <w:sz w:val="20"/>
          <w:szCs w:val="20"/>
          <w:color w:val="auto"/>
        </w:rPr>
      </w:pPr>
      <w:r>
        <w:rPr>
          <w:rFonts w:ascii="Arial" w:cs="Arial" w:eastAsia="Arial" w:hAnsi="Arial"/>
          <w:sz w:val="17"/>
          <w:szCs w:val="17"/>
          <w:color w:val="auto"/>
        </w:rPr>
        <w:t>The increase in goodwill during 2017 and 2016 was related to $1.5 billion and $1.2 billion in contingent milestones achieved (exclusive of $232.7 million and $173.1 million in tax benefits), respectively, and payable to the former shareholders of Fumapharm AG or holders of their rights.</w:t>
      </w:r>
    </w:p>
    <w:p>
      <w:pPr>
        <w:spacing w:after="0" w:line="137" w:lineRule="exact"/>
        <w:rPr>
          <w:sz w:val="20"/>
          <w:szCs w:val="20"/>
          <w:color w:val="auto"/>
        </w:rPr>
      </w:pPr>
    </w:p>
    <w:p>
      <w:pPr>
        <w:ind w:right="320" w:firstLine="410"/>
        <w:spacing w:after="0" w:line="262" w:lineRule="auto"/>
        <w:rPr>
          <w:sz w:val="20"/>
          <w:szCs w:val="20"/>
          <w:color w:val="auto"/>
        </w:rPr>
      </w:pPr>
      <w:r>
        <w:rPr>
          <w:rFonts w:ascii="Arial" w:cs="Arial" w:eastAsia="Arial" w:hAnsi="Arial"/>
          <w:sz w:val="17"/>
          <w:szCs w:val="17"/>
          <w:color w:val="auto"/>
        </w:rPr>
        <w:t>Other includes changes related to foreign currency exchange rate fluctuations. As of December 31, 2017, we had no accumulated impairment losses related to goodwill.</w:t>
      </w:r>
    </w:p>
    <w:p>
      <w:pPr>
        <w:spacing w:after="0" w:line="137" w:lineRule="exact"/>
        <w:rPr>
          <w:sz w:val="20"/>
          <w:szCs w:val="20"/>
          <w:color w:val="auto"/>
        </w:rPr>
      </w:pPr>
    </w:p>
    <w:p>
      <w:pPr>
        <w:ind w:firstLine="410"/>
        <w:spacing w:after="0" w:line="262" w:lineRule="auto"/>
        <w:rPr>
          <w:sz w:val="20"/>
          <w:szCs w:val="20"/>
          <w:color w:val="auto"/>
        </w:rPr>
      </w:pPr>
      <w:r>
        <w:rPr>
          <w:rFonts w:ascii="Arial" w:cs="Arial" w:eastAsia="Arial" w:hAnsi="Arial"/>
          <w:sz w:val="17"/>
          <w:szCs w:val="17"/>
          <w:color w:val="auto"/>
        </w:rPr>
        <w:t xml:space="preserve">For additional information on future contingent payments to the former shareholders of Fumapharm AG or holders of their rights, please read Note 22,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to these consolidated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F- 30</w:t>
      </w:r>
    </w:p>
    <w:p>
      <w:pPr>
        <w:sectPr>
          <w:pgSz w:w="11900" w:h="16838" w:orient="portrait"/>
          <w:cols w:equalWidth="0" w:num="1">
            <w:col w:w="11420"/>
          </w:cols>
          <w:pgMar w:left="240" w:top="139" w:right="239" w:bottom="1440" w:gutter="0" w:footer="0" w:header="0"/>
        </w:sectPr>
      </w:pPr>
    </w:p>
    <w:bookmarkStart w:id="132" w:name="page133"/>
    <w:bookmarkEnd w:id="1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2" w:lineRule="exact"/>
        <w:rPr>
          <w:sz w:val="20"/>
          <w:szCs w:val="20"/>
          <w:color w:val="auto"/>
        </w:rPr>
      </w:pPr>
    </w:p>
    <w:p>
      <w:pPr>
        <w:ind w:left="620" w:hanging="618"/>
        <w:spacing w:after="0"/>
        <w:tabs>
          <w:tab w:leader="none" w:pos="620" w:val="left"/>
        </w:tabs>
        <w:numPr>
          <w:ilvl w:val="0"/>
          <w:numId w:val="102"/>
        </w:numPr>
        <w:rPr>
          <w:rFonts w:ascii="Arial" w:cs="Arial" w:eastAsia="Arial" w:hAnsi="Arial"/>
          <w:sz w:val="20"/>
          <w:szCs w:val="20"/>
          <w:b w:val="1"/>
          <w:bCs w:val="1"/>
          <w:color w:val="578196"/>
        </w:rPr>
      </w:pPr>
      <w:r>
        <w:rPr>
          <w:rFonts w:ascii="Arial" w:cs="Arial" w:eastAsia="Arial" w:hAnsi="Arial"/>
          <w:sz w:val="20"/>
          <w:szCs w:val="20"/>
          <w:b w:val="1"/>
          <w:bCs w:val="1"/>
          <w:color w:val="578196"/>
        </w:rPr>
        <w:t>Fair Value Measurements</w:t>
      </w:r>
    </w:p>
    <w:p>
      <w:pPr>
        <w:spacing w:after="0" w:line="186" w:lineRule="exact"/>
        <w:rPr>
          <w:sz w:val="20"/>
          <w:szCs w:val="20"/>
          <w:color w:val="auto"/>
        </w:rPr>
      </w:pPr>
    </w:p>
    <w:p>
      <w:pPr>
        <w:ind w:right="240" w:firstLine="410"/>
        <w:spacing w:after="0" w:line="262" w:lineRule="auto"/>
        <w:rPr>
          <w:sz w:val="20"/>
          <w:szCs w:val="20"/>
          <w:color w:val="auto"/>
        </w:rPr>
      </w:pPr>
      <w:r>
        <w:rPr>
          <w:rFonts w:ascii="Arial" w:cs="Arial" w:eastAsia="Arial" w:hAnsi="Arial"/>
          <w:sz w:val="17"/>
          <w:szCs w:val="17"/>
          <w:color w:val="auto"/>
        </w:rPr>
        <w:t>The tables below present information about our assets and liabilities that are regularly measured and carried at fair value and indicate the level within the fair value hierarchy of the valuation techniques we utilized to determine such fair value: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left="368"/>
              <w:spacing w:after="0"/>
              <w:rPr>
                <w:sz w:val="20"/>
                <w:szCs w:val="20"/>
                <w:color w:val="auto"/>
              </w:rPr>
            </w:pPr>
            <w:r>
              <w:rPr>
                <w:rFonts w:ascii="Arial" w:cs="Arial" w:eastAsia="Arial" w:hAnsi="Arial"/>
                <w:sz w:val="14"/>
                <w:szCs w:val="14"/>
                <w:b w:val="1"/>
                <w:bCs w:val="1"/>
                <w:color w:val="auto"/>
                <w:w w:val="97"/>
              </w:rPr>
              <w:t>Quoted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center"/>
              <w:ind w:right="160"/>
              <w:spacing w:after="0"/>
              <w:rPr>
                <w:sz w:val="20"/>
                <w:szCs w:val="20"/>
                <w:color w:val="auto"/>
              </w:rPr>
            </w:pPr>
            <w:r>
              <w:rPr>
                <w:rFonts w:ascii="Arial" w:cs="Arial" w:eastAsia="Arial" w:hAnsi="Arial"/>
                <w:sz w:val="14"/>
                <w:szCs w:val="14"/>
                <w:b w:val="1"/>
                <w:bCs w:val="1"/>
                <w:color w:val="auto"/>
                <w:w w:val="97"/>
              </w:rPr>
              <w:t>Significant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left="388"/>
              <w:spacing w:after="0" w:line="154" w:lineRule="exact"/>
              <w:rPr>
                <w:sz w:val="20"/>
                <w:szCs w:val="20"/>
                <w:color w:val="auto"/>
              </w:rPr>
            </w:pPr>
            <w:r>
              <w:rPr>
                <w:rFonts w:ascii="Arial" w:cs="Arial" w:eastAsia="Arial" w:hAnsi="Arial"/>
                <w:sz w:val="14"/>
                <w:szCs w:val="14"/>
                <w:b w:val="1"/>
                <w:bCs w:val="1"/>
                <w:color w:val="auto"/>
                <w:w w:val="99"/>
              </w:rPr>
              <w:t>Prices in</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center"/>
              <w:ind w:right="160"/>
              <w:spacing w:after="0" w:line="154"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center"/>
              <w:ind w:right="119"/>
              <w:spacing w:after="0" w:line="154" w:lineRule="exact"/>
              <w:rPr>
                <w:sz w:val="20"/>
                <w:szCs w:val="20"/>
                <w:color w:val="auto"/>
              </w:rPr>
            </w:pPr>
            <w:r>
              <w:rPr>
                <w:rFonts w:ascii="Arial" w:cs="Arial" w:eastAsia="Arial" w:hAnsi="Arial"/>
                <w:sz w:val="14"/>
                <w:szCs w:val="14"/>
                <w:b w:val="1"/>
                <w:bCs w:val="1"/>
                <w:color w:val="auto"/>
                <w:w w:val="97"/>
              </w:rPr>
              <w:t>Significant</w:t>
            </w:r>
          </w:p>
        </w:tc>
        <w:tc>
          <w:tcPr>
            <w:tcW w:w="0" w:type="dxa"/>
            <w:vAlign w:val="bottom"/>
          </w:tcPr>
          <w:p>
            <w:pPr>
              <w:spacing w:after="0"/>
              <w:rPr>
                <w:sz w:val="1"/>
                <w:szCs w:val="1"/>
                <w:color w:val="auto"/>
              </w:rPr>
            </w:pPr>
          </w:p>
        </w:tc>
      </w:tr>
      <w:tr>
        <w:trPr>
          <w:trHeight w:val="154"/>
        </w:trPr>
        <w:tc>
          <w:tcPr>
            <w:tcW w:w="5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jc w:val="center"/>
              <w:ind w:right="158"/>
              <w:spacing w:after="0" w:line="154" w:lineRule="exact"/>
              <w:rPr>
                <w:sz w:val="20"/>
                <w:szCs w:val="20"/>
                <w:color w:val="auto"/>
              </w:rPr>
            </w:pPr>
            <w:r>
              <w:rPr>
                <w:rFonts w:ascii="Arial" w:cs="Arial" w:eastAsia="Arial" w:hAnsi="Arial"/>
                <w:sz w:val="14"/>
                <w:szCs w:val="14"/>
                <w:b w:val="1"/>
                <w:bCs w:val="1"/>
                <w:color w:val="auto"/>
                <w:w w:val="97"/>
              </w:rPr>
              <w:t>As of</w:t>
            </w:r>
          </w:p>
        </w:tc>
        <w:tc>
          <w:tcPr>
            <w:tcW w:w="120" w:type="dxa"/>
            <w:vAlign w:val="bottom"/>
          </w:tcPr>
          <w:p>
            <w:pPr>
              <w:spacing w:after="0"/>
              <w:rPr>
                <w:sz w:val="13"/>
                <w:szCs w:val="13"/>
                <w:color w:val="auto"/>
              </w:rPr>
            </w:pPr>
          </w:p>
        </w:tc>
        <w:tc>
          <w:tcPr>
            <w:tcW w:w="1040" w:type="dxa"/>
            <w:vAlign w:val="bottom"/>
          </w:tcPr>
          <w:p>
            <w:pPr>
              <w:jc w:val="center"/>
              <w:ind w:left="388"/>
              <w:spacing w:after="0" w:line="154" w:lineRule="exact"/>
              <w:rPr>
                <w:sz w:val="20"/>
                <w:szCs w:val="20"/>
                <w:color w:val="auto"/>
              </w:rPr>
            </w:pPr>
            <w:r>
              <w:rPr>
                <w:rFonts w:ascii="Arial" w:cs="Arial" w:eastAsia="Arial" w:hAnsi="Arial"/>
                <w:sz w:val="14"/>
                <w:szCs w:val="14"/>
                <w:b w:val="1"/>
                <w:bCs w:val="1"/>
                <w:color w:val="auto"/>
                <w:w w:val="99"/>
              </w:rPr>
              <w:t>Active</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center"/>
              <w:ind w:right="160"/>
              <w:spacing w:after="0" w:line="154" w:lineRule="exact"/>
              <w:rPr>
                <w:sz w:val="20"/>
                <w:szCs w:val="20"/>
                <w:color w:val="auto"/>
              </w:rPr>
            </w:pPr>
            <w:r>
              <w:rPr>
                <w:rFonts w:ascii="Arial" w:cs="Arial" w:eastAsia="Arial" w:hAnsi="Arial"/>
                <w:sz w:val="14"/>
                <w:szCs w:val="14"/>
                <w:b w:val="1"/>
                <w:bCs w:val="1"/>
                <w:color w:val="auto"/>
                <w:w w:val="96"/>
              </w:rPr>
              <w:t>Observable</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center"/>
              <w:ind w:right="119"/>
              <w:spacing w:after="0" w:line="154" w:lineRule="exact"/>
              <w:rPr>
                <w:sz w:val="20"/>
                <w:szCs w:val="20"/>
                <w:color w:val="auto"/>
              </w:rPr>
            </w:pPr>
            <w:r>
              <w:rPr>
                <w:rFonts w:ascii="Arial" w:cs="Arial" w:eastAsia="Arial" w:hAnsi="Arial"/>
                <w:sz w:val="14"/>
                <w:szCs w:val="14"/>
                <w:b w:val="1"/>
                <w:bCs w:val="1"/>
                <w:color w:val="auto"/>
                <w:w w:val="97"/>
              </w:rPr>
              <w:t>Unobservable</w:t>
            </w:r>
          </w:p>
        </w:tc>
        <w:tc>
          <w:tcPr>
            <w:tcW w:w="0" w:type="dxa"/>
            <w:vAlign w:val="bottom"/>
          </w:tcPr>
          <w:p>
            <w:pPr>
              <w:spacing w:after="0"/>
              <w:rPr>
                <w:sz w:val="1"/>
                <w:szCs w:val="1"/>
                <w:color w:val="auto"/>
              </w:rPr>
            </w:pPr>
          </w:p>
        </w:tc>
      </w:tr>
      <w:tr>
        <w:trPr>
          <w:trHeight w:val="154"/>
        </w:trPr>
        <w:tc>
          <w:tcPr>
            <w:tcW w:w="5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jc w:val="center"/>
              <w:ind w:right="138"/>
              <w:spacing w:after="0" w:line="154" w:lineRule="exact"/>
              <w:rPr>
                <w:sz w:val="20"/>
                <w:szCs w:val="20"/>
                <w:color w:val="auto"/>
              </w:rPr>
            </w:pPr>
            <w:r>
              <w:rPr>
                <w:rFonts w:ascii="Arial" w:cs="Arial" w:eastAsia="Arial" w:hAnsi="Arial"/>
                <w:sz w:val="14"/>
                <w:szCs w:val="14"/>
                <w:b w:val="1"/>
                <w:bCs w:val="1"/>
                <w:color w:val="auto"/>
                <w:w w:val="96"/>
              </w:rPr>
              <w:t>December 31,</w:t>
            </w:r>
          </w:p>
        </w:tc>
        <w:tc>
          <w:tcPr>
            <w:tcW w:w="120" w:type="dxa"/>
            <w:vAlign w:val="bottom"/>
          </w:tcPr>
          <w:p>
            <w:pPr>
              <w:spacing w:after="0"/>
              <w:rPr>
                <w:sz w:val="13"/>
                <w:szCs w:val="13"/>
                <w:color w:val="auto"/>
              </w:rPr>
            </w:pPr>
          </w:p>
        </w:tc>
        <w:tc>
          <w:tcPr>
            <w:tcW w:w="1040" w:type="dxa"/>
            <w:vAlign w:val="bottom"/>
          </w:tcPr>
          <w:p>
            <w:pPr>
              <w:jc w:val="center"/>
              <w:ind w:left="368"/>
              <w:spacing w:after="0" w:line="154" w:lineRule="exact"/>
              <w:rPr>
                <w:sz w:val="20"/>
                <w:szCs w:val="20"/>
                <w:color w:val="auto"/>
              </w:rPr>
            </w:pPr>
            <w:r>
              <w:rPr>
                <w:rFonts w:ascii="Arial" w:cs="Arial" w:eastAsia="Arial" w:hAnsi="Arial"/>
                <w:sz w:val="14"/>
                <w:szCs w:val="14"/>
                <w:b w:val="1"/>
                <w:bCs w:val="1"/>
                <w:color w:val="auto"/>
                <w:w w:val="98"/>
              </w:rPr>
              <w:t>Markets</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center"/>
              <w:ind w:right="160"/>
              <w:spacing w:after="0" w:line="154" w:lineRule="exact"/>
              <w:rPr>
                <w:sz w:val="20"/>
                <w:szCs w:val="20"/>
                <w:color w:val="auto"/>
              </w:rPr>
            </w:pPr>
            <w:r>
              <w:rPr>
                <w:rFonts w:ascii="Arial" w:cs="Arial" w:eastAsia="Arial" w:hAnsi="Arial"/>
                <w:sz w:val="14"/>
                <w:szCs w:val="14"/>
                <w:b w:val="1"/>
                <w:bCs w:val="1"/>
                <w:color w:val="auto"/>
                <w:w w:val="99"/>
              </w:rPr>
              <w:t>Inputs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center"/>
              <w:ind w:right="139"/>
              <w:spacing w:after="0" w:line="154"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85"/>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DDDDDD"/>
            </w:tcBorders>
          </w:tcPr>
          <w:p>
            <w:pPr>
              <w:spacing w:after="0"/>
              <w:rPr>
                <w:sz w:val="16"/>
                <w:szCs w:val="16"/>
                <w:color w:val="auto"/>
              </w:rPr>
            </w:pPr>
          </w:p>
        </w:tc>
        <w:tc>
          <w:tcPr>
            <w:tcW w:w="104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w w:val="94"/>
              </w:rPr>
              <w:t>(Level 1)</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DDDDDD"/>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DDDDDD"/>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8"/>
              </w:rPr>
              <w:t>(Level 3)</w:t>
            </w:r>
          </w:p>
        </w:tc>
        <w:tc>
          <w:tcPr>
            <w:tcW w:w="0" w:type="dxa"/>
            <w:vAlign w:val="bottom"/>
          </w:tcPr>
          <w:p>
            <w:pPr>
              <w:spacing w:after="0"/>
              <w:rPr>
                <w:sz w:val="1"/>
                <w:szCs w:val="1"/>
                <w:color w:val="auto"/>
              </w:rPr>
            </w:pPr>
          </w:p>
        </w:tc>
      </w:tr>
      <w:tr>
        <w:trPr>
          <w:trHeight w:val="228"/>
        </w:trPr>
        <w:tc>
          <w:tcPr>
            <w:tcW w:w="5140" w:type="dxa"/>
            <w:vAlign w:val="bottom"/>
          </w:tcPr>
          <w:p>
            <w:pPr>
              <w:ind w:left="20"/>
              <w:spacing w:after="0"/>
              <w:rPr>
                <w:sz w:val="20"/>
                <w:szCs w:val="20"/>
                <w:color w:val="auto"/>
              </w:rPr>
            </w:pPr>
            <w:r>
              <w:rPr>
                <w:rFonts w:ascii="Arial" w:cs="Arial" w:eastAsia="Arial" w:hAnsi="Arial"/>
                <w:sz w:val="17"/>
                <w:szCs w:val="17"/>
                <w:i w:val="1"/>
                <w:iCs w:val="1"/>
                <w:color w:val="auto"/>
              </w:rPr>
              <w:t>Assets:</w:t>
            </w:r>
          </w:p>
        </w:tc>
        <w:tc>
          <w:tcPr>
            <w:tcW w:w="200" w:type="dxa"/>
            <w:vAlign w:val="bottom"/>
            <w:shd w:val="clear" w:color="auto" w:fill="DDDDDD"/>
          </w:tcPr>
          <w:p>
            <w:pPr>
              <w:spacing w:after="0"/>
              <w:rPr>
                <w:sz w:val="19"/>
                <w:szCs w:val="19"/>
                <w:color w:val="auto"/>
              </w:rPr>
            </w:pPr>
          </w:p>
        </w:tc>
        <w:tc>
          <w:tcPr>
            <w:tcW w:w="130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040" w:type="dxa"/>
            <w:vAlign w:val="bottom"/>
            <w:shd w:val="clear" w:color="auto" w:fill="DDDDDD"/>
          </w:tcPr>
          <w:p>
            <w:pPr>
              <w:spacing w:after="0"/>
              <w:rPr>
                <w:sz w:val="19"/>
                <w:szCs w:val="19"/>
                <w:color w:val="auto"/>
              </w:rPr>
            </w:pPr>
          </w:p>
        </w:tc>
        <w:tc>
          <w:tcPr>
            <w:tcW w:w="44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12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126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5140" w:type="dxa"/>
            <w:vAlign w:val="bottom"/>
          </w:tcPr>
          <w:p>
            <w:pPr>
              <w:ind w:left="160"/>
              <w:spacing w:after="0"/>
              <w:rPr>
                <w:sz w:val="20"/>
                <w:szCs w:val="20"/>
                <w:color w:val="auto"/>
              </w:rPr>
            </w:pPr>
            <w:r>
              <w:rPr>
                <w:rFonts w:ascii="Arial" w:cs="Arial" w:eastAsia="Arial" w:hAnsi="Arial"/>
                <w:sz w:val="17"/>
                <w:szCs w:val="17"/>
                <w:color w:val="auto"/>
              </w:rPr>
              <w:t>Cash equivalents</w:t>
            </w:r>
          </w:p>
        </w:tc>
        <w:tc>
          <w:tcPr>
            <w:tcW w:w="20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3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1,229.4</w:t>
            </w:r>
          </w:p>
        </w:tc>
        <w:tc>
          <w:tcPr>
            <w:tcW w:w="1160" w:type="dxa"/>
            <w:vAlign w:val="bottom"/>
            <w:gridSpan w:val="2"/>
            <w:shd w:val="clear" w:color="auto" w:fill="DDDDDD"/>
          </w:tcPr>
          <w:p>
            <w:pPr>
              <w:jc w:val="right"/>
              <w:ind w:right="848"/>
              <w:spacing w:after="0"/>
              <w:rPr>
                <w:sz w:val="20"/>
                <w:szCs w:val="20"/>
                <w:color w:val="auto"/>
              </w:rPr>
            </w:pPr>
            <w:r>
              <w:rPr>
                <w:rFonts w:ascii="Arial" w:cs="Arial" w:eastAsia="Arial" w:hAnsi="Arial"/>
                <w:sz w:val="17"/>
                <w:szCs w:val="17"/>
                <w:color w:val="2573BA"/>
              </w:rPr>
              <w:t>$</w:t>
            </w:r>
          </w:p>
        </w:tc>
        <w:tc>
          <w:tcPr>
            <w:tcW w:w="440" w:type="dxa"/>
            <w:vAlign w:val="bottom"/>
            <w:shd w:val="clear" w:color="auto" w:fill="DDDDDD"/>
          </w:tcPr>
          <w:p>
            <w:pPr>
              <w:ind w:left="180"/>
              <w:spacing w:after="0"/>
              <w:rPr>
                <w:sz w:val="20"/>
                <w:szCs w:val="20"/>
                <w:color w:val="auto"/>
              </w:rPr>
            </w:pPr>
            <w:r>
              <w:rPr>
                <w:rFonts w:ascii="Arial" w:cs="Arial" w:eastAsia="Arial" w:hAnsi="Arial"/>
                <w:sz w:val="17"/>
                <w:szCs w:val="17"/>
                <w:color w:val="2573BA"/>
              </w:rPr>
              <w:t>—</w:t>
            </w:r>
          </w:p>
        </w:tc>
        <w:tc>
          <w:tcPr>
            <w:tcW w:w="360" w:type="dxa"/>
            <w:vAlign w:val="bottom"/>
            <w:gridSpan w:val="2"/>
            <w:shd w:val="clear" w:color="auto" w:fill="DDDDDD"/>
          </w:tcPr>
          <w:p>
            <w:pPr>
              <w:jc w:val="right"/>
              <w:ind w:right="35"/>
              <w:spacing w:after="0"/>
              <w:rPr>
                <w:sz w:val="20"/>
                <w:szCs w:val="20"/>
                <w:color w:val="auto"/>
              </w:rPr>
            </w:pPr>
            <w:r>
              <w:rPr>
                <w:rFonts w:ascii="Arial" w:cs="Arial" w:eastAsia="Arial" w:hAnsi="Arial"/>
                <w:sz w:val="17"/>
                <w:szCs w:val="17"/>
                <w:color w:val="2573BA"/>
              </w:rPr>
              <w:t>$</w:t>
            </w:r>
          </w:p>
        </w:tc>
        <w:tc>
          <w:tcPr>
            <w:tcW w:w="122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1,229.4</w:t>
            </w:r>
          </w:p>
        </w:tc>
        <w:tc>
          <w:tcPr>
            <w:tcW w:w="320" w:type="dxa"/>
            <w:vAlign w:val="bottom"/>
            <w:gridSpan w:val="2"/>
            <w:shd w:val="clear" w:color="auto" w:fill="DDDDDD"/>
          </w:tcPr>
          <w:p>
            <w:pPr>
              <w:jc w:val="right"/>
              <w:ind w:right="15"/>
              <w:spacing w:after="0"/>
              <w:rPr>
                <w:sz w:val="20"/>
                <w:szCs w:val="20"/>
                <w:color w:val="auto"/>
              </w:rPr>
            </w:pPr>
            <w:r>
              <w:rPr>
                <w:rFonts w:ascii="Arial" w:cs="Arial" w:eastAsia="Arial" w:hAnsi="Arial"/>
                <w:sz w:val="17"/>
                <w:szCs w:val="17"/>
                <w:color w:val="2573BA"/>
              </w:rPr>
              <w:t>$</w:t>
            </w:r>
          </w:p>
        </w:tc>
        <w:tc>
          <w:tcPr>
            <w:tcW w:w="126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w:t>
            </w:r>
          </w:p>
        </w:tc>
        <w:tc>
          <w:tcPr>
            <w:tcW w:w="0" w:type="dxa"/>
            <w:vAlign w:val="bottom"/>
          </w:tcPr>
          <w:p>
            <w:pPr>
              <w:spacing w:after="0"/>
              <w:rPr>
                <w:sz w:val="1"/>
                <w:szCs w:val="1"/>
                <w:color w:val="auto"/>
              </w:rPr>
            </w:pPr>
          </w:p>
        </w:tc>
      </w:tr>
      <w:tr>
        <w:trPr>
          <w:trHeight w:val="243"/>
        </w:trPr>
        <w:tc>
          <w:tcPr>
            <w:tcW w:w="5140" w:type="dxa"/>
            <w:vAlign w:val="bottom"/>
          </w:tcPr>
          <w:p>
            <w:pPr>
              <w:ind w:left="160"/>
              <w:spacing w:after="0"/>
              <w:rPr>
                <w:sz w:val="20"/>
                <w:szCs w:val="20"/>
                <w:color w:val="auto"/>
              </w:rPr>
            </w:pPr>
            <w:r>
              <w:rPr>
                <w:rFonts w:ascii="Arial" w:cs="Arial" w:eastAsia="Arial" w:hAnsi="Arial"/>
                <w:sz w:val="17"/>
                <w:szCs w:val="17"/>
                <w:color w:val="auto"/>
              </w:rPr>
              <w:t>Marketable debt securities:</w:t>
            </w:r>
          </w:p>
        </w:tc>
        <w:tc>
          <w:tcPr>
            <w:tcW w:w="200" w:type="dxa"/>
            <w:vAlign w:val="bottom"/>
            <w:shd w:val="clear" w:color="auto" w:fill="DDDDDD"/>
          </w:tcPr>
          <w:p>
            <w:pPr>
              <w:spacing w:after="0"/>
              <w:rPr>
                <w:sz w:val="21"/>
                <w:szCs w:val="21"/>
                <w:color w:val="auto"/>
              </w:rPr>
            </w:pPr>
          </w:p>
        </w:tc>
        <w:tc>
          <w:tcPr>
            <w:tcW w:w="130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1040" w:type="dxa"/>
            <w:vAlign w:val="bottom"/>
            <w:shd w:val="clear" w:color="auto" w:fill="DDDDDD"/>
          </w:tcPr>
          <w:p>
            <w:pPr>
              <w:spacing w:after="0"/>
              <w:rPr>
                <w:sz w:val="21"/>
                <w:szCs w:val="21"/>
                <w:color w:val="auto"/>
              </w:rPr>
            </w:pPr>
          </w:p>
        </w:tc>
        <w:tc>
          <w:tcPr>
            <w:tcW w:w="44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240" w:type="dxa"/>
            <w:vAlign w:val="bottom"/>
            <w:shd w:val="clear" w:color="auto" w:fill="DDDDDD"/>
          </w:tcPr>
          <w:p>
            <w:pPr>
              <w:spacing w:after="0"/>
              <w:rPr>
                <w:sz w:val="21"/>
                <w:szCs w:val="21"/>
                <w:color w:val="auto"/>
              </w:rPr>
            </w:pPr>
          </w:p>
        </w:tc>
        <w:tc>
          <w:tcPr>
            <w:tcW w:w="122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220" w:type="dxa"/>
            <w:vAlign w:val="bottom"/>
            <w:shd w:val="clear" w:color="auto" w:fill="DDDDDD"/>
          </w:tcPr>
          <w:p>
            <w:pPr>
              <w:spacing w:after="0"/>
              <w:rPr>
                <w:sz w:val="21"/>
                <w:szCs w:val="21"/>
                <w:color w:val="auto"/>
              </w:rPr>
            </w:pPr>
          </w:p>
        </w:tc>
        <w:tc>
          <w:tcPr>
            <w:tcW w:w="1260" w:type="dxa"/>
            <w:vAlign w:val="bottom"/>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5140" w:type="dxa"/>
            <w:vAlign w:val="bottom"/>
          </w:tcPr>
          <w:p>
            <w:pPr>
              <w:ind w:left="360"/>
              <w:spacing w:after="0"/>
              <w:rPr>
                <w:sz w:val="20"/>
                <w:szCs w:val="20"/>
                <w:color w:val="auto"/>
              </w:rPr>
            </w:pPr>
            <w:r>
              <w:rPr>
                <w:rFonts w:ascii="Arial" w:cs="Arial" w:eastAsia="Arial" w:hAnsi="Arial"/>
                <w:sz w:val="17"/>
                <w:szCs w:val="17"/>
                <w:color w:val="auto"/>
              </w:rPr>
              <w:t>Corporate debt securities</w:t>
            </w:r>
          </w:p>
        </w:tc>
        <w:tc>
          <w:tcPr>
            <w:tcW w:w="200" w:type="dxa"/>
            <w:vAlign w:val="bottom"/>
            <w:shd w:val="clear" w:color="auto" w:fill="DDDDDD"/>
          </w:tcPr>
          <w:p>
            <w:pPr>
              <w:spacing w:after="0"/>
              <w:rPr>
                <w:sz w:val="23"/>
                <w:szCs w:val="23"/>
                <w:color w:val="auto"/>
              </w:rPr>
            </w:pPr>
          </w:p>
        </w:tc>
        <w:tc>
          <w:tcPr>
            <w:tcW w:w="13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2,609.8</w:t>
            </w:r>
          </w:p>
        </w:tc>
        <w:tc>
          <w:tcPr>
            <w:tcW w:w="120" w:type="dxa"/>
            <w:vAlign w:val="bottom"/>
            <w:shd w:val="clear" w:color="auto" w:fill="DDDDDD"/>
          </w:tcPr>
          <w:p>
            <w:pPr>
              <w:spacing w:after="0"/>
              <w:rPr>
                <w:sz w:val="23"/>
                <w:szCs w:val="23"/>
                <w:color w:val="auto"/>
              </w:rPr>
            </w:pPr>
          </w:p>
        </w:tc>
        <w:tc>
          <w:tcPr>
            <w:tcW w:w="1040" w:type="dxa"/>
            <w:vAlign w:val="bottom"/>
            <w:shd w:val="clear" w:color="auto" w:fill="DDDDDD"/>
          </w:tcPr>
          <w:p>
            <w:pPr>
              <w:spacing w:after="0"/>
              <w:rPr>
                <w:sz w:val="23"/>
                <w:szCs w:val="23"/>
                <w:color w:val="auto"/>
              </w:rPr>
            </w:pPr>
          </w:p>
        </w:tc>
        <w:tc>
          <w:tcPr>
            <w:tcW w:w="440" w:type="dxa"/>
            <w:vAlign w:val="bottom"/>
            <w:shd w:val="clear" w:color="auto" w:fill="DDDDDD"/>
          </w:tcPr>
          <w:p>
            <w:pPr>
              <w:ind w:left="180"/>
              <w:spacing w:after="0"/>
              <w:rPr>
                <w:sz w:val="20"/>
                <w:szCs w:val="20"/>
                <w:color w:val="auto"/>
              </w:rPr>
            </w:pPr>
            <w:r>
              <w:rPr>
                <w:rFonts w:ascii="Arial" w:cs="Arial" w:eastAsia="Arial" w:hAnsi="Arial"/>
                <w:sz w:val="17"/>
                <w:szCs w:val="17"/>
                <w:color w:val="2573BA"/>
              </w:rPr>
              <w:t>—</w:t>
            </w:r>
          </w:p>
        </w:tc>
        <w:tc>
          <w:tcPr>
            <w:tcW w:w="120" w:type="dxa"/>
            <w:vAlign w:val="bottom"/>
            <w:shd w:val="clear" w:color="auto" w:fill="DDDDDD"/>
          </w:tcPr>
          <w:p>
            <w:pPr>
              <w:spacing w:after="0"/>
              <w:rPr>
                <w:sz w:val="23"/>
                <w:szCs w:val="23"/>
                <w:color w:val="auto"/>
              </w:rPr>
            </w:pPr>
          </w:p>
        </w:tc>
        <w:tc>
          <w:tcPr>
            <w:tcW w:w="240" w:type="dxa"/>
            <w:vAlign w:val="bottom"/>
            <w:shd w:val="clear" w:color="auto" w:fill="DDDDDD"/>
          </w:tcPr>
          <w:p>
            <w:pPr>
              <w:spacing w:after="0"/>
              <w:rPr>
                <w:sz w:val="23"/>
                <w:szCs w:val="23"/>
                <w:color w:val="auto"/>
              </w:rPr>
            </w:pPr>
          </w:p>
        </w:tc>
        <w:tc>
          <w:tcPr>
            <w:tcW w:w="122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2,609.8</w:t>
            </w:r>
          </w:p>
        </w:tc>
        <w:tc>
          <w:tcPr>
            <w:tcW w:w="100" w:type="dxa"/>
            <w:vAlign w:val="bottom"/>
            <w:shd w:val="clear" w:color="auto" w:fill="DDDDDD"/>
          </w:tcPr>
          <w:p>
            <w:pPr>
              <w:spacing w:after="0"/>
              <w:rPr>
                <w:sz w:val="23"/>
                <w:szCs w:val="23"/>
                <w:color w:val="auto"/>
              </w:rPr>
            </w:pPr>
          </w:p>
        </w:tc>
        <w:tc>
          <w:tcPr>
            <w:tcW w:w="220" w:type="dxa"/>
            <w:vAlign w:val="bottom"/>
            <w:shd w:val="clear" w:color="auto" w:fill="DDDDDD"/>
          </w:tcPr>
          <w:p>
            <w:pPr>
              <w:spacing w:after="0"/>
              <w:rPr>
                <w:sz w:val="23"/>
                <w:szCs w:val="23"/>
                <w:color w:val="auto"/>
              </w:rPr>
            </w:pPr>
          </w:p>
        </w:tc>
        <w:tc>
          <w:tcPr>
            <w:tcW w:w="126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w:t>
            </w:r>
          </w:p>
        </w:tc>
        <w:tc>
          <w:tcPr>
            <w:tcW w:w="0" w:type="dxa"/>
            <w:vAlign w:val="bottom"/>
          </w:tcPr>
          <w:p>
            <w:pPr>
              <w:spacing w:after="0"/>
              <w:rPr>
                <w:sz w:val="1"/>
                <w:szCs w:val="1"/>
                <w:color w:val="auto"/>
              </w:rPr>
            </w:pPr>
          </w:p>
        </w:tc>
      </w:tr>
      <w:tr>
        <w:trPr>
          <w:trHeight w:val="256"/>
        </w:trPr>
        <w:tc>
          <w:tcPr>
            <w:tcW w:w="5140" w:type="dxa"/>
            <w:vAlign w:val="bottom"/>
          </w:tcPr>
          <w:p>
            <w:pPr>
              <w:ind w:left="360"/>
              <w:spacing w:after="0"/>
              <w:rPr>
                <w:sz w:val="20"/>
                <w:szCs w:val="20"/>
                <w:color w:val="auto"/>
              </w:rPr>
            </w:pPr>
            <w:r>
              <w:rPr>
                <w:rFonts w:ascii="Arial" w:cs="Arial" w:eastAsia="Arial" w:hAnsi="Arial"/>
                <w:sz w:val="17"/>
                <w:szCs w:val="17"/>
                <w:color w:val="auto"/>
              </w:rPr>
              <w:t>Government securities</w:t>
            </w:r>
          </w:p>
        </w:tc>
        <w:tc>
          <w:tcPr>
            <w:tcW w:w="200" w:type="dxa"/>
            <w:vAlign w:val="bottom"/>
            <w:shd w:val="clear" w:color="auto" w:fill="DDDDDD"/>
          </w:tcPr>
          <w:p>
            <w:pPr>
              <w:spacing w:after="0"/>
              <w:rPr>
                <w:sz w:val="22"/>
                <w:szCs w:val="22"/>
                <w:color w:val="auto"/>
              </w:rPr>
            </w:pPr>
          </w:p>
        </w:tc>
        <w:tc>
          <w:tcPr>
            <w:tcW w:w="13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1,919.3</w:t>
            </w:r>
          </w:p>
        </w:tc>
        <w:tc>
          <w:tcPr>
            <w:tcW w:w="120" w:type="dxa"/>
            <w:vAlign w:val="bottom"/>
            <w:shd w:val="clear" w:color="auto" w:fill="DDDDDD"/>
          </w:tcPr>
          <w:p>
            <w:pPr>
              <w:spacing w:after="0"/>
              <w:rPr>
                <w:sz w:val="22"/>
                <w:szCs w:val="22"/>
                <w:color w:val="auto"/>
              </w:rPr>
            </w:pPr>
          </w:p>
        </w:tc>
        <w:tc>
          <w:tcPr>
            <w:tcW w:w="1040" w:type="dxa"/>
            <w:vAlign w:val="bottom"/>
            <w:shd w:val="clear" w:color="auto" w:fill="DDDDDD"/>
          </w:tcPr>
          <w:p>
            <w:pPr>
              <w:spacing w:after="0"/>
              <w:rPr>
                <w:sz w:val="22"/>
                <w:szCs w:val="22"/>
                <w:color w:val="auto"/>
              </w:rPr>
            </w:pPr>
          </w:p>
        </w:tc>
        <w:tc>
          <w:tcPr>
            <w:tcW w:w="440" w:type="dxa"/>
            <w:vAlign w:val="bottom"/>
            <w:shd w:val="clear" w:color="auto" w:fill="DDDDDD"/>
          </w:tcPr>
          <w:p>
            <w:pPr>
              <w:ind w:left="180"/>
              <w:spacing w:after="0"/>
              <w:rPr>
                <w:sz w:val="20"/>
                <w:szCs w:val="20"/>
                <w:color w:val="auto"/>
              </w:rPr>
            </w:pPr>
            <w:r>
              <w:rPr>
                <w:rFonts w:ascii="Arial" w:cs="Arial" w:eastAsia="Arial" w:hAnsi="Arial"/>
                <w:sz w:val="17"/>
                <w:szCs w:val="17"/>
                <w:color w:val="2573BA"/>
              </w:rPr>
              <w:t>—</w:t>
            </w:r>
          </w:p>
        </w:tc>
        <w:tc>
          <w:tcPr>
            <w:tcW w:w="120" w:type="dxa"/>
            <w:vAlign w:val="bottom"/>
            <w:shd w:val="clear" w:color="auto" w:fill="DDDDDD"/>
          </w:tcPr>
          <w:p>
            <w:pPr>
              <w:spacing w:after="0"/>
              <w:rPr>
                <w:sz w:val="22"/>
                <w:szCs w:val="22"/>
                <w:color w:val="auto"/>
              </w:rPr>
            </w:pPr>
          </w:p>
        </w:tc>
        <w:tc>
          <w:tcPr>
            <w:tcW w:w="240" w:type="dxa"/>
            <w:vAlign w:val="bottom"/>
            <w:shd w:val="clear" w:color="auto" w:fill="DDDDDD"/>
          </w:tcPr>
          <w:p>
            <w:pPr>
              <w:spacing w:after="0"/>
              <w:rPr>
                <w:sz w:val="22"/>
                <w:szCs w:val="22"/>
                <w:color w:val="auto"/>
              </w:rPr>
            </w:pPr>
          </w:p>
        </w:tc>
        <w:tc>
          <w:tcPr>
            <w:tcW w:w="122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1,919.3</w:t>
            </w:r>
          </w:p>
        </w:tc>
        <w:tc>
          <w:tcPr>
            <w:tcW w:w="100" w:type="dxa"/>
            <w:vAlign w:val="bottom"/>
            <w:shd w:val="clear" w:color="auto" w:fill="DDDDDD"/>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126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w:t>
            </w:r>
          </w:p>
        </w:tc>
        <w:tc>
          <w:tcPr>
            <w:tcW w:w="0" w:type="dxa"/>
            <w:vAlign w:val="bottom"/>
          </w:tcPr>
          <w:p>
            <w:pPr>
              <w:spacing w:after="0"/>
              <w:rPr>
                <w:sz w:val="1"/>
                <w:szCs w:val="1"/>
                <w:color w:val="auto"/>
              </w:rPr>
            </w:pPr>
          </w:p>
        </w:tc>
      </w:tr>
      <w:tr>
        <w:trPr>
          <w:trHeight w:val="256"/>
        </w:trPr>
        <w:tc>
          <w:tcPr>
            <w:tcW w:w="5140" w:type="dxa"/>
            <w:vAlign w:val="bottom"/>
          </w:tcPr>
          <w:p>
            <w:pPr>
              <w:ind w:left="360"/>
              <w:spacing w:after="0"/>
              <w:rPr>
                <w:sz w:val="20"/>
                <w:szCs w:val="20"/>
                <w:color w:val="auto"/>
              </w:rPr>
            </w:pPr>
            <w:r>
              <w:rPr>
                <w:rFonts w:ascii="Arial" w:cs="Arial" w:eastAsia="Arial" w:hAnsi="Arial"/>
                <w:sz w:val="17"/>
                <w:szCs w:val="17"/>
                <w:color w:val="auto"/>
              </w:rPr>
              <w:t>Mortgage and other asset backed securities</w:t>
            </w:r>
          </w:p>
        </w:tc>
        <w:tc>
          <w:tcPr>
            <w:tcW w:w="200" w:type="dxa"/>
            <w:vAlign w:val="bottom"/>
            <w:shd w:val="clear" w:color="auto" w:fill="DDDDDD"/>
          </w:tcPr>
          <w:p>
            <w:pPr>
              <w:spacing w:after="0"/>
              <w:rPr>
                <w:sz w:val="22"/>
                <w:szCs w:val="22"/>
                <w:color w:val="auto"/>
              </w:rPr>
            </w:pPr>
          </w:p>
        </w:tc>
        <w:tc>
          <w:tcPr>
            <w:tcW w:w="13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643.4</w:t>
            </w:r>
          </w:p>
        </w:tc>
        <w:tc>
          <w:tcPr>
            <w:tcW w:w="120" w:type="dxa"/>
            <w:vAlign w:val="bottom"/>
            <w:shd w:val="clear" w:color="auto" w:fill="DDDDDD"/>
          </w:tcPr>
          <w:p>
            <w:pPr>
              <w:spacing w:after="0"/>
              <w:rPr>
                <w:sz w:val="22"/>
                <w:szCs w:val="22"/>
                <w:color w:val="auto"/>
              </w:rPr>
            </w:pPr>
          </w:p>
        </w:tc>
        <w:tc>
          <w:tcPr>
            <w:tcW w:w="1040" w:type="dxa"/>
            <w:vAlign w:val="bottom"/>
            <w:shd w:val="clear" w:color="auto" w:fill="DDDDDD"/>
          </w:tcPr>
          <w:p>
            <w:pPr>
              <w:spacing w:after="0"/>
              <w:rPr>
                <w:sz w:val="22"/>
                <w:szCs w:val="22"/>
                <w:color w:val="auto"/>
              </w:rPr>
            </w:pPr>
          </w:p>
        </w:tc>
        <w:tc>
          <w:tcPr>
            <w:tcW w:w="440" w:type="dxa"/>
            <w:vAlign w:val="bottom"/>
            <w:shd w:val="clear" w:color="auto" w:fill="DDDDDD"/>
          </w:tcPr>
          <w:p>
            <w:pPr>
              <w:ind w:left="180"/>
              <w:spacing w:after="0"/>
              <w:rPr>
                <w:sz w:val="20"/>
                <w:szCs w:val="20"/>
                <w:color w:val="auto"/>
              </w:rPr>
            </w:pPr>
            <w:r>
              <w:rPr>
                <w:rFonts w:ascii="Arial" w:cs="Arial" w:eastAsia="Arial" w:hAnsi="Arial"/>
                <w:sz w:val="17"/>
                <w:szCs w:val="17"/>
                <w:color w:val="2573BA"/>
              </w:rPr>
              <w:t>—</w:t>
            </w:r>
          </w:p>
        </w:tc>
        <w:tc>
          <w:tcPr>
            <w:tcW w:w="120" w:type="dxa"/>
            <w:vAlign w:val="bottom"/>
            <w:shd w:val="clear" w:color="auto" w:fill="DDDDDD"/>
          </w:tcPr>
          <w:p>
            <w:pPr>
              <w:spacing w:after="0"/>
              <w:rPr>
                <w:sz w:val="22"/>
                <w:szCs w:val="22"/>
                <w:color w:val="auto"/>
              </w:rPr>
            </w:pPr>
          </w:p>
        </w:tc>
        <w:tc>
          <w:tcPr>
            <w:tcW w:w="240" w:type="dxa"/>
            <w:vAlign w:val="bottom"/>
            <w:shd w:val="clear" w:color="auto" w:fill="DDDDDD"/>
          </w:tcPr>
          <w:p>
            <w:pPr>
              <w:spacing w:after="0"/>
              <w:rPr>
                <w:sz w:val="22"/>
                <w:szCs w:val="22"/>
                <w:color w:val="auto"/>
              </w:rPr>
            </w:pPr>
          </w:p>
        </w:tc>
        <w:tc>
          <w:tcPr>
            <w:tcW w:w="122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643.4</w:t>
            </w:r>
          </w:p>
        </w:tc>
        <w:tc>
          <w:tcPr>
            <w:tcW w:w="100" w:type="dxa"/>
            <w:vAlign w:val="bottom"/>
            <w:shd w:val="clear" w:color="auto" w:fill="DDDDDD"/>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126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w:t>
            </w:r>
          </w:p>
        </w:tc>
        <w:tc>
          <w:tcPr>
            <w:tcW w:w="0" w:type="dxa"/>
            <w:vAlign w:val="bottom"/>
          </w:tcPr>
          <w:p>
            <w:pPr>
              <w:spacing w:after="0"/>
              <w:rPr>
                <w:sz w:val="1"/>
                <w:szCs w:val="1"/>
                <w:color w:val="auto"/>
              </w:rPr>
            </w:pPr>
          </w:p>
        </w:tc>
      </w:tr>
      <w:tr>
        <w:trPr>
          <w:trHeight w:val="256"/>
        </w:trPr>
        <w:tc>
          <w:tcPr>
            <w:tcW w:w="5140" w:type="dxa"/>
            <w:vAlign w:val="bottom"/>
          </w:tcPr>
          <w:p>
            <w:pPr>
              <w:ind w:left="160"/>
              <w:spacing w:after="0"/>
              <w:rPr>
                <w:sz w:val="20"/>
                <w:szCs w:val="20"/>
                <w:color w:val="auto"/>
              </w:rPr>
            </w:pPr>
            <w:r>
              <w:rPr>
                <w:rFonts w:ascii="Arial" w:cs="Arial" w:eastAsia="Arial" w:hAnsi="Arial"/>
                <w:sz w:val="17"/>
                <w:szCs w:val="17"/>
                <w:color w:val="auto"/>
              </w:rPr>
              <w:t>Marketable equity securities</w:t>
            </w:r>
          </w:p>
        </w:tc>
        <w:tc>
          <w:tcPr>
            <w:tcW w:w="200" w:type="dxa"/>
            <w:vAlign w:val="bottom"/>
            <w:shd w:val="clear" w:color="auto" w:fill="DDDDDD"/>
          </w:tcPr>
          <w:p>
            <w:pPr>
              <w:spacing w:after="0"/>
              <w:rPr>
                <w:sz w:val="22"/>
                <w:szCs w:val="22"/>
                <w:color w:val="auto"/>
              </w:rPr>
            </w:pPr>
          </w:p>
        </w:tc>
        <w:tc>
          <w:tcPr>
            <w:tcW w:w="13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11.8</w:t>
            </w:r>
          </w:p>
        </w:tc>
        <w:tc>
          <w:tcPr>
            <w:tcW w:w="120" w:type="dxa"/>
            <w:vAlign w:val="bottom"/>
            <w:shd w:val="clear" w:color="auto" w:fill="DDDDDD"/>
          </w:tcPr>
          <w:p>
            <w:pPr>
              <w:spacing w:after="0"/>
              <w:rPr>
                <w:sz w:val="22"/>
                <w:szCs w:val="22"/>
                <w:color w:val="auto"/>
              </w:rPr>
            </w:pPr>
          </w:p>
        </w:tc>
        <w:tc>
          <w:tcPr>
            <w:tcW w:w="1040" w:type="dxa"/>
            <w:vAlign w:val="bottom"/>
            <w:shd w:val="clear" w:color="auto" w:fill="DDDDDD"/>
          </w:tcPr>
          <w:p>
            <w:pPr>
              <w:spacing w:after="0"/>
              <w:rPr>
                <w:sz w:val="22"/>
                <w:szCs w:val="22"/>
                <w:color w:val="auto"/>
              </w:rPr>
            </w:pPr>
          </w:p>
        </w:tc>
        <w:tc>
          <w:tcPr>
            <w:tcW w:w="44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11.8</w:t>
            </w:r>
          </w:p>
        </w:tc>
        <w:tc>
          <w:tcPr>
            <w:tcW w:w="120" w:type="dxa"/>
            <w:vAlign w:val="bottom"/>
            <w:shd w:val="clear" w:color="auto" w:fill="DDDDDD"/>
          </w:tcPr>
          <w:p>
            <w:pPr>
              <w:spacing w:after="0"/>
              <w:rPr>
                <w:sz w:val="22"/>
                <w:szCs w:val="22"/>
                <w:color w:val="auto"/>
              </w:rPr>
            </w:pPr>
          </w:p>
        </w:tc>
        <w:tc>
          <w:tcPr>
            <w:tcW w:w="240" w:type="dxa"/>
            <w:vAlign w:val="bottom"/>
            <w:shd w:val="clear" w:color="auto" w:fill="DDDDDD"/>
          </w:tcPr>
          <w:p>
            <w:pPr>
              <w:spacing w:after="0"/>
              <w:rPr>
                <w:sz w:val="22"/>
                <w:szCs w:val="22"/>
                <w:color w:val="auto"/>
              </w:rPr>
            </w:pPr>
          </w:p>
        </w:tc>
        <w:tc>
          <w:tcPr>
            <w:tcW w:w="122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w:t>
            </w:r>
          </w:p>
        </w:tc>
        <w:tc>
          <w:tcPr>
            <w:tcW w:w="100" w:type="dxa"/>
            <w:vAlign w:val="bottom"/>
            <w:shd w:val="clear" w:color="auto" w:fill="DDDDDD"/>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126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w:t>
            </w:r>
          </w:p>
        </w:tc>
        <w:tc>
          <w:tcPr>
            <w:tcW w:w="0" w:type="dxa"/>
            <w:vAlign w:val="bottom"/>
          </w:tcPr>
          <w:p>
            <w:pPr>
              <w:spacing w:after="0"/>
              <w:rPr>
                <w:sz w:val="1"/>
                <w:szCs w:val="1"/>
                <w:color w:val="auto"/>
              </w:rPr>
            </w:pPr>
          </w:p>
        </w:tc>
      </w:tr>
      <w:tr>
        <w:trPr>
          <w:trHeight w:val="256"/>
        </w:trPr>
        <w:tc>
          <w:tcPr>
            <w:tcW w:w="5140" w:type="dxa"/>
            <w:vAlign w:val="bottom"/>
          </w:tcPr>
          <w:p>
            <w:pPr>
              <w:ind w:left="160"/>
              <w:spacing w:after="0"/>
              <w:rPr>
                <w:sz w:val="20"/>
                <w:szCs w:val="20"/>
                <w:color w:val="auto"/>
              </w:rPr>
            </w:pPr>
            <w:r>
              <w:rPr>
                <w:rFonts w:ascii="Arial" w:cs="Arial" w:eastAsia="Arial" w:hAnsi="Arial"/>
                <w:sz w:val="17"/>
                <w:szCs w:val="17"/>
                <w:color w:val="auto"/>
              </w:rPr>
              <w:t>Derivative contracts</w:t>
            </w:r>
          </w:p>
        </w:tc>
        <w:tc>
          <w:tcPr>
            <w:tcW w:w="200" w:type="dxa"/>
            <w:vAlign w:val="bottom"/>
            <w:shd w:val="clear" w:color="auto" w:fill="DDDDDD"/>
          </w:tcPr>
          <w:p>
            <w:pPr>
              <w:spacing w:after="0"/>
              <w:rPr>
                <w:sz w:val="22"/>
                <w:szCs w:val="22"/>
                <w:color w:val="auto"/>
              </w:rPr>
            </w:pPr>
          </w:p>
        </w:tc>
        <w:tc>
          <w:tcPr>
            <w:tcW w:w="13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2.7</w:t>
            </w:r>
          </w:p>
        </w:tc>
        <w:tc>
          <w:tcPr>
            <w:tcW w:w="120" w:type="dxa"/>
            <w:vAlign w:val="bottom"/>
            <w:shd w:val="clear" w:color="auto" w:fill="DDDDDD"/>
          </w:tcPr>
          <w:p>
            <w:pPr>
              <w:spacing w:after="0"/>
              <w:rPr>
                <w:sz w:val="22"/>
                <w:szCs w:val="22"/>
                <w:color w:val="auto"/>
              </w:rPr>
            </w:pPr>
          </w:p>
        </w:tc>
        <w:tc>
          <w:tcPr>
            <w:tcW w:w="1040" w:type="dxa"/>
            <w:vAlign w:val="bottom"/>
            <w:shd w:val="clear" w:color="auto" w:fill="DDDDDD"/>
          </w:tcPr>
          <w:p>
            <w:pPr>
              <w:spacing w:after="0"/>
              <w:rPr>
                <w:sz w:val="22"/>
                <w:szCs w:val="22"/>
                <w:color w:val="auto"/>
              </w:rPr>
            </w:pPr>
          </w:p>
        </w:tc>
        <w:tc>
          <w:tcPr>
            <w:tcW w:w="440" w:type="dxa"/>
            <w:vAlign w:val="bottom"/>
            <w:shd w:val="clear" w:color="auto" w:fill="DDDDDD"/>
          </w:tcPr>
          <w:p>
            <w:pPr>
              <w:ind w:left="180"/>
              <w:spacing w:after="0"/>
              <w:rPr>
                <w:sz w:val="20"/>
                <w:szCs w:val="20"/>
                <w:color w:val="auto"/>
              </w:rPr>
            </w:pPr>
            <w:r>
              <w:rPr>
                <w:rFonts w:ascii="Arial" w:cs="Arial" w:eastAsia="Arial" w:hAnsi="Arial"/>
                <w:sz w:val="17"/>
                <w:szCs w:val="17"/>
                <w:color w:val="2573BA"/>
              </w:rPr>
              <w:t>—</w:t>
            </w:r>
          </w:p>
        </w:tc>
        <w:tc>
          <w:tcPr>
            <w:tcW w:w="120" w:type="dxa"/>
            <w:vAlign w:val="bottom"/>
            <w:shd w:val="clear" w:color="auto" w:fill="DDDDDD"/>
          </w:tcPr>
          <w:p>
            <w:pPr>
              <w:spacing w:after="0"/>
              <w:rPr>
                <w:sz w:val="22"/>
                <w:szCs w:val="22"/>
                <w:color w:val="auto"/>
              </w:rPr>
            </w:pPr>
          </w:p>
        </w:tc>
        <w:tc>
          <w:tcPr>
            <w:tcW w:w="240" w:type="dxa"/>
            <w:vAlign w:val="bottom"/>
            <w:shd w:val="clear" w:color="auto" w:fill="DDDDDD"/>
          </w:tcPr>
          <w:p>
            <w:pPr>
              <w:spacing w:after="0"/>
              <w:rPr>
                <w:sz w:val="22"/>
                <w:szCs w:val="22"/>
                <w:color w:val="auto"/>
              </w:rPr>
            </w:pPr>
          </w:p>
        </w:tc>
        <w:tc>
          <w:tcPr>
            <w:tcW w:w="122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2.7</w:t>
            </w:r>
          </w:p>
        </w:tc>
        <w:tc>
          <w:tcPr>
            <w:tcW w:w="100" w:type="dxa"/>
            <w:vAlign w:val="bottom"/>
            <w:shd w:val="clear" w:color="auto" w:fill="DDDDDD"/>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126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w:t>
            </w:r>
          </w:p>
        </w:tc>
        <w:tc>
          <w:tcPr>
            <w:tcW w:w="0" w:type="dxa"/>
            <w:vAlign w:val="bottom"/>
          </w:tcPr>
          <w:p>
            <w:pPr>
              <w:spacing w:after="0"/>
              <w:rPr>
                <w:sz w:val="1"/>
                <w:szCs w:val="1"/>
                <w:color w:val="auto"/>
              </w:rPr>
            </w:pPr>
          </w:p>
        </w:tc>
      </w:tr>
      <w:tr>
        <w:trPr>
          <w:trHeight w:val="263"/>
        </w:trPr>
        <w:tc>
          <w:tcPr>
            <w:tcW w:w="5140" w:type="dxa"/>
            <w:vAlign w:val="bottom"/>
          </w:tcPr>
          <w:p>
            <w:pPr>
              <w:ind w:left="160"/>
              <w:spacing w:after="0"/>
              <w:rPr>
                <w:sz w:val="20"/>
                <w:szCs w:val="20"/>
                <w:color w:val="auto"/>
              </w:rPr>
            </w:pPr>
            <w:r>
              <w:rPr>
                <w:rFonts w:ascii="Arial" w:cs="Arial" w:eastAsia="Arial" w:hAnsi="Arial"/>
                <w:sz w:val="17"/>
                <w:szCs w:val="17"/>
                <w:color w:val="auto"/>
              </w:rPr>
              <w:t>Plan assets for deferred compensation</w:t>
            </w:r>
          </w:p>
        </w:tc>
        <w:tc>
          <w:tcPr>
            <w:tcW w:w="200" w:type="dxa"/>
            <w:vAlign w:val="bottom"/>
            <w:tcBorders>
              <w:bottom w:val="single" w:sz="8" w:color="auto"/>
            </w:tcBorders>
            <w:shd w:val="clear" w:color="auto" w:fill="DDDDDD"/>
          </w:tcPr>
          <w:p>
            <w:pPr>
              <w:spacing w:after="0"/>
              <w:rPr>
                <w:sz w:val="22"/>
                <w:szCs w:val="22"/>
                <w:color w:val="auto"/>
              </w:rPr>
            </w:pPr>
          </w:p>
        </w:tc>
        <w:tc>
          <w:tcPr>
            <w:tcW w:w="1300" w:type="dxa"/>
            <w:vAlign w:val="bottom"/>
            <w:tcBorders>
              <w:bottom w:val="single" w:sz="8" w:color="auto"/>
            </w:tcBorders>
            <w:shd w:val="clear" w:color="auto" w:fill="DDDDDD"/>
          </w:tcPr>
          <w:p>
            <w:pPr>
              <w:jc w:val="right"/>
              <w:ind w:right="18"/>
              <w:spacing w:after="0"/>
              <w:rPr>
                <w:sz w:val="20"/>
                <w:szCs w:val="20"/>
                <w:color w:val="auto"/>
              </w:rPr>
            </w:pPr>
            <w:r>
              <w:rPr>
                <w:rFonts w:ascii="Arial" w:cs="Arial" w:eastAsia="Arial" w:hAnsi="Arial"/>
                <w:sz w:val="17"/>
                <w:szCs w:val="17"/>
                <w:color w:val="2573BA"/>
              </w:rPr>
              <w:t>28.5</w:t>
            </w:r>
          </w:p>
        </w:tc>
        <w:tc>
          <w:tcPr>
            <w:tcW w:w="120" w:type="dxa"/>
            <w:vAlign w:val="bottom"/>
            <w:tcBorders>
              <w:bottom w:val="single" w:sz="8" w:color="DDDDDD"/>
            </w:tcBorders>
            <w:shd w:val="clear" w:color="auto" w:fill="DDDDDD"/>
          </w:tcPr>
          <w:p>
            <w:pPr>
              <w:spacing w:after="0"/>
              <w:rPr>
                <w:sz w:val="22"/>
                <w:szCs w:val="22"/>
                <w:color w:val="auto"/>
              </w:rPr>
            </w:pPr>
          </w:p>
        </w:tc>
        <w:tc>
          <w:tcPr>
            <w:tcW w:w="1040" w:type="dxa"/>
            <w:vAlign w:val="bottom"/>
            <w:tcBorders>
              <w:bottom w:val="single" w:sz="8" w:color="auto"/>
            </w:tcBorders>
            <w:shd w:val="clear" w:color="auto" w:fill="DDDDDD"/>
          </w:tcPr>
          <w:p>
            <w:pPr>
              <w:spacing w:after="0"/>
              <w:rPr>
                <w:sz w:val="22"/>
                <w:szCs w:val="22"/>
                <w:color w:val="auto"/>
              </w:rPr>
            </w:pPr>
          </w:p>
        </w:tc>
        <w:tc>
          <w:tcPr>
            <w:tcW w:w="440" w:type="dxa"/>
            <w:vAlign w:val="bottom"/>
            <w:tcBorders>
              <w:bottom w:val="single" w:sz="8" w:color="auto"/>
            </w:tcBorders>
            <w:shd w:val="clear" w:color="auto" w:fill="DDDDDD"/>
          </w:tcPr>
          <w:p>
            <w:pPr>
              <w:ind w:left="180"/>
              <w:spacing w:after="0"/>
              <w:rPr>
                <w:sz w:val="20"/>
                <w:szCs w:val="20"/>
                <w:color w:val="auto"/>
              </w:rPr>
            </w:pPr>
            <w:r>
              <w:rPr>
                <w:rFonts w:ascii="Arial" w:cs="Arial" w:eastAsia="Arial" w:hAnsi="Arial"/>
                <w:sz w:val="17"/>
                <w:szCs w:val="17"/>
                <w:color w:val="2573BA"/>
              </w:rPr>
              <w:t>—</w:t>
            </w:r>
          </w:p>
        </w:tc>
        <w:tc>
          <w:tcPr>
            <w:tcW w:w="120" w:type="dxa"/>
            <w:vAlign w:val="bottom"/>
            <w:tcBorders>
              <w:bottom w:val="single" w:sz="8" w:color="DDDDDD"/>
            </w:tcBorders>
            <w:shd w:val="clear" w:color="auto" w:fill="DDDDDD"/>
          </w:tcPr>
          <w:p>
            <w:pPr>
              <w:spacing w:after="0"/>
              <w:rPr>
                <w:sz w:val="22"/>
                <w:szCs w:val="22"/>
                <w:color w:val="auto"/>
              </w:rPr>
            </w:pPr>
          </w:p>
        </w:tc>
        <w:tc>
          <w:tcPr>
            <w:tcW w:w="240" w:type="dxa"/>
            <w:vAlign w:val="bottom"/>
            <w:tcBorders>
              <w:bottom w:val="single" w:sz="8" w:color="auto"/>
            </w:tcBorders>
            <w:shd w:val="clear" w:color="auto" w:fill="DDDDDD"/>
          </w:tcPr>
          <w:p>
            <w:pPr>
              <w:spacing w:after="0"/>
              <w:rPr>
                <w:sz w:val="22"/>
                <w:szCs w:val="22"/>
                <w:color w:val="auto"/>
              </w:rPr>
            </w:pPr>
          </w:p>
        </w:tc>
        <w:tc>
          <w:tcPr>
            <w:tcW w:w="1220" w:type="dxa"/>
            <w:vAlign w:val="bottom"/>
            <w:tcBorders>
              <w:bottom w:val="single" w:sz="8" w:color="auto"/>
            </w:tcBorders>
            <w:shd w:val="clear" w:color="auto" w:fill="DDDDDD"/>
          </w:tcPr>
          <w:p>
            <w:pPr>
              <w:jc w:val="right"/>
              <w:ind w:right="20"/>
              <w:spacing w:after="0"/>
              <w:rPr>
                <w:sz w:val="20"/>
                <w:szCs w:val="20"/>
                <w:color w:val="auto"/>
              </w:rPr>
            </w:pPr>
            <w:r>
              <w:rPr>
                <w:rFonts w:ascii="Arial" w:cs="Arial" w:eastAsia="Arial" w:hAnsi="Arial"/>
                <w:sz w:val="17"/>
                <w:szCs w:val="17"/>
                <w:color w:val="2573BA"/>
              </w:rPr>
              <w:t>28.5</w:t>
            </w:r>
          </w:p>
        </w:tc>
        <w:tc>
          <w:tcPr>
            <w:tcW w:w="100" w:type="dxa"/>
            <w:vAlign w:val="bottom"/>
            <w:tcBorders>
              <w:bottom w:val="single" w:sz="8" w:color="DDDDDD"/>
            </w:tcBorders>
            <w:shd w:val="clear" w:color="auto" w:fill="DDDDDD"/>
          </w:tcPr>
          <w:p>
            <w:pPr>
              <w:spacing w:after="0"/>
              <w:rPr>
                <w:sz w:val="22"/>
                <w:szCs w:val="22"/>
                <w:color w:val="auto"/>
              </w:rPr>
            </w:pPr>
          </w:p>
        </w:tc>
        <w:tc>
          <w:tcPr>
            <w:tcW w:w="220" w:type="dxa"/>
            <w:vAlign w:val="bottom"/>
            <w:tcBorders>
              <w:bottom w:val="single" w:sz="8" w:color="auto"/>
            </w:tcBorders>
            <w:shd w:val="clear" w:color="auto" w:fill="DDDDDD"/>
          </w:tcPr>
          <w:p>
            <w:pPr>
              <w:spacing w:after="0"/>
              <w:rPr>
                <w:sz w:val="22"/>
                <w:szCs w:val="22"/>
                <w:color w:val="auto"/>
              </w:rPr>
            </w:pPr>
          </w:p>
        </w:tc>
        <w:tc>
          <w:tcPr>
            <w:tcW w:w="1260" w:type="dxa"/>
            <w:vAlign w:val="bottom"/>
            <w:tcBorders>
              <w:bottom w:val="single" w:sz="8" w:color="auto"/>
            </w:tcBorders>
            <w:shd w:val="clear" w:color="auto" w:fill="DDDDDD"/>
          </w:tcPr>
          <w:p>
            <w:pPr>
              <w:jc w:val="right"/>
              <w:ind w:right="19"/>
              <w:spacing w:after="0"/>
              <w:rPr>
                <w:sz w:val="20"/>
                <w:szCs w:val="20"/>
                <w:color w:val="auto"/>
              </w:rPr>
            </w:pPr>
            <w:r>
              <w:rPr>
                <w:rFonts w:ascii="Arial" w:cs="Arial" w:eastAsia="Arial" w:hAnsi="Arial"/>
                <w:sz w:val="17"/>
                <w:szCs w:val="17"/>
                <w:color w:val="2573BA"/>
              </w:rPr>
              <w:t>—</w:t>
            </w:r>
          </w:p>
        </w:tc>
        <w:tc>
          <w:tcPr>
            <w:tcW w:w="0" w:type="dxa"/>
            <w:vAlign w:val="bottom"/>
          </w:tcPr>
          <w:p>
            <w:pPr>
              <w:spacing w:after="0"/>
              <w:rPr>
                <w:sz w:val="1"/>
                <w:szCs w:val="1"/>
                <w:color w:val="auto"/>
              </w:rPr>
            </w:pPr>
          </w:p>
        </w:tc>
      </w:tr>
      <w:tr>
        <w:trPr>
          <w:trHeight w:val="276"/>
        </w:trPr>
        <w:tc>
          <w:tcPr>
            <w:tcW w:w="5140" w:type="dxa"/>
            <w:vAlign w:val="bottom"/>
          </w:tcPr>
          <w:p>
            <w:pPr>
              <w:ind w:left="560"/>
              <w:spacing w:after="0"/>
              <w:rPr>
                <w:sz w:val="20"/>
                <w:szCs w:val="20"/>
                <w:color w:val="auto"/>
              </w:rPr>
            </w:pPr>
            <w:r>
              <w:rPr>
                <w:rFonts w:ascii="Arial" w:cs="Arial" w:eastAsia="Arial" w:hAnsi="Arial"/>
                <w:sz w:val="17"/>
                <w:szCs w:val="17"/>
                <w:color w:val="auto"/>
              </w:rPr>
              <w:t>Total</w:t>
            </w:r>
          </w:p>
        </w:tc>
        <w:tc>
          <w:tcPr>
            <w:tcW w:w="2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300" w:type="dxa"/>
            <w:vAlign w:val="bottom"/>
            <w:tcBorders>
              <w:bottom w:val="single" w:sz="8" w:color="auto"/>
            </w:tcBorders>
            <w:shd w:val="clear" w:color="auto" w:fill="DDDDDD"/>
          </w:tcPr>
          <w:p>
            <w:pPr>
              <w:jc w:val="right"/>
              <w:ind w:right="18"/>
              <w:spacing w:after="0"/>
              <w:rPr>
                <w:sz w:val="20"/>
                <w:szCs w:val="20"/>
                <w:color w:val="auto"/>
              </w:rPr>
            </w:pPr>
            <w:r>
              <w:rPr>
                <w:rFonts w:ascii="Arial" w:cs="Arial" w:eastAsia="Arial" w:hAnsi="Arial"/>
                <w:sz w:val="17"/>
                <w:szCs w:val="17"/>
                <w:color w:val="2573BA"/>
              </w:rPr>
              <w:t>6,444.9</w:t>
            </w:r>
          </w:p>
        </w:tc>
        <w:tc>
          <w:tcPr>
            <w:tcW w:w="120" w:type="dxa"/>
            <w:vAlign w:val="bottom"/>
            <w:tcBorders>
              <w:bottom w:val="single" w:sz="8" w:color="DDDDDD"/>
            </w:tcBorders>
            <w:shd w:val="clear" w:color="auto" w:fill="DDDDDD"/>
          </w:tcPr>
          <w:p>
            <w:pPr>
              <w:spacing w:after="0"/>
              <w:rPr>
                <w:sz w:val="24"/>
                <w:szCs w:val="24"/>
                <w:color w:val="auto"/>
              </w:rPr>
            </w:pPr>
          </w:p>
        </w:tc>
        <w:tc>
          <w:tcPr>
            <w:tcW w:w="1040" w:type="dxa"/>
            <w:vAlign w:val="bottom"/>
            <w:tcBorders>
              <w:bottom w:val="single" w:sz="8" w:color="auto"/>
            </w:tcBorders>
            <w:shd w:val="clear" w:color="auto" w:fill="DDDDDD"/>
          </w:tcPr>
          <w:p>
            <w:pPr>
              <w:jc w:val="right"/>
              <w:ind w:right="848"/>
              <w:spacing w:after="0"/>
              <w:rPr>
                <w:sz w:val="20"/>
                <w:szCs w:val="20"/>
                <w:color w:val="auto"/>
              </w:rPr>
            </w:pPr>
            <w:r>
              <w:rPr>
                <w:rFonts w:ascii="Arial" w:cs="Arial" w:eastAsia="Arial" w:hAnsi="Arial"/>
                <w:sz w:val="17"/>
                <w:szCs w:val="17"/>
                <w:color w:val="2573BA"/>
              </w:rPr>
              <w:t>$</w:t>
            </w:r>
          </w:p>
        </w:tc>
        <w:tc>
          <w:tcPr>
            <w:tcW w:w="440" w:type="dxa"/>
            <w:vAlign w:val="bottom"/>
            <w:tcBorders>
              <w:bottom w:val="single" w:sz="8" w:color="auto"/>
            </w:tcBorders>
            <w:shd w:val="clear" w:color="auto" w:fill="DDDDDD"/>
          </w:tcPr>
          <w:p>
            <w:pPr>
              <w:ind w:left="20"/>
              <w:spacing w:after="0"/>
              <w:rPr>
                <w:sz w:val="20"/>
                <w:szCs w:val="20"/>
                <w:color w:val="auto"/>
              </w:rPr>
            </w:pPr>
            <w:r>
              <w:rPr>
                <w:rFonts w:ascii="Arial" w:cs="Arial" w:eastAsia="Arial" w:hAnsi="Arial"/>
                <w:sz w:val="17"/>
                <w:szCs w:val="17"/>
                <w:color w:val="2573BA"/>
              </w:rPr>
              <w:t>11.8</w:t>
            </w:r>
          </w:p>
        </w:tc>
        <w:tc>
          <w:tcPr>
            <w:tcW w:w="120" w:type="dxa"/>
            <w:vAlign w:val="bottom"/>
            <w:tcBorders>
              <w:bottom w:val="single" w:sz="8" w:color="DDDDDD"/>
            </w:tcBorders>
            <w:shd w:val="clear" w:color="auto" w:fill="DDDDDD"/>
          </w:tcPr>
          <w:p>
            <w:pPr>
              <w:spacing w:after="0"/>
              <w:rPr>
                <w:sz w:val="24"/>
                <w:szCs w:val="24"/>
                <w:color w:val="auto"/>
              </w:rPr>
            </w:pPr>
          </w:p>
        </w:tc>
        <w:tc>
          <w:tcPr>
            <w:tcW w:w="240" w:type="dxa"/>
            <w:vAlign w:val="bottom"/>
            <w:tcBorders>
              <w:bottom w:val="single" w:sz="8" w:color="auto"/>
            </w:tcBorders>
            <w:shd w:val="clear" w:color="auto" w:fill="DDDDDD"/>
          </w:tcPr>
          <w:p>
            <w:pPr>
              <w:jc w:val="right"/>
              <w:ind w:right="35"/>
              <w:spacing w:after="0"/>
              <w:rPr>
                <w:sz w:val="20"/>
                <w:szCs w:val="20"/>
                <w:color w:val="auto"/>
              </w:rPr>
            </w:pPr>
            <w:r>
              <w:rPr>
                <w:rFonts w:ascii="Arial" w:cs="Arial" w:eastAsia="Arial" w:hAnsi="Arial"/>
                <w:sz w:val="17"/>
                <w:szCs w:val="17"/>
                <w:color w:val="2573BA"/>
              </w:rPr>
              <w:t>$</w:t>
            </w:r>
          </w:p>
        </w:tc>
        <w:tc>
          <w:tcPr>
            <w:tcW w:w="1220" w:type="dxa"/>
            <w:vAlign w:val="bottom"/>
            <w:tcBorders>
              <w:bottom w:val="single" w:sz="8" w:color="auto"/>
            </w:tcBorders>
            <w:shd w:val="clear" w:color="auto" w:fill="DDDDDD"/>
          </w:tcPr>
          <w:p>
            <w:pPr>
              <w:jc w:val="right"/>
              <w:ind w:right="20"/>
              <w:spacing w:after="0"/>
              <w:rPr>
                <w:sz w:val="20"/>
                <w:szCs w:val="20"/>
                <w:color w:val="auto"/>
              </w:rPr>
            </w:pPr>
            <w:r>
              <w:rPr>
                <w:rFonts w:ascii="Arial" w:cs="Arial" w:eastAsia="Arial" w:hAnsi="Arial"/>
                <w:sz w:val="17"/>
                <w:szCs w:val="17"/>
                <w:color w:val="2573BA"/>
              </w:rPr>
              <w:t>6,433.1</w:t>
            </w:r>
          </w:p>
        </w:tc>
        <w:tc>
          <w:tcPr>
            <w:tcW w:w="100" w:type="dxa"/>
            <w:vAlign w:val="bottom"/>
            <w:tcBorders>
              <w:bottom w:val="single" w:sz="8" w:color="DDDDDD"/>
            </w:tcBorders>
            <w:shd w:val="clear" w:color="auto" w:fill="DDDDDD"/>
          </w:tcPr>
          <w:p>
            <w:pPr>
              <w:spacing w:after="0"/>
              <w:rPr>
                <w:sz w:val="24"/>
                <w:szCs w:val="24"/>
                <w:color w:val="auto"/>
              </w:rPr>
            </w:pPr>
          </w:p>
        </w:tc>
        <w:tc>
          <w:tcPr>
            <w:tcW w:w="220" w:type="dxa"/>
            <w:vAlign w:val="bottom"/>
            <w:tcBorders>
              <w:bottom w:val="single" w:sz="8" w:color="auto"/>
            </w:tcBorders>
            <w:shd w:val="clear" w:color="auto" w:fill="DDDDDD"/>
          </w:tcPr>
          <w:p>
            <w:pPr>
              <w:jc w:val="right"/>
              <w:ind w:right="15"/>
              <w:spacing w:after="0"/>
              <w:rPr>
                <w:sz w:val="20"/>
                <w:szCs w:val="20"/>
                <w:color w:val="auto"/>
              </w:rPr>
            </w:pPr>
            <w:r>
              <w:rPr>
                <w:rFonts w:ascii="Arial" w:cs="Arial" w:eastAsia="Arial" w:hAnsi="Arial"/>
                <w:sz w:val="17"/>
                <w:szCs w:val="17"/>
                <w:color w:val="2573BA"/>
              </w:rPr>
              <w:t>$</w:t>
            </w:r>
          </w:p>
        </w:tc>
        <w:tc>
          <w:tcPr>
            <w:tcW w:w="1260" w:type="dxa"/>
            <w:vAlign w:val="bottom"/>
            <w:tcBorders>
              <w:bottom w:val="single" w:sz="8" w:color="auto"/>
            </w:tcBorders>
            <w:shd w:val="clear" w:color="auto" w:fill="DDDDDD"/>
          </w:tcPr>
          <w:p>
            <w:pPr>
              <w:jc w:val="right"/>
              <w:ind w:right="19"/>
              <w:spacing w:after="0"/>
              <w:rPr>
                <w:sz w:val="20"/>
                <w:szCs w:val="20"/>
                <w:color w:val="auto"/>
              </w:rPr>
            </w:pPr>
            <w:r>
              <w:rPr>
                <w:rFonts w:ascii="Arial" w:cs="Arial" w:eastAsia="Arial" w:hAnsi="Arial"/>
                <w:sz w:val="17"/>
                <w:szCs w:val="17"/>
                <w:color w:val="2573BA"/>
              </w:rPr>
              <w:t>—</w:t>
            </w:r>
          </w:p>
        </w:tc>
        <w:tc>
          <w:tcPr>
            <w:tcW w:w="0" w:type="dxa"/>
            <w:vAlign w:val="bottom"/>
          </w:tcPr>
          <w:p>
            <w:pPr>
              <w:spacing w:after="0"/>
              <w:rPr>
                <w:sz w:val="1"/>
                <w:szCs w:val="1"/>
                <w:color w:val="auto"/>
              </w:rPr>
            </w:pPr>
          </w:p>
        </w:tc>
      </w:tr>
      <w:tr>
        <w:trPr>
          <w:trHeight w:val="189"/>
        </w:trPr>
        <w:tc>
          <w:tcPr>
            <w:tcW w:w="5140" w:type="dxa"/>
            <w:vAlign w:val="bottom"/>
          </w:tcPr>
          <w:p>
            <w:pPr>
              <w:ind w:left="20"/>
              <w:spacing w:after="0" w:line="189" w:lineRule="exact"/>
              <w:rPr>
                <w:sz w:val="20"/>
                <w:szCs w:val="20"/>
                <w:color w:val="auto"/>
              </w:rPr>
            </w:pPr>
            <w:r>
              <w:rPr>
                <w:rFonts w:ascii="Arial" w:cs="Arial" w:eastAsia="Arial" w:hAnsi="Arial"/>
                <w:sz w:val="17"/>
                <w:szCs w:val="17"/>
                <w:i w:val="1"/>
                <w:iCs w:val="1"/>
                <w:color w:val="auto"/>
              </w:rPr>
              <w:t>Liabilities:</w:t>
            </w:r>
          </w:p>
        </w:tc>
        <w:tc>
          <w:tcPr>
            <w:tcW w:w="200" w:type="dxa"/>
            <w:vAlign w:val="bottom"/>
            <w:shd w:val="clear" w:color="auto" w:fill="DDDDDD"/>
          </w:tcPr>
          <w:p>
            <w:pPr>
              <w:spacing w:after="0"/>
              <w:rPr>
                <w:sz w:val="16"/>
                <w:szCs w:val="16"/>
                <w:color w:val="auto"/>
              </w:rPr>
            </w:pPr>
          </w:p>
        </w:tc>
        <w:tc>
          <w:tcPr>
            <w:tcW w:w="13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040" w:type="dxa"/>
            <w:vAlign w:val="bottom"/>
            <w:shd w:val="clear" w:color="auto" w:fill="DDDDDD"/>
          </w:tcPr>
          <w:p>
            <w:pPr>
              <w:spacing w:after="0"/>
              <w:rPr>
                <w:sz w:val="16"/>
                <w:szCs w:val="16"/>
                <w:color w:val="auto"/>
              </w:rPr>
            </w:pPr>
          </w:p>
        </w:tc>
        <w:tc>
          <w:tcPr>
            <w:tcW w:w="44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12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12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95"/>
        </w:trPr>
        <w:tc>
          <w:tcPr>
            <w:tcW w:w="5140" w:type="dxa"/>
            <w:vAlign w:val="bottom"/>
          </w:tcPr>
          <w:p>
            <w:pPr>
              <w:ind w:left="160"/>
              <w:spacing w:after="0"/>
              <w:rPr>
                <w:sz w:val="20"/>
                <w:szCs w:val="20"/>
                <w:color w:val="auto"/>
              </w:rPr>
            </w:pPr>
            <w:r>
              <w:rPr>
                <w:rFonts w:ascii="Arial" w:cs="Arial" w:eastAsia="Arial" w:hAnsi="Arial"/>
                <w:sz w:val="17"/>
                <w:szCs w:val="17"/>
                <w:color w:val="auto"/>
              </w:rPr>
              <w:t>Derivative contracts</w:t>
            </w:r>
          </w:p>
        </w:tc>
        <w:tc>
          <w:tcPr>
            <w:tcW w:w="20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3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111.3</w:t>
            </w:r>
          </w:p>
        </w:tc>
        <w:tc>
          <w:tcPr>
            <w:tcW w:w="120" w:type="dxa"/>
            <w:vAlign w:val="bottom"/>
            <w:shd w:val="clear" w:color="auto" w:fill="DDDDDD"/>
          </w:tcPr>
          <w:p>
            <w:pPr>
              <w:spacing w:after="0"/>
              <w:rPr>
                <w:sz w:val="24"/>
                <w:szCs w:val="24"/>
                <w:color w:val="auto"/>
              </w:rPr>
            </w:pPr>
          </w:p>
        </w:tc>
        <w:tc>
          <w:tcPr>
            <w:tcW w:w="1040" w:type="dxa"/>
            <w:vAlign w:val="bottom"/>
            <w:shd w:val="clear" w:color="auto" w:fill="DDDDDD"/>
          </w:tcPr>
          <w:p>
            <w:pPr>
              <w:jc w:val="right"/>
              <w:ind w:right="848"/>
              <w:spacing w:after="0"/>
              <w:rPr>
                <w:sz w:val="20"/>
                <w:szCs w:val="20"/>
                <w:color w:val="auto"/>
              </w:rPr>
            </w:pPr>
            <w:r>
              <w:rPr>
                <w:rFonts w:ascii="Arial" w:cs="Arial" w:eastAsia="Arial" w:hAnsi="Arial"/>
                <w:sz w:val="17"/>
                <w:szCs w:val="17"/>
                <w:color w:val="2573BA"/>
              </w:rPr>
              <w:t>$</w:t>
            </w:r>
          </w:p>
        </w:tc>
        <w:tc>
          <w:tcPr>
            <w:tcW w:w="440" w:type="dxa"/>
            <w:vAlign w:val="bottom"/>
            <w:shd w:val="clear" w:color="auto" w:fill="DDDDDD"/>
          </w:tcPr>
          <w:p>
            <w:pPr>
              <w:ind w:left="180"/>
              <w:spacing w:after="0"/>
              <w:rPr>
                <w:sz w:val="20"/>
                <w:szCs w:val="20"/>
                <w:color w:val="auto"/>
              </w:rPr>
            </w:pPr>
            <w:r>
              <w:rPr>
                <w:rFonts w:ascii="Arial" w:cs="Arial" w:eastAsia="Arial" w:hAnsi="Arial"/>
                <w:sz w:val="17"/>
                <w:szCs w:val="17"/>
                <w:color w:val="2573BA"/>
              </w:rPr>
              <w:t>—</w:t>
            </w:r>
          </w:p>
        </w:tc>
        <w:tc>
          <w:tcPr>
            <w:tcW w:w="120" w:type="dxa"/>
            <w:vAlign w:val="bottom"/>
            <w:shd w:val="clear" w:color="auto" w:fill="DDDDDD"/>
          </w:tcPr>
          <w:p>
            <w:pPr>
              <w:spacing w:after="0"/>
              <w:rPr>
                <w:sz w:val="24"/>
                <w:szCs w:val="24"/>
                <w:color w:val="auto"/>
              </w:rPr>
            </w:pPr>
          </w:p>
        </w:tc>
        <w:tc>
          <w:tcPr>
            <w:tcW w:w="240" w:type="dxa"/>
            <w:vAlign w:val="bottom"/>
            <w:shd w:val="clear" w:color="auto" w:fill="DDDDDD"/>
          </w:tcPr>
          <w:p>
            <w:pPr>
              <w:jc w:val="right"/>
              <w:ind w:right="35"/>
              <w:spacing w:after="0"/>
              <w:rPr>
                <w:sz w:val="20"/>
                <w:szCs w:val="20"/>
                <w:color w:val="auto"/>
              </w:rPr>
            </w:pPr>
            <w:r>
              <w:rPr>
                <w:rFonts w:ascii="Arial" w:cs="Arial" w:eastAsia="Arial" w:hAnsi="Arial"/>
                <w:sz w:val="17"/>
                <w:szCs w:val="17"/>
                <w:color w:val="2573BA"/>
              </w:rPr>
              <w:t>$</w:t>
            </w:r>
          </w:p>
        </w:tc>
        <w:tc>
          <w:tcPr>
            <w:tcW w:w="122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111.3</w:t>
            </w:r>
          </w:p>
        </w:tc>
        <w:tc>
          <w:tcPr>
            <w:tcW w:w="100" w:type="dxa"/>
            <w:vAlign w:val="bottom"/>
            <w:shd w:val="clear" w:color="auto" w:fill="DDDDDD"/>
          </w:tcPr>
          <w:p>
            <w:pPr>
              <w:spacing w:after="0"/>
              <w:rPr>
                <w:sz w:val="24"/>
                <w:szCs w:val="24"/>
                <w:color w:val="auto"/>
              </w:rPr>
            </w:pPr>
          </w:p>
        </w:tc>
        <w:tc>
          <w:tcPr>
            <w:tcW w:w="22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w:t>
            </w:r>
          </w:p>
        </w:tc>
        <w:tc>
          <w:tcPr>
            <w:tcW w:w="126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w:t>
            </w:r>
          </w:p>
        </w:tc>
        <w:tc>
          <w:tcPr>
            <w:tcW w:w="0" w:type="dxa"/>
            <w:vAlign w:val="bottom"/>
          </w:tcPr>
          <w:p>
            <w:pPr>
              <w:spacing w:after="0"/>
              <w:rPr>
                <w:sz w:val="1"/>
                <w:szCs w:val="1"/>
                <w:color w:val="auto"/>
              </w:rPr>
            </w:pPr>
          </w:p>
        </w:tc>
      </w:tr>
      <w:tr>
        <w:trPr>
          <w:trHeight w:val="263"/>
        </w:trPr>
        <w:tc>
          <w:tcPr>
            <w:tcW w:w="5140" w:type="dxa"/>
            <w:vAlign w:val="bottom"/>
          </w:tcPr>
          <w:p>
            <w:pPr>
              <w:ind w:left="160"/>
              <w:spacing w:after="0"/>
              <w:rPr>
                <w:sz w:val="20"/>
                <w:szCs w:val="20"/>
                <w:color w:val="auto"/>
              </w:rPr>
            </w:pPr>
            <w:r>
              <w:rPr>
                <w:rFonts w:ascii="Arial" w:cs="Arial" w:eastAsia="Arial" w:hAnsi="Arial"/>
                <w:sz w:val="17"/>
                <w:szCs w:val="17"/>
                <w:color w:val="auto"/>
              </w:rPr>
              <w:t>Contingent consideration obligations</w:t>
            </w:r>
          </w:p>
        </w:tc>
        <w:tc>
          <w:tcPr>
            <w:tcW w:w="200" w:type="dxa"/>
            <w:vAlign w:val="bottom"/>
            <w:tcBorders>
              <w:bottom w:val="single" w:sz="8" w:color="auto"/>
            </w:tcBorders>
            <w:shd w:val="clear" w:color="auto" w:fill="DDDDDD"/>
          </w:tcPr>
          <w:p>
            <w:pPr>
              <w:spacing w:after="0"/>
              <w:rPr>
                <w:sz w:val="22"/>
                <w:szCs w:val="22"/>
                <w:color w:val="auto"/>
              </w:rPr>
            </w:pPr>
          </w:p>
        </w:tc>
        <w:tc>
          <w:tcPr>
            <w:tcW w:w="1300" w:type="dxa"/>
            <w:vAlign w:val="bottom"/>
            <w:tcBorders>
              <w:bottom w:val="single" w:sz="8" w:color="auto"/>
            </w:tcBorders>
            <w:shd w:val="clear" w:color="auto" w:fill="DDDDDD"/>
          </w:tcPr>
          <w:p>
            <w:pPr>
              <w:jc w:val="right"/>
              <w:ind w:right="18"/>
              <w:spacing w:after="0"/>
              <w:rPr>
                <w:sz w:val="20"/>
                <w:szCs w:val="20"/>
                <w:color w:val="auto"/>
              </w:rPr>
            </w:pPr>
            <w:r>
              <w:rPr>
                <w:rFonts w:ascii="Arial" w:cs="Arial" w:eastAsia="Arial" w:hAnsi="Arial"/>
                <w:sz w:val="17"/>
                <w:szCs w:val="17"/>
                <w:color w:val="2573BA"/>
              </w:rPr>
              <w:t>523.6</w:t>
            </w:r>
          </w:p>
        </w:tc>
        <w:tc>
          <w:tcPr>
            <w:tcW w:w="120" w:type="dxa"/>
            <w:vAlign w:val="bottom"/>
            <w:tcBorders>
              <w:bottom w:val="single" w:sz="8" w:color="DDDDDD"/>
            </w:tcBorders>
            <w:shd w:val="clear" w:color="auto" w:fill="DDDDDD"/>
          </w:tcPr>
          <w:p>
            <w:pPr>
              <w:spacing w:after="0"/>
              <w:rPr>
                <w:sz w:val="22"/>
                <w:szCs w:val="22"/>
                <w:color w:val="auto"/>
              </w:rPr>
            </w:pPr>
          </w:p>
        </w:tc>
        <w:tc>
          <w:tcPr>
            <w:tcW w:w="1040" w:type="dxa"/>
            <w:vAlign w:val="bottom"/>
            <w:tcBorders>
              <w:bottom w:val="single" w:sz="8" w:color="auto"/>
            </w:tcBorders>
            <w:shd w:val="clear" w:color="auto" w:fill="DDDDDD"/>
          </w:tcPr>
          <w:p>
            <w:pPr>
              <w:spacing w:after="0"/>
              <w:rPr>
                <w:sz w:val="22"/>
                <w:szCs w:val="22"/>
                <w:color w:val="auto"/>
              </w:rPr>
            </w:pPr>
          </w:p>
        </w:tc>
        <w:tc>
          <w:tcPr>
            <w:tcW w:w="440" w:type="dxa"/>
            <w:vAlign w:val="bottom"/>
            <w:tcBorders>
              <w:bottom w:val="single" w:sz="8" w:color="auto"/>
            </w:tcBorders>
            <w:shd w:val="clear" w:color="auto" w:fill="DDDDDD"/>
          </w:tcPr>
          <w:p>
            <w:pPr>
              <w:ind w:left="180"/>
              <w:spacing w:after="0"/>
              <w:rPr>
                <w:sz w:val="20"/>
                <w:szCs w:val="20"/>
                <w:color w:val="auto"/>
              </w:rPr>
            </w:pPr>
            <w:r>
              <w:rPr>
                <w:rFonts w:ascii="Arial" w:cs="Arial" w:eastAsia="Arial" w:hAnsi="Arial"/>
                <w:sz w:val="17"/>
                <w:szCs w:val="17"/>
                <w:color w:val="2573BA"/>
              </w:rPr>
              <w:t>—</w:t>
            </w:r>
          </w:p>
        </w:tc>
        <w:tc>
          <w:tcPr>
            <w:tcW w:w="120" w:type="dxa"/>
            <w:vAlign w:val="bottom"/>
            <w:tcBorders>
              <w:bottom w:val="single" w:sz="8" w:color="DDDDDD"/>
            </w:tcBorders>
            <w:shd w:val="clear" w:color="auto" w:fill="DDDDDD"/>
          </w:tcPr>
          <w:p>
            <w:pPr>
              <w:spacing w:after="0"/>
              <w:rPr>
                <w:sz w:val="22"/>
                <w:szCs w:val="22"/>
                <w:color w:val="auto"/>
              </w:rPr>
            </w:pPr>
          </w:p>
        </w:tc>
        <w:tc>
          <w:tcPr>
            <w:tcW w:w="240" w:type="dxa"/>
            <w:vAlign w:val="bottom"/>
            <w:tcBorders>
              <w:bottom w:val="single" w:sz="8" w:color="auto"/>
            </w:tcBorders>
            <w:shd w:val="clear" w:color="auto" w:fill="DDDDDD"/>
          </w:tcPr>
          <w:p>
            <w:pPr>
              <w:spacing w:after="0"/>
              <w:rPr>
                <w:sz w:val="22"/>
                <w:szCs w:val="22"/>
                <w:color w:val="auto"/>
              </w:rPr>
            </w:pPr>
          </w:p>
        </w:tc>
        <w:tc>
          <w:tcPr>
            <w:tcW w:w="1220" w:type="dxa"/>
            <w:vAlign w:val="bottom"/>
            <w:tcBorders>
              <w:bottom w:val="single" w:sz="8" w:color="auto"/>
            </w:tcBorders>
            <w:shd w:val="clear" w:color="auto" w:fill="DDDDDD"/>
          </w:tcPr>
          <w:p>
            <w:pPr>
              <w:jc w:val="right"/>
              <w:ind w:right="20"/>
              <w:spacing w:after="0"/>
              <w:rPr>
                <w:sz w:val="20"/>
                <w:szCs w:val="20"/>
                <w:color w:val="auto"/>
              </w:rPr>
            </w:pPr>
            <w:r>
              <w:rPr>
                <w:rFonts w:ascii="Arial" w:cs="Arial" w:eastAsia="Arial" w:hAnsi="Arial"/>
                <w:sz w:val="17"/>
                <w:szCs w:val="17"/>
                <w:color w:val="2573BA"/>
              </w:rPr>
              <w:t>—</w:t>
            </w:r>
          </w:p>
        </w:tc>
        <w:tc>
          <w:tcPr>
            <w:tcW w:w="100" w:type="dxa"/>
            <w:vAlign w:val="bottom"/>
            <w:tcBorders>
              <w:bottom w:val="single" w:sz="8" w:color="DDDDDD"/>
            </w:tcBorders>
            <w:shd w:val="clear" w:color="auto" w:fill="DDDDDD"/>
          </w:tcPr>
          <w:p>
            <w:pPr>
              <w:spacing w:after="0"/>
              <w:rPr>
                <w:sz w:val="22"/>
                <w:szCs w:val="22"/>
                <w:color w:val="auto"/>
              </w:rPr>
            </w:pPr>
          </w:p>
        </w:tc>
        <w:tc>
          <w:tcPr>
            <w:tcW w:w="220" w:type="dxa"/>
            <w:vAlign w:val="bottom"/>
            <w:tcBorders>
              <w:bottom w:val="single" w:sz="8" w:color="auto"/>
            </w:tcBorders>
            <w:shd w:val="clear" w:color="auto" w:fill="DDDDDD"/>
          </w:tcPr>
          <w:p>
            <w:pPr>
              <w:spacing w:after="0"/>
              <w:rPr>
                <w:sz w:val="22"/>
                <w:szCs w:val="22"/>
                <w:color w:val="auto"/>
              </w:rPr>
            </w:pPr>
          </w:p>
        </w:tc>
        <w:tc>
          <w:tcPr>
            <w:tcW w:w="1260" w:type="dxa"/>
            <w:vAlign w:val="bottom"/>
            <w:tcBorders>
              <w:bottom w:val="single" w:sz="8" w:color="auto"/>
            </w:tcBorders>
            <w:shd w:val="clear" w:color="auto" w:fill="DDDDDD"/>
          </w:tcPr>
          <w:p>
            <w:pPr>
              <w:jc w:val="right"/>
              <w:ind w:right="19"/>
              <w:spacing w:after="0"/>
              <w:rPr>
                <w:sz w:val="20"/>
                <w:szCs w:val="20"/>
                <w:color w:val="auto"/>
              </w:rPr>
            </w:pPr>
            <w:r>
              <w:rPr>
                <w:rFonts w:ascii="Arial" w:cs="Arial" w:eastAsia="Arial" w:hAnsi="Arial"/>
                <w:sz w:val="17"/>
                <w:szCs w:val="17"/>
                <w:color w:val="2573BA"/>
              </w:rPr>
              <w:t>523.6</w:t>
            </w:r>
          </w:p>
        </w:tc>
        <w:tc>
          <w:tcPr>
            <w:tcW w:w="0" w:type="dxa"/>
            <w:vAlign w:val="bottom"/>
          </w:tcPr>
          <w:p>
            <w:pPr>
              <w:spacing w:after="0"/>
              <w:rPr>
                <w:sz w:val="1"/>
                <w:szCs w:val="1"/>
                <w:color w:val="auto"/>
              </w:rPr>
            </w:pPr>
          </w:p>
        </w:tc>
      </w:tr>
      <w:tr>
        <w:trPr>
          <w:trHeight w:val="236"/>
        </w:trPr>
        <w:tc>
          <w:tcPr>
            <w:tcW w:w="5140" w:type="dxa"/>
            <w:vAlign w:val="bottom"/>
          </w:tcPr>
          <w:p>
            <w:pPr>
              <w:ind w:left="560"/>
              <w:spacing w:after="0"/>
              <w:rPr>
                <w:sz w:val="20"/>
                <w:szCs w:val="20"/>
                <w:color w:val="auto"/>
              </w:rPr>
            </w:pPr>
            <w:r>
              <w:rPr>
                <w:rFonts w:ascii="Arial" w:cs="Arial" w:eastAsia="Arial" w:hAnsi="Arial"/>
                <w:sz w:val="17"/>
                <w:szCs w:val="17"/>
                <w:color w:val="auto"/>
              </w:rPr>
              <w:t>Total</w:t>
            </w:r>
          </w:p>
        </w:tc>
        <w:tc>
          <w:tcPr>
            <w:tcW w:w="2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300" w:type="dxa"/>
            <w:vAlign w:val="bottom"/>
            <w:tcBorders>
              <w:bottom w:val="single" w:sz="8" w:color="auto"/>
            </w:tcBorders>
            <w:shd w:val="clear" w:color="auto" w:fill="DDDDDD"/>
          </w:tcPr>
          <w:p>
            <w:pPr>
              <w:jc w:val="right"/>
              <w:ind w:right="18"/>
              <w:spacing w:after="0"/>
              <w:rPr>
                <w:sz w:val="20"/>
                <w:szCs w:val="20"/>
                <w:color w:val="auto"/>
              </w:rPr>
            </w:pPr>
            <w:r>
              <w:rPr>
                <w:rFonts w:ascii="Arial" w:cs="Arial" w:eastAsia="Arial" w:hAnsi="Arial"/>
                <w:sz w:val="17"/>
                <w:szCs w:val="17"/>
                <w:color w:val="2573BA"/>
              </w:rPr>
              <w:t>634.9</w:t>
            </w:r>
          </w:p>
        </w:tc>
        <w:tc>
          <w:tcPr>
            <w:tcW w:w="120" w:type="dxa"/>
            <w:vAlign w:val="bottom"/>
            <w:tcBorders>
              <w:bottom w:val="single" w:sz="8" w:color="DDDDDD"/>
            </w:tcBorders>
            <w:shd w:val="clear" w:color="auto" w:fill="DDDDDD"/>
          </w:tcPr>
          <w:p>
            <w:pPr>
              <w:spacing w:after="0"/>
              <w:rPr>
                <w:sz w:val="20"/>
                <w:szCs w:val="20"/>
                <w:color w:val="auto"/>
              </w:rPr>
            </w:pPr>
          </w:p>
        </w:tc>
        <w:tc>
          <w:tcPr>
            <w:tcW w:w="1040" w:type="dxa"/>
            <w:vAlign w:val="bottom"/>
            <w:tcBorders>
              <w:bottom w:val="single" w:sz="8" w:color="auto"/>
            </w:tcBorders>
            <w:shd w:val="clear" w:color="auto" w:fill="DDDDDD"/>
          </w:tcPr>
          <w:p>
            <w:pPr>
              <w:jc w:val="right"/>
              <w:ind w:right="848"/>
              <w:spacing w:after="0"/>
              <w:rPr>
                <w:sz w:val="20"/>
                <w:szCs w:val="20"/>
                <w:color w:val="auto"/>
              </w:rPr>
            </w:pPr>
            <w:r>
              <w:rPr>
                <w:rFonts w:ascii="Arial" w:cs="Arial" w:eastAsia="Arial" w:hAnsi="Arial"/>
                <w:sz w:val="17"/>
                <w:szCs w:val="17"/>
                <w:color w:val="2573BA"/>
              </w:rPr>
              <w:t>$</w:t>
            </w:r>
          </w:p>
        </w:tc>
        <w:tc>
          <w:tcPr>
            <w:tcW w:w="440" w:type="dxa"/>
            <w:vAlign w:val="bottom"/>
            <w:tcBorders>
              <w:bottom w:val="single" w:sz="8" w:color="auto"/>
            </w:tcBorders>
            <w:shd w:val="clear" w:color="auto" w:fill="DDDDDD"/>
          </w:tcPr>
          <w:p>
            <w:pPr>
              <w:ind w:left="180"/>
              <w:spacing w:after="0"/>
              <w:rPr>
                <w:sz w:val="20"/>
                <w:szCs w:val="20"/>
                <w:color w:val="auto"/>
              </w:rPr>
            </w:pPr>
            <w:r>
              <w:rPr>
                <w:rFonts w:ascii="Arial" w:cs="Arial" w:eastAsia="Arial" w:hAnsi="Arial"/>
                <w:sz w:val="17"/>
                <w:szCs w:val="17"/>
                <w:color w:val="2573BA"/>
              </w:rPr>
              <w:t>—</w:t>
            </w:r>
          </w:p>
        </w:tc>
        <w:tc>
          <w:tcPr>
            <w:tcW w:w="120" w:type="dxa"/>
            <w:vAlign w:val="bottom"/>
            <w:tcBorders>
              <w:bottom w:val="single" w:sz="8" w:color="DDDDDD"/>
            </w:tcBorders>
            <w:shd w:val="clear" w:color="auto" w:fill="DDDDDD"/>
          </w:tcPr>
          <w:p>
            <w:pPr>
              <w:spacing w:after="0"/>
              <w:rPr>
                <w:sz w:val="20"/>
                <w:szCs w:val="20"/>
                <w:color w:val="auto"/>
              </w:rPr>
            </w:pPr>
          </w:p>
        </w:tc>
        <w:tc>
          <w:tcPr>
            <w:tcW w:w="240" w:type="dxa"/>
            <w:vAlign w:val="bottom"/>
            <w:tcBorders>
              <w:bottom w:val="single" w:sz="8" w:color="auto"/>
            </w:tcBorders>
            <w:shd w:val="clear" w:color="auto" w:fill="DDDDDD"/>
          </w:tcPr>
          <w:p>
            <w:pPr>
              <w:jc w:val="right"/>
              <w:ind w:right="35"/>
              <w:spacing w:after="0"/>
              <w:rPr>
                <w:sz w:val="20"/>
                <w:szCs w:val="20"/>
                <w:color w:val="auto"/>
              </w:rPr>
            </w:pPr>
            <w:r>
              <w:rPr>
                <w:rFonts w:ascii="Arial" w:cs="Arial" w:eastAsia="Arial" w:hAnsi="Arial"/>
                <w:sz w:val="17"/>
                <w:szCs w:val="17"/>
                <w:color w:val="2573BA"/>
              </w:rPr>
              <w:t>$</w:t>
            </w:r>
          </w:p>
        </w:tc>
        <w:tc>
          <w:tcPr>
            <w:tcW w:w="1220" w:type="dxa"/>
            <w:vAlign w:val="bottom"/>
            <w:tcBorders>
              <w:bottom w:val="single" w:sz="8" w:color="auto"/>
            </w:tcBorders>
            <w:shd w:val="clear" w:color="auto" w:fill="DDDDDD"/>
          </w:tcPr>
          <w:p>
            <w:pPr>
              <w:jc w:val="right"/>
              <w:ind w:right="20"/>
              <w:spacing w:after="0"/>
              <w:rPr>
                <w:sz w:val="20"/>
                <w:szCs w:val="20"/>
                <w:color w:val="auto"/>
              </w:rPr>
            </w:pPr>
            <w:r>
              <w:rPr>
                <w:rFonts w:ascii="Arial" w:cs="Arial" w:eastAsia="Arial" w:hAnsi="Arial"/>
                <w:sz w:val="17"/>
                <w:szCs w:val="17"/>
                <w:color w:val="2573BA"/>
              </w:rPr>
              <w:t>111.3</w:t>
            </w:r>
          </w:p>
        </w:tc>
        <w:tc>
          <w:tcPr>
            <w:tcW w:w="100" w:type="dxa"/>
            <w:vAlign w:val="bottom"/>
            <w:tcBorders>
              <w:bottom w:val="single" w:sz="8" w:color="DDDDDD"/>
            </w:tcBorders>
            <w:shd w:val="clear" w:color="auto" w:fill="DDDDDD"/>
          </w:tcPr>
          <w:p>
            <w:pPr>
              <w:spacing w:after="0"/>
              <w:rPr>
                <w:sz w:val="20"/>
                <w:szCs w:val="20"/>
                <w:color w:val="auto"/>
              </w:rPr>
            </w:pPr>
          </w:p>
        </w:tc>
        <w:tc>
          <w:tcPr>
            <w:tcW w:w="220" w:type="dxa"/>
            <w:vAlign w:val="bottom"/>
            <w:tcBorders>
              <w:bottom w:val="single" w:sz="8" w:color="auto"/>
            </w:tcBorders>
            <w:shd w:val="clear" w:color="auto" w:fill="DDDDDD"/>
          </w:tcPr>
          <w:p>
            <w:pPr>
              <w:jc w:val="right"/>
              <w:ind w:right="15"/>
              <w:spacing w:after="0"/>
              <w:rPr>
                <w:sz w:val="20"/>
                <w:szCs w:val="20"/>
                <w:color w:val="auto"/>
              </w:rPr>
            </w:pPr>
            <w:r>
              <w:rPr>
                <w:rFonts w:ascii="Arial" w:cs="Arial" w:eastAsia="Arial" w:hAnsi="Arial"/>
                <w:sz w:val="17"/>
                <w:szCs w:val="17"/>
                <w:color w:val="2573BA"/>
              </w:rPr>
              <w:t>$</w:t>
            </w:r>
          </w:p>
        </w:tc>
        <w:tc>
          <w:tcPr>
            <w:tcW w:w="1260" w:type="dxa"/>
            <w:vAlign w:val="bottom"/>
            <w:tcBorders>
              <w:bottom w:val="single" w:sz="8" w:color="auto"/>
            </w:tcBorders>
            <w:shd w:val="clear" w:color="auto" w:fill="DDDDDD"/>
          </w:tcPr>
          <w:p>
            <w:pPr>
              <w:jc w:val="right"/>
              <w:ind w:right="19"/>
              <w:spacing w:after="0"/>
              <w:rPr>
                <w:sz w:val="20"/>
                <w:szCs w:val="20"/>
                <w:color w:val="auto"/>
              </w:rPr>
            </w:pPr>
            <w:r>
              <w:rPr>
                <w:rFonts w:ascii="Arial" w:cs="Arial" w:eastAsia="Arial" w:hAnsi="Arial"/>
                <w:sz w:val="17"/>
                <w:szCs w:val="17"/>
                <w:color w:val="2573BA"/>
              </w:rPr>
              <w:t>523.6</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5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center"/>
              <w:ind w:left="368"/>
              <w:spacing w:after="0"/>
              <w:rPr>
                <w:sz w:val="20"/>
                <w:szCs w:val="20"/>
                <w:color w:val="auto"/>
              </w:rPr>
            </w:pPr>
            <w:r>
              <w:rPr>
                <w:rFonts w:ascii="Arial" w:cs="Arial" w:eastAsia="Arial" w:hAnsi="Arial"/>
                <w:sz w:val="14"/>
                <w:szCs w:val="14"/>
                <w:b w:val="1"/>
                <w:bCs w:val="1"/>
                <w:color w:val="auto"/>
                <w:w w:val="97"/>
              </w:rPr>
              <w:t>Quoted</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center"/>
              <w:ind w:right="160"/>
              <w:spacing w:after="0"/>
              <w:rPr>
                <w:sz w:val="20"/>
                <w:szCs w:val="20"/>
                <w:color w:val="auto"/>
              </w:rPr>
            </w:pPr>
            <w:r>
              <w:rPr>
                <w:rFonts w:ascii="Arial" w:cs="Arial" w:eastAsia="Arial" w:hAnsi="Arial"/>
                <w:sz w:val="14"/>
                <w:szCs w:val="14"/>
                <w:b w:val="1"/>
                <w:bCs w:val="1"/>
                <w:color w:val="auto"/>
                <w:w w:val="97"/>
              </w:rPr>
              <w:t>Significant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5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left="388"/>
              <w:spacing w:after="0" w:line="154" w:lineRule="exact"/>
              <w:rPr>
                <w:sz w:val="20"/>
                <w:szCs w:val="20"/>
                <w:color w:val="auto"/>
              </w:rPr>
            </w:pPr>
            <w:r>
              <w:rPr>
                <w:rFonts w:ascii="Arial" w:cs="Arial" w:eastAsia="Arial" w:hAnsi="Arial"/>
                <w:sz w:val="14"/>
                <w:szCs w:val="14"/>
                <w:b w:val="1"/>
                <w:bCs w:val="1"/>
                <w:color w:val="auto"/>
                <w:w w:val="99"/>
              </w:rPr>
              <w:t>Prices</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center"/>
              <w:ind w:right="160"/>
              <w:spacing w:after="0" w:line="154"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center"/>
              <w:ind w:right="119"/>
              <w:spacing w:after="0" w:line="154" w:lineRule="exact"/>
              <w:rPr>
                <w:sz w:val="20"/>
                <w:szCs w:val="20"/>
                <w:color w:val="auto"/>
              </w:rPr>
            </w:pPr>
            <w:r>
              <w:rPr>
                <w:rFonts w:ascii="Arial" w:cs="Arial" w:eastAsia="Arial" w:hAnsi="Arial"/>
                <w:sz w:val="14"/>
                <w:szCs w:val="14"/>
                <w:b w:val="1"/>
                <w:bCs w:val="1"/>
                <w:color w:val="auto"/>
                <w:w w:val="97"/>
              </w:rPr>
              <w:t>Significant</w:t>
            </w:r>
          </w:p>
        </w:tc>
        <w:tc>
          <w:tcPr>
            <w:tcW w:w="0" w:type="dxa"/>
            <w:vAlign w:val="bottom"/>
          </w:tcPr>
          <w:p>
            <w:pPr>
              <w:spacing w:after="0"/>
              <w:rPr>
                <w:sz w:val="1"/>
                <w:szCs w:val="1"/>
                <w:color w:val="auto"/>
              </w:rPr>
            </w:pPr>
          </w:p>
        </w:tc>
      </w:tr>
      <w:tr>
        <w:trPr>
          <w:trHeight w:val="154"/>
        </w:trPr>
        <w:tc>
          <w:tcPr>
            <w:tcW w:w="5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jc w:val="center"/>
              <w:ind w:right="158"/>
              <w:spacing w:after="0" w:line="154" w:lineRule="exact"/>
              <w:rPr>
                <w:sz w:val="20"/>
                <w:szCs w:val="20"/>
                <w:color w:val="auto"/>
              </w:rPr>
            </w:pPr>
            <w:r>
              <w:rPr>
                <w:rFonts w:ascii="Arial" w:cs="Arial" w:eastAsia="Arial" w:hAnsi="Arial"/>
                <w:sz w:val="14"/>
                <w:szCs w:val="14"/>
                <w:b w:val="1"/>
                <w:bCs w:val="1"/>
                <w:color w:val="auto"/>
                <w:w w:val="97"/>
              </w:rPr>
              <w:t>As of</w:t>
            </w:r>
          </w:p>
        </w:tc>
        <w:tc>
          <w:tcPr>
            <w:tcW w:w="120" w:type="dxa"/>
            <w:vAlign w:val="bottom"/>
          </w:tcPr>
          <w:p>
            <w:pPr>
              <w:spacing w:after="0"/>
              <w:rPr>
                <w:sz w:val="13"/>
                <w:szCs w:val="13"/>
                <w:color w:val="auto"/>
              </w:rPr>
            </w:pPr>
          </w:p>
        </w:tc>
        <w:tc>
          <w:tcPr>
            <w:tcW w:w="1040" w:type="dxa"/>
            <w:vAlign w:val="bottom"/>
          </w:tcPr>
          <w:p>
            <w:pPr>
              <w:jc w:val="center"/>
              <w:ind w:left="368"/>
              <w:spacing w:after="0" w:line="154" w:lineRule="exact"/>
              <w:rPr>
                <w:sz w:val="20"/>
                <w:szCs w:val="20"/>
                <w:color w:val="auto"/>
              </w:rPr>
            </w:pPr>
            <w:r>
              <w:rPr>
                <w:rFonts w:ascii="Arial" w:cs="Arial" w:eastAsia="Arial" w:hAnsi="Arial"/>
                <w:sz w:val="14"/>
                <w:szCs w:val="14"/>
                <w:b w:val="1"/>
                <w:bCs w:val="1"/>
                <w:color w:val="auto"/>
                <w:w w:val="95"/>
              </w:rPr>
              <w:t>in Active</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center"/>
              <w:ind w:right="160"/>
              <w:spacing w:after="0" w:line="154" w:lineRule="exact"/>
              <w:rPr>
                <w:sz w:val="20"/>
                <w:szCs w:val="20"/>
                <w:color w:val="auto"/>
              </w:rPr>
            </w:pPr>
            <w:r>
              <w:rPr>
                <w:rFonts w:ascii="Arial" w:cs="Arial" w:eastAsia="Arial" w:hAnsi="Arial"/>
                <w:sz w:val="14"/>
                <w:szCs w:val="14"/>
                <w:b w:val="1"/>
                <w:bCs w:val="1"/>
                <w:color w:val="auto"/>
                <w:w w:val="96"/>
              </w:rPr>
              <w:t>Observable</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center"/>
              <w:ind w:right="119"/>
              <w:spacing w:after="0" w:line="154" w:lineRule="exact"/>
              <w:rPr>
                <w:sz w:val="20"/>
                <w:szCs w:val="20"/>
                <w:color w:val="auto"/>
              </w:rPr>
            </w:pPr>
            <w:r>
              <w:rPr>
                <w:rFonts w:ascii="Arial" w:cs="Arial" w:eastAsia="Arial" w:hAnsi="Arial"/>
                <w:sz w:val="14"/>
                <w:szCs w:val="14"/>
                <w:b w:val="1"/>
                <w:bCs w:val="1"/>
                <w:color w:val="auto"/>
                <w:w w:val="97"/>
              </w:rPr>
              <w:t>Unobservable</w:t>
            </w:r>
          </w:p>
        </w:tc>
        <w:tc>
          <w:tcPr>
            <w:tcW w:w="0" w:type="dxa"/>
            <w:vAlign w:val="bottom"/>
          </w:tcPr>
          <w:p>
            <w:pPr>
              <w:spacing w:after="0"/>
              <w:rPr>
                <w:sz w:val="1"/>
                <w:szCs w:val="1"/>
                <w:color w:val="auto"/>
              </w:rPr>
            </w:pPr>
          </w:p>
        </w:tc>
      </w:tr>
      <w:tr>
        <w:trPr>
          <w:trHeight w:val="154"/>
        </w:trPr>
        <w:tc>
          <w:tcPr>
            <w:tcW w:w="5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jc w:val="center"/>
              <w:ind w:right="138"/>
              <w:spacing w:after="0" w:line="154" w:lineRule="exact"/>
              <w:rPr>
                <w:sz w:val="20"/>
                <w:szCs w:val="20"/>
                <w:color w:val="auto"/>
              </w:rPr>
            </w:pPr>
            <w:r>
              <w:rPr>
                <w:rFonts w:ascii="Arial" w:cs="Arial" w:eastAsia="Arial" w:hAnsi="Arial"/>
                <w:sz w:val="14"/>
                <w:szCs w:val="14"/>
                <w:b w:val="1"/>
                <w:bCs w:val="1"/>
                <w:color w:val="auto"/>
                <w:w w:val="96"/>
              </w:rPr>
              <w:t>December 31,</w:t>
            </w:r>
          </w:p>
        </w:tc>
        <w:tc>
          <w:tcPr>
            <w:tcW w:w="120" w:type="dxa"/>
            <w:vAlign w:val="bottom"/>
          </w:tcPr>
          <w:p>
            <w:pPr>
              <w:spacing w:after="0"/>
              <w:rPr>
                <w:sz w:val="13"/>
                <w:szCs w:val="13"/>
                <w:color w:val="auto"/>
              </w:rPr>
            </w:pPr>
          </w:p>
        </w:tc>
        <w:tc>
          <w:tcPr>
            <w:tcW w:w="1040" w:type="dxa"/>
            <w:vAlign w:val="bottom"/>
          </w:tcPr>
          <w:p>
            <w:pPr>
              <w:jc w:val="center"/>
              <w:ind w:left="368"/>
              <w:spacing w:after="0" w:line="154" w:lineRule="exact"/>
              <w:rPr>
                <w:sz w:val="20"/>
                <w:szCs w:val="20"/>
                <w:color w:val="auto"/>
              </w:rPr>
            </w:pPr>
            <w:r>
              <w:rPr>
                <w:rFonts w:ascii="Arial" w:cs="Arial" w:eastAsia="Arial" w:hAnsi="Arial"/>
                <w:sz w:val="14"/>
                <w:szCs w:val="14"/>
                <w:b w:val="1"/>
                <w:bCs w:val="1"/>
                <w:color w:val="auto"/>
                <w:w w:val="98"/>
              </w:rPr>
              <w:t>Markets</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center"/>
              <w:ind w:right="160"/>
              <w:spacing w:after="0" w:line="154" w:lineRule="exact"/>
              <w:rPr>
                <w:sz w:val="20"/>
                <w:szCs w:val="20"/>
                <w:color w:val="auto"/>
              </w:rPr>
            </w:pPr>
            <w:r>
              <w:rPr>
                <w:rFonts w:ascii="Arial" w:cs="Arial" w:eastAsia="Arial" w:hAnsi="Arial"/>
                <w:sz w:val="14"/>
                <w:szCs w:val="14"/>
                <w:b w:val="1"/>
                <w:bCs w:val="1"/>
                <w:color w:val="auto"/>
                <w:w w:val="99"/>
              </w:rPr>
              <w:t>Inputs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center"/>
              <w:ind w:right="139"/>
              <w:spacing w:after="0" w:line="154"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85"/>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w w:val="94"/>
              </w:rPr>
              <w:t>(Level 1)</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8"/>
              </w:rPr>
              <w:t>(Level 3)</w:t>
            </w:r>
          </w:p>
        </w:tc>
        <w:tc>
          <w:tcPr>
            <w:tcW w:w="0" w:type="dxa"/>
            <w:vAlign w:val="bottom"/>
          </w:tcPr>
          <w:p>
            <w:pPr>
              <w:spacing w:after="0"/>
              <w:rPr>
                <w:sz w:val="1"/>
                <w:szCs w:val="1"/>
                <w:color w:val="auto"/>
              </w:rPr>
            </w:pPr>
          </w:p>
        </w:tc>
      </w:tr>
      <w:tr>
        <w:trPr>
          <w:trHeight w:val="228"/>
        </w:trPr>
        <w:tc>
          <w:tcPr>
            <w:tcW w:w="5140" w:type="dxa"/>
            <w:vAlign w:val="bottom"/>
          </w:tcPr>
          <w:p>
            <w:pPr>
              <w:ind w:left="20"/>
              <w:spacing w:after="0"/>
              <w:rPr>
                <w:sz w:val="20"/>
                <w:szCs w:val="20"/>
                <w:color w:val="auto"/>
              </w:rPr>
            </w:pPr>
            <w:r>
              <w:rPr>
                <w:rFonts w:ascii="Arial" w:cs="Arial" w:eastAsia="Arial" w:hAnsi="Arial"/>
                <w:sz w:val="17"/>
                <w:szCs w:val="17"/>
                <w:i w:val="1"/>
                <w:iCs w:val="1"/>
                <w:color w:val="auto"/>
              </w:rPr>
              <w:t>Assets:</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5140" w:type="dxa"/>
            <w:vAlign w:val="bottom"/>
          </w:tcPr>
          <w:p>
            <w:pPr>
              <w:ind w:left="160"/>
              <w:spacing w:after="0"/>
              <w:rPr>
                <w:sz w:val="20"/>
                <w:szCs w:val="20"/>
                <w:color w:val="auto"/>
              </w:rPr>
            </w:pPr>
            <w:r>
              <w:rPr>
                <w:rFonts w:ascii="Arial" w:cs="Arial" w:eastAsia="Arial" w:hAnsi="Arial"/>
                <w:sz w:val="17"/>
                <w:szCs w:val="17"/>
                <w:color w:val="auto"/>
              </w:rPr>
              <w:t>Cash equivalents</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2,039.6</w:t>
            </w:r>
          </w:p>
        </w:tc>
        <w:tc>
          <w:tcPr>
            <w:tcW w:w="1160" w:type="dxa"/>
            <w:vAlign w:val="bottom"/>
            <w:gridSpan w:val="2"/>
          </w:tcPr>
          <w:p>
            <w:pPr>
              <w:jc w:val="right"/>
              <w:ind w:right="848"/>
              <w:spacing w:after="0"/>
              <w:rPr>
                <w:sz w:val="20"/>
                <w:szCs w:val="20"/>
                <w:color w:val="auto"/>
              </w:rPr>
            </w:pPr>
            <w:r>
              <w:rPr>
                <w:rFonts w:ascii="Arial" w:cs="Arial" w:eastAsia="Arial" w:hAnsi="Arial"/>
                <w:sz w:val="17"/>
                <w:szCs w:val="17"/>
                <w:color w:val="auto"/>
              </w:rPr>
              <w:t>$</w:t>
            </w:r>
          </w:p>
        </w:tc>
        <w:tc>
          <w:tcPr>
            <w:tcW w:w="440" w:type="dxa"/>
            <w:vAlign w:val="bottom"/>
          </w:tcPr>
          <w:p>
            <w:pPr>
              <w:ind w:left="18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3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20"/>
              <w:spacing w:after="0"/>
              <w:rPr>
                <w:sz w:val="20"/>
                <w:szCs w:val="20"/>
                <w:color w:val="auto"/>
              </w:rPr>
            </w:pPr>
            <w:r>
              <w:rPr>
                <w:rFonts w:ascii="Arial" w:cs="Arial" w:eastAsia="Arial" w:hAnsi="Arial"/>
                <w:sz w:val="17"/>
                <w:szCs w:val="17"/>
                <w:color w:val="auto"/>
              </w:rPr>
              <w:t>2,039.6</w:t>
            </w:r>
          </w:p>
        </w:tc>
        <w:tc>
          <w:tcPr>
            <w:tcW w:w="32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160"/>
              <w:spacing w:after="0"/>
              <w:rPr>
                <w:sz w:val="20"/>
                <w:szCs w:val="20"/>
                <w:color w:val="auto"/>
              </w:rPr>
            </w:pPr>
            <w:r>
              <w:rPr>
                <w:rFonts w:ascii="Arial" w:cs="Arial" w:eastAsia="Arial" w:hAnsi="Arial"/>
                <w:sz w:val="17"/>
                <w:szCs w:val="17"/>
                <w:color w:val="auto"/>
              </w:rPr>
              <w:t>Marketable debt securities: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5140" w:type="dxa"/>
            <w:vAlign w:val="bottom"/>
          </w:tcPr>
          <w:p>
            <w:pPr>
              <w:ind w:left="360"/>
              <w:spacing w:after="0"/>
              <w:rPr>
                <w:sz w:val="20"/>
                <w:szCs w:val="20"/>
                <w:color w:val="auto"/>
              </w:rPr>
            </w:pPr>
            <w:r>
              <w:rPr>
                <w:rFonts w:ascii="Arial" w:cs="Arial" w:eastAsia="Arial" w:hAnsi="Arial"/>
                <w:sz w:val="17"/>
                <w:szCs w:val="17"/>
                <w:color w:val="auto"/>
              </w:rPr>
              <w:t>Corporate debt securities</w:t>
            </w:r>
          </w:p>
        </w:tc>
        <w:tc>
          <w:tcPr>
            <w:tcW w:w="200" w:type="dxa"/>
            <w:vAlign w:val="bottom"/>
          </w:tcPr>
          <w:p>
            <w:pPr>
              <w:spacing w:after="0"/>
              <w:rPr>
                <w:sz w:val="23"/>
                <w:szCs w:val="23"/>
                <w:color w:val="auto"/>
              </w:rPr>
            </w:pP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2,663.8</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ind w:right="20"/>
              <w:spacing w:after="0"/>
              <w:rPr>
                <w:sz w:val="20"/>
                <w:szCs w:val="20"/>
                <w:color w:val="auto"/>
              </w:rPr>
            </w:pPr>
            <w:r>
              <w:rPr>
                <w:rFonts w:ascii="Arial" w:cs="Arial" w:eastAsia="Arial" w:hAnsi="Arial"/>
                <w:sz w:val="17"/>
                <w:szCs w:val="17"/>
                <w:color w:val="auto"/>
              </w:rPr>
              <w:t>2,663.8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6"/>
        </w:trPr>
        <w:tc>
          <w:tcPr>
            <w:tcW w:w="5140" w:type="dxa"/>
            <w:vAlign w:val="bottom"/>
          </w:tcPr>
          <w:p>
            <w:pPr>
              <w:ind w:left="360"/>
              <w:spacing w:after="0"/>
              <w:rPr>
                <w:sz w:val="20"/>
                <w:szCs w:val="20"/>
                <w:color w:val="auto"/>
              </w:rPr>
            </w:pPr>
            <w:r>
              <w:rPr>
                <w:rFonts w:ascii="Arial" w:cs="Arial" w:eastAsia="Arial" w:hAnsi="Arial"/>
                <w:sz w:val="17"/>
                <w:szCs w:val="17"/>
                <w:color w:val="auto"/>
              </w:rPr>
              <w:t>Government securities</w:t>
            </w:r>
          </w:p>
        </w:tc>
        <w:tc>
          <w:tcPr>
            <w:tcW w:w="20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2,172.5</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ind w:lef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7"/>
                <w:szCs w:val="17"/>
                <w:color w:val="auto"/>
              </w:rPr>
              <w:t>2,172.5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6"/>
        </w:trPr>
        <w:tc>
          <w:tcPr>
            <w:tcW w:w="5140" w:type="dxa"/>
            <w:vAlign w:val="bottom"/>
          </w:tcPr>
          <w:p>
            <w:pPr>
              <w:ind w:left="360"/>
              <w:spacing w:after="0"/>
              <w:rPr>
                <w:sz w:val="20"/>
                <w:szCs w:val="20"/>
                <w:color w:val="auto"/>
              </w:rPr>
            </w:pPr>
            <w:r>
              <w:rPr>
                <w:rFonts w:ascii="Arial" w:cs="Arial" w:eastAsia="Arial" w:hAnsi="Arial"/>
                <w:sz w:val="17"/>
                <w:szCs w:val="17"/>
                <w:color w:val="auto"/>
              </w:rPr>
              <w:t>Mortgage and other asset backed securities</w:t>
            </w:r>
          </w:p>
        </w:tc>
        <w:tc>
          <w:tcPr>
            <w:tcW w:w="20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561.7</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ind w:lef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7"/>
                <w:szCs w:val="17"/>
                <w:color w:val="auto"/>
              </w:rPr>
              <w:t>561.7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6"/>
        </w:trPr>
        <w:tc>
          <w:tcPr>
            <w:tcW w:w="5140" w:type="dxa"/>
            <w:vAlign w:val="bottom"/>
          </w:tcPr>
          <w:p>
            <w:pPr>
              <w:ind w:left="160"/>
              <w:spacing w:after="0"/>
              <w:rPr>
                <w:sz w:val="20"/>
                <w:szCs w:val="20"/>
                <w:color w:val="auto"/>
              </w:rPr>
            </w:pPr>
            <w:r>
              <w:rPr>
                <w:rFonts w:ascii="Arial" w:cs="Arial" w:eastAsia="Arial" w:hAnsi="Arial"/>
                <w:sz w:val="17"/>
                <w:szCs w:val="17"/>
                <w:color w:val="auto"/>
              </w:rPr>
              <w:t>Marketable equity securities</w:t>
            </w:r>
          </w:p>
        </w:tc>
        <w:tc>
          <w:tcPr>
            <w:tcW w:w="20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24.9</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ind w:left="20"/>
              <w:spacing w:after="0"/>
              <w:rPr>
                <w:sz w:val="20"/>
                <w:szCs w:val="20"/>
                <w:color w:val="auto"/>
              </w:rPr>
            </w:pPr>
            <w:r>
              <w:rPr>
                <w:rFonts w:ascii="Arial" w:cs="Arial" w:eastAsia="Arial" w:hAnsi="Arial"/>
                <w:sz w:val="17"/>
                <w:szCs w:val="17"/>
                <w:color w:val="auto"/>
              </w:rPr>
              <w:t>24.9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6"/>
        </w:trPr>
        <w:tc>
          <w:tcPr>
            <w:tcW w:w="5140" w:type="dxa"/>
            <w:vAlign w:val="bottom"/>
          </w:tcPr>
          <w:p>
            <w:pPr>
              <w:ind w:left="160"/>
              <w:spacing w:after="0"/>
              <w:rPr>
                <w:sz w:val="20"/>
                <w:szCs w:val="20"/>
                <w:color w:val="auto"/>
              </w:rPr>
            </w:pPr>
            <w:r>
              <w:rPr>
                <w:rFonts w:ascii="Arial" w:cs="Arial" w:eastAsia="Arial" w:hAnsi="Arial"/>
                <w:sz w:val="17"/>
                <w:szCs w:val="17"/>
                <w:color w:val="auto"/>
              </w:rPr>
              <w:t>Derivative contracts</w:t>
            </w:r>
          </w:p>
        </w:tc>
        <w:tc>
          <w:tcPr>
            <w:tcW w:w="20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61.0</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ind w:lef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7"/>
                <w:szCs w:val="17"/>
                <w:color w:val="auto"/>
              </w:rPr>
              <w:t>61.0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3"/>
        </w:trPr>
        <w:tc>
          <w:tcPr>
            <w:tcW w:w="5140" w:type="dxa"/>
            <w:vAlign w:val="bottom"/>
          </w:tcPr>
          <w:p>
            <w:pPr>
              <w:ind w:left="160"/>
              <w:spacing w:after="0"/>
              <w:rPr>
                <w:sz w:val="20"/>
                <w:szCs w:val="20"/>
                <w:color w:val="auto"/>
              </w:rPr>
            </w:pPr>
            <w:r>
              <w:rPr>
                <w:rFonts w:ascii="Arial" w:cs="Arial" w:eastAsia="Arial" w:hAnsi="Arial"/>
                <w:sz w:val="17"/>
                <w:szCs w:val="17"/>
                <w:color w:val="auto"/>
              </w:rPr>
              <w:t>Plan assets for deferred compensation</w:t>
            </w: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34.5</w:t>
            </w:r>
          </w:p>
        </w:tc>
        <w:tc>
          <w:tcPr>
            <w:tcW w:w="12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34.5</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5140" w:type="dxa"/>
            <w:vAlign w:val="bottom"/>
          </w:tcPr>
          <w:p>
            <w:pPr>
              <w:ind w:left="560"/>
              <w:spacing w:after="0"/>
              <w:rPr>
                <w:sz w:val="20"/>
                <w:szCs w:val="20"/>
                <w:color w:val="auto"/>
              </w:rPr>
            </w:pPr>
            <w:r>
              <w:rPr>
                <w:rFonts w:ascii="Arial" w:cs="Arial" w:eastAsia="Arial" w:hAnsi="Arial"/>
                <w:sz w:val="17"/>
                <w:szCs w:val="17"/>
                <w:color w:val="auto"/>
              </w:rPr>
              <w:t>Total</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7,558.0</w:t>
            </w:r>
          </w:p>
        </w:tc>
        <w:tc>
          <w:tcPr>
            <w:tcW w:w="1160" w:type="dxa"/>
            <w:vAlign w:val="bottom"/>
            <w:gridSpan w:val="2"/>
          </w:tcPr>
          <w:p>
            <w:pPr>
              <w:jc w:val="right"/>
              <w:ind w:right="848"/>
              <w:spacing w:after="0"/>
              <w:rPr>
                <w:sz w:val="20"/>
                <w:szCs w:val="20"/>
                <w:color w:val="auto"/>
              </w:rPr>
            </w:pPr>
            <w:r>
              <w:rPr>
                <w:rFonts w:ascii="Arial" w:cs="Arial" w:eastAsia="Arial" w:hAnsi="Arial"/>
                <w:sz w:val="17"/>
                <w:szCs w:val="17"/>
                <w:color w:val="auto"/>
              </w:rPr>
              <w:t>$</w:t>
            </w:r>
          </w:p>
        </w:tc>
        <w:tc>
          <w:tcPr>
            <w:tcW w:w="440" w:type="dxa"/>
            <w:vAlign w:val="bottom"/>
          </w:tcPr>
          <w:p>
            <w:pPr>
              <w:ind w:left="20"/>
              <w:spacing w:after="0"/>
              <w:rPr>
                <w:sz w:val="20"/>
                <w:szCs w:val="20"/>
                <w:color w:val="auto"/>
              </w:rPr>
            </w:pPr>
            <w:r>
              <w:rPr>
                <w:rFonts w:ascii="Arial" w:cs="Arial" w:eastAsia="Arial" w:hAnsi="Arial"/>
                <w:sz w:val="17"/>
                <w:szCs w:val="17"/>
                <w:color w:val="auto"/>
              </w:rPr>
              <w:t>24.9</w:t>
            </w:r>
          </w:p>
        </w:tc>
        <w:tc>
          <w:tcPr>
            <w:tcW w:w="360" w:type="dxa"/>
            <w:vAlign w:val="bottom"/>
            <w:gridSpan w:val="2"/>
          </w:tcPr>
          <w:p>
            <w:pPr>
              <w:jc w:val="right"/>
              <w:ind w:right="3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20"/>
              <w:spacing w:after="0"/>
              <w:rPr>
                <w:sz w:val="20"/>
                <w:szCs w:val="20"/>
                <w:color w:val="auto"/>
              </w:rPr>
            </w:pPr>
            <w:r>
              <w:rPr>
                <w:rFonts w:ascii="Arial" w:cs="Arial" w:eastAsia="Arial" w:hAnsi="Arial"/>
                <w:sz w:val="17"/>
                <w:szCs w:val="17"/>
                <w:color w:val="auto"/>
              </w:rPr>
              <w:t>7,533.1</w:t>
            </w:r>
          </w:p>
        </w:tc>
        <w:tc>
          <w:tcPr>
            <w:tcW w:w="32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140" w:type="dxa"/>
            <w:vAlign w:val="bottom"/>
            <w:vMerge w:val="restart"/>
          </w:tcPr>
          <w:p>
            <w:pPr>
              <w:ind w:left="20"/>
              <w:spacing w:after="0"/>
              <w:rPr>
                <w:sz w:val="20"/>
                <w:szCs w:val="20"/>
                <w:color w:val="auto"/>
              </w:rPr>
            </w:pPr>
            <w:r>
              <w:rPr>
                <w:rFonts w:ascii="Arial" w:cs="Arial" w:eastAsia="Arial" w:hAnsi="Arial"/>
                <w:sz w:val="17"/>
                <w:szCs w:val="17"/>
                <w:i w:val="1"/>
                <w:iCs w:val="1"/>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1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5"/>
        </w:trPr>
        <w:tc>
          <w:tcPr>
            <w:tcW w:w="5140" w:type="dxa"/>
            <w:vAlign w:val="bottom"/>
          </w:tcPr>
          <w:p>
            <w:pPr>
              <w:ind w:left="160"/>
              <w:spacing w:after="0"/>
              <w:rPr>
                <w:sz w:val="20"/>
                <w:szCs w:val="20"/>
                <w:color w:val="auto"/>
              </w:rPr>
            </w:pPr>
            <w:r>
              <w:rPr>
                <w:rFonts w:ascii="Arial" w:cs="Arial" w:eastAsia="Arial" w:hAnsi="Arial"/>
                <w:sz w:val="17"/>
                <w:szCs w:val="17"/>
                <w:color w:val="auto"/>
              </w:rPr>
              <w:t>Derivative contracts</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13.6</w:t>
            </w:r>
          </w:p>
        </w:tc>
        <w:tc>
          <w:tcPr>
            <w:tcW w:w="1160" w:type="dxa"/>
            <w:vAlign w:val="bottom"/>
            <w:gridSpan w:val="2"/>
          </w:tcPr>
          <w:p>
            <w:pPr>
              <w:jc w:val="right"/>
              <w:ind w:right="848"/>
              <w:spacing w:after="0"/>
              <w:rPr>
                <w:sz w:val="20"/>
                <w:szCs w:val="20"/>
                <w:color w:val="auto"/>
              </w:rPr>
            </w:pPr>
            <w:r>
              <w:rPr>
                <w:rFonts w:ascii="Arial" w:cs="Arial" w:eastAsia="Arial" w:hAnsi="Arial"/>
                <w:sz w:val="17"/>
                <w:szCs w:val="17"/>
                <w:color w:val="auto"/>
              </w:rPr>
              <w:t>$</w:t>
            </w:r>
          </w:p>
        </w:tc>
        <w:tc>
          <w:tcPr>
            <w:tcW w:w="440" w:type="dxa"/>
            <w:vAlign w:val="bottom"/>
          </w:tcPr>
          <w:p>
            <w:pPr>
              <w:ind w:left="18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3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20"/>
              <w:spacing w:after="0"/>
              <w:rPr>
                <w:sz w:val="20"/>
                <w:szCs w:val="20"/>
                <w:color w:val="auto"/>
              </w:rPr>
            </w:pPr>
            <w:r>
              <w:rPr>
                <w:rFonts w:ascii="Arial" w:cs="Arial" w:eastAsia="Arial" w:hAnsi="Arial"/>
                <w:sz w:val="17"/>
                <w:szCs w:val="17"/>
                <w:color w:val="auto"/>
              </w:rPr>
              <w:t>13.6</w:t>
            </w:r>
          </w:p>
        </w:tc>
        <w:tc>
          <w:tcPr>
            <w:tcW w:w="32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3"/>
        </w:trPr>
        <w:tc>
          <w:tcPr>
            <w:tcW w:w="5140" w:type="dxa"/>
            <w:vAlign w:val="bottom"/>
          </w:tcPr>
          <w:p>
            <w:pPr>
              <w:ind w:left="160"/>
              <w:spacing w:after="0"/>
              <w:rPr>
                <w:sz w:val="20"/>
                <w:szCs w:val="20"/>
                <w:color w:val="auto"/>
              </w:rPr>
            </w:pPr>
            <w:r>
              <w:rPr>
                <w:rFonts w:ascii="Arial" w:cs="Arial" w:eastAsia="Arial" w:hAnsi="Arial"/>
                <w:sz w:val="17"/>
                <w:szCs w:val="17"/>
                <w:color w:val="auto"/>
              </w:rPr>
              <w:t>Contingent consideration obligations</w:t>
            </w: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467.6</w:t>
            </w:r>
          </w:p>
        </w:tc>
        <w:tc>
          <w:tcPr>
            <w:tcW w:w="12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467.6</w:t>
            </w:r>
          </w:p>
        </w:tc>
        <w:tc>
          <w:tcPr>
            <w:tcW w:w="0" w:type="dxa"/>
            <w:vAlign w:val="bottom"/>
          </w:tcPr>
          <w:p>
            <w:pPr>
              <w:spacing w:after="0"/>
              <w:rPr>
                <w:sz w:val="1"/>
                <w:szCs w:val="1"/>
                <w:color w:val="auto"/>
              </w:rPr>
            </w:pPr>
          </w:p>
        </w:tc>
      </w:tr>
      <w:tr>
        <w:trPr>
          <w:trHeight w:val="236"/>
        </w:trPr>
        <w:tc>
          <w:tcPr>
            <w:tcW w:w="5140" w:type="dxa"/>
            <w:vAlign w:val="bottom"/>
          </w:tcPr>
          <w:p>
            <w:pPr>
              <w:ind w:left="560"/>
              <w:spacing w:after="0"/>
              <w:rPr>
                <w:sz w:val="20"/>
                <w:szCs w:val="20"/>
                <w:color w:val="auto"/>
              </w:rPr>
            </w:pPr>
            <w:r>
              <w:rPr>
                <w:rFonts w:ascii="Arial" w:cs="Arial" w:eastAsia="Arial" w:hAnsi="Arial"/>
                <w:sz w:val="17"/>
                <w:szCs w:val="17"/>
                <w:color w:val="auto"/>
              </w:rPr>
              <w:t>Total</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481.2</w:t>
            </w:r>
          </w:p>
        </w:tc>
        <w:tc>
          <w:tcPr>
            <w:tcW w:w="1160" w:type="dxa"/>
            <w:vAlign w:val="bottom"/>
            <w:gridSpan w:val="2"/>
          </w:tcPr>
          <w:p>
            <w:pPr>
              <w:jc w:val="right"/>
              <w:ind w:right="848"/>
              <w:spacing w:after="0"/>
              <w:rPr>
                <w:sz w:val="20"/>
                <w:szCs w:val="20"/>
                <w:color w:val="auto"/>
              </w:rPr>
            </w:pPr>
            <w:r>
              <w:rPr>
                <w:rFonts w:ascii="Arial" w:cs="Arial" w:eastAsia="Arial" w:hAnsi="Arial"/>
                <w:sz w:val="17"/>
                <w:szCs w:val="17"/>
                <w:color w:val="auto"/>
              </w:rPr>
              <w:t>$</w:t>
            </w:r>
          </w:p>
        </w:tc>
        <w:tc>
          <w:tcPr>
            <w:tcW w:w="440" w:type="dxa"/>
            <w:vAlign w:val="bottom"/>
          </w:tcPr>
          <w:p>
            <w:pPr>
              <w:ind w:left="18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3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20"/>
              <w:spacing w:after="0"/>
              <w:rPr>
                <w:sz w:val="20"/>
                <w:szCs w:val="20"/>
                <w:color w:val="auto"/>
              </w:rPr>
            </w:pPr>
            <w:r>
              <w:rPr>
                <w:rFonts w:ascii="Arial" w:cs="Arial" w:eastAsia="Arial" w:hAnsi="Arial"/>
                <w:sz w:val="17"/>
                <w:szCs w:val="17"/>
                <w:color w:val="auto"/>
              </w:rPr>
              <w:t>13.6</w:t>
            </w:r>
          </w:p>
        </w:tc>
        <w:tc>
          <w:tcPr>
            <w:tcW w:w="32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9"/>
              <w:spacing w:after="0"/>
              <w:rPr>
                <w:sz w:val="20"/>
                <w:szCs w:val="20"/>
                <w:color w:val="auto"/>
              </w:rPr>
            </w:pPr>
            <w:r>
              <w:rPr>
                <w:rFonts w:ascii="Arial" w:cs="Arial" w:eastAsia="Arial" w:hAnsi="Arial"/>
                <w:sz w:val="17"/>
                <w:szCs w:val="17"/>
                <w:color w:val="auto"/>
              </w:rPr>
              <w:t>467.6</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right="260" w:firstLine="410"/>
        <w:spacing w:after="0" w:line="257" w:lineRule="auto"/>
        <w:rPr>
          <w:sz w:val="20"/>
          <w:szCs w:val="20"/>
          <w:color w:val="auto"/>
        </w:rPr>
      </w:pPr>
      <w:r>
        <w:rPr>
          <w:rFonts w:ascii="Arial" w:cs="Arial" w:eastAsia="Arial" w:hAnsi="Arial"/>
          <w:sz w:val="17"/>
          <w:szCs w:val="17"/>
          <w:color w:val="auto"/>
        </w:rPr>
        <w:t xml:space="preserve">The fair value of Level 2 instruments classified as cash equivalents and marketable debt securities were determined through third-party pricing services. For a description of our validation procedures related to prices provided by third-party pricing services, please read Note 1, </w:t>
      </w:r>
      <w:r>
        <w:rPr>
          <w:rFonts w:ascii="Arial" w:cs="Arial" w:eastAsia="Arial" w:hAnsi="Arial"/>
          <w:sz w:val="17"/>
          <w:szCs w:val="17"/>
          <w:i w:val="1"/>
          <w:iCs w:val="1"/>
          <w:color w:val="auto"/>
        </w:rPr>
        <w:t>Summary of</w:t>
      </w:r>
      <w:r>
        <w:rPr>
          <w:rFonts w:ascii="Arial" w:cs="Arial" w:eastAsia="Arial" w:hAnsi="Arial"/>
          <w:sz w:val="17"/>
          <w:szCs w:val="17"/>
          <w:color w:val="auto"/>
        </w:rPr>
        <w:t xml:space="preserve"> </w:t>
      </w:r>
      <w:r>
        <w:rPr>
          <w:rFonts w:ascii="Arial" w:cs="Arial" w:eastAsia="Arial" w:hAnsi="Arial"/>
          <w:sz w:val="17"/>
          <w:szCs w:val="17"/>
          <w:i w:val="1"/>
          <w:iCs w:val="1"/>
          <w:color w:val="auto"/>
        </w:rPr>
        <w:t>Significant Accounting Policies: Fair Value Measurements</w:t>
      </w:r>
      <w:r>
        <w:rPr>
          <w:rFonts w:ascii="Arial" w:cs="Arial" w:eastAsia="Arial" w:hAnsi="Arial"/>
          <w:sz w:val="17"/>
          <w:szCs w:val="17"/>
          <w:color w:val="auto"/>
        </w:rPr>
        <w:t>, to these consolidated financial statements.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F- 31</w:t>
      </w:r>
    </w:p>
    <w:p>
      <w:pPr>
        <w:sectPr>
          <w:pgSz w:w="11900" w:h="16838" w:orient="portrait"/>
          <w:cols w:equalWidth="0" w:num="1">
            <w:col w:w="11400"/>
          </w:cols>
          <w:pgMar w:left="240" w:top="139" w:right="259" w:bottom="1440" w:gutter="0" w:footer="0" w:header="0"/>
        </w:sectPr>
      </w:pPr>
    </w:p>
    <w:bookmarkStart w:id="133" w:name="page134"/>
    <w:bookmarkEnd w:id="1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Debt Instruments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fair values of our debt instruments, which are Level 2 liabilities, are summarized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6"/>
                <w:szCs w:val="16"/>
                <w:color w:val="auto"/>
              </w:rPr>
            </w:pPr>
          </w:p>
        </w:tc>
      </w:tr>
      <w:tr>
        <w:trPr>
          <w:trHeight w:val="249"/>
        </w:trPr>
        <w:tc>
          <w:tcPr>
            <w:tcW w:w="76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bottom w:val="single" w:sz="8" w:color="auto"/>
            </w:tcBorders>
            <w:shd w:val="clear" w:color="auto" w:fill="DDDDDD"/>
          </w:tcPr>
          <w:p>
            <w:pPr>
              <w:spacing w:after="0"/>
              <w:rPr>
                <w:sz w:val="21"/>
                <w:szCs w:val="21"/>
                <w:color w:val="auto"/>
              </w:rPr>
            </w:pPr>
          </w:p>
        </w:tc>
        <w:tc>
          <w:tcPr>
            <w:tcW w:w="1400" w:type="dxa"/>
            <w:vAlign w:val="bottom"/>
            <w:tcBorders>
              <w:bottom w:val="single" w:sz="8" w:color="auto"/>
            </w:tcBorders>
            <w:shd w:val="clear" w:color="auto" w:fill="DDDDDD"/>
          </w:tcPr>
          <w:p>
            <w:pPr>
              <w:jc w:val="right"/>
              <w:ind w:right="678"/>
              <w:spacing w:after="0"/>
              <w:rPr>
                <w:sz w:val="20"/>
                <w:szCs w:val="20"/>
                <w:color w:val="auto"/>
              </w:rPr>
            </w:pPr>
            <w:r>
              <w:rPr>
                <w:rFonts w:ascii="Arial" w:cs="Arial" w:eastAsia="Arial" w:hAnsi="Arial"/>
                <w:sz w:val="14"/>
                <w:szCs w:val="14"/>
                <w:b w:val="1"/>
                <w:bCs w:val="1"/>
                <w:color w:val="2573BA"/>
              </w:rPr>
              <w:t>2017</w:t>
            </w:r>
          </w:p>
        </w:tc>
        <w:tc>
          <w:tcPr>
            <w:tcW w:w="10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2016</w:t>
            </w:r>
          </w:p>
        </w:tc>
      </w:tr>
      <w:tr>
        <w:trPr>
          <w:trHeight w:val="228"/>
        </w:trPr>
        <w:tc>
          <w:tcPr>
            <w:tcW w:w="7640" w:type="dxa"/>
            <w:vAlign w:val="bottom"/>
            <w:gridSpan w:val="2"/>
          </w:tcPr>
          <w:p>
            <w:pPr>
              <w:ind w:left="20"/>
              <w:spacing w:after="0"/>
              <w:rPr>
                <w:sz w:val="20"/>
                <w:szCs w:val="20"/>
                <w:color w:val="auto"/>
              </w:rPr>
            </w:pPr>
            <w:r>
              <w:rPr>
                <w:rFonts w:ascii="Arial" w:cs="Arial" w:eastAsia="Arial" w:hAnsi="Arial"/>
                <w:sz w:val="17"/>
                <w:szCs w:val="17"/>
                <w:color w:val="auto"/>
              </w:rPr>
              <w:t>Notes payable to Fumedica</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3.2</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6.1</w:t>
            </w:r>
          </w:p>
        </w:tc>
      </w:tr>
      <w:tr>
        <w:trPr>
          <w:trHeight w:val="256"/>
        </w:trPr>
        <w:tc>
          <w:tcPr>
            <w:tcW w:w="640" w:type="dxa"/>
            <w:vAlign w:val="bottom"/>
          </w:tcPr>
          <w:p>
            <w:pPr>
              <w:ind w:left="20"/>
              <w:spacing w:after="0"/>
              <w:rPr>
                <w:sz w:val="20"/>
                <w:szCs w:val="20"/>
                <w:color w:val="auto"/>
              </w:rPr>
            </w:pPr>
            <w:r>
              <w:rPr>
                <w:rFonts w:ascii="Arial" w:cs="Arial" w:eastAsia="Arial" w:hAnsi="Arial"/>
                <w:sz w:val="17"/>
                <w:szCs w:val="17"/>
                <w:color w:val="auto"/>
              </w:rPr>
              <w:t>6.875%</w:t>
            </w:r>
          </w:p>
        </w:tc>
        <w:tc>
          <w:tcPr>
            <w:tcW w:w="7000" w:type="dxa"/>
            <w:vAlign w:val="bottom"/>
          </w:tcPr>
          <w:p>
            <w:pPr>
              <w:ind w:left="20"/>
              <w:spacing w:after="0"/>
              <w:rPr>
                <w:sz w:val="20"/>
                <w:szCs w:val="20"/>
                <w:color w:val="auto"/>
              </w:rPr>
            </w:pPr>
            <w:r>
              <w:rPr>
                <w:rFonts w:ascii="Arial" w:cs="Arial" w:eastAsia="Arial" w:hAnsi="Arial"/>
                <w:sz w:val="17"/>
                <w:szCs w:val="17"/>
                <w:color w:val="auto"/>
              </w:rPr>
              <w:t>Senior Notes due March 1, 2018</w:t>
            </w: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583.7</w:t>
            </w:r>
          </w:p>
        </w:tc>
      </w:tr>
      <w:tr>
        <w:trPr>
          <w:trHeight w:val="256"/>
        </w:trPr>
        <w:tc>
          <w:tcPr>
            <w:tcW w:w="640" w:type="dxa"/>
            <w:vAlign w:val="bottom"/>
          </w:tcPr>
          <w:p>
            <w:pPr>
              <w:ind w:left="20"/>
              <w:spacing w:after="0"/>
              <w:rPr>
                <w:sz w:val="20"/>
                <w:szCs w:val="20"/>
                <w:color w:val="auto"/>
              </w:rPr>
            </w:pPr>
            <w:r>
              <w:rPr>
                <w:rFonts w:ascii="Arial" w:cs="Arial" w:eastAsia="Arial" w:hAnsi="Arial"/>
                <w:sz w:val="17"/>
                <w:szCs w:val="17"/>
                <w:color w:val="auto"/>
              </w:rPr>
              <w:t>2.900%</w:t>
            </w:r>
          </w:p>
        </w:tc>
        <w:tc>
          <w:tcPr>
            <w:tcW w:w="7000" w:type="dxa"/>
            <w:vAlign w:val="bottom"/>
          </w:tcPr>
          <w:p>
            <w:pPr>
              <w:ind w:left="20"/>
              <w:spacing w:after="0"/>
              <w:rPr>
                <w:sz w:val="20"/>
                <w:szCs w:val="20"/>
                <w:color w:val="auto"/>
              </w:rPr>
            </w:pPr>
            <w:r>
              <w:rPr>
                <w:rFonts w:ascii="Arial" w:cs="Arial" w:eastAsia="Arial" w:hAnsi="Arial"/>
                <w:sz w:val="17"/>
                <w:szCs w:val="17"/>
                <w:color w:val="auto"/>
              </w:rPr>
              <w:t>Senior Notes due September 15, 2020</w:t>
            </w: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1,517.7</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1,521.5</w:t>
            </w:r>
          </w:p>
        </w:tc>
      </w:tr>
      <w:tr>
        <w:trPr>
          <w:trHeight w:val="256"/>
        </w:trPr>
        <w:tc>
          <w:tcPr>
            <w:tcW w:w="640" w:type="dxa"/>
            <w:vAlign w:val="bottom"/>
          </w:tcPr>
          <w:p>
            <w:pPr>
              <w:ind w:left="20"/>
              <w:spacing w:after="0"/>
              <w:rPr>
                <w:sz w:val="20"/>
                <w:szCs w:val="20"/>
                <w:color w:val="auto"/>
              </w:rPr>
            </w:pPr>
            <w:r>
              <w:rPr>
                <w:rFonts w:ascii="Arial" w:cs="Arial" w:eastAsia="Arial" w:hAnsi="Arial"/>
                <w:sz w:val="17"/>
                <w:szCs w:val="17"/>
                <w:color w:val="auto"/>
              </w:rPr>
              <w:t>3.625%</w:t>
            </w:r>
          </w:p>
        </w:tc>
        <w:tc>
          <w:tcPr>
            <w:tcW w:w="7000" w:type="dxa"/>
            <w:vAlign w:val="bottom"/>
          </w:tcPr>
          <w:p>
            <w:pPr>
              <w:ind w:left="20"/>
              <w:spacing w:after="0"/>
              <w:rPr>
                <w:sz w:val="20"/>
                <w:szCs w:val="20"/>
                <w:color w:val="auto"/>
              </w:rPr>
            </w:pPr>
            <w:r>
              <w:rPr>
                <w:rFonts w:ascii="Arial" w:cs="Arial" w:eastAsia="Arial" w:hAnsi="Arial"/>
                <w:sz w:val="17"/>
                <w:szCs w:val="17"/>
                <w:color w:val="auto"/>
              </w:rPr>
              <w:t>Senior Notes due September 15, 2022</w:t>
            </w: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1,032.9</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1,026.6</w:t>
            </w:r>
          </w:p>
        </w:tc>
      </w:tr>
      <w:tr>
        <w:trPr>
          <w:trHeight w:val="256"/>
        </w:trPr>
        <w:tc>
          <w:tcPr>
            <w:tcW w:w="640" w:type="dxa"/>
            <w:vAlign w:val="bottom"/>
          </w:tcPr>
          <w:p>
            <w:pPr>
              <w:ind w:left="20"/>
              <w:spacing w:after="0"/>
              <w:rPr>
                <w:sz w:val="20"/>
                <w:szCs w:val="20"/>
                <w:color w:val="auto"/>
              </w:rPr>
            </w:pPr>
            <w:r>
              <w:rPr>
                <w:rFonts w:ascii="Arial" w:cs="Arial" w:eastAsia="Arial" w:hAnsi="Arial"/>
                <w:sz w:val="17"/>
                <w:szCs w:val="17"/>
                <w:color w:val="auto"/>
              </w:rPr>
              <w:t>4.050%</w:t>
            </w:r>
          </w:p>
        </w:tc>
        <w:tc>
          <w:tcPr>
            <w:tcW w:w="7000" w:type="dxa"/>
            <w:vAlign w:val="bottom"/>
          </w:tcPr>
          <w:p>
            <w:pPr>
              <w:ind w:left="20"/>
              <w:spacing w:after="0"/>
              <w:rPr>
                <w:sz w:val="20"/>
                <w:szCs w:val="20"/>
                <w:color w:val="auto"/>
              </w:rPr>
            </w:pPr>
            <w:r>
              <w:rPr>
                <w:rFonts w:ascii="Arial" w:cs="Arial" w:eastAsia="Arial" w:hAnsi="Arial"/>
                <w:sz w:val="17"/>
                <w:szCs w:val="17"/>
                <w:color w:val="auto"/>
              </w:rPr>
              <w:t>Senior Notes due September 15, 2025</w:t>
            </w: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1,851.9</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1,796.0</w:t>
            </w:r>
          </w:p>
        </w:tc>
      </w:tr>
      <w:tr>
        <w:trPr>
          <w:trHeight w:val="263"/>
        </w:trPr>
        <w:tc>
          <w:tcPr>
            <w:tcW w:w="640" w:type="dxa"/>
            <w:vAlign w:val="bottom"/>
          </w:tcPr>
          <w:p>
            <w:pPr>
              <w:ind w:left="20"/>
              <w:spacing w:after="0"/>
              <w:rPr>
                <w:sz w:val="20"/>
                <w:szCs w:val="20"/>
                <w:color w:val="auto"/>
              </w:rPr>
            </w:pPr>
            <w:r>
              <w:rPr>
                <w:rFonts w:ascii="Arial" w:cs="Arial" w:eastAsia="Arial" w:hAnsi="Arial"/>
                <w:sz w:val="17"/>
                <w:szCs w:val="17"/>
                <w:color w:val="auto"/>
              </w:rPr>
              <w:t>5.200%</w:t>
            </w:r>
          </w:p>
        </w:tc>
        <w:tc>
          <w:tcPr>
            <w:tcW w:w="7000" w:type="dxa"/>
            <w:vAlign w:val="bottom"/>
          </w:tcPr>
          <w:p>
            <w:pPr>
              <w:ind w:left="20"/>
              <w:spacing w:after="0"/>
              <w:rPr>
                <w:sz w:val="20"/>
                <w:szCs w:val="20"/>
                <w:color w:val="auto"/>
              </w:rPr>
            </w:pPr>
            <w:r>
              <w:rPr>
                <w:rFonts w:ascii="Arial" w:cs="Arial" w:eastAsia="Arial" w:hAnsi="Arial"/>
                <w:sz w:val="17"/>
                <w:szCs w:val="17"/>
                <w:color w:val="auto"/>
              </w:rPr>
              <w:t>Senior Notes due September 15, 2045</w:t>
            </w:r>
          </w:p>
        </w:tc>
        <w:tc>
          <w:tcPr>
            <w:tcW w:w="440" w:type="dxa"/>
            <w:vAlign w:val="bottom"/>
            <w:tcBorders>
              <w:bottom w:val="single" w:sz="8" w:color="auto"/>
            </w:tcBorders>
            <w:shd w:val="clear" w:color="auto" w:fill="DDDDDD"/>
          </w:tcPr>
          <w:p>
            <w:pPr>
              <w:spacing w:after="0"/>
              <w:rPr>
                <w:sz w:val="22"/>
                <w:szCs w:val="22"/>
                <w:color w:val="auto"/>
              </w:rPr>
            </w:pPr>
          </w:p>
        </w:tc>
        <w:tc>
          <w:tcPr>
            <w:tcW w:w="1400" w:type="dxa"/>
            <w:vAlign w:val="bottom"/>
            <w:tcBorders>
              <w:bottom w:val="single" w:sz="8" w:color="auto"/>
            </w:tcBorders>
            <w:shd w:val="clear" w:color="auto" w:fill="DDDDDD"/>
          </w:tcPr>
          <w:p>
            <w:pPr>
              <w:jc w:val="right"/>
              <w:ind w:right="18"/>
              <w:spacing w:after="0"/>
              <w:rPr>
                <w:sz w:val="20"/>
                <w:szCs w:val="20"/>
                <w:color w:val="auto"/>
              </w:rPr>
            </w:pPr>
            <w:r>
              <w:rPr>
                <w:rFonts w:ascii="Arial" w:cs="Arial" w:eastAsia="Arial" w:hAnsi="Arial"/>
                <w:sz w:val="17"/>
                <w:szCs w:val="17"/>
                <w:color w:val="2573BA"/>
              </w:rPr>
              <w:t>2,077.6</w:t>
            </w:r>
          </w:p>
        </w:tc>
        <w:tc>
          <w:tcPr>
            <w:tcW w:w="10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1,874.5</w:t>
            </w:r>
          </w:p>
        </w:tc>
      </w:tr>
      <w:tr>
        <w:trPr>
          <w:trHeight w:val="236"/>
        </w:trPr>
        <w:tc>
          <w:tcPr>
            <w:tcW w:w="640" w:type="dxa"/>
            <w:vAlign w:val="bottom"/>
          </w:tcPr>
          <w:p>
            <w:pPr>
              <w:ind w:left="160"/>
              <w:spacing w:after="0"/>
              <w:rPr>
                <w:sz w:val="20"/>
                <w:szCs w:val="20"/>
                <w:color w:val="auto"/>
              </w:rPr>
            </w:pPr>
            <w:r>
              <w:rPr>
                <w:rFonts w:ascii="Arial" w:cs="Arial" w:eastAsia="Arial" w:hAnsi="Arial"/>
                <w:sz w:val="17"/>
                <w:szCs w:val="17"/>
                <w:color w:val="auto"/>
              </w:rPr>
              <w:t>Total</w:t>
            </w:r>
          </w:p>
        </w:tc>
        <w:tc>
          <w:tcPr>
            <w:tcW w:w="7000" w:type="dxa"/>
            <w:vAlign w:val="bottom"/>
          </w:tcPr>
          <w:p>
            <w:pPr>
              <w:spacing w:after="0"/>
              <w:rPr>
                <w:sz w:val="20"/>
                <w:szCs w:val="20"/>
                <w:color w:val="auto"/>
              </w:rPr>
            </w:pP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6,483.3</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6,808.4</w:t>
            </w:r>
          </w:p>
        </w:tc>
      </w:tr>
      <w:tr>
        <w:trPr>
          <w:trHeight w:val="20"/>
        </w:trPr>
        <w:tc>
          <w:tcPr>
            <w:tcW w:w="6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right="760" w:firstLine="410"/>
        <w:spacing w:after="0" w:line="262" w:lineRule="auto"/>
        <w:rPr>
          <w:sz w:val="20"/>
          <w:szCs w:val="20"/>
          <w:color w:val="auto"/>
        </w:rPr>
      </w:pPr>
      <w:r>
        <w:rPr>
          <w:rFonts w:ascii="Arial" w:cs="Arial" w:eastAsia="Arial" w:hAnsi="Arial"/>
          <w:sz w:val="17"/>
          <w:szCs w:val="17"/>
          <w:color w:val="auto"/>
        </w:rPr>
        <w:t xml:space="preserve">In November 2017 we redeemed our 6.875% Senior Notes due March 1, 2018 with an aggregate principal amount of $550.0 million. For information on this redemption please read Note 12, </w:t>
      </w:r>
      <w:r>
        <w:rPr>
          <w:rFonts w:ascii="Arial" w:cs="Arial" w:eastAsia="Arial" w:hAnsi="Arial"/>
          <w:sz w:val="17"/>
          <w:szCs w:val="17"/>
          <w:i w:val="1"/>
          <w:iCs w:val="1"/>
          <w:color w:val="auto"/>
        </w:rPr>
        <w:t>Indebtedness,</w:t>
      </w:r>
      <w:r>
        <w:rPr>
          <w:rFonts w:ascii="Arial" w:cs="Arial" w:eastAsia="Arial" w:hAnsi="Arial"/>
          <w:sz w:val="17"/>
          <w:szCs w:val="17"/>
          <w:color w:val="auto"/>
        </w:rPr>
        <w:t xml:space="preserve"> to these consolidated financial statements.</w:t>
      </w:r>
    </w:p>
    <w:p>
      <w:pPr>
        <w:spacing w:after="0" w:line="137" w:lineRule="exact"/>
        <w:rPr>
          <w:sz w:val="20"/>
          <w:szCs w:val="20"/>
          <w:color w:val="auto"/>
        </w:rPr>
      </w:pPr>
    </w:p>
    <w:p>
      <w:pPr>
        <w:ind w:firstLine="410"/>
        <w:spacing w:after="0" w:line="257" w:lineRule="auto"/>
        <w:rPr>
          <w:sz w:val="20"/>
          <w:szCs w:val="20"/>
          <w:color w:val="auto"/>
        </w:rPr>
      </w:pPr>
      <w:r>
        <w:rPr>
          <w:rFonts w:ascii="Arial" w:cs="Arial" w:eastAsia="Arial" w:hAnsi="Arial"/>
          <w:sz w:val="17"/>
          <w:szCs w:val="17"/>
          <w:color w:val="auto"/>
        </w:rPr>
        <w:t xml:space="preserve">The fair value of our notes payable to Fumedica was estimated using market observable inputs, including current interest and foreign currency exchange rates. The fair value of each series of our Senior Notes was determined through market, observable and corroborated sources. For additional information on our debt instruments, please read Note 12, </w:t>
      </w:r>
      <w:r>
        <w:rPr>
          <w:rFonts w:ascii="Arial" w:cs="Arial" w:eastAsia="Arial" w:hAnsi="Arial"/>
          <w:sz w:val="17"/>
          <w:szCs w:val="17"/>
          <w:i w:val="1"/>
          <w:iCs w:val="1"/>
          <w:color w:val="auto"/>
        </w:rPr>
        <w:t>Indebtedness,</w:t>
      </w:r>
      <w:r>
        <w:rPr>
          <w:rFonts w:ascii="Arial" w:cs="Arial" w:eastAsia="Arial" w:hAnsi="Arial"/>
          <w:sz w:val="17"/>
          <w:szCs w:val="17"/>
          <w:color w:val="auto"/>
        </w:rPr>
        <w:t xml:space="preserve"> to these consolidated financial statements.</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Contingent Consideration Obligations</w:t>
      </w:r>
    </w:p>
    <w:p>
      <w:pPr>
        <w:spacing w:after="0" w:line="106" w:lineRule="exact"/>
        <w:rPr>
          <w:sz w:val="20"/>
          <w:szCs w:val="20"/>
          <w:color w:val="auto"/>
        </w:rPr>
      </w:pPr>
    </w:p>
    <w:p>
      <w:pPr>
        <w:jc w:val="both"/>
        <w:ind w:right="480" w:firstLine="410"/>
        <w:spacing w:after="0" w:line="257" w:lineRule="auto"/>
        <w:rPr>
          <w:sz w:val="20"/>
          <w:szCs w:val="20"/>
          <w:color w:val="auto"/>
        </w:rPr>
      </w:pPr>
      <w:r>
        <w:rPr>
          <w:rFonts w:ascii="Arial" w:cs="Arial" w:eastAsia="Arial" w:hAnsi="Arial"/>
          <w:sz w:val="17"/>
          <w:szCs w:val="17"/>
          <w:color w:val="auto"/>
        </w:rPr>
        <w:t>In connection with our acquisitions of Convergence, Stromedix and BIN in 2015, 2012 and 2010, respectively, we agreed to make additional payments based upon the achievement of certain milestone events. The following table provides a roll forward of the fair values of our contingent consideration obligations, which includes Level 3 measurements: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6"/>
                <w:szCs w:val="16"/>
                <w:color w:val="auto"/>
              </w:rPr>
            </w:pPr>
          </w:p>
        </w:tc>
      </w:tr>
      <w:tr>
        <w:trPr>
          <w:trHeight w:val="249"/>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bottom w:val="single" w:sz="8" w:color="auto"/>
            </w:tcBorders>
            <w:shd w:val="clear" w:color="auto" w:fill="DDDDDD"/>
          </w:tcPr>
          <w:p>
            <w:pPr>
              <w:spacing w:after="0"/>
              <w:rPr>
                <w:sz w:val="21"/>
                <w:szCs w:val="21"/>
                <w:color w:val="auto"/>
              </w:rPr>
            </w:pPr>
          </w:p>
        </w:tc>
        <w:tc>
          <w:tcPr>
            <w:tcW w:w="1400" w:type="dxa"/>
            <w:vAlign w:val="bottom"/>
            <w:tcBorders>
              <w:bottom w:val="single" w:sz="8" w:color="auto"/>
            </w:tcBorders>
            <w:shd w:val="clear" w:color="auto" w:fill="DDDDDD"/>
          </w:tcPr>
          <w:p>
            <w:pPr>
              <w:jc w:val="right"/>
              <w:ind w:right="680"/>
              <w:spacing w:after="0"/>
              <w:rPr>
                <w:sz w:val="20"/>
                <w:szCs w:val="20"/>
                <w:color w:val="auto"/>
              </w:rPr>
            </w:pPr>
            <w:r>
              <w:rPr>
                <w:rFonts w:ascii="Arial" w:cs="Arial" w:eastAsia="Arial" w:hAnsi="Arial"/>
                <w:sz w:val="14"/>
                <w:szCs w:val="14"/>
                <w:b w:val="1"/>
                <w:bCs w:val="1"/>
                <w:color w:val="2573BA"/>
              </w:rPr>
              <w:t>2017</w:t>
            </w:r>
          </w:p>
        </w:tc>
        <w:tc>
          <w:tcPr>
            <w:tcW w:w="10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678"/>
              <w:spacing w:after="0"/>
              <w:rPr>
                <w:sz w:val="20"/>
                <w:szCs w:val="20"/>
                <w:color w:val="auto"/>
              </w:rPr>
            </w:pPr>
            <w:r>
              <w:rPr>
                <w:rFonts w:ascii="Arial" w:cs="Arial" w:eastAsia="Arial" w:hAnsi="Arial"/>
                <w:sz w:val="14"/>
                <w:szCs w:val="14"/>
                <w:b w:val="1"/>
                <w:bCs w:val="1"/>
                <w:color w:val="auto"/>
              </w:rPr>
              <w:t>2016</w:t>
            </w:r>
          </w:p>
        </w:tc>
      </w:tr>
      <w:tr>
        <w:trPr>
          <w:trHeight w:val="242"/>
        </w:trPr>
        <w:tc>
          <w:tcPr>
            <w:tcW w:w="7640" w:type="dxa"/>
            <w:vAlign w:val="bottom"/>
          </w:tcPr>
          <w:p>
            <w:pPr>
              <w:ind w:left="20"/>
              <w:spacing w:after="0"/>
              <w:rPr>
                <w:sz w:val="20"/>
                <w:szCs w:val="20"/>
                <w:color w:val="auto"/>
              </w:rPr>
            </w:pPr>
            <w:r>
              <w:rPr>
                <w:rFonts w:ascii="Arial" w:cs="Arial" w:eastAsia="Arial" w:hAnsi="Arial"/>
                <w:sz w:val="17"/>
                <w:szCs w:val="17"/>
                <w:color w:val="auto"/>
              </w:rPr>
              <w:t>Fair value, beginning of year</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467.6</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506.0</w:t>
            </w:r>
          </w:p>
        </w:tc>
      </w:tr>
      <w:tr>
        <w:trPr>
          <w:trHeight w:val="242"/>
        </w:trPr>
        <w:tc>
          <w:tcPr>
            <w:tcW w:w="7640" w:type="dxa"/>
            <w:vAlign w:val="bottom"/>
          </w:tcPr>
          <w:p>
            <w:pPr>
              <w:ind w:left="160"/>
              <w:spacing w:after="0"/>
              <w:rPr>
                <w:sz w:val="20"/>
                <w:szCs w:val="20"/>
                <w:color w:val="auto"/>
              </w:rPr>
            </w:pPr>
            <w:r>
              <w:rPr>
                <w:rFonts w:ascii="Arial" w:cs="Arial" w:eastAsia="Arial" w:hAnsi="Arial"/>
                <w:sz w:val="17"/>
                <w:szCs w:val="17"/>
                <w:color w:val="auto"/>
              </w:rPr>
              <w:t>Changes in fair value</w:t>
            </w:r>
          </w:p>
        </w:tc>
        <w:tc>
          <w:tcPr>
            <w:tcW w:w="440" w:type="dxa"/>
            <w:vAlign w:val="bottom"/>
          </w:tcPr>
          <w:p>
            <w:pPr>
              <w:spacing w:after="0"/>
              <w:rPr>
                <w:sz w:val="21"/>
                <w:szCs w:val="21"/>
                <w:color w:val="auto"/>
              </w:rPr>
            </w:pPr>
          </w:p>
        </w:tc>
        <w:tc>
          <w:tcPr>
            <w:tcW w:w="1400" w:type="dxa"/>
            <w:vAlign w:val="bottom"/>
          </w:tcPr>
          <w:p>
            <w:pPr>
              <w:jc w:val="right"/>
              <w:ind w:right="20"/>
              <w:spacing w:after="0"/>
              <w:rPr>
                <w:sz w:val="20"/>
                <w:szCs w:val="20"/>
                <w:color w:val="auto"/>
              </w:rPr>
            </w:pPr>
            <w:r>
              <w:rPr>
                <w:rFonts w:ascii="Arial" w:cs="Arial" w:eastAsia="Arial" w:hAnsi="Arial"/>
                <w:sz w:val="17"/>
                <w:szCs w:val="17"/>
                <w:color w:val="2573BA"/>
              </w:rPr>
              <w:t>62.7</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14.8</w:t>
            </w:r>
          </w:p>
        </w:tc>
      </w:tr>
      <w:tr>
        <w:trPr>
          <w:trHeight w:val="263"/>
        </w:trPr>
        <w:tc>
          <w:tcPr>
            <w:tcW w:w="7640" w:type="dxa"/>
            <w:vAlign w:val="bottom"/>
          </w:tcPr>
          <w:p>
            <w:pPr>
              <w:ind w:left="160"/>
              <w:spacing w:after="0"/>
              <w:rPr>
                <w:sz w:val="20"/>
                <w:szCs w:val="20"/>
                <w:color w:val="auto"/>
              </w:rPr>
            </w:pPr>
            <w:r>
              <w:rPr>
                <w:rFonts w:ascii="Arial" w:cs="Arial" w:eastAsia="Arial" w:hAnsi="Arial"/>
                <w:sz w:val="17"/>
                <w:szCs w:val="17"/>
                <w:color w:val="auto"/>
              </w:rPr>
              <w:t>Payments and other</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(6.7)</w:t>
            </w:r>
          </w:p>
        </w:tc>
        <w:tc>
          <w:tcPr>
            <w:tcW w:w="10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(53.2)</w:t>
            </w:r>
          </w:p>
        </w:tc>
      </w:tr>
      <w:tr>
        <w:trPr>
          <w:trHeight w:val="236"/>
        </w:trPr>
        <w:tc>
          <w:tcPr>
            <w:tcW w:w="7640" w:type="dxa"/>
            <w:vAlign w:val="bottom"/>
          </w:tcPr>
          <w:p>
            <w:pPr>
              <w:ind w:left="20"/>
              <w:spacing w:after="0"/>
              <w:rPr>
                <w:sz w:val="20"/>
                <w:szCs w:val="20"/>
                <w:color w:val="auto"/>
              </w:rPr>
            </w:pPr>
            <w:r>
              <w:rPr>
                <w:rFonts w:ascii="Arial" w:cs="Arial" w:eastAsia="Arial" w:hAnsi="Arial"/>
                <w:sz w:val="17"/>
                <w:szCs w:val="17"/>
                <w:color w:val="auto"/>
              </w:rPr>
              <w:t>Fair value, end of year</w:t>
            </w:r>
          </w:p>
        </w:tc>
        <w:tc>
          <w:tcPr>
            <w:tcW w:w="440" w:type="dxa"/>
            <w:vAlign w:val="bottom"/>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tcPr>
          <w:p>
            <w:pPr>
              <w:jc w:val="right"/>
              <w:ind w:right="20"/>
              <w:spacing w:after="0"/>
              <w:rPr>
                <w:sz w:val="20"/>
                <w:szCs w:val="20"/>
                <w:color w:val="auto"/>
              </w:rPr>
            </w:pPr>
            <w:r>
              <w:rPr>
                <w:rFonts w:ascii="Arial" w:cs="Arial" w:eastAsia="Arial" w:hAnsi="Arial"/>
                <w:sz w:val="17"/>
                <w:szCs w:val="17"/>
                <w:color w:val="2573BA"/>
              </w:rPr>
              <w:t>523.6</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467.6</w:t>
            </w:r>
          </w:p>
        </w:tc>
      </w:tr>
      <w:tr>
        <w:trPr>
          <w:trHeight w:val="20"/>
        </w:trPr>
        <w:tc>
          <w:tcPr>
            <w:tcW w:w="76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4856480</wp:posOffset>
            </wp:positionH>
            <wp:positionV relativeFrom="paragraph">
              <wp:posOffset>-674370</wp:posOffset>
            </wp:positionV>
            <wp:extent cx="1162685" cy="6584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4">
                      <a:extLst>
                        <a:ext uri="{28A0092B-C50C-407E-A947-70E740481C1C}"/>
                      </a:extLst>
                    </a:blip>
                    <a:srcRect/>
                    <a:stretch>
                      <a:fillRect/>
                    </a:stretch>
                  </pic:blipFill>
                  <pic:spPr bwMode="auto">
                    <a:xfrm>
                      <a:off x="0" y="0"/>
                      <a:ext cx="1162685" cy="658495"/>
                    </a:xfrm>
                    <a:prstGeom prst="rect">
                      <a:avLst/>
                    </a:prstGeom>
                    <a:noFill/>
                  </pic:spPr>
                </pic:pic>
              </a:graphicData>
            </a:graphic>
          </wp:anchor>
        </w:drawing>
      </w:r>
    </w:p>
    <w:p>
      <w:pPr>
        <w:spacing w:after="0" w:line="133" w:lineRule="exact"/>
        <w:rPr>
          <w:sz w:val="20"/>
          <w:szCs w:val="20"/>
          <w:color w:val="auto"/>
        </w:rPr>
      </w:pPr>
    </w:p>
    <w:p>
      <w:pPr>
        <w:ind w:right="40" w:firstLine="422"/>
        <w:spacing w:after="0" w:line="253" w:lineRule="auto"/>
        <w:rPr>
          <w:sz w:val="20"/>
          <w:szCs w:val="20"/>
          <w:color w:val="auto"/>
        </w:rPr>
      </w:pPr>
      <w:r>
        <w:rPr>
          <w:rFonts w:ascii="Arial" w:cs="Arial" w:eastAsia="Arial" w:hAnsi="Arial"/>
          <w:sz w:val="17"/>
          <w:szCs w:val="17"/>
          <w:color w:val="auto"/>
        </w:rPr>
        <w:t>As of December 31, 2017 and 2016, approximately $279.0 million and $246.8 million, respectively, of the fair value of our total contingent consideration obligations was reflected as a component of other long-term liabilities in our consolidated balance sheets with the remaining balance reflected as a component of accrued expenses and other. Changes in the fair value of our contingent consideration obligations are primarily due to changes in the expected timing and probabilities of success related to the achievement of certain developmental milestones and changes in the discount rate. Payments and other for 2016 includes $7.9 million of a Convergence milestone converted to a short-term obligation under the acquisition agreement.</w:t>
      </w:r>
    </w:p>
    <w:p>
      <w:pPr>
        <w:spacing w:after="0" w:line="147" w:lineRule="exact"/>
        <w:rPr>
          <w:sz w:val="20"/>
          <w:szCs w:val="20"/>
          <w:color w:val="auto"/>
        </w:rPr>
      </w:pPr>
    </w:p>
    <w:p>
      <w:pPr>
        <w:ind w:right="140" w:firstLine="410"/>
        <w:spacing w:after="0" w:line="254" w:lineRule="auto"/>
        <w:rPr>
          <w:sz w:val="20"/>
          <w:szCs w:val="20"/>
          <w:color w:val="auto"/>
        </w:rPr>
      </w:pPr>
      <w:r>
        <w:rPr>
          <w:rFonts w:ascii="Arial" w:cs="Arial" w:eastAsia="Arial" w:hAnsi="Arial"/>
          <w:sz w:val="17"/>
          <w:szCs w:val="17"/>
          <w:color w:val="auto"/>
        </w:rPr>
        <w:t xml:space="preserve">There were no changes in valuation techniques or transfers between fair value measurement levels during the years ended December 31, 2017 and 2016. The fair values of the intangible assets and contingent consideration liabilities were based on a probability-adjusted discounted cash flow calculation using Level 3 fair value measurements and inputs including estimated revenues and probabilities of success. For additional information on the valuation techniques and inputs utilized in the valuation of our financial assets and liabilities, please read Note 1, </w:t>
      </w:r>
      <w:r>
        <w:rPr>
          <w:rFonts w:ascii="Arial" w:cs="Arial" w:eastAsia="Arial" w:hAnsi="Arial"/>
          <w:sz w:val="17"/>
          <w:szCs w:val="17"/>
          <w:i w:val="1"/>
          <w:iCs w:val="1"/>
          <w:color w:val="auto"/>
        </w:rPr>
        <w:t>Summary of Significant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Policies, </w:t>
      </w:r>
      <w:r>
        <w:rPr>
          <w:rFonts w:ascii="Arial" w:cs="Arial" w:eastAsia="Arial" w:hAnsi="Arial"/>
          <w:sz w:val="17"/>
          <w:szCs w:val="17"/>
          <w:color w:val="auto"/>
        </w:rPr>
        <w:t>to these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F- 32</w:t>
      </w:r>
    </w:p>
    <w:p>
      <w:pPr>
        <w:sectPr>
          <w:pgSz w:w="11900" w:h="16838" w:orient="portrait"/>
          <w:cols w:equalWidth="0" w:num="1">
            <w:col w:w="11420"/>
          </w:cols>
          <w:pgMar w:left="240" w:top="139" w:right="239" w:bottom="1440" w:gutter="0" w:footer="0" w:header="0"/>
        </w:sectPr>
      </w:pPr>
    </w:p>
    <w:bookmarkStart w:id="134" w:name="page135"/>
    <w:bookmarkEnd w:id="1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Convergence</w:t>
      </w:r>
    </w:p>
    <w:p>
      <w:pPr>
        <w:spacing w:after="0" w:line="181" w:lineRule="exact"/>
        <w:rPr>
          <w:sz w:val="20"/>
          <w:szCs w:val="20"/>
          <w:color w:val="auto"/>
        </w:rPr>
      </w:pPr>
    </w:p>
    <w:p>
      <w:pPr>
        <w:ind w:right="160" w:firstLine="410"/>
        <w:spacing w:after="0" w:line="254" w:lineRule="auto"/>
        <w:rPr>
          <w:sz w:val="20"/>
          <w:szCs w:val="20"/>
          <w:color w:val="auto"/>
        </w:rPr>
      </w:pPr>
      <w:r>
        <w:rPr>
          <w:rFonts w:ascii="Arial" w:cs="Arial" w:eastAsia="Arial" w:hAnsi="Arial"/>
          <w:sz w:val="17"/>
          <w:szCs w:val="17"/>
          <w:color w:val="auto"/>
        </w:rPr>
        <w:t xml:space="preserve">In connection with our acquisition of Convergence in February 2015 we recorded a contingent consideration obligation of $274.5 million. This valuation was based on probability weighted net cash outflow projections of $450.0 million, discounted using a rate of 2.0%, which was the estimated cost of debt financing for market participants. This liability reflected the revised estimate from the date of acquisition for our initial clinical development plans, resulting probabilities of success and the timing of certain milestone payments. For additional information on this transaction, please read Note 2, </w:t>
      </w:r>
      <w:r>
        <w:rPr>
          <w:rFonts w:ascii="Arial" w:cs="Arial" w:eastAsia="Arial" w:hAnsi="Arial"/>
          <w:sz w:val="17"/>
          <w:szCs w:val="17"/>
          <w:i w:val="1"/>
          <w:iCs w:val="1"/>
          <w:color w:val="auto"/>
        </w:rPr>
        <w:t>Acquisitions,</w:t>
      </w:r>
      <w:r>
        <w:rPr>
          <w:rFonts w:ascii="Arial" w:cs="Arial" w:eastAsia="Arial" w:hAnsi="Arial"/>
          <w:sz w:val="17"/>
          <w:szCs w:val="17"/>
          <w:color w:val="auto"/>
        </w:rPr>
        <w:t xml:space="preserve"> to these consolidated financial statements.</w:t>
      </w:r>
    </w:p>
    <w:p>
      <w:pPr>
        <w:spacing w:after="0" w:line="144" w:lineRule="exact"/>
        <w:rPr>
          <w:sz w:val="20"/>
          <w:szCs w:val="20"/>
          <w:color w:val="auto"/>
        </w:rPr>
      </w:pPr>
    </w:p>
    <w:p>
      <w:pPr>
        <w:jc w:val="both"/>
        <w:ind w:right="120" w:firstLine="410"/>
        <w:spacing w:after="0" w:line="257" w:lineRule="auto"/>
        <w:rPr>
          <w:sz w:val="20"/>
          <w:szCs w:val="20"/>
          <w:color w:val="auto"/>
        </w:rPr>
      </w:pPr>
      <w:r>
        <w:rPr>
          <w:rFonts w:ascii="Arial" w:cs="Arial" w:eastAsia="Arial" w:hAnsi="Arial"/>
          <w:sz w:val="17"/>
          <w:szCs w:val="17"/>
          <w:color w:val="auto"/>
        </w:rPr>
        <w:t>As of December 31, 2017 and 2016, the fair value of this contingent consideration obligation was $259.0 million and $258.9 million, respectively. Our most recent valuation was determined based upon net cash flow projections of $400.0 million, probability weighted and discounted using a rate of 2.4%, which is a measure of the credit risk associated with settling the liability.</w:t>
      </w:r>
    </w:p>
    <w:p>
      <w:pPr>
        <w:spacing w:after="0" w:line="140" w:lineRule="exact"/>
        <w:rPr>
          <w:sz w:val="20"/>
          <w:szCs w:val="20"/>
          <w:color w:val="auto"/>
        </w:rPr>
      </w:pPr>
    </w:p>
    <w:p>
      <w:pPr>
        <w:ind w:right="60" w:firstLine="410"/>
        <w:spacing w:after="0" w:line="257" w:lineRule="auto"/>
        <w:rPr>
          <w:sz w:val="20"/>
          <w:szCs w:val="20"/>
          <w:color w:val="auto"/>
        </w:rPr>
      </w:pPr>
      <w:r>
        <w:rPr>
          <w:rFonts w:ascii="Arial" w:cs="Arial" w:eastAsia="Arial" w:hAnsi="Arial"/>
          <w:sz w:val="17"/>
          <w:szCs w:val="17"/>
          <w:color w:val="auto"/>
        </w:rPr>
        <w:t>For 2017 compared to 2016, the net increase in the fair value of this obligation was primarily due to changes in the discount rate, partially offset by changes in the expected timing related to the achievement of certain remaining developmental milestones. Approximately $147.9 million is reflected as a component of accrued expenses and other in our consolidated balance sheets as we expect to make the payment within one year.</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Stromedix Inc.</w:t>
      </w:r>
    </w:p>
    <w:p>
      <w:pPr>
        <w:spacing w:after="0" w:line="181" w:lineRule="exact"/>
        <w:rPr>
          <w:sz w:val="20"/>
          <w:szCs w:val="20"/>
          <w:color w:val="auto"/>
        </w:rPr>
      </w:pPr>
    </w:p>
    <w:p>
      <w:pPr>
        <w:ind w:right="160" w:firstLine="410"/>
        <w:spacing w:after="0" w:line="255" w:lineRule="auto"/>
        <w:rPr>
          <w:sz w:val="20"/>
          <w:szCs w:val="20"/>
          <w:color w:val="auto"/>
        </w:rPr>
      </w:pPr>
      <w:r>
        <w:rPr>
          <w:rFonts w:ascii="Arial" w:cs="Arial" w:eastAsia="Arial" w:hAnsi="Arial"/>
          <w:sz w:val="17"/>
          <w:szCs w:val="17"/>
          <w:color w:val="auto"/>
        </w:rPr>
        <w:t>In connection with our acquisition of Stromedix in March 2012 we recorded a contingent consideration obligation of $122.2 million. As of December 31, 2017 and 2016, the fair value of this contingent consideration obligation was $162.4 million and $133.2 million, respectively. Our most recent valuation was determined based upon net cash outflow projections of $344.0 million, probability weighted and discounted using a rate of 2.4%, which is a measure of the credit risk associated with settling the liability.</w:t>
      </w:r>
    </w:p>
    <w:p>
      <w:pPr>
        <w:spacing w:after="0" w:line="143" w:lineRule="exact"/>
        <w:rPr>
          <w:sz w:val="20"/>
          <w:szCs w:val="20"/>
          <w:color w:val="auto"/>
        </w:rPr>
      </w:pPr>
    </w:p>
    <w:p>
      <w:pPr>
        <w:ind w:right="100" w:firstLine="410"/>
        <w:spacing w:after="0" w:line="257" w:lineRule="auto"/>
        <w:rPr>
          <w:sz w:val="20"/>
          <w:szCs w:val="20"/>
          <w:color w:val="auto"/>
        </w:rPr>
      </w:pPr>
      <w:r>
        <w:rPr>
          <w:rFonts w:ascii="Arial" w:cs="Arial" w:eastAsia="Arial" w:hAnsi="Arial"/>
          <w:sz w:val="17"/>
          <w:szCs w:val="17"/>
          <w:color w:val="auto"/>
        </w:rPr>
        <w:t>For 2017 compared to 2016, the net increase in the fair value of this obligation was primarily due to an increase in the probability of success related to the achievement of certain remaining developmental milestones, partially offset by changes in the discount rate. Approximately $76.7 million is reflected as a component of accrued expenses and other in our consolidated balance sheets as we expect to make the payment within one year.</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Biogen Idec International Neuroscience GmbH</w:t>
      </w:r>
    </w:p>
    <w:p>
      <w:pPr>
        <w:spacing w:after="0" w:line="181" w:lineRule="exact"/>
        <w:rPr>
          <w:sz w:val="20"/>
          <w:szCs w:val="20"/>
          <w:color w:val="auto"/>
        </w:rPr>
      </w:pPr>
    </w:p>
    <w:p>
      <w:pPr>
        <w:ind w:right="160" w:firstLine="410"/>
        <w:spacing w:after="0" w:line="255" w:lineRule="auto"/>
        <w:rPr>
          <w:sz w:val="20"/>
          <w:szCs w:val="20"/>
          <w:color w:val="auto"/>
        </w:rPr>
      </w:pPr>
      <w:r>
        <w:rPr>
          <w:rFonts w:ascii="Arial" w:cs="Arial" w:eastAsia="Arial" w:hAnsi="Arial"/>
          <w:sz w:val="17"/>
          <w:szCs w:val="17"/>
          <w:color w:val="auto"/>
        </w:rPr>
        <w:t>In connection with our acquisition of BIN in December 2010 we recorded a contingent consideration obligation of $81.2 million. As of December 31, 2017 and 2016, the fair value of this contingent consideration obligation was $102.2 million and $75.5 million, respectively. Our most recent valuation was determined based upon net cash outflow projections of $355.0 million, probability weighted and discounted using a rate of 2.8%, which is a measure of the credit risk associated with settling the liability.</w:t>
      </w:r>
    </w:p>
    <w:p>
      <w:pPr>
        <w:spacing w:after="0" w:line="143" w:lineRule="exact"/>
        <w:rPr>
          <w:sz w:val="20"/>
          <w:szCs w:val="20"/>
          <w:color w:val="auto"/>
        </w:rPr>
      </w:pPr>
    </w:p>
    <w:p>
      <w:pPr>
        <w:ind w:right="460" w:firstLine="410"/>
        <w:spacing w:after="0" w:line="255" w:lineRule="auto"/>
        <w:rPr>
          <w:sz w:val="20"/>
          <w:szCs w:val="20"/>
          <w:color w:val="auto"/>
        </w:rPr>
      </w:pPr>
      <w:r>
        <w:rPr>
          <w:rFonts w:ascii="Arial" w:cs="Arial" w:eastAsia="Arial" w:hAnsi="Arial"/>
          <w:sz w:val="17"/>
          <w:szCs w:val="17"/>
          <w:color w:val="auto"/>
        </w:rPr>
        <w:t>For 2017 compared to 2016, the net increase in the fair value of this obligation was primarily due to an increase in the probability of success related to the achievement of certain remaining developmental milestones, partially offset by a $6.7 million developmental milestone payment. Approximately $20.0 million is reflected as a component of accrued expenses and other in our consolidated balance sheets as we achieved the developmental milestone of dosing our first patient in our Phase 2 SPARK study of BIIB054 in Parkinson's disease in January 2018.</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Acquired IPR&amp;D</w:t>
      </w:r>
    </w:p>
    <w:p>
      <w:pPr>
        <w:spacing w:after="0" w:line="106" w:lineRule="exact"/>
        <w:rPr>
          <w:sz w:val="20"/>
          <w:szCs w:val="20"/>
          <w:color w:val="auto"/>
        </w:rPr>
      </w:pPr>
    </w:p>
    <w:p>
      <w:pPr>
        <w:ind w:firstLine="410"/>
        <w:spacing w:after="0" w:line="254" w:lineRule="auto"/>
        <w:rPr>
          <w:sz w:val="20"/>
          <w:szCs w:val="20"/>
          <w:color w:val="auto"/>
        </w:rPr>
      </w:pPr>
      <w:r>
        <w:rPr>
          <w:rFonts w:ascii="Arial" w:cs="Arial" w:eastAsia="Arial" w:hAnsi="Arial"/>
          <w:sz w:val="17"/>
          <w:szCs w:val="17"/>
          <w:color w:val="auto"/>
        </w:rPr>
        <w:t xml:space="preserve">In connection with our acquisition of Convergence, we also allocated $424.6 million of the total purchase price to acquired IPR&amp;D, which was capitalized as an intangible asset. The amount allocated to acquired IPR&amp;D was based on significant inputs not observable in the market and thus represented a Level 3 fair value measurement. These assets will be tested for impairment annually until commercialization, after which time the IPR&amp;D will be amortized over its estimated useful life using the economic consumption method. For additional information on this transaction, please read Note 2, </w:t>
      </w:r>
      <w:r>
        <w:rPr>
          <w:rFonts w:ascii="Arial" w:cs="Arial" w:eastAsia="Arial" w:hAnsi="Arial"/>
          <w:sz w:val="17"/>
          <w:szCs w:val="17"/>
          <w:i w:val="1"/>
          <w:iCs w:val="1"/>
          <w:color w:val="auto"/>
        </w:rPr>
        <w:t>Acquisitions,</w:t>
      </w:r>
      <w:r>
        <w:rPr>
          <w:rFonts w:ascii="Arial" w:cs="Arial" w:eastAsia="Arial" w:hAnsi="Arial"/>
          <w:sz w:val="17"/>
          <w:szCs w:val="17"/>
          <w:color w:val="auto"/>
        </w:rPr>
        <w:t xml:space="preserve"> to these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F- 33</w:t>
      </w:r>
    </w:p>
    <w:p>
      <w:pPr>
        <w:sectPr>
          <w:pgSz w:w="11900" w:h="16838" w:orient="portrait"/>
          <w:cols w:equalWidth="0" w:num="1">
            <w:col w:w="11420"/>
          </w:cols>
          <w:pgMar w:left="240" w:top="139" w:right="239" w:bottom="1440" w:gutter="0" w:footer="0" w:header="0"/>
        </w:sectPr>
      </w:pPr>
    </w:p>
    <w:bookmarkStart w:id="135" w:name="page136"/>
    <w:bookmarkEnd w:id="1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2" w:lineRule="exact"/>
        <w:rPr>
          <w:sz w:val="20"/>
          <w:szCs w:val="20"/>
          <w:color w:val="auto"/>
        </w:rPr>
      </w:pPr>
    </w:p>
    <w:p>
      <w:pPr>
        <w:ind w:left="400" w:hanging="398"/>
        <w:spacing w:after="0"/>
        <w:tabs>
          <w:tab w:leader="none" w:pos="400" w:val="left"/>
        </w:tabs>
        <w:numPr>
          <w:ilvl w:val="0"/>
          <w:numId w:val="103"/>
        </w:numPr>
        <w:rPr>
          <w:rFonts w:ascii="Arial" w:cs="Arial" w:eastAsia="Arial" w:hAnsi="Arial"/>
          <w:sz w:val="20"/>
          <w:szCs w:val="20"/>
          <w:b w:val="1"/>
          <w:bCs w:val="1"/>
          <w:color w:val="578196"/>
        </w:rPr>
      </w:pPr>
      <w:r>
        <w:rPr>
          <w:rFonts w:ascii="Arial" w:cs="Arial" w:eastAsia="Arial" w:hAnsi="Arial"/>
          <w:sz w:val="20"/>
          <w:szCs w:val="20"/>
          <w:b w:val="1"/>
          <w:bCs w:val="1"/>
          <w:color w:val="578196"/>
        </w:rPr>
        <w:t>Financial Instruments</w:t>
      </w:r>
    </w:p>
    <w:p>
      <w:pPr>
        <w:spacing w:after="0" w:line="109" w:lineRule="exact"/>
        <w:rPr>
          <w:sz w:val="20"/>
          <w:szCs w:val="20"/>
          <w:color w:val="auto"/>
        </w:rPr>
      </w:pPr>
    </w:p>
    <w:p>
      <w:pPr>
        <w:ind w:right="380" w:firstLine="410"/>
        <w:spacing w:after="0" w:line="262" w:lineRule="auto"/>
        <w:rPr>
          <w:sz w:val="20"/>
          <w:szCs w:val="20"/>
          <w:color w:val="auto"/>
        </w:rPr>
      </w:pPr>
      <w:r>
        <w:rPr>
          <w:rFonts w:ascii="Arial" w:cs="Arial" w:eastAsia="Arial" w:hAnsi="Arial"/>
          <w:sz w:val="17"/>
          <w:szCs w:val="17"/>
          <w:color w:val="auto"/>
        </w:rPr>
        <w:t>The following table summarizes our financial assets with maturities of less than 90 days from the date of purchase included in cash and cash equivalents in our consolidated balance sheets: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6"/>
                <w:szCs w:val="16"/>
                <w:color w:val="auto"/>
              </w:rPr>
            </w:pPr>
          </w:p>
        </w:tc>
      </w:tr>
      <w:tr>
        <w:trPr>
          <w:trHeight w:val="249"/>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bottom w:val="single" w:sz="8" w:color="auto"/>
            </w:tcBorders>
            <w:shd w:val="clear" w:color="auto" w:fill="DDDDDD"/>
          </w:tcPr>
          <w:p>
            <w:pPr>
              <w:spacing w:after="0"/>
              <w:rPr>
                <w:sz w:val="21"/>
                <w:szCs w:val="21"/>
                <w:color w:val="auto"/>
              </w:rPr>
            </w:pPr>
          </w:p>
        </w:tc>
        <w:tc>
          <w:tcPr>
            <w:tcW w:w="1400" w:type="dxa"/>
            <w:vAlign w:val="bottom"/>
            <w:tcBorders>
              <w:bottom w:val="single" w:sz="8" w:color="auto"/>
            </w:tcBorders>
            <w:shd w:val="clear" w:color="auto" w:fill="DDDDDD"/>
          </w:tcPr>
          <w:p>
            <w:pPr>
              <w:jc w:val="right"/>
              <w:ind w:right="680"/>
              <w:spacing w:after="0"/>
              <w:rPr>
                <w:sz w:val="20"/>
                <w:szCs w:val="20"/>
                <w:color w:val="auto"/>
              </w:rPr>
            </w:pPr>
            <w:r>
              <w:rPr>
                <w:rFonts w:ascii="Arial" w:cs="Arial" w:eastAsia="Arial" w:hAnsi="Arial"/>
                <w:sz w:val="14"/>
                <w:szCs w:val="14"/>
                <w:b w:val="1"/>
                <w:bCs w:val="1"/>
                <w:color w:val="2573BA"/>
              </w:rPr>
              <w:t>2017</w:t>
            </w:r>
          </w:p>
        </w:tc>
        <w:tc>
          <w:tcPr>
            <w:tcW w:w="10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2016</w:t>
            </w:r>
          </w:p>
        </w:tc>
      </w:tr>
      <w:tr>
        <w:trPr>
          <w:trHeight w:val="228"/>
        </w:trPr>
        <w:tc>
          <w:tcPr>
            <w:tcW w:w="7640" w:type="dxa"/>
            <w:vAlign w:val="bottom"/>
          </w:tcPr>
          <w:p>
            <w:pPr>
              <w:ind w:left="20"/>
              <w:spacing w:after="0"/>
              <w:rPr>
                <w:sz w:val="20"/>
                <w:szCs w:val="20"/>
                <w:color w:val="auto"/>
              </w:rPr>
            </w:pPr>
            <w:r>
              <w:rPr>
                <w:rFonts w:ascii="Arial" w:cs="Arial" w:eastAsia="Arial" w:hAnsi="Arial"/>
                <w:sz w:val="17"/>
                <w:szCs w:val="17"/>
                <w:color w:val="auto"/>
              </w:rPr>
              <w:t>Commercial paper</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30.5</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31.0</w:t>
            </w:r>
          </w:p>
        </w:tc>
      </w:tr>
      <w:tr>
        <w:trPr>
          <w:trHeight w:val="256"/>
        </w:trPr>
        <w:tc>
          <w:tcPr>
            <w:tcW w:w="7640" w:type="dxa"/>
            <w:vAlign w:val="bottom"/>
          </w:tcPr>
          <w:p>
            <w:pPr>
              <w:ind w:left="20"/>
              <w:spacing w:after="0"/>
              <w:rPr>
                <w:sz w:val="20"/>
                <w:szCs w:val="20"/>
                <w:color w:val="auto"/>
              </w:rPr>
            </w:pPr>
            <w:r>
              <w:rPr>
                <w:rFonts w:ascii="Arial" w:cs="Arial" w:eastAsia="Arial" w:hAnsi="Arial"/>
                <w:sz w:val="17"/>
                <w:szCs w:val="17"/>
                <w:color w:val="auto"/>
              </w:rPr>
              <w:t>Overnight reverse repurchase agreements</w:t>
            </w: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3.6</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w:t>
            </w:r>
          </w:p>
        </w:tc>
      </w:tr>
      <w:tr>
        <w:trPr>
          <w:trHeight w:val="256"/>
        </w:trPr>
        <w:tc>
          <w:tcPr>
            <w:tcW w:w="7640" w:type="dxa"/>
            <w:vAlign w:val="bottom"/>
          </w:tcPr>
          <w:p>
            <w:pPr>
              <w:ind w:left="20"/>
              <w:spacing w:after="0"/>
              <w:rPr>
                <w:sz w:val="20"/>
                <w:szCs w:val="20"/>
                <w:color w:val="auto"/>
              </w:rPr>
            </w:pPr>
            <w:r>
              <w:rPr>
                <w:rFonts w:ascii="Arial" w:cs="Arial" w:eastAsia="Arial" w:hAnsi="Arial"/>
                <w:sz w:val="17"/>
                <w:szCs w:val="17"/>
                <w:color w:val="auto"/>
              </w:rPr>
              <w:t>Money market funds</w:t>
            </w: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948.0</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741.7</w:t>
            </w:r>
          </w:p>
        </w:tc>
      </w:tr>
      <w:tr>
        <w:trPr>
          <w:trHeight w:val="263"/>
        </w:trPr>
        <w:tc>
          <w:tcPr>
            <w:tcW w:w="7640" w:type="dxa"/>
            <w:vAlign w:val="bottom"/>
          </w:tcPr>
          <w:p>
            <w:pPr>
              <w:ind w:left="20"/>
              <w:spacing w:after="0"/>
              <w:rPr>
                <w:sz w:val="20"/>
                <w:szCs w:val="20"/>
                <w:color w:val="auto"/>
              </w:rPr>
            </w:pPr>
            <w:r>
              <w:rPr>
                <w:rFonts w:ascii="Arial" w:cs="Arial" w:eastAsia="Arial" w:hAnsi="Arial"/>
                <w:sz w:val="17"/>
                <w:szCs w:val="17"/>
                <w:color w:val="auto"/>
              </w:rPr>
              <w:t>Short-term debt securities</w:t>
            </w:r>
          </w:p>
        </w:tc>
        <w:tc>
          <w:tcPr>
            <w:tcW w:w="440" w:type="dxa"/>
            <w:vAlign w:val="bottom"/>
            <w:tcBorders>
              <w:bottom w:val="single" w:sz="8" w:color="auto"/>
            </w:tcBorders>
            <w:shd w:val="clear" w:color="auto" w:fill="DDDDDD"/>
          </w:tcPr>
          <w:p>
            <w:pPr>
              <w:spacing w:after="0"/>
              <w:rPr>
                <w:sz w:val="22"/>
                <w:szCs w:val="22"/>
                <w:color w:val="auto"/>
              </w:rPr>
            </w:pPr>
          </w:p>
        </w:tc>
        <w:tc>
          <w:tcPr>
            <w:tcW w:w="1400" w:type="dxa"/>
            <w:vAlign w:val="bottom"/>
            <w:tcBorders>
              <w:bottom w:val="single" w:sz="8" w:color="auto"/>
            </w:tcBorders>
            <w:shd w:val="clear" w:color="auto" w:fill="DDDDDD"/>
          </w:tcPr>
          <w:p>
            <w:pPr>
              <w:jc w:val="right"/>
              <w:ind w:right="20"/>
              <w:spacing w:after="0"/>
              <w:rPr>
                <w:sz w:val="20"/>
                <w:szCs w:val="20"/>
                <w:color w:val="auto"/>
              </w:rPr>
            </w:pPr>
            <w:r>
              <w:rPr>
                <w:rFonts w:ascii="Arial" w:cs="Arial" w:eastAsia="Arial" w:hAnsi="Arial"/>
                <w:sz w:val="17"/>
                <w:szCs w:val="17"/>
                <w:color w:val="2573BA"/>
              </w:rPr>
              <w:t>247.3</w:t>
            </w:r>
          </w:p>
        </w:tc>
        <w:tc>
          <w:tcPr>
            <w:tcW w:w="10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1,266.9</w:t>
            </w:r>
          </w:p>
        </w:tc>
      </w:tr>
      <w:tr>
        <w:trPr>
          <w:trHeight w:val="236"/>
        </w:trPr>
        <w:tc>
          <w:tcPr>
            <w:tcW w:w="7640" w:type="dxa"/>
            <w:vAlign w:val="bottom"/>
          </w:tcPr>
          <w:p>
            <w:pPr>
              <w:ind w:left="160"/>
              <w:spacing w:after="0"/>
              <w:rPr>
                <w:sz w:val="20"/>
                <w:szCs w:val="20"/>
                <w:color w:val="auto"/>
              </w:rPr>
            </w:pPr>
            <w:r>
              <w:rPr>
                <w:rFonts w:ascii="Arial" w:cs="Arial" w:eastAsia="Arial" w:hAnsi="Arial"/>
                <w:sz w:val="17"/>
                <w:szCs w:val="17"/>
                <w:color w:val="auto"/>
              </w:rPr>
              <w:t>Total</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1,229.4</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2,039.6</w:t>
            </w:r>
          </w:p>
        </w:tc>
      </w:tr>
      <w:tr>
        <w:trPr>
          <w:trHeight w:val="20"/>
        </w:trPr>
        <w:tc>
          <w:tcPr>
            <w:tcW w:w="76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right="60" w:firstLine="410"/>
        <w:spacing w:after="0" w:line="262" w:lineRule="auto"/>
        <w:rPr>
          <w:sz w:val="20"/>
          <w:szCs w:val="20"/>
          <w:color w:val="auto"/>
        </w:rPr>
      </w:pPr>
      <w:r>
        <w:rPr>
          <w:rFonts w:ascii="Arial" w:cs="Arial" w:eastAsia="Arial" w:hAnsi="Arial"/>
          <w:sz w:val="17"/>
          <w:szCs w:val="17"/>
          <w:color w:val="auto"/>
        </w:rPr>
        <w:t>The carrying values of our commercial paper, including accrued interest, overnight reverse repurchase agreements, money market funds and our short-term debt securities approximate fair value due to their short-term maturities.</w:t>
      </w:r>
    </w:p>
    <w:p>
      <w:pPr>
        <w:spacing w:after="0" w:line="13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tables summarize our marketable debt and equity securities, classified as available for sale: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Gross</w:t>
            </w:r>
          </w:p>
        </w:tc>
        <w:tc>
          <w:tcPr>
            <w:tcW w:w="28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Gross</w:t>
            </w: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jc w:val="center"/>
              <w:ind w:right="58"/>
              <w:spacing w:after="0" w:line="154"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2"/>
          </w:tcPr>
          <w:p>
            <w:pPr>
              <w:jc w:val="center"/>
              <w:ind w:right="380"/>
              <w:spacing w:after="0" w:line="154"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3"/>
                <w:szCs w:val="13"/>
                <w:color w:val="auto"/>
              </w:rPr>
            </w:pPr>
          </w:p>
        </w:tc>
        <w:tc>
          <w:tcPr>
            <w:tcW w:w="1420" w:type="dxa"/>
            <w:vAlign w:val="bottom"/>
            <w:gridSpan w:val="2"/>
          </w:tcPr>
          <w:p>
            <w:pPr>
              <w:jc w:val="center"/>
              <w:ind w:right="380"/>
              <w:spacing w:after="0" w:line="154"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3"/>
                <w:szCs w:val="13"/>
                <w:color w:val="auto"/>
              </w:rPr>
            </w:pPr>
          </w:p>
        </w:tc>
        <w:tc>
          <w:tcPr>
            <w:tcW w:w="1300" w:type="dxa"/>
            <w:vAlign w:val="bottom"/>
          </w:tcPr>
          <w:p>
            <w:pPr>
              <w:jc w:val="center"/>
              <w:ind w:right="198"/>
              <w:spacing w:after="0" w:line="154" w:lineRule="exact"/>
              <w:rPr>
                <w:sz w:val="20"/>
                <w:szCs w:val="20"/>
                <w:color w:val="auto"/>
              </w:rPr>
            </w:pPr>
            <w:r>
              <w:rPr>
                <w:rFonts w:ascii="Arial" w:cs="Arial" w:eastAsia="Arial" w:hAnsi="Arial"/>
                <w:sz w:val="14"/>
                <w:szCs w:val="14"/>
                <w:b w:val="1"/>
                <w:bCs w:val="1"/>
                <w:color w:val="auto"/>
                <w:w w:val="96"/>
              </w:rPr>
              <w:t>Amortized</w:t>
            </w:r>
          </w:p>
        </w:tc>
        <w:tc>
          <w:tcPr>
            <w:tcW w:w="0" w:type="dxa"/>
            <w:vAlign w:val="bottom"/>
          </w:tcPr>
          <w:p>
            <w:pPr>
              <w:spacing w:after="0"/>
              <w:rPr>
                <w:sz w:val="1"/>
                <w:szCs w:val="1"/>
                <w:color w:val="auto"/>
              </w:rPr>
            </w:pPr>
          </w:p>
        </w:tc>
      </w:tr>
      <w:tr>
        <w:trPr>
          <w:trHeight w:val="185"/>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2017 (In millions)</w:t>
            </w:r>
          </w:p>
        </w:tc>
        <w:tc>
          <w:tcPr>
            <w:tcW w:w="140" w:type="dxa"/>
            <w:vAlign w:val="bottom"/>
          </w:tcPr>
          <w:p>
            <w:pPr>
              <w:spacing w:after="0"/>
              <w:rPr>
                <w:sz w:val="16"/>
                <w:szCs w:val="16"/>
                <w:color w:val="auto"/>
              </w:rPr>
            </w:pPr>
          </w:p>
        </w:tc>
        <w:tc>
          <w:tcPr>
            <w:tcW w:w="148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Gains</w:t>
            </w:r>
          </w:p>
        </w:tc>
        <w:tc>
          <w:tcPr>
            <w:tcW w:w="280" w:type="dxa"/>
            <w:vAlign w:val="bottom"/>
          </w:tcPr>
          <w:p>
            <w:pPr>
              <w:spacing w:after="0"/>
              <w:rPr>
                <w:sz w:val="16"/>
                <w:szCs w:val="16"/>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Losses</w:t>
            </w:r>
          </w:p>
        </w:tc>
        <w:tc>
          <w:tcPr>
            <w:tcW w:w="280" w:type="dxa"/>
            <w:vAlign w:val="bottom"/>
          </w:tcPr>
          <w:p>
            <w:pPr>
              <w:spacing w:after="0"/>
              <w:rPr>
                <w:sz w:val="16"/>
                <w:szCs w:val="16"/>
                <w:color w:val="auto"/>
              </w:rPr>
            </w:pPr>
          </w:p>
        </w:tc>
        <w:tc>
          <w:tcPr>
            <w:tcW w:w="1300" w:type="dxa"/>
            <w:vAlign w:val="bottom"/>
          </w:tcPr>
          <w:p>
            <w:pPr>
              <w:jc w:val="center"/>
              <w:ind w:right="198"/>
              <w:spacing w:after="0"/>
              <w:rPr>
                <w:sz w:val="20"/>
                <w:szCs w:val="20"/>
                <w:color w:val="auto"/>
              </w:rPr>
            </w:pPr>
            <w:r>
              <w:rPr>
                <w:rFonts w:ascii="Arial" w:cs="Arial" w:eastAsia="Arial" w:hAnsi="Arial"/>
                <w:sz w:val="14"/>
                <w:szCs w:val="14"/>
                <w:b w:val="1"/>
                <w:bCs w:val="1"/>
                <w:color w:val="auto"/>
                <w:w w:val="96"/>
              </w:rPr>
              <w:t>Cost</w:t>
            </w:r>
          </w:p>
        </w:tc>
        <w:tc>
          <w:tcPr>
            <w:tcW w:w="0" w:type="dxa"/>
            <w:vAlign w:val="bottom"/>
          </w:tcPr>
          <w:p>
            <w:pPr>
              <w:spacing w:after="0"/>
              <w:rPr>
                <w:sz w:val="1"/>
                <w:szCs w:val="1"/>
                <w:color w:val="auto"/>
              </w:rPr>
            </w:pPr>
          </w:p>
        </w:tc>
      </w:tr>
      <w:tr>
        <w:trPr>
          <w:trHeight w:val="228"/>
        </w:trPr>
        <w:tc>
          <w:tcPr>
            <w:tcW w:w="46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Corporate debt securities</w:t>
            </w:r>
          </w:p>
        </w:tc>
        <w:tc>
          <w:tcPr>
            <w:tcW w:w="140" w:type="dxa"/>
            <w:vAlign w:val="bottom"/>
            <w:tcBorders>
              <w:top w:val="single" w:sz="8" w:color="auto"/>
            </w:tcBorders>
            <w:shd w:val="clear" w:color="auto" w:fill="DDDDDD"/>
          </w:tcPr>
          <w:p>
            <w:pPr>
              <w:spacing w:after="0"/>
              <w:rPr>
                <w:sz w:val="19"/>
                <w:szCs w:val="19"/>
                <w:color w:val="auto"/>
              </w:rPr>
            </w:pPr>
          </w:p>
        </w:tc>
        <w:tc>
          <w:tcPr>
            <w:tcW w:w="1480" w:type="dxa"/>
            <w:vAlign w:val="bottom"/>
            <w:tcBorders>
              <w:top w:val="single" w:sz="8" w:color="auto"/>
            </w:tcBorders>
            <w:shd w:val="clear" w:color="auto" w:fill="DDDDDD"/>
          </w:tcPr>
          <w:p>
            <w:pPr>
              <w:spacing w:after="0"/>
              <w:rPr>
                <w:sz w:val="19"/>
                <w:szCs w:val="19"/>
                <w:color w:val="auto"/>
              </w:rPr>
            </w:pPr>
          </w:p>
        </w:tc>
        <w:tc>
          <w:tcPr>
            <w:tcW w:w="120" w:type="dxa"/>
            <w:vAlign w:val="bottom"/>
            <w:tcBorders>
              <w:top w:val="single" w:sz="8" w:color="DDDDDD"/>
            </w:tcBorders>
            <w:shd w:val="clear" w:color="auto" w:fill="DDDDDD"/>
          </w:tcPr>
          <w:p>
            <w:pPr>
              <w:spacing w:after="0"/>
              <w:rPr>
                <w:sz w:val="19"/>
                <w:szCs w:val="19"/>
                <w:color w:val="auto"/>
              </w:rPr>
            </w:pPr>
          </w:p>
        </w:tc>
        <w:tc>
          <w:tcPr>
            <w:tcW w:w="280" w:type="dxa"/>
            <w:vAlign w:val="bottom"/>
            <w:tcBorders>
              <w:top w:val="single" w:sz="8" w:color="auto"/>
            </w:tcBorders>
            <w:shd w:val="clear" w:color="auto" w:fill="DDDDDD"/>
          </w:tcPr>
          <w:p>
            <w:pPr>
              <w:spacing w:after="0"/>
              <w:rPr>
                <w:sz w:val="19"/>
                <w:szCs w:val="19"/>
                <w:color w:val="auto"/>
              </w:rPr>
            </w:pPr>
          </w:p>
        </w:tc>
        <w:tc>
          <w:tcPr>
            <w:tcW w:w="1320" w:type="dxa"/>
            <w:vAlign w:val="bottom"/>
            <w:tcBorders>
              <w:top w:val="single" w:sz="8" w:color="auto"/>
            </w:tcBorders>
            <w:shd w:val="clear" w:color="auto" w:fill="DDDDDD"/>
          </w:tcPr>
          <w:p>
            <w:pPr>
              <w:spacing w:after="0"/>
              <w:rPr>
                <w:sz w:val="19"/>
                <w:szCs w:val="19"/>
                <w:color w:val="auto"/>
              </w:rPr>
            </w:pPr>
          </w:p>
        </w:tc>
        <w:tc>
          <w:tcPr>
            <w:tcW w:w="100" w:type="dxa"/>
            <w:vAlign w:val="bottom"/>
            <w:tcBorders>
              <w:top w:val="single" w:sz="8" w:color="DDDDDD"/>
            </w:tcBorders>
            <w:shd w:val="clear" w:color="auto" w:fill="DDDDDD"/>
          </w:tcPr>
          <w:p>
            <w:pPr>
              <w:spacing w:after="0"/>
              <w:rPr>
                <w:sz w:val="19"/>
                <w:szCs w:val="19"/>
                <w:color w:val="auto"/>
              </w:rPr>
            </w:pPr>
          </w:p>
        </w:tc>
        <w:tc>
          <w:tcPr>
            <w:tcW w:w="280" w:type="dxa"/>
            <w:vAlign w:val="bottom"/>
            <w:tcBorders>
              <w:top w:val="single" w:sz="8" w:color="auto"/>
            </w:tcBorders>
            <w:shd w:val="clear" w:color="auto" w:fill="DDDDDD"/>
          </w:tcPr>
          <w:p>
            <w:pPr>
              <w:spacing w:after="0"/>
              <w:rPr>
                <w:sz w:val="19"/>
                <w:szCs w:val="19"/>
                <w:color w:val="auto"/>
              </w:rPr>
            </w:pPr>
          </w:p>
        </w:tc>
        <w:tc>
          <w:tcPr>
            <w:tcW w:w="1300" w:type="dxa"/>
            <w:vAlign w:val="bottom"/>
            <w:tcBorders>
              <w:top w:val="single" w:sz="8" w:color="auto"/>
            </w:tcBorders>
            <w:shd w:val="clear" w:color="auto" w:fill="DDDDDD"/>
          </w:tcPr>
          <w:p>
            <w:pPr>
              <w:spacing w:after="0"/>
              <w:rPr>
                <w:sz w:val="19"/>
                <w:szCs w:val="19"/>
                <w:color w:val="auto"/>
              </w:rPr>
            </w:pPr>
          </w:p>
        </w:tc>
        <w:tc>
          <w:tcPr>
            <w:tcW w:w="120" w:type="dxa"/>
            <w:vAlign w:val="bottom"/>
            <w:tcBorders>
              <w:top w:val="single" w:sz="8" w:color="DDDDDD"/>
            </w:tcBorders>
            <w:shd w:val="clear" w:color="auto" w:fill="DDDDDD"/>
          </w:tcPr>
          <w:p>
            <w:pPr>
              <w:spacing w:after="0"/>
              <w:rPr>
                <w:sz w:val="19"/>
                <w:szCs w:val="19"/>
                <w:color w:val="auto"/>
              </w:rPr>
            </w:pPr>
          </w:p>
        </w:tc>
        <w:tc>
          <w:tcPr>
            <w:tcW w:w="280" w:type="dxa"/>
            <w:vAlign w:val="bottom"/>
            <w:tcBorders>
              <w:top w:val="single" w:sz="8" w:color="auto"/>
            </w:tcBorders>
            <w:shd w:val="clear" w:color="auto" w:fill="DDDDDD"/>
          </w:tcPr>
          <w:p>
            <w:pPr>
              <w:spacing w:after="0"/>
              <w:rPr>
                <w:sz w:val="19"/>
                <w:szCs w:val="19"/>
                <w:color w:val="auto"/>
              </w:rPr>
            </w:pPr>
          </w:p>
        </w:tc>
        <w:tc>
          <w:tcPr>
            <w:tcW w:w="1300" w:type="dxa"/>
            <w:vAlign w:val="bottom"/>
            <w:tcBorders>
              <w:top w:val="single" w:sz="8" w:color="auto"/>
            </w:tcBorders>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4680" w:type="dxa"/>
            <w:vAlign w:val="bottom"/>
          </w:tcPr>
          <w:p>
            <w:pPr>
              <w:ind w:left="160"/>
              <w:spacing w:after="0"/>
              <w:rPr>
                <w:sz w:val="20"/>
                <w:szCs w:val="20"/>
                <w:color w:val="auto"/>
              </w:rPr>
            </w:pPr>
            <w:r>
              <w:rPr>
                <w:rFonts w:ascii="Arial" w:cs="Arial" w:eastAsia="Arial" w:hAnsi="Arial"/>
                <w:sz w:val="17"/>
                <w:szCs w:val="17"/>
                <w:color w:val="auto"/>
              </w:rPr>
              <w:t>Current</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80" w:type="dxa"/>
            <w:vAlign w:val="bottom"/>
            <w:shd w:val="clear" w:color="auto" w:fill="DDDDDD"/>
          </w:tcPr>
          <w:p>
            <w:pPr>
              <w:jc w:val="right"/>
              <w:ind w:right="38"/>
              <w:spacing w:after="0"/>
              <w:rPr>
                <w:sz w:val="20"/>
                <w:szCs w:val="20"/>
                <w:color w:val="auto"/>
              </w:rPr>
            </w:pPr>
            <w:r>
              <w:rPr>
                <w:rFonts w:ascii="Arial" w:cs="Arial" w:eastAsia="Arial" w:hAnsi="Arial"/>
                <w:sz w:val="17"/>
                <w:szCs w:val="17"/>
                <w:color w:val="2573BA"/>
              </w:rPr>
              <w:t>1,039.3</w:t>
            </w:r>
          </w:p>
        </w:tc>
        <w:tc>
          <w:tcPr>
            <w:tcW w:w="400" w:type="dxa"/>
            <w:vAlign w:val="bottom"/>
            <w:gridSpan w:val="2"/>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420" w:type="dxa"/>
            <w:vAlign w:val="bottom"/>
            <w:gridSpan w:val="2"/>
            <w:shd w:val="clear" w:color="auto" w:fill="DDDDDD"/>
          </w:tcPr>
          <w:p>
            <w:pPr>
              <w:jc w:val="right"/>
              <w:ind w:right="200"/>
              <w:spacing w:after="0"/>
              <w:rPr>
                <w:sz w:val="20"/>
                <w:szCs w:val="20"/>
                <w:color w:val="auto"/>
              </w:rPr>
            </w:pPr>
            <w:r>
              <w:rPr>
                <w:rFonts w:ascii="Arial" w:cs="Arial" w:eastAsia="Arial" w:hAnsi="Arial"/>
                <w:sz w:val="17"/>
                <w:szCs w:val="17"/>
                <w:color w:val="2573BA"/>
              </w:rPr>
              <w:t>—</w:t>
            </w: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30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(0.2)</w:t>
            </w:r>
          </w:p>
        </w:tc>
        <w:tc>
          <w:tcPr>
            <w:tcW w:w="120" w:type="dxa"/>
            <w:vAlign w:val="bottom"/>
            <w:shd w:val="clear" w:color="auto" w:fill="DDDDDD"/>
          </w:tcPr>
          <w:p>
            <w:pPr>
              <w:spacing w:after="0"/>
              <w:rPr>
                <w:sz w:val="23"/>
                <w:szCs w:val="23"/>
                <w:color w:val="auto"/>
              </w:rPr>
            </w:pP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3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1,039.5</w:t>
            </w:r>
          </w:p>
        </w:tc>
        <w:tc>
          <w:tcPr>
            <w:tcW w:w="0" w:type="dxa"/>
            <w:vAlign w:val="bottom"/>
          </w:tcPr>
          <w:p>
            <w:pPr>
              <w:spacing w:after="0"/>
              <w:rPr>
                <w:sz w:val="1"/>
                <w:szCs w:val="1"/>
                <w:color w:val="auto"/>
              </w:rPr>
            </w:pPr>
          </w:p>
        </w:tc>
      </w:tr>
      <w:tr>
        <w:trPr>
          <w:trHeight w:val="256"/>
        </w:trPr>
        <w:tc>
          <w:tcPr>
            <w:tcW w:w="4680" w:type="dxa"/>
            <w:vAlign w:val="bottom"/>
          </w:tcPr>
          <w:p>
            <w:pPr>
              <w:ind w:left="160"/>
              <w:spacing w:after="0"/>
              <w:rPr>
                <w:sz w:val="20"/>
                <w:szCs w:val="20"/>
                <w:color w:val="auto"/>
              </w:rPr>
            </w:pPr>
            <w:r>
              <w:rPr>
                <w:rFonts w:ascii="Arial" w:cs="Arial" w:eastAsia="Arial" w:hAnsi="Arial"/>
                <w:sz w:val="17"/>
                <w:szCs w:val="17"/>
                <w:color w:val="auto"/>
              </w:rPr>
              <w:t>Non-current</w:t>
            </w:r>
          </w:p>
        </w:tc>
        <w:tc>
          <w:tcPr>
            <w:tcW w:w="140" w:type="dxa"/>
            <w:vAlign w:val="bottom"/>
            <w:shd w:val="clear" w:color="auto" w:fill="DDDDDD"/>
          </w:tcPr>
          <w:p>
            <w:pPr>
              <w:spacing w:after="0"/>
              <w:rPr>
                <w:sz w:val="22"/>
                <w:szCs w:val="22"/>
                <w:color w:val="auto"/>
              </w:rPr>
            </w:pPr>
          </w:p>
        </w:tc>
        <w:tc>
          <w:tcPr>
            <w:tcW w:w="1480" w:type="dxa"/>
            <w:vAlign w:val="bottom"/>
            <w:shd w:val="clear" w:color="auto" w:fill="DDDDDD"/>
          </w:tcPr>
          <w:p>
            <w:pPr>
              <w:jc w:val="right"/>
              <w:ind w:right="38"/>
              <w:spacing w:after="0"/>
              <w:rPr>
                <w:sz w:val="20"/>
                <w:szCs w:val="20"/>
                <w:color w:val="auto"/>
              </w:rPr>
            </w:pPr>
            <w:r>
              <w:rPr>
                <w:rFonts w:ascii="Arial" w:cs="Arial" w:eastAsia="Arial" w:hAnsi="Arial"/>
                <w:sz w:val="17"/>
                <w:szCs w:val="17"/>
                <w:color w:val="2573BA"/>
              </w:rPr>
              <w:t>1,570.5</w:t>
            </w:r>
          </w:p>
        </w:tc>
        <w:tc>
          <w:tcPr>
            <w:tcW w:w="12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132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0.9</w:t>
            </w:r>
          </w:p>
        </w:tc>
        <w:tc>
          <w:tcPr>
            <w:tcW w:w="10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1420" w:type="dxa"/>
            <w:vAlign w:val="bottom"/>
            <w:gridSpan w:val="2"/>
            <w:shd w:val="clear" w:color="auto" w:fill="DDDDDD"/>
          </w:tcPr>
          <w:p>
            <w:pPr>
              <w:jc w:val="right"/>
              <w:ind w:right="220"/>
              <w:spacing w:after="0"/>
              <w:rPr>
                <w:sz w:val="20"/>
                <w:szCs w:val="20"/>
                <w:color w:val="auto"/>
              </w:rPr>
            </w:pPr>
            <w:r>
              <w:rPr>
                <w:rFonts w:ascii="Arial" w:cs="Arial" w:eastAsia="Arial" w:hAnsi="Arial"/>
                <w:sz w:val="17"/>
                <w:szCs w:val="17"/>
                <w:color w:val="2573BA"/>
              </w:rPr>
              <w:t>—</w:t>
            </w:r>
          </w:p>
        </w:tc>
        <w:tc>
          <w:tcPr>
            <w:tcW w:w="280" w:type="dxa"/>
            <w:vAlign w:val="bottom"/>
            <w:shd w:val="clear" w:color="auto" w:fill="DDDDDD"/>
          </w:tcPr>
          <w:p>
            <w:pPr>
              <w:spacing w:after="0"/>
              <w:rPr>
                <w:sz w:val="22"/>
                <w:szCs w:val="22"/>
                <w:color w:val="auto"/>
              </w:rPr>
            </w:pPr>
          </w:p>
        </w:tc>
        <w:tc>
          <w:tcPr>
            <w:tcW w:w="13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1,569.6</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7"/>
                <w:szCs w:val="17"/>
                <w:color w:val="auto"/>
              </w:rPr>
              <w:t>Government securities</w:t>
            </w:r>
          </w:p>
        </w:tc>
        <w:tc>
          <w:tcPr>
            <w:tcW w:w="140" w:type="dxa"/>
            <w:vAlign w:val="bottom"/>
            <w:shd w:val="clear" w:color="auto" w:fill="DDDDDD"/>
          </w:tcPr>
          <w:p>
            <w:pPr>
              <w:spacing w:after="0"/>
              <w:rPr>
                <w:sz w:val="21"/>
                <w:szCs w:val="21"/>
                <w:color w:val="auto"/>
              </w:rPr>
            </w:pPr>
          </w:p>
        </w:tc>
        <w:tc>
          <w:tcPr>
            <w:tcW w:w="148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280" w:type="dxa"/>
            <w:vAlign w:val="bottom"/>
            <w:shd w:val="clear" w:color="auto" w:fill="DDDDDD"/>
          </w:tcPr>
          <w:p>
            <w:pPr>
              <w:spacing w:after="0"/>
              <w:rPr>
                <w:sz w:val="21"/>
                <w:szCs w:val="21"/>
                <w:color w:val="auto"/>
              </w:rPr>
            </w:pPr>
          </w:p>
        </w:tc>
        <w:tc>
          <w:tcPr>
            <w:tcW w:w="132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280" w:type="dxa"/>
            <w:vAlign w:val="bottom"/>
            <w:shd w:val="clear" w:color="auto" w:fill="DDDDDD"/>
          </w:tcPr>
          <w:p>
            <w:pPr>
              <w:spacing w:after="0"/>
              <w:rPr>
                <w:sz w:val="21"/>
                <w:szCs w:val="21"/>
                <w:color w:val="auto"/>
              </w:rPr>
            </w:pPr>
          </w:p>
        </w:tc>
        <w:tc>
          <w:tcPr>
            <w:tcW w:w="130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280" w:type="dxa"/>
            <w:vAlign w:val="bottom"/>
            <w:shd w:val="clear" w:color="auto" w:fill="DDDDDD"/>
          </w:tcPr>
          <w:p>
            <w:pPr>
              <w:spacing w:after="0"/>
              <w:rPr>
                <w:sz w:val="21"/>
                <w:szCs w:val="21"/>
                <w:color w:val="auto"/>
              </w:rPr>
            </w:pPr>
          </w:p>
        </w:tc>
        <w:tc>
          <w:tcPr>
            <w:tcW w:w="1300" w:type="dxa"/>
            <w:vAlign w:val="bottom"/>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680" w:type="dxa"/>
            <w:vAlign w:val="bottom"/>
          </w:tcPr>
          <w:p>
            <w:pPr>
              <w:ind w:left="160"/>
              <w:spacing w:after="0"/>
              <w:rPr>
                <w:sz w:val="20"/>
                <w:szCs w:val="20"/>
                <w:color w:val="auto"/>
              </w:rPr>
            </w:pPr>
            <w:r>
              <w:rPr>
                <w:rFonts w:ascii="Arial" w:cs="Arial" w:eastAsia="Arial" w:hAnsi="Arial"/>
                <w:sz w:val="17"/>
                <w:szCs w:val="17"/>
                <w:color w:val="auto"/>
              </w:rPr>
              <w:t>Current</w:t>
            </w:r>
          </w:p>
        </w:tc>
        <w:tc>
          <w:tcPr>
            <w:tcW w:w="140" w:type="dxa"/>
            <w:vAlign w:val="bottom"/>
            <w:shd w:val="clear" w:color="auto" w:fill="DDDDDD"/>
          </w:tcPr>
          <w:p>
            <w:pPr>
              <w:spacing w:after="0"/>
              <w:rPr>
                <w:sz w:val="23"/>
                <w:szCs w:val="23"/>
                <w:color w:val="auto"/>
              </w:rPr>
            </w:pPr>
          </w:p>
        </w:tc>
        <w:tc>
          <w:tcPr>
            <w:tcW w:w="1480" w:type="dxa"/>
            <w:vAlign w:val="bottom"/>
            <w:shd w:val="clear" w:color="auto" w:fill="DDDDDD"/>
          </w:tcPr>
          <w:p>
            <w:pPr>
              <w:jc w:val="right"/>
              <w:ind w:right="38"/>
              <w:spacing w:after="0"/>
              <w:rPr>
                <w:sz w:val="20"/>
                <w:szCs w:val="20"/>
                <w:color w:val="auto"/>
              </w:rPr>
            </w:pPr>
            <w:r>
              <w:rPr>
                <w:rFonts w:ascii="Arial" w:cs="Arial" w:eastAsia="Arial" w:hAnsi="Arial"/>
                <w:sz w:val="17"/>
                <w:szCs w:val="17"/>
                <w:color w:val="2573BA"/>
              </w:rPr>
              <w:t>1,075.1</w:t>
            </w:r>
          </w:p>
        </w:tc>
        <w:tc>
          <w:tcPr>
            <w:tcW w:w="120" w:type="dxa"/>
            <w:vAlign w:val="bottom"/>
            <w:shd w:val="clear" w:color="auto" w:fill="DDDDDD"/>
          </w:tcPr>
          <w:p>
            <w:pPr>
              <w:spacing w:after="0"/>
              <w:rPr>
                <w:sz w:val="23"/>
                <w:szCs w:val="23"/>
                <w:color w:val="auto"/>
              </w:rPr>
            </w:pPr>
          </w:p>
        </w:tc>
        <w:tc>
          <w:tcPr>
            <w:tcW w:w="280" w:type="dxa"/>
            <w:vAlign w:val="bottom"/>
            <w:shd w:val="clear" w:color="auto" w:fill="DDDDDD"/>
          </w:tcPr>
          <w:p>
            <w:pPr>
              <w:spacing w:after="0"/>
              <w:rPr>
                <w:sz w:val="23"/>
                <w:szCs w:val="23"/>
                <w:color w:val="auto"/>
              </w:rPr>
            </w:pPr>
          </w:p>
        </w:tc>
        <w:tc>
          <w:tcPr>
            <w:tcW w:w="132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0.1</w:t>
            </w:r>
          </w:p>
        </w:tc>
        <w:tc>
          <w:tcPr>
            <w:tcW w:w="100" w:type="dxa"/>
            <w:vAlign w:val="bottom"/>
            <w:shd w:val="clear" w:color="auto" w:fill="DDDDDD"/>
          </w:tcPr>
          <w:p>
            <w:pPr>
              <w:spacing w:after="0"/>
              <w:rPr>
                <w:sz w:val="23"/>
                <w:szCs w:val="23"/>
                <w:color w:val="auto"/>
              </w:rPr>
            </w:pPr>
          </w:p>
        </w:tc>
        <w:tc>
          <w:tcPr>
            <w:tcW w:w="280" w:type="dxa"/>
            <w:vAlign w:val="bottom"/>
            <w:shd w:val="clear" w:color="auto" w:fill="DDDDDD"/>
          </w:tcPr>
          <w:p>
            <w:pPr>
              <w:spacing w:after="0"/>
              <w:rPr>
                <w:sz w:val="23"/>
                <w:szCs w:val="23"/>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(0.7)</w:t>
            </w:r>
          </w:p>
        </w:tc>
        <w:tc>
          <w:tcPr>
            <w:tcW w:w="120" w:type="dxa"/>
            <w:vAlign w:val="bottom"/>
            <w:shd w:val="clear" w:color="auto" w:fill="DDDDDD"/>
          </w:tcPr>
          <w:p>
            <w:pPr>
              <w:spacing w:after="0"/>
              <w:rPr>
                <w:sz w:val="23"/>
                <w:szCs w:val="23"/>
                <w:color w:val="auto"/>
              </w:rPr>
            </w:pPr>
          </w:p>
        </w:tc>
        <w:tc>
          <w:tcPr>
            <w:tcW w:w="280" w:type="dxa"/>
            <w:vAlign w:val="bottom"/>
            <w:shd w:val="clear" w:color="auto" w:fill="DDDDDD"/>
          </w:tcPr>
          <w:p>
            <w:pPr>
              <w:spacing w:after="0"/>
              <w:rPr>
                <w:sz w:val="23"/>
                <w:szCs w:val="23"/>
                <w:color w:val="auto"/>
              </w:rPr>
            </w:pPr>
          </w:p>
        </w:tc>
        <w:tc>
          <w:tcPr>
            <w:tcW w:w="13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1,075.7</w:t>
            </w:r>
          </w:p>
        </w:tc>
        <w:tc>
          <w:tcPr>
            <w:tcW w:w="0" w:type="dxa"/>
            <w:vAlign w:val="bottom"/>
          </w:tcPr>
          <w:p>
            <w:pPr>
              <w:spacing w:after="0"/>
              <w:rPr>
                <w:sz w:val="1"/>
                <w:szCs w:val="1"/>
                <w:color w:val="auto"/>
              </w:rPr>
            </w:pPr>
          </w:p>
        </w:tc>
      </w:tr>
      <w:tr>
        <w:trPr>
          <w:trHeight w:val="256"/>
        </w:trPr>
        <w:tc>
          <w:tcPr>
            <w:tcW w:w="4680" w:type="dxa"/>
            <w:vAlign w:val="bottom"/>
          </w:tcPr>
          <w:p>
            <w:pPr>
              <w:ind w:left="160"/>
              <w:spacing w:after="0"/>
              <w:rPr>
                <w:sz w:val="20"/>
                <w:szCs w:val="20"/>
                <w:color w:val="auto"/>
              </w:rPr>
            </w:pPr>
            <w:r>
              <w:rPr>
                <w:rFonts w:ascii="Arial" w:cs="Arial" w:eastAsia="Arial" w:hAnsi="Arial"/>
                <w:sz w:val="17"/>
                <w:szCs w:val="17"/>
                <w:color w:val="auto"/>
              </w:rPr>
              <w:t>Non-current</w:t>
            </w:r>
          </w:p>
        </w:tc>
        <w:tc>
          <w:tcPr>
            <w:tcW w:w="140" w:type="dxa"/>
            <w:vAlign w:val="bottom"/>
            <w:shd w:val="clear" w:color="auto" w:fill="DDDDDD"/>
          </w:tcPr>
          <w:p>
            <w:pPr>
              <w:spacing w:after="0"/>
              <w:rPr>
                <w:sz w:val="22"/>
                <w:szCs w:val="22"/>
                <w:color w:val="auto"/>
              </w:rPr>
            </w:pPr>
          </w:p>
        </w:tc>
        <w:tc>
          <w:tcPr>
            <w:tcW w:w="1480" w:type="dxa"/>
            <w:vAlign w:val="bottom"/>
            <w:shd w:val="clear" w:color="auto" w:fill="DDDDDD"/>
          </w:tcPr>
          <w:p>
            <w:pPr>
              <w:jc w:val="right"/>
              <w:ind w:right="38"/>
              <w:spacing w:after="0"/>
              <w:rPr>
                <w:sz w:val="20"/>
                <w:szCs w:val="20"/>
                <w:color w:val="auto"/>
              </w:rPr>
            </w:pPr>
            <w:r>
              <w:rPr>
                <w:rFonts w:ascii="Arial" w:cs="Arial" w:eastAsia="Arial" w:hAnsi="Arial"/>
                <w:sz w:val="17"/>
                <w:szCs w:val="17"/>
                <w:color w:val="2573BA"/>
              </w:rPr>
              <w:t>844.2</w:t>
            </w:r>
          </w:p>
        </w:tc>
        <w:tc>
          <w:tcPr>
            <w:tcW w:w="12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132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0.2</w:t>
            </w:r>
          </w:p>
        </w:tc>
        <w:tc>
          <w:tcPr>
            <w:tcW w:w="10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(1.1)</w:t>
            </w:r>
          </w:p>
        </w:tc>
        <w:tc>
          <w:tcPr>
            <w:tcW w:w="12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13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845.1</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7"/>
                <w:szCs w:val="17"/>
                <w:color w:val="auto"/>
              </w:rPr>
              <w:t>Mortgage and other asset backed securities</w:t>
            </w:r>
          </w:p>
        </w:tc>
        <w:tc>
          <w:tcPr>
            <w:tcW w:w="140" w:type="dxa"/>
            <w:vAlign w:val="bottom"/>
            <w:shd w:val="clear" w:color="auto" w:fill="DDDDDD"/>
          </w:tcPr>
          <w:p>
            <w:pPr>
              <w:spacing w:after="0"/>
              <w:rPr>
                <w:sz w:val="21"/>
                <w:szCs w:val="21"/>
                <w:color w:val="auto"/>
              </w:rPr>
            </w:pPr>
          </w:p>
        </w:tc>
        <w:tc>
          <w:tcPr>
            <w:tcW w:w="148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280" w:type="dxa"/>
            <w:vAlign w:val="bottom"/>
            <w:shd w:val="clear" w:color="auto" w:fill="DDDDDD"/>
          </w:tcPr>
          <w:p>
            <w:pPr>
              <w:spacing w:after="0"/>
              <w:rPr>
                <w:sz w:val="21"/>
                <w:szCs w:val="21"/>
                <w:color w:val="auto"/>
              </w:rPr>
            </w:pPr>
          </w:p>
        </w:tc>
        <w:tc>
          <w:tcPr>
            <w:tcW w:w="132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280" w:type="dxa"/>
            <w:vAlign w:val="bottom"/>
            <w:shd w:val="clear" w:color="auto" w:fill="DDDDDD"/>
          </w:tcPr>
          <w:p>
            <w:pPr>
              <w:spacing w:after="0"/>
              <w:rPr>
                <w:sz w:val="21"/>
                <w:szCs w:val="21"/>
                <w:color w:val="auto"/>
              </w:rPr>
            </w:pPr>
          </w:p>
        </w:tc>
        <w:tc>
          <w:tcPr>
            <w:tcW w:w="130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280" w:type="dxa"/>
            <w:vAlign w:val="bottom"/>
            <w:shd w:val="clear" w:color="auto" w:fill="DDDDDD"/>
          </w:tcPr>
          <w:p>
            <w:pPr>
              <w:spacing w:after="0"/>
              <w:rPr>
                <w:sz w:val="21"/>
                <w:szCs w:val="21"/>
                <w:color w:val="auto"/>
              </w:rPr>
            </w:pPr>
          </w:p>
        </w:tc>
        <w:tc>
          <w:tcPr>
            <w:tcW w:w="1300" w:type="dxa"/>
            <w:vAlign w:val="bottom"/>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680" w:type="dxa"/>
            <w:vAlign w:val="bottom"/>
          </w:tcPr>
          <w:p>
            <w:pPr>
              <w:ind w:left="160"/>
              <w:spacing w:after="0"/>
              <w:rPr>
                <w:sz w:val="20"/>
                <w:szCs w:val="20"/>
                <w:color w:val="auto"/>
              </w:rPr>
            </w:pPr>
            <w:r>
              <w:rPr>
                <w:rFonts w:ascii="Arial" w:cs="Arial" w:eastAsia="Arial" w:hAnsi="Arial"/>
                <w:sz w:val="17"/>
                <w:szCs w:val="17"/>
                <w:color w:val="auto"/>
              </w:rPr>
              <w:t>Current</w:t>
            </w:r>
          </w:p>
        </w:tc>
        <w:tc>
          <w:tcPr>
            <w:tcW w:w="140" w:type="dxa"/>
            <w:vAlign w:val="bottom"/>
            <w:shd w:val="clear" w:color="auto" w:fill="DDDDDD"/>
          </w:tcPr>
          <w:p>
            <w:pPr>
              <w:spacing w:after="0"/>
              <w:rPr>
                <w:sz w:val="23"/>
                <w:szCs w:val="23"/>
                <w:color w:val="auto"/>
              </w:rPr>
            </w:pPr>
          </w:p>
        </w:tc>
        <w:tc>
          <w:tcPr>
            <w:tcW w:w="1480" w:type="dxa"/>
            <w:vAlign w:val="bottom"/>
            <w:shd w:val="clear" w:color="auto" w:fill="DDDDDD"/>
          </w:tcPr>
          <w:p>
            <w:pPr>
              <w:jc w:val="right"/>
              <w:ind w:right="38"/>
              <w:spacing w:after="0"/>
              <w:rPr>
                <w:sz w:val="20"/>
                <w:szCs w:val="20"/>
                <w:color w:val="auto"/>
              </w:rPr>
            </w:pPr>
            <w:r>
              <w:rPr>
                <w:rFonts w:ascii="Arial" w:cs="Arial" w:eastAsia="Arial" w:hAnsi="Arial"/>
                <w:sz w:val="17"/>
                <w:szCs w:val="17"/>
                <w:color w:val="2573BA"/>
              </w:rPr>
              <w:t>0.8</w:t>
            </w:r>
          </w:p>
        </w:tc>
        <w:tc>
          <w:tcPr>
            <w:tcW w:w="120" w:type="dxa"/>
            <w:vAlign w:val="bottom"/>
            <w:shd w:val="clear" w:color="auto" w:fill="DDDDDD"/>
          </w:tcPr>
          <w:p>
            <w:pPr>
              <w:spacing w:after="0"/>
              <w:rPr>
                <w:sz w:val="23"/>
                <w:szCs w:val="23"/>
                <w:color w:val="auto"/>
              </w:rPr>
            </w:pPr>
          </w:p>
        </w:tc>
        <w:tc>
          <w:tcPr>
            <w:tcW w:w="280" w:type="dxa"/>
            <w:vAlign w:val="bottom"/>
            <w:shd w:val="clear" w:color="auto" w:fill="DDDDDD"/>
          </w:tcPr>
          <w:p>
            <w:pPr>
              <w:spacing w:after="0"/>
              <w:rPr>
                <w:sz w:val="23"/>
                <w:szCs w:val="23"/>
                <w:color w:val="auto"/>
              </w:rPr>
            </w:pPr>
          </w:p>
        </w:tc>
        <w:tc>
          <w:tcPr>
            <w:tcW w:w="1420" w:type="dxa"/>
            <w:vAlign w:val="bottom"/>
            <w:gridSpan w:val="2"/>
            <w:shd w:val="clear" w:color="auto" w:fill="DDDDDD"/>
          </w:tcPr>
          <w:p>
            <w:pPr>
              <w:jc w:val="right"/>
              <w:ind w:right="200"/>
              <w:spacing w:after="0"/>
              <w:rPr>
                <w:sz w:val="20"/>
                <w:szCs w:val="20"/>
                <w:color w:val="auto"/>
              </w:rPr>
            </w:pPr>
            <w:r>
              <w:rPr>
                <w:rFonts w:ascii="Arial" w:cs="Arial" w:eastAsia="Arial" w:hAnsi="Arial"/>
                <w:sz w:val="17"/>
                <w:szCs w:val="17"/>
                <w:color w:val="2573BA"/>
              </w:rPr>
              <w:t>—</w:t>
            </w:r>
          </w:p>
        </w:tc>
        <w:tc>
          <w:tcPr>
            <w:tcW w:w="280" w:type="dxa"/>
            <w:vAlign w:val="bottom"/>
            <w:shd w:val="clear" w:color="auto" w:fill="DDDDDD"/>
          </w:tcPr>
          <w:p>
            <w:pPr>
              <w:spacing w:after="0"/>
              <w:rPr>
                <w:sz w:val="23"/>
                <w:szCs w:val="23"/>
                <w:color w:val="auto"/>
              </w:rPr>
            </w:pPr>
          </w:p>
        </w:tc>
        <w:tc>
          <w:tcPr>
            <w:tcW w:w="1420" w:type="dxa"/>
            <w:vAlign w:val="bottom"/>
            <w:gridSpan w:val="2"/>
            <w:shd w:val="clear" w:color="auto" w:fill="DDDDDD"/>
          </w:tcPr>
          <w:p>
            <w:pPr>
              <w:jc w:val="right"/>
              <w:ind w:right="220"/>
              <w:spacing w:after="0"/>
              <w:rPr>
                <w:sz w:val="20"/>
                <w:szCs w:val="20"/>
                <w:color w:val="auto"/>
              </w:rPr>
            </w:pPr>
            <w:r>
              <w:rPr>
                <w:rFonts w:ascii="Arial" w:cs="Arial" w:eastAsia="Arial" w:hAnsi="Arial"/>
                <w:sz w:val="17"/>
                <w:szCs w:val="17"/>
                <w:color w:val="2573BA"/>
              </w:rPr>
              <w:t>—</w:t>
            </w:r>
          </w:p>
        </w:tc>
        <w:tc>
          <w:tcPr>
            <w:tcW w:w="280" w:type="dxa"/>
            <w:vAlign w:val="bottom"/>
            <w:shd w:val="clear" w:color="auto" w:fill="DDDDDD"/>
          </w:tcPr>
          <w:p>
            <w:pPr>
              <w:spacing w:after="0"/>
              <w:rPr>
                <w:sz w:val="23"/>
                <w:szCs w:val="23"/>
                <w:color w:val="auto"/>
              </w:rPr>
            </w:pPr>
          </w:p>
        </w:tc>
        <w:tc>
          <w:tcPr>
            <w:tcW w:w="13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0.8</w:t>
            </w:r>
          </w:p>
        </w:tc>
        <w:tc>
          <w:tcPr>
            <w:tcW w:w="0" w:type="dxa"/>
            <w:vAlign w:val="bottom"/>
          </w:tcPr>
          <w:p>
            <w:pPr>
              <w:spacing w:after="0"/>
              <w:rPr>
                <w:sz w:val="1"/>
                <w:szCs w:val="1"/>
                <w:color w:val="auto"/>
              </w:rPr>
            </w:pPr>
          </w:p>
        </w:tc>
      </w:tr>
      <w:tr>
        <w:trPr>
          <w:trHeight w:val="263"/>
        </w:trPr>
        <w:tc>
          <w:tcPr>
            <w:tcW w:w="4680" w:type="dxa"/>
            <w:vAlign w:val="bottom"/>
          </w:tcPr>
          <w:p>
            <w:pPr>
              <w:ind w:left="160"/>
              <w:spacing w:after="0"/>
              <w:rPr>
                <w:sz w:val="20"/>
                <w:szCs w:val="20"/>
                <w:color w:val="auto"/>
              </w:rPr>
            </w:pPr>
            <w:r>
              <w:rPr>
                <w:rFonts w:ascii="Arial" w:cs="Arial" w:eastAsia="Arial" w:hAnsi="Arial"/>
                <w:sz w:val="17"/>
                <w:szCs w:val="17"/>
                <w:color w:val="auto"/>
              </w:rPr>
              <w:t>Non-current</w:t>
            </w:r>
          </w:p>
        </w:tc>
        <w:tc>
          <w:tcPr>
            <w:tcW w:w="140" w:type="dxa"/>
            <w:vAlign w:val="bottom"/>
            <w:tcBorders>
              <w:bottom w:val="single" w:sz="8" w:color="auto"/>
            </w:tcBorders>
            <w:shd w:val="clear" w:color="auto" w:fill="DDDDDD"/>
          </w:tcPr>
          <w:p>
            <w:pPr>
              <w:spacing w:after="0"/>
              <w:rPr>
                <w:sz w:val="22"/>
                <w:szCs w:val="22"/>
                <w:color w:val="auto"/>
              </w:rPr>
            </w:pPr>
          </w:p>
        </w:tc>
        <w:tc>
          <w:tcPr>
            <w:tcW w:w="1480" w:type="dxa"/>
            <w:vAlign w:val="bottom"/>
            <w:tcBorders>
              <w:bottom w:val="single" w:sz="8" w:color="auto"/>
            </w:tcBorders>
            <w:shd w:val="clear" w:color="auto" w:fill="DDDDDD"/>
          </w:tcPr>
          <w:p>
            <w:pPr>
              <w:jc w:val="right"/>
              <w:ind w:right="38"/>
              <w:spacing w:after="0"/>
              <w:rPr>
                <w:sz w:val="20"/>
                <w:szCs w:val="20"/>
                <w:color w:val="auto"/>
              </w:rPr>
            </w:pPr>
            <w:r>
              <w:rPr>
                <w:rFonts w:ascii="Arial" w:cs="Arial" w:eastAsia="Arial" w:hAnsi="Arial"/>
                <w:sz w:val="17"/>
                <w:szCs w:val="17"/>
                <w:color w:val="2573BA"/>
              </w:rPr>
              <w:t>642.6</w:t>
            </w:r>
          </w:p>
        </w:tc>
        <w:tc>
          <w:tcPr>
            <w:tcW w:w="120" w:type="dxa"/>
            <w:vAlign w:val="bottom"/>
            <w:tcBorders>
              <w:bottom w:val="single" w:sz="8" w:color="DDDDDD"/>
            </w:tcBorders>
            <w:shd w:val="clear" w:color="auto" w:fill="DDDDDD"/>
          </w:tcPr>
          <w:p>
            <w:pPr>
              <w:spacing w:after="0"/>
              <w:rPr>
                <w:sz w:val="22"/>
                <w:szCs w:val="22"/>
                <w:color w:val="auto"/>
              </w:rPr>
            </w:pPr>
          </w:p>
        </w:tc>
        <w:tc>
          <w:tcPr>
            <w:tcW w:w="280" w:type="dxa"/>
            <w:vAlign w:val="bottom"/>
            <w:tcBorders>
              <w:bottom w:val="single" w:sz="8" w:color="auto"/>
            </w:tcBorders>
            <w:shd w:val="clear" w:color="auto" w:fill="DDDDDD"/>
          </w:tcPr>
          <w:p>
            <w:pPr>
              <w:spacing w:after="0"/>
              <w:rPr>
                <w:sz w:val="22"/>
                <w:szCs w:val="22"/>
                <w:color w:val="auto"/>
              </w:rPr>
            </w:pPr>
          </w:p>
        </w:tc>
        <w:tc>
          <w:tcPr>
            <w:tcW w:w="1320" w:type="dxa"/>
            <w:vAlign w:val="bottom"/>
            <w:tcBorders>
              <w:bottom w:val="single" w:sz="8" w:color="auto"/>
            </w:tcBorders>
            <w:shd w:val="clear" w:color="auto" w:fill="DDDDDD"/>
          </w:tcPr>
          <w:p>
            <w:pPr>
              <w:jc w:val="right"/>
              <w:ind w:right="19"/>
              <w:spacing w:after="0"/>
              <w:rPr>
                <w:sz w:val="20"/>
                <w:szCs w:val="20"/>
                <w:color w:val="auto"/>
              </w:rPr>
            </w:pPr>
            <w:r>
              <w:rPr>
                <w:rFonts w:ascii="Arial" w:cs="Arial" w:eastAsia="Arial" w:hAnsi="Arial"/>
                <w:sz w:val="17"/>
                <w:szCs w:val="17"/>
                <w:color w:val="2573BA"/>
              </w:rPr>
              <w:t>1.1</w:t>
            </w:r>
          </w:p>
        </w:tc>
        <w:tc>
          <w:tcPr>
            <w:tcW w:w="100" w:type="dxa"/>
            <w:vAlign w:val="bottom"/>
            <w:tcBorders>
              <w:bottom w:val="single" w:sz="8" w:color="DDDDDD"/>
            </w:tcBorders>
            <w:shd w:val="clear" w:color="auto" w:fill="DDDDDD"/>
          </w:tcPr>
          <w:p>
            <w:pPr>
              <w:spacing w:after="0"/>
              <w:rPr>
                <w:sz w:val="22"/>
                <w:szCs w:val="22"/>
                <w:color w:val="auto"/>
              </w:rPr>
            </w:pPr>
          </w:p>
        </w:tc>
        <w:tc>
          <w:tcPr>
            <w:tcW w:w="280" w:type="dxa"/>
            <w:vAlign w:val="bottom"/>
            <w:tcBorders>
              <w:bottom w:val="single" w:sz="8" w:color="auto"/>
            </w:tcBorders>
            <w:shd w:val="clear" w:color="auto" w:fill="DDDDDD"/>
          </w:tcPr>
          <w:p>
            <w:pPr>
              <w:spacing w:after="0"/>
              <w:rPr>
                <w:sz w:val="22"/>
                <w:szCs w:val="22"/>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(0.8)</w:t>
            </w:r>
          </w:p>
        </w:tc>
        <w:tc>
          <w:tcPr>
            <w:tcW w:w="120" w:type="dxa"/>
            <w:vAlign w:val="bottom"/>
            <w:tcBorders>
              <w:bottom w:val="single" w:sz="8" w:color="DDDDDD"/>
            </w:tcBorders>
            <w:shd w:val="clear" w:color="auto" w:fill="DDDDDD"/>
          </w:tcPr>
          <w:p>
            <w:pPr>
              <w:spacing w:after="0"/>
              <w:rPr>
                <w:sz w:val="22"/>
                <w:szCs w:val="22"/>
                <w:color w:val="auto"/>
              </w:rPr>
            </w:pPr>
          </w:p>
        </w:tc>
        <w:tc>
          <w:tcPr>
            <w:tcW w:w="280" w:type="dxa"/>
            <w:vAlign w:val="bottom"/>
            <w:tcBorders>
              <w:bottom w:val="single" w:sz="8" w:color="auto"/>
            </w:tcBorders>
            <w:shd w:val="clear" w:color="auto" w:fill="DDDDDD"/>
          </w:tcPr>
          <w:p>
            <w:pPr>
              <w:spacing w:after="0"/>
              <w:rPr>
                <w:sz w:val="22"/>
                <w:szCs w:val="22"/>
                <w:color w:val="auto"/>
              </w:rPr>
            </w:pPr>
          </w:p>
        </w:tc>
        <w:tc>
          <w:tcPr>
            <w:tcW w:w="1300" w:type="dxa"/>
            <w:vAlign w:val="bottom"/>
            <w:tcBorders>
              <w:bottom w:val="single" w:sz="8" w:color="auto"/>
            </w:tcBorders>
            <w:shd w:val="clear" w:color="auto" w:fill="DDDDDD"/>
          </w:tcPr>
          <w:p>
            <w:pPr>
              <w:jc w:val="right"/>
              <w:ind w:right="18"/>
              <w:spacing w:after="0"/>
              <w:rPr>
                <w:sz w:val="20"/>
                <w:szCs w:val="20"/>
                <w:color w:val="auto"/>
              </w:rPr>
            </w:pPr>
            <w:r>
              <w:rPr>
                <w:rFonts w:ascii="Arial" w:cs="Arial" w:eastAsia="Arial" w:hAnsi="Arial"/>
                <w:sz w:val="17"/>
                <w:szCs w:val="17"/>
                <w:color w:val="2573BA"/>
              </w:rPr>
              <w:t>642.3</w:t>
            </w:r>
          </w:p>
        </w:tc>
        <w:tc>
          <w:tcPr>
            <w:tcW w:w="0" w:type="dxa"/>
            <w:vAlign w:val="bottom"/>
          </w:tcPr>
          <w:p>
            <w:pPr>
              <w:spacing w:after="0"/>
              <w:rPr>
                <w:sz w:val="1"/>
                <w:szCs w:val="1"/>
                <w:color w:val="auto"/>
              </w:rPr>
            </w:pPr>
          </w:p>
        </w:tc>
      </w:tr>
      <w:tr>
        <w:trPr>
          <w:trHeight w:val="276"/>
        </w:trPr>
        <w:tc>
          <w:tcPr>
            <w:tcW w:w="4680" w:type="dxa"/>
            <w:vAlign w:val="bottom"/>
          </w:tcPr>
          <w:p>
            <w:pPr>
              <w:ind w:left="260"/>
              <w:spacing w:after="0"/>
              <w:rPr>
                <w:sz w:val="20"/>
                <w:szCs w:val="20"/>
                <w:color w:val="auto"/>
              </w:rPr>
            </w:pPr>
            <w:r>
              <w:rPr>
                <w:rFonts w:ascii="Arial" w:cs="Arial" w:eastAsia="Arial" w:hAnsi="Arial"/>
                <w:sz w:val="17"/>
                <w:szCs w:val="17"/>
                <w:color w:val="auto"/>
              </w:rPr>
              <w:t>Total marketable debt securities</w:t>
            </w:r>
          </w:p>
        </w:tc>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80" w:type="dxa"/>
            <w:vAlign w:val="bottom"/>
            <w:tcBorders>
              <w:bottom w:val="single" w:sz="8" w:color="auto"/>
            </w:tcBorders>
            <w:shd w:val="clear" w:color="auto" w:fill="DDDDDD"/>
          </w:tcPr>
          <w:p>
            <w:pPr>
              <w:jc w:val="right"/>
              <w:ind w:right="38"/>
              <w:spacing w:after="0"/>
              <w:rPr>
                <w:sz w:val="20"/>
                <w:szCs w:val="20"/>
                <w:color w:val="auto"/>
              </w:rPr>
            </w:pPr>
            <w:r>
              <w:rPr>
                <w:rFonts w:ascii="Arial" w:cs="Arial" w:eastAsia="Arial" w:hAnsi="Arial"/>
                <w:sz w:val="17"/>
                <w:szCs w:val="17"/>
                <w:color w:val="2573BA"/>
              </w:rPr>
              <w:t>5,172.5</w:t>
            </w:r>
          </w:p>
        </w:tc>
        <w:tc>
          <w:tcPr>
            <w:tcW w:w="120" w:type="dxa"/>
            <w:vAlign w:val="bottom"/>
            <w:tcBorders>
              <w:bottom w:val="single" w:sz="8" w:color="DDDDDD"/>
            </w:tcBorders>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320" w:type="dxa"/>
            <w:vAlign w:val="bottom"/>
            <w:tcBorders>
              <w:bottom w:val="single" w:sz="8" w:color="auto"/>
            </w:tcBorders>
            <w:shd w:val="clear" w:color="auto" w:fill="DDDDDD"/>
          </w:tcPr>
          <w:p>
            <w:pPr>
              <w:jc w:val="right"/>
              <w:ind w:right="19"/>
              <w:spacing w:after="0"/>
              <w:rPr>
                <w:sz w:val="20"/>
                <w:szCs w:val="20"/>
                <w:color w:val="auto"/>
              </w:rPr>
            </w:pPr>
            <w:r>
              <w:rPr>
                <w:rFonts w:ascii="Arial" w:cs="Arial" w:eastAsia="Arial" w:hAnsi="Arial"/>
                <w:sz w:val="17"/>
                <w:szCs w:val="17"/>
                <w:color w:val="2573BA"/>
              </w:rPr>
              <w:t>2.3</w:t>
            </w:r>
          </w:p>
        </w:tc>
        <w:tc>
          <w:tcPr>
            <w:tcW w:w="100" w:type="dxa"/>
            <w:vAlign w:val="bottom"/>
            <w:tcBorders>
              <w:bottom w:val="single" w:sz="8" w:color="DDDDDD"/>
            </w:tcBorders>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3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(2.8)</w:t>
            </w:r>
          </w:p>
        </w:tc>
        <w:tc>
          <w:tcPr>
            <w:tcW w:w="120" w:type="dxa"/>
            <w:vAlign w:val="bottom"/>
            <w:tcBorders>
              <w:bottom w:val="single" w:sz="8" w:color="DDDDDD"/>
            </w:tcBorders>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300" w:type="dxa"/>
            <w:vAlign w:val="bottom"/>
            <w:tcBorders>
              <w:bottom w:val="single" w:sz="8" w:color="auto"/>
            </w:tcBorders>
            <w:shd w:val="clear" w:color="auto" w:fill="DDDDDD"/>
          </w:tcPr>
          <w:p>
            <w:pPr>
              <w:jc w:val="right"/>
              <w:ind w:right="18"/>
              <w:spacing w:after="0"/>
              <w:rPr>
                <w:sz w:val="20"/>
                <w:szCs w:val="20"/>
                <w:color w:val="auto"/>
              </w:rPr>
            </w:pPr>
            <w:r>
              <w:rPr>
                <w:rFonts w:ascii="Arial" w:cs="Arial" w:eastAsia="Arial" w:hAnsi="Arial"/>
                <w:sz w:val="17"/>
                <w:szCs w:val="17"/>
                <w:color w:val="2573BA"/>
              </w:rPr>
              <w:t>5,173.0</w:t>
            </w:r>
          </w:p>
        </w:tc>
        <w:tc>
          <w:tcPr>
            <w:tcW w:w="0" w:type="dxa"/>
            <w:vAlign w:val="bottom"/>
          </w:tcPr>
          <w:p>
            <w:pPr>
              <w:spacing w:after="0"/>
              <w:rPr>
                <w:sz w:val="1"/>
                <w:szCs w:val="1"/>
                <w:color w:val="auto"/>
              </w:rPr>
            </w:pPr>
          </w:p>
        </w:tc>
      </w:tr>
      <w:tr>
        <w:trPr>
          <w:trHeight w:val="222"/>
        </w:trPr>
        <w:tc>
          <w:tcPr>
            <w:tcW w:w="4680" w:type="dxa"/>
            <w:vAlign w:val="bottom"/>
          </w:tcPr>
          <w:p>
            <w:pPr>
              <w:ind w:left="20"/>
              <w:spacing w:after="0" w:line="189" w:lineRule="exact"/>
              <w:rPr>
                <w:sz w:val="20"/>
                <w:szCs w:val="20"/>
                <w:color w:val="auto"/>
              </w:rPr>
            </w:pPr>
            <w:r>
              <w:rPr>
                <w:rFonts w:ascii="Arial" w:cs="Arial" w:eastAsia="Arial" w:hAnsi="Arial"/>
                <w:sz w:val="17"/>
                <w:szCs w:val="17"/>
                <w:color w:val="auto"/>
              </w:rPr>
              <w:t>Marketable equity securities, non-current</w:t>
            </w:r>
          </w:p>
        </w:tc>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80" w:type="dxa"/>
            <w:vAlign w:val="bottom"/>
            <w:tcBorders>
              <w:bottom w:val="single" w:sz="8" w:color="auto"/>
            </w:tcBorders>
            <w:shd w:val="clear" w:color="auto" w:fill="DDDDDD"/>
          </w:tcPr>
          <w:p>
            <w:pPr>
              <w:jc w:val="right"/>
              <w:ind w:right="38"/>
              <w:spacing w:after="0"/>
              <w:rPr>
                <w:sz w:val="20"/>
                <w:szCs w:val="20"/>
                <w:color w:val="auto"/>
              </w:rPr>
            </w:pPr>
            <w:r>
              <w:rPr>
                <w:rFonts w:ascii="Arial" w:cs="Arial" w:eastAsia="Arial" w:hAnsi="Arial"/>
                <w:sz w:val="17"/>
                <w:szCs w:val="17"/>
                <w:color w:val="2573BA"/>
              </w:rPr>
              <w:t>11.8</w:t>
            </w:r>
          </w:p>
        </w:tc>
        <w:tc>
          <w:tcPr>
            <w:tcW w:w="120" w:type="dxa"/>
            <w:vAlign w:val="bottom"/>
            <w:tcBorders>
              <w:bottom w:val="single" w:sz="8" w:color="DDDDDD"/>
            </w:tcBorders>
            <w:shd w:val="clear" w:color="auto" w:fill="DDDDDD"/>
          </w:tcPr>
          <w:p>
            <w:pPr>
              <w:spacing w:after="0"/>
              <w:rPr>
                <w:sz w:val="19"/>
                <w:szCs w:val="19"/>
                <w:color w:val="auto"/>
              </w:rPr>
            </w:pPr>
          </w:p>
        </w:tc>
        <w:tc>
          <w:tcPr>
            <w:tcW w:w="280" w:type="dxa"/>
            <w:vAlign w:val="bottom"/>
            <w:tcBorders>
              <w:bottom w:val="single" w:sz="8" w:color="auto"/>
            </w:tcBorders>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320" w:type="dxa"/>
            <w:vAlign w:val="bottom"/>
            <w:tcBorders>
              <w:bottom w:val="single" w:sz="8" w:color="auto"/>
            </w:tcBorders>
            <w:shd w:val="clear" w:color="auto" w:fill="DDDDDD"/>
          </w:tcPr>
          <w:p>
            <w:pPr>
              <w:jc w:val="right"/>
              <w:ind w:right="19"/>
              <w:spacing w:after="0"/>
              <w:rPr>
                <w:sz w:val="20"/>
                <w:szCs w:val="20"/>
                <w:color w:val="auto"/>
              </w:rPr>
            </w:pPr>
            <w:r>
              <w:rPr>
                <w:rFonts w:ascii="Arial" w:cs="Arial" w:eastAsia="Arial" w:hAnsi="Arial"/>
                <w:sz w:val="17"/>
                <w:szCs w:val="17"/>
                <w:color w:val="2573BA"/>
              </w:rPr>
              <w:t>1.8</w:t>
            </w:r>
          </w:p>
        </w:tc>
        <w:tc>
          <w:tcPr>
            <w:tcW w:w="100" w:type="dxa"/>
            <w:vAlign w:val="bottom"/>
            <w:tcBorders>
              <w:bottom w:val="single" w:sz="8" w:color="DDDDDD"/>
            </w:tcBorders>
            <w:shd w:val="clear" w:color="auto" w:fill="DDDDDD"/>
          </w:tcPr>
          <w:p>
            <w:pPr>
              <w:spacing w:after="0"/>
              <w:rPr>
                <w:sz w:val="19"/>
                <w:szCs w:val="19"/>
                <w:color w:val="auto"/>
              </w:rPr>
            </w:pPr>
          </w:p>
        </w:tc>
        <w:tc>
          <w:tcPr>
            <w:tcW w:w="280" w:type="dxa"/>
            <w:vAlign w:val="bottom"/>
            <w:tcBorders>
              <w:bottom w:val="single" w:sz="8" w:color="auto"/>
            </w:tcBorders>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3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(4.4)</w:t>
            </w:r>
          </w:p>
        </w:tc>
        <w:tc>
          <w:tcPr>
            <w:tcW w:w="120" w:type="dxa"/>
            <w:vAlign w:val="bottom"/>
            <w:tcBorders>
              <w:bottom w:val="single" w:sz="8" w:color="DDDDDD"/>
            </w:tcBorders>
            <w:shd w:val="clear" w:color="auto" w:fill="DDDDDD"/>
          </w:tcPr>
          <w:p>
            <w:pPr>
              <w:spacing w:after="0"/>
              <w:rPr>
                <w:sz w:val="19"/>
                <w:szCs w:val="19"/>
                <w:color w:val="auto"/>
              </w:rPr>
            </w:pPr>
          </w:p>
        </w:tc>
        <w:tc>
          <w:tcPr>
            <w:tcW w:w="280" w:type="dxa"/>
            <w:vAlign w:val="bottom"/>
            <w:tcBorders>
              <w:bottom w:val="single" w:sz="8" w:color="auto"/>
            </w:tcBorders>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300" w:type="dxa"/>
            <w:vAlign w:val="bottom"/>
            <w:tcBorders>
              <w:bottom w:val="single" w:sz="8" w:color="auto"/>
            </w:tcBorders>
            <w:shd w:val="clear" w:color="auto" w:fill="DDDDDD"/>
          </w:tcPr>
          <w:p>
            <w:pPr>
              <w:jc w:val="right"/>
              <w:ind w:right="18"/>
              <w:spacing w:after="0"/>
              <w:rPr>
                <w:sz w:val="20"/>
                <w:szCs w:val="20"/>
                <w:color w:val="auto"/>
              </w:rPr>
            </w:pPr>
            <w:r>
              <w:rPr>
                <w:rFonts w:ascii="Arial" w:cs="Arial" w:eastAsia="Arial" w:hAnsi="Arial"/>
                <w:sz w:val="17"/>
                <w:szCs w:val="17"/>
                <w:color w:val="2573BA"/>
              </w:rPr>
              <w:t>14.4</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4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Gross</w:t>
            </w:r>
          </w:p>
        </w:tc>
        <w:tc>
          <w:tcPr>
            <w:tcW w:w="280" w:type="dxa"/>
            <w:vAlign w:val="bottom"/>
          </w:tcPr>
          <w:p>
            <w:pPr>
              <w:spacing w:after="0"/>
              <w:rPr>
                <w:sz w:val="24"/>
                <w:szCs w:val="2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Gross</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4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jc w:val="center"/>
              <w:ind w:right="58"/>
              <w:spacing w:after="0" w:line="154"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2"/>
          </w:tcPr>
          <w:p>
            <w:pPr>
              <w:jc w:val="center"/>
              <w:ind w:right="380"/>
              <w:spacing w:after="0" w:line="154"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3"/>
                <w:szCs w:val="13"/>
                <w:color w:val="auto"/>
              </w:rPr>
            </w:pPr>
          </w:p>
        </w:tc>
        <w:tc>
          <w:tcPr>
            <w:tcW w:w="1420" w:type="dxa"/>
            <w:vAlign w:val="bottom"/>
            <w:gridSpan w:val="2"/>
          </w:tcPr>
          <w:p>
            <w:pPr>
              <w:jc w:val="center"/>
              <w:ind w:right="380"/>
              <w:spacing w:after="0" w:line="154"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3"/>
                <w:szCs w:val="13"/>
                <w:color w:val="auto"/>
              </w:rPr>
            </w:pPr>
          </w:p>
        </w:tc>
        <w:tc>
          <w:tcPr>
            <w:tcW w:w="1300" w:type="dxa"/>
            <w:vAlign w:val="bottom"/>
          </w:tcPr>
          <w:p>
            <w:pPr>
              <w:jc w:val="center"/>
              <w:ind w:right="198"/>
              <w:spacing w:after="0" w:line="154" w:lineRule="exact"/>
              <w:rPr>
                <w:sz w:val="20"/>
                <w:szCs w:val="20"/>
                <w:color w:val="auto"/>
              </w:rPr>
            </w:pPr>
            <w:r>
              <w:rPr>
                <w:rFonts w:ascii="Arial" w:cs="Arial" w:eastAsia="Arial" w:hAnsi="Arial"/>
                <w:sz w:val="14"/>
                <w:szCs w:val="14"/>
                <w:b w:val="1"/>
                <w:bCs w:val="1"/>
                <w:color w:val="auto"/>
                <w:w w:val="96"/>
              </w:rPr>
              <w:t>Amortized</w:t>
            </w:r>
          </w:p>
        </w:tc>
        <w:tc>
          <w:tcPr>
            <w:tcW w:w="0" w:type="dxa"/>
            <w:vAlign w:val="bottom"/>
          </w:tcPr>
          <w:p>
            <w:pPr>
              <w:spacing w:after="0"/>
              <w:rPr>
                <w:sz w:val="1"/>
                <w:szCs w:val="1"/>
                <w:color w:val="auto"/>
              </w:rPr>
            </w:pPr>
          </w:p>
        </w:tc>
      </w:tr>
      <w:tr>
        <w:trPr>
          <w:trHeight w:val="185"/>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2016 (In millions)</w:t>
            </w:r>
          </w:p>
        </w:tc>
        <w:tc>
          <w:tcPr>
            <w:tcW w:w="140" w:type="dxa"/>
            <w:vAlign w:val="bottom"/>
          </w:tcPr>
          <w:p>
            <w:pPr>
              <w:spacing w:after="0"/>
              <w:rPr>
                <w:sz w:val="16"/>
                <w:szCs w:val="16"/>
                <w:color w:val="auto"/>
              </w:rPr>
            </w:pPr>
          </w:p>
        </w:tc>
        <w:tc>
          <w:tcPr>
            <w:tcW w:w="148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Gains</w:t>
            </w:r>
          </w:p>
        </w:tc>
        <w:tc>
          <w:tcPr>
            <w:tcW w:w="280" w:type="dxa"/>
            <w:vAlign w:val="bottom"/>
          </w:tcPr>
          <w:p>
            <w:pPr>
              <w:spacing w:after="0"/>
              <w:rPr>
                <w:sz w:val="16"/>
                <w:szCs w:val="16"/>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Losses</w:t>
            </w:r>
          </w:p>
        </w:tc>
        <w:tc>
          <w:tcPr>
            <w:tcW w:w="280" w:type="dxa"/>
            <w:vAlign w:val="bottom"/>
          </w:tcPr>
          <w:p>
            <w:pPr>
              <w:spacing w:after="0"/>
              <w:rPr>
                <w:sz w:val="16"/>
                <w:szCs w:val="16"/>
                <w:color w:val="auto"/>
              </w:rPr>
            </w:pPr>
          </w:p>
        </w:tc>
        <w:tc>
          <w:tcPr>
            <w:tcW w:w="1300" w:type="dxa"/>
            <w:vAlign w:val="bottom"/>
          </w:tcPr>
          <w:p>
            <w:pPr>
              <w:jc w:val="center"/>
              <w:ind w:right="198"/>
              <w:spacing w:after="0"/>
              <w:rPr>
                <w:sz w:val="20"/>
                <w:szCs w:val="20"/>
                <w:color w:val="auto"/>
              </w:rPr>
            </w:pPr>
            <w:r>
              <w:rPr>
                <w:rFonts w:ascii="Arial" w:cs="Arial" w:eastAsia="Arial" w:hAnsi="Arial"/>
                <w:sz w:val="14"/>
                <w:szCs w:val="14"/>
                <w:b w:val="1"/>
                <w:bCs w:val="1"/>
                <w:color w:val="auto"/>
                <w:w w:val="96"/>
              </w:rPr>
              <w:t>Cost</w:t>
            </w:r>
          </w:p>
        </w:tc>
        <w:tc>
          <w:tcPr>
            <w:tcW w:w="0" w:type="dxa"/>
            <w:vAlign w:val="bottom"/>
          </w:tcPr>
          <w:p>
            <w:pPr>
              <w:spacing w:after="0"/>
              <w:rPr>
                <w:sz w:val="1"/>
                <w:szCs w:val="1"/>
                <w:color w:val="auto"/>
              </w:rPr>
            </w:pPr>
          </w:p>
        </w:tc>
      </w:tr>
      <w:tr>
        <w:trPr>
          <w:trHeight w:val="228"/>
        </w:trPr>
        <w:tc>
          <w:tcPr>
            <w:tcW w:w="46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Corporate debt securities</w:t>
            </w:r>
          </w:p>
        </w:tc>
        <w:tc>
          <w:tcPr>
            <w:tcW w:w="1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4680" w:type="dxa"/>
            <w:vAlign w:val="bottom"/>
          </w:tcPr>
          <w:p>
            <w:pPr>
              <w:ind w:left="160"/>
              <w:spacing w:after="0"/>
              <w:rPr>
                <w:sz w:val="20"/>
                <w:szCs w:val="20"/>
                <w:color w:val="auto"/>
              </w:rPr>
            </w:pPr>
            <w:r>
              <w:rPr>
                <w:rFonts w:ascii="Arial" w:cs="Arial" w:eastAsia="Arial" w:hAnsi="Arial"/>
                <w:sz w:val="17"/>
                <w:szCs w:val="17"/>
                <w:color w:val="auto"/>
              </w:rPr>
              <w:t>Current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480" w:type="dxa"/>
            <w:vAlign w:val="bottom"/>
          </w:tcPr>
          <w:p>
            <w:pPr>
              <w:jc w:val="right"/>
              <w:ind w:right="38"/>
              <w:spacing w:after="0"/>
              <w:rPr>
                <w:sz w:val="20"/>
                <w:szCs w:val="20"/>
                <w:color w:val="auto"/>
              </w:rPr>
            </w:pPr>
            <w:r>
              <w:rPr>
                <w:rFonts w:ascii="Arial" w:cs="Arial" w:eastAsia="Arial" w:hAnsi="Arial"/>
                <w:sz w:val="17"/>
                <w:szCs w:val="17"/>
                <w:color w:val="auto"/>
              </w:rPr>
              <w:t>1,408.6</w:t>
            </w:r>
          </w:p>
        </w:tc>
        <w:tc>
          <w:tcPr>
            <w:tcW w:w="400" w:type="dxa"/>
            <w:vAlign w:val="bottom"/>
            <w:gridSpan w:val="2"/>
          </w:tcPr>
          <w:p>
            <w:pPr>
              <w:jc w:val="right"/>
              <w:ind w:right="75"/>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9"/>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23"/>
                <w:szCs w:val="23"/>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(0.6)</w:t>
            </w:r>
          </w:p>
        </w:tc>
        <w:tc>
          <w:tcPr>
            <w:tcW w:w="120" w:type="dxa"/>
            <w:vAlign w:val="bottom"/>
          </w:tcPr>
          <w:p>
            <w:pPr>
              <w:spacing w:after="0"/>
              <w:rPr>
                <w:sz w:val="23"/>
                <w:szCs w:val="23"/>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1,409.0</w:t>
            </w:r>
          </w:p>
        </w:tc>
        <w:tc>
          <w:tcPr>
            <w:tcW w:w="0" w:type="dxa"/>
            <w:vAlign w:val="bottom"/>
          </w:tcPr>
          <w:p>
            <w:pPr>
              <w:spacing w:after="0"/>
              <w:rPr>
                <w:sz w:val="1"/>
                <w:szCs w:val="1"/>
                <w:color w:val="auto"/>
              </w:rPr>
            </w:pPr>
          </w:p>
        </w:tc>
      </w:tr>
      <w:tr>
        <w:trPr>
          <w:trHeight w:val="256"/>
        </w:trPr>
        <w:tc>
          <w:tcPr>
            <w:tcW w:w="4680" w:type="dxa"/>
            <w:vAlign w:val="bottom"/>
          </w:tcPr>
          <w:p>
            <w:pPr>
              <w:ind w:left="160"/>
              <w:spacing w:after="0"/>
              <w:rPr>
                <w:sz w:val="20"/>
                <w:szCs w:val="20"/>
                <w:color w:val="auto"/>
              </w:rPr>
            </w:pPr>
            <w:r>
              <w:rPr>
                <w:rFonts w:ascii="Arial" w:cs="Arial" w:eastAsia="Arial" w:hAnsi="Arial"/>
                <w:sz w:val="17"/>
                <w:szCs w:val="17"/>
                <w:color w:val="auto"/>
              </w:rPr>
              <w:t>Non-current</w:t>
            </w:r>
          </w:p>
        </w:tc>
        <w:tc>
          <w:tcPr>
            <w:tcW w:w="140" w:type="dxa"/>
            <w:vAlign w:val="bottom"/>
          </w:tcPr>
          <w:p>
            <w:pPr>
              <w:spacing w:after="0"/>
              <w:rPr>
                <w:sz w:val="22"/>
                <w:szCs w:val="22"/>
                <w:color w:val="auto"/>
              </w:rPr>
            </w:pPr>
          </w:p>
        </w:tc>
        <w:tc>
          <w:tcPr>
            <w:tcW w:w="1480" w:type="dxa"/>
            <w:vAlign w:val="bottom"/>
          </w:tcPr>
          <w:p>
            <w:pPr>
              <w:jc w:val="right"/>
              <w:ind w:right="38"/>
              <w:spacing w:after="0"/>
              <w:rPr>
                <w:sz w:val="20"/>
                <w:szCs w:val="20"/>
                <w:color w:val="auto"/>
              </w:rPr>
            </w:pPr>
            <w:r>
              <w:rPr>
                <w:rFonts w:ascii="Arial" w:cs="Arial" w:eastAsia="Arial" w:hAnsi="Arial"/>
                <w:sz w:val="17"/>
                <w:szCs w:val="17"/>
                <w:color w:val="auto"/>
              </w:rPr>
              <w:t>1,255.2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1,258.7</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7"/>
                <w:szCs w:val="17"/>
                <w:color w:val="auto"/>
              </w:rPr>
              <w:t>Government securities</w:t>
            </w: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680" w:type="dxa"/>
            <w:vAlign w:val="bottom"/>
          </w:tcPr>
          <w:p>
            <w:pPr>
              <w:ind w:left="160"/>
              <w:spacing w:after="0"/>
              <w:rPr>
                <w:sz w:val="20"/>
                <w:szCs w:val="20"/>
                <w:color w:val="auto"/>
              </w:rPr>
            </w:pPr>
            <w:r>
              <w:rPr>
                <w:rFonts w:ascii="Arial" w:cs="Arial" w:eastAsia="Arial" w:hAnsi="Arial"/>
                <w:sz w:val="17"/>
                <w:szCs w:val="17"/>
                <w:color w:val="auto"/>
              </w:rPr>
              <w:t>Current</w:t>
            </w:r>
          </w:p>
        </w:tc>
        <w:tc>
          <w:tcPr>
            <w:tcW w:w="140" w:type="dxa"/>
            <w:vAlign w:val="bottom"/>
          </w:tcPr>
          <w:p>
            <w:pPr>
              <w:spacing w:after="0"/>
              <w:rPr>
                <w:sz w:val="23"/>
                <w:szCs w:val="23"/>
                <w:color w:val="auto"/>
              </w:rPr>
            </w:pPr>
          </w:p>
        </w:tc>
        <w:tc>
          <w:tcPr>
            <w:tcW w:w="1480" w:type="dxa"/>
            <w:vAlign w:val="bottom"/>
          </w:tcPr>
          <w:p>
            <w:pPr>
              <w:jc w:val="right"/>
              <w:ind w:right="38"/>
              <w:spacing w:after="0"/>
              <w:rPr>
                <w:sz w:val="20"/>
                <w:szCs w:val="20"/>
                <w:color w:val="auto"/>
              </w:rPr>
            </w:pPr>
            <w:r>
              <w:rPr>
                <w:rFonts w:ascii="Arial" w:cs="Arial" w:eastAsia="Arial" w:hAnsi="Arial"/>
                <w:sz w:val="17"/>
                <w:szCs w:val="17"/>
                <w:color w:val="auto"/>
              </w:rPr>
              <w:t>1,156.0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tcPr>
          <w:p>
            <w:pPr>
              <w:jc w:val="right"/>
              <w:ind w:right="19"/>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1,156.1</w:t>
            </w:r>
          </w:p>
        </w:tc>
        <w:tc>
          <w:tcPr>
            <w:tcW w:w="0" w:type="dxa"/>
            <w:vAlign w:val="bottom"/>
          </w:tcPr>
          <w:p>
            <w:pPr>
              <w:spacing w:after="0"/>
              <w:rPr>
                <w:sz w:val="1"/>
                <w:szCs w:val="1"/>
                <w:color w:val="auto"/>
              </w:rPr>
            </w:pPr>
          </w:p>
        </w:tc>
      </w:tr>
      <w:tr>
        <w:trPr>
          <w:trHeight w:val="256"/>
        </w:trPr>
        <w:tc>
          <w:tcPr>
            <w:tcW w:w="4680" w:type="dxa"/>
            <w:vAlign w:val="bottom"/>
          </w:tcPr>
          <w:p>
            <w:pPr>
              <w:ind w:left="160"/>
              <w:spacing w:after="0"/>
              <w:rPr>
                <w:sz w:val="20"/>
                <w:szCs w:val="20"/>
                <w:color w:val="auto"/>
              </w:rPr>
            </w:pPr>
            <w:r>
              <w:rPr>
                <w:rFonts w:ascii="Arial" w:cs="Arial" w:eastAsia="Arial" w:hAnsi="Arial"/>
                <w:sz w:val="17"/>
                <w:szCs w:val="17"/>
                <w:color w:val="auto"/>
              </w:rPr>
              <w:t>Non-current</w:t>
            </w:r>
          </w:p>
        </w:tc>
        <w:tc>
          <w:tcPr>
            <w:tcW w:w="140" w:type="dxa"/>
            <w:vAlign w:val="bottom"/>
          </w:tcPr>
          <w:p>
            <w:pPr>
              <w:spacing w:after="0"/>
              <w:rPr>
                <w:sz w:val="22"/>
                <w:szCs w:val="22"/>
                <w:color w:val="auto"/>
              </w:rPr>
            </w:pPr>
          </w:p>
        </w:tc>
        <w:tc>
          <w:tcPr>
            <w:tcW w:w="1480" w:type="dxa"/>
            <w:vAlign w:val="bottom"/>
          </w:tcPr>
          <w:p>
            <w:pPr>
              <w:jc w:val="right"/>
              <w:ind w:right="38"/>
              <w:spacing w:after="0"/>
              <w:rPr>
                <w:sz w:val="20"/>
                <w:szCs w:val="20"/>
                <w:color w:val="auto"/>
              </w:rPr>
            </w:pPr>
            <w:r>
              <w:rPr>
                <w:rFonts w:ascii="Arial" w:cs="Arial" w:eastAsia="Arial" w:hAnsi="Arial"/>
                <w:sz w:val="17"/>
                <w:szCs w:val="17"/>
                <w:color w:val="auto"/>
              </w:rPr>
              <w:t>1,016.5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1,019.4</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7"/>
                <w:szCs w:val="17"/>
                <w:color w:val="auto"/>
              </w:rPr>
              <w:t>Mortgage and other asset backed securities</w:t>
            </w: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680" w:type="dxa"/>
            <w:vAlign w:val="bottom"/>
          </w:tcPr>
          <w:p>
            <w:pPr>
              <w:ind w:left="160"/>
              <w:spacing w:after="0"/>
              <w:rPr>
                <w:sz w:val="20"/>
                <w:szCs w:val="20"/>
                <w:color w:val="auto"/>
              </w:rPr>
            </w:pPr>
            <w:r>
              <w:rPr>
                <w:rFonts w:ascii="Arial" w:cs="Arial" w:eastAsia="Arial" w:hAnsi="Arial"/>
                <w:sz w:val="17"/>
                <w:szCs w:val="17"/>
                <w:color w:val="auto"/>
              </w:rPr>
              <w:t>Current</w:t>
            </w:r>
          </w:p>
        </w:tc>
        <w:tc>
          <w:tcPr>
            <w:tcW w:w="140" w:type="dxa"/>
            <w:vAlign w:val="bottom"/>
          </w:tcPr>
          <w:p>
            <w:pPr>
              <w:spacing w:after="0"/>
              <w:rPr>
                <w:sz w:val="23"/>
                <w:szCs w:val="23"/>
                <w:color w:val="auto"/>
              </w:rPr>
            </w:pPr>
          </w:p>
        </w:tc>
        <w:tc>
          <w:tcPr>
            <w:tcW w:w="1480" w:type="dxa"/>
            <w:vAlign w:val="bottom"/>
          </w:tcPr>
          <w:p>
            <w:pPr>
              <w:jc w:val="right"/>
              <w:ind w:right="38"/>
              <w:spacing w:after="0"/>
              <w:rPr>
                <w:sz w:val="20"/>
                <w:szCs w:val="20"/>
                <w:color w:val="auto"/>
              </w:rPr>
            </w:pPr>
            <w:r>
              <w:rPr>
                <w:rFonts w:ascii="Arial" w:cs="Arial" w:eastAsia="Arial" w:hAnsi="Arial"/>
                <w:sz w:val="17"/>
                <w:szCs w:val="17"/>
                <w:color w:val="auto"/>
              </w:rPr>
              <w:t>4.0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3"/>
                <w:szCs w:val="23"/>
                <w:color w:val="auto"/>
              </w:rPr>
            </w:pP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63"/>
        </w:trPr>
        <w:tc>
          <w:tcPr>
            <w:tcW w:w="4680" w:type="dxa"/>
            <w:vAlign w:val="bottom"/>
          </w:tcPr>
          <w:p>
            <w:pPr>
              <w:ind w:left="160"/>
              <w:spacing w:after="0"/>
              <w:rPr>
                <w:sz w:val="20"/>
                <w:szCs w:val="20"/>
                <w:color w:val="auto"/>
              </w:rPr>
            </w:pPr>
            <w:r>
              <w:rPr>
                <w:rFonts w:ascii="Arial" w:cs="Arial" w:eastAsia="Arial" w:hAnsi="Arial"/>
                <w:sz w:val="17"/>
                <w:szCs w:val="17"/>
                <w:color w:val="auto"/>
              </w:rPr>
              <w:t>Non-current</w:t>
            </w: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557.7</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559.1</w:t>
            </w:r>
          </w:p>
        </w:tc>
        <w:tc>
          <w:tcPr>
            <w:tcW w:w="0" w:type="dxa"/>
            <w:vAlign w:val="bottom"/>
          </w:tcPr>
          <w:p>
            <w:pPr>
              <w:spacing w:after="0"/>
              <w:rPr>
                <w:sz w:val="1"/>
                <w:szCs w:val="1"/>
                <w:color w:val="auto"/>
              </w:rPr>
            </w:pPr>
          </w:p>
        </w:tc>
      </w:tr>
      <w:tr>
        <w:trPr>
          <w:trHeight w:val="236"/>
        </w:trPr>
        <w:tc>
          <w:tcPr>
            <w:tcW w:w="4680" w:type="dxa"/>
            <w:vAlign w:val="bottom"/>
          </w:tcPr>
          <w:p>
            <w:pPr>
              <w:ind w:left="360"/>
              <w:spacing w:after="0"/>
              <w:rPr>
                <w:sz w:val="20"/>
                <w:szCs w:val="20"/>
                <w:color w:val="auto"/>
              </w:rPr>
            </w:pPr>
            <w:r>
              <w:rPr>
                <w:rFonts w:ascii="Arial" w:cs="Arial" w:eastAsia="Arial" w:hAnsi="Arial"/>
                <w:sz w:val="17"/>
                <w:szCs w:val="17"/>
                <w:color w:val="auto"/>
              </w:rPr>
              <w:t>Total marketable debt securities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5,398.0</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5,406.3</w:t>
            </w:r>
          </w:p>
        </w:tc>
        <w:tc>
          <w:tcPr>
            <w:tcW w:w="0" w:type="dxa"/>
            <w:vAlign w:val="bottom"/>
          </w:tcPr>
          <w:p>
            <w:pPr>
              <w:spacing w:after="0"/>
              <w:rPr>
                <w:sz w:val="1"/>
                <w:szCs w:val="1"/>
                <w:color w:val="auto"/>
              </w:rPr>
            </w:pPr>
          </w:p>
        </w:tc>
      </w:tr>
      <w:tr>
        <w:trPr>
          <w:trHeight w:val="20"/>
        </w:trPr>
        <w:tc>
          <w:tcPr>
            <w:tcW w:w="4680" w:type="dxa"/>
            <w:vAlign w:val="bottom"/>
            <w:vMerge w:val="restart"/>
          </w:tcPr>
          <w:p>
            <w:pPr>
              <w:ind w:left="20"/>
              <w:spacing w:after="0"/>
              <w:rPr>
                <w:sz w:val="20"/>
                <w:szCs w:val="20"/>
                <w:color w:val="auto"/>
              </w:rPr>
            </w:pPr>
            <w:r>
              <w:rPr>
                <w:rFonts w:ascii="Arial" w:cs="Arial" w:eastAsia="Arial" w:hAnsi="Arial"/>
                <w:sz w:val="17"/>
                <w:szCs w:val="17"/>
                <w:color w:val="auto"/>
              </w:rPr>
              <w:t>Marketable equity securities, non-current</w:t>
            </w: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8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480" w:type="dxa"/>
            <w:vAlign w:val="bottom"/>
          </w:tcPr>
          <w:p>
            <w:pPr>
              <w:jc w:val="right"/>
              <w:ind w:right="38"/>
              <w:spacing w:after="0"/>
              <w:rPr>
                <w:sz w:val="20"/>
                <w:szCs w:val="20"/>
                <w:color w:val="auto"/>
              </w:rPr>
            </w:pPr>
            <w:r>
              <w:rPr>
                <w:rFonts w:ascii="Arial" w:cs="Arial" w:eastAsia="Arial" w:hAnsi="Arial"/>
                <w:sz w:val="17"/>
                <w:szCs w:val="17"/>
                <w:color w:val="auto"/>
              </w:rPr>
              <w:t>24.9</w:t>
            </w:r>
          </w:p>
        </w:tc>
        <w:tc>
          <w:tcPr>
            <w:tcW w:w="400" w:type="dxa"/>
            <w:vAlign w:val="bottom"/>
            <w:gridSpan w:val="2"/>
          </w:tcPr>
          <w:p>
            <w:pPr>
              <w:jc w:val="right"/>
              <w:ind w:right="75"/>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9"/>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19"/>
                <w:szCs w:val="19"/>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(9.3)</w:t>
            </w:r>
          </w:p>
        </w:tc>
        <w:tc>
          <w:tcPr>
            <w:tcW w:w="120" w:type="dxa"/>
            <w:vAlign w:val="bottom"/>
          </w:tcPr>
          <w:p>
            <w:pPr>
              <w:spacing w:after="0"/>
              <w:rPr>
                <w:sz w:val="19"/>
                <w:szCs w:val="19"/>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33.5</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right"/>
              <w:ind w:right="298"/>
              <w:spacing w:after="0"/>
              <w:rPr>
                <w:sz w:val="20"/>
                <w:szCs w:val="20"/>
                <w:color w:val="auto"/>
              </w:rPr>
            </w:pPr>
            <w:r>
              <w:rPr>
                <w:rFonts w:ascii="Arial" w:cs="Arial" w:eastAsia="Arial" w:hAnsi="Arial"/>
                <w:sz w:val="17"/>
                <w:szCs w:val="17"/>
                <w:color w:val="auto"/>
              </w:rPr>
              <w:t>F- 34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39" w:right="259" w:bottom="1440" w:gutter="0" w:footer="0" w:header="0"/>
        </w:sectPr>
      </w:pPr>
    </w:p>
    <w:bookmarkStart w:id="136" w:name="page137"/>
    <w:bookmarkEnd w:id="1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Summary of Contractual Maturities: Available-for-Sale Securities</w:t>
      </w:r>
    </w:p>
    <w:p>
      <w:pPr>
        <w:spacing w:after="0" w:line="106" w:lineRule="exact"/>
        <w:rPr>
          <w:sz w:val="20"/>
          <w:szCs w:val="20"/>
          <w:color w:val="auto"/>
        </w:rPr>
      </w:pPr>
    </w:p>
    <w:p>
      <w:pPr>
        <w:ind w:right="540" w:firstLine="410"/>
        <w:spacing w:after="0" w:line="262" w:lineRule="auto"/>
        <w:rPr>
          <w:sz w:val="20"/>
          <w:szCs w:val="20"/>
          <w:color w:val="auto"/>
        </w:rPr>
      </w:pPr>
      <w:r>
        <w:rPr>
          <w:rFonts w:ascii="Arial" w:cs="Arial" w:eastAsia="Arial" w:hAnsi="Arial"/>
          <w:sz w:val="17"/>
          <w:szCs w:val="17"/>
          <w:color w:val="auto"/>
        </w:rPr>
        <w:t>The estimated fair value and amortized cost of our marketable debt securities available-for-sale by contractual maturity are summarized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680" w:type="dxa"/>
            <w:vAlign w:val="bottom"/>
          </w:tcPr>
          <w:p>
            <w:pPr>
              <w:spacing w:after="0"/>
              <w:rPr>
                <w:sz w:val="21"/>
                <w:szCs w:val="21"/>
                <w:color w:val="auto"/>
              </w:rPr>
            </w:pPr>
          </w:p>
        </w:tc>
        <w:tc>
          <w:tcPr>
            <w:tcW w:w="760" w:type="dxa"/>
            <w:vAlign w:val="bottom"/>
            <w:tcBorders>
              <w:bottom w:val="single" w:sz="8" w:color="auto"/>
            </w:tcBorders>
            <w:shd w:val="clear" w:color="auto" w:fill="DDDDDD"/>
          </w:tcPr>
          <w:p>
            <w:pPr>
              <w:spacing w:after="0"/>
              <w:rPr>
                <w:sz w:val="21"/>
                <w:szCs w:val="21"/>
                <w:color w:val="auto"/>
              </w:rPr>
            </w:pPr>
          </w:p>
        </w:tc>
        <w:tc>
          <w:tcPr>
            <w:tcW w:w="2580" w:type="dxa"/>
            <w:vAlign w:val="bottom"/>
            <w:tcBorders>
              <w:bottom w:val="single" w:sz="8" w:color="auto"/>
            </w:tcBorders>
            <w:gridSpan w:val="4"/>
            <w:shd w:val="clear" w:color="auto" w:fill="DDDDDD"/>
          </w:tcPr>
          <w:p>
            <w:pPr>
              <w:jc w:val="right"/>
              <w:ind w:right="780"/>
              <w:spacing w:after="0"/>
              <w:rPr>
                <w:sz w:val="20"/>
                <w:szCs w:val="20"/>
                <w:color w:val="auto"/>
              </w:rPr>
            </w:pPr>
            <w:r>
              <w:rPr>
                <w:rFonts w:ascii="Arial" w:cs="Arial" w:eastAsia="Arial" w:hAnsi="Arial"/>
                <w:sz w:val="14"/>
                <w:szCs w:val="14"/>
                <w:b w:val="1"/>
                <w:bCs w:val="1"/>
                <w:color w:val="2573BA"/>
              </w:rPr>
              <w:t>As of December 31, 2017</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00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4"/>
                <w:szCs w:val="14"/>
                <w:b w:val="1"/>
                <w:bCs w:val="1"/>
                <w:color w:val="auto"/>
              </w:rPr>
              <w:t>As of December 31, 2016</w:t>
            </w:r>
          </w:p>
        </w:tc>
      </w:tr>
      <w:tr>
        <w:trPr>
          <w:trHeight w:val="166"/>
        </w:trPr>
        <w:tc>
          <w:tcPr>
            <w:tcW w:w="4680" w:type="dxa"/>
            <w:vAlign w:val="bottom"/>
          </w:tcPr>
          <w:p>
            <w:pPr>
              <w:spacing w:after="0"/>
              <w:rPr>
                <w:sz w:val="14"/>
                <w:szCs w:val="14"/>
                <w:color w:val="auto"/>
              </w:rPr>
            </w:pPr>
          </w:p>
        </w:tc>
        <w:tc>
          <w:tcPr>
            <w:tcW w:w="16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right"/>
              <w:ind w:right="380"/>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Estimated</w:t>
            </w:r>
          </w:p>
        </w:tc>
        <w:tc>
          <w:tcPr>
            <w:tcW w:w="280" w:type="dxa"/>
            <w:vAlign w:val="bottom"/>
          </w:tcPr>
          <w:p>
            <w:pPr>
              <w:spacing w:after="0"/>
              <w:rPr>
                <w:sz w:val="14"/>
                <w:szCs w:val="14"/>
                <w:color w:val="auto"/>
              </w:rPr>
            </w:pPr>
          </w:p>
        </w:tc>
        <w:tc>
          <w:tcPr>
            <w:tcW w:w="1300" w:type="dxa"/>
            <w:vAlign w:val="bottom"/>
          </w:tcPr>
          <w:p>
            <w:pPr>
              <w:jc w:val="right"/>
              <w:ind w:right="380"/>
              <w:spacing w:after="0"/>
              <w:rPr>
                <w:sz w:val="20"/>
                <w:szCs w:val="20"/>
                <w:color w:val="auto"/>
              </w:rPr>
            </w:pPr>
            <w:r>
              <w:rPr>
                <w:rFonts w:ascii="Arial" w:cs="Arial" w:eastAsia="Arial" w:hAnsi="Arial"/>
                <w:sz w:val="14"/>
                <w:szCs w:val="14"/>
                <w:b w:val="1"/>
                <w:bCs w:val="1"/>
                <w:color w:val="auto"/>
              </w:rPr>
              <w:t>Amortized</w:t>
            </w:r>
          </w:p>
        </w:tc>
      </w:tr>
      <w:tr>
        <w:trPr>
          <w:trHeight w:val="185"/>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Fair</w:t>
            </w: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DDDDDD"/>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Cost</w:t>
            </w:r>
          </w:p>
        </w:tc>
      </w:tr>
      <w:tr>
        <w:trPr>
          <w:trHeight w:val="228"/>
        </w:trPr>
        <w:tc>
          <w:tcPr>
            <w:tcW w:w="4680" w:type="dxa"/>
            <w:vAlign w:val="bottom"/>
          </w:tcPr>
          <w:p>
            <w:pPr>
              <w:ind w:left="20"/>
              <w:spacing w:after="0"/>
              <w:rPr>
                <w:sz w:val="20"/>
                <w:szCs w:val="20"/>
                <w:color w:val="auto"/>
              </w:rPr>
            </w:pPr>
            <w:r>
              <w:rPr>
                <w:rFonts w:ascii="Arial" w:cs="Arial" w:eastAsia="Arial" w:hAnsi="Arial"/>
                <w:sz w:val="17"/>
                <w:szCs w:val="17"/>
                <w:color w:val="auto"/>
              </w:rPr>
              <w:t>Due in one year or less</w:t>
            </w:r>
          </w:p>
        </w:tc>
        <w:tc>
          <w:tcPr>
            <w:tcW w:w="760" w:type="dxa"/>
            <w:vAlign w:val="bottom"/>
            <w:shd w:val="clear" w:color="auto" w:fill="DDDDDD"/>
          </w:tcPr>
          <w:p>
            <w:pPr>
              <w:jc w:val="right"/>
              <w:ind w:right="563"/>
              <w:spacing w:after="0"/>
              <w:rPr>
                <w:sz w:val="20"/>
                <w:szCs w:val="20"/>
                <w:color w:val="auto"/>
              </w:rPr>
            </w:pPr>
            <w:r>
              <w:rPr>
                <w:rFonts w:ascii="Arial" w:cs="Arial" w:eastAsia="Arial" w:hAnsi="Arial"/>
                <w:sz w:val="17"/>
                <w:szCs w:val="17"/>
                <w:color w:val="2573BA"/>
              </w:rPr>
              <w:t>$</w:t>
            </w:r>
          </w:p>
        </w:tc>
        <w:tc>
          <w:tcPr>
            <w:tcW w:w="860" w:type="dxa"/>
            <w:vAlign w:val="bottom"/>
            <w:shd w:val="clear" w:color="auto" w:fill="DDDDDD"/>
          </w:tcPr>
          <w:p>
            <w:pPr>
              <w:jc w:val="right"/>
              <w:ind w:right="40"/>
              <w:spacing w:after="0"/>
              <w:rPr>
                <w:sz w:val="20"/>
                <w:szCs w:val="20"/>
                <w:color w:val="auto"/>
              </w:rPr>
            </w:pPr>
            <w:r>
              <w:rPr>
                <w:rFonts w:ascii="Arial" w:cs="Arial" w:eastAsia="Arial" w:hAnsi="Arial"/>
                <w:sz w:val="17"/>
                <w:szCs w:val="17"/>
                <w:color w:val="2573BA"/>
              </w:rPr>
              <w:t>2,115.2</w:t>
            </w:r>
          </w:p>
        </w:tc>
        <w:tc>
          <w:tcPr>
            <w:tcW w:w="420" w:type="dxa"/>
            <w:vAlign w:val="bottom"/>
            <w:gridSpan w:val="2"/>
            <w:shd w:val="clear" w:color="auto" w:fill="DDDDDD"/>
          </w:tcPr>
          <w:p>
            <w:pPr>
              <w:jc w:val="right"/>
              <w:ind w:right="95"/>
              <w:spacing w:after="0"/>
              <w:rPr>
                <w:sz w:val="20"/>
                <w:szCs w:val="20"/>
                <w:color w:val="auto"/>
              </w:rPr>
            </w:pPr>
            <w:r>
              <w:rPr>
                <w:rFonts w:ascii="Arial" w:cs="Arial" w:eastAsia="Arial" w:hAnsi="Arial"/>
                <w:sz w:val="17"/>
                <w:szCs w:val="17"/>
                <w:color w:val="2573BA"/>
              </w:rPr>
              <w:t>$</w:t>
            </w:r>
          </w:p>
        </w:tc>
        <w:tc>
          <w:tcPr>
            <w:tcW w:w="130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2,116.0</w:t>
            </w: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22"/>
              <w:spacing w:after="0"/>
              <w:rPr>
                <w:sz w:val="20"/>
                <w:szCs w:val="20"/>
                <w:color w:val="auto"/>
              </w:rPr>
            </w:pPr>
            <w:r>
              <w:rPr>
                <w:rFonts w:ascii="Arial" w:cs="Arial" w:eastAsia="Arial" w:hAnsi="Arial"/>
                <w:sz w:val="17"/>
                <w:szCs w:val="17"/>
                <w:color w:val="auto"/>
              </w:rPr>
              <w:t>2,568.6</w:t>
            </w:r>
          </w:p>
        </w:tc>
        <w:tc>
          <w:tcPr>
            <w:tcW w:w="120" w:type="dxa"/>
            <w:vAlign w:val="bottom"/>
          </w:tcPr>
          <w:p>
            <w:pPr>
              <w:spacing w:after="0"/>
              <w:rPr>
                <w:sz w:val="19"/>
                <w:szCs w:val="19"/>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20"/>
              <w:spacing w:after="0"/>
              <w:rPr>
                <w:sz w:val="20"/>
                <w:szCs w:val="20"/>
                <w:color w:val="auto"/>
              </w:rPr>
            </w:pPr>
            <w:r>
              <w:rPr>
                <w:rFonts w:ascii="Arial" w:cs="Arial" w:eastAsia="Arial" w:hAnsi="Arial"/>
                <w:sz w:val="17"/>
                <w:szCs w:val="17"/>
                <w:color w:val="auto"/>
              </w:rPr>
              <w:t>2,569.1</w:t>
            </w:r>
          </w:p>
        </w:tc>
      </w:tr>
      <w:tr>
        <w:trPr>
          <w:trHeight w:val="256"/>
        </w:trPr>
        <w:tc>
          <w:tcPr>
            <w:tcW w:w="4680" w:type="dxa"/>
            <w:vAlign w:val="bottom"/>
          </w:tcPr>
          <w:p>
            <w:pPr>
              <w:ind w:left="20"/>
              <w:spacing w:after="0"/>
              <w:rPr>
                <w:sz w:val="20"/>
                <w:szCs w:val="20"/>
                <w:color w:val="auto"/>
              </w:rPr>
            </w:pPr>
            <w:r>
              <w:rPr>
                <w:rFonts w:ascii="Arial" w:cs="Arial" w:eastAsia="Arial" w:hAnsi="Arial"/>
                <w:sz w:val="17"/>
                <w:szCs w:val="17"/>
                <w:color w:val="auto"/>
              </w:rPr>
              <w:t>Due after one year through five years</w:t>
            </w:r>
          </w:p>
        </w:tc>
        <w:tc>
          <w:tcPr>
            <w:tcW w:w="760" w:type="dxa"/>
            <w:vAlign w:val="bottom"/>
            <w:shd w:val="clear" w:color="auto" w:fill="DDDDDD"/>
          </w:tcPr>
          <w:p>
            <w:pPr>
              <w:spacing w:after="0"/>
              <w:rPr>
                <w:sz w:val="22"/>
                <w:szCs w:val="22"/>
                <w:color w:val="auto"/>
              </w:rPr>
            </w:pPr>
          </w:p>
        </w:tc>
        <w:tc>
          <w:tcPr>
            <w:tcW w:w="860" w:type="dxa"/>
            <w:vAlign w:val="bottom"/>
            <w:shd w:val="clear" w:color="auto" w:fill="DDDDDD"/>
          </w:tcPr>
          <w:p>
            <w:pPr>
              <w:jc w:val="right"/>
              <w:ind w:right="40"/>
              <w:spacing w:after="0"/>
              <w:rPr>
                <w:sz w:val="20"/>
                <w:szCs w:val="20"/>
                <w:color w:val="auto"/>
              </w:rPr>
            </w:pPr>
            <w:r>
              <w:rPr>
                <w:rFonts w:ascii="Arial" w:cs="Arial" w:eastAsia="Arial" w:hAnsi="Arial"/>
                <w:sz w:val="17"/>
                <w:szCs w:val="17"/>
                <w:color w:val="2573BA"/>
              </w:rPr>
              <w:t>2,730.0</w:t>
            </w:r>
          </w:p>
        </w:tc>
        <w:tc>
          <w:tcPr>
            <w:tcW w:w="120" w:type="dxa"/>
            <w:vAlign w:val="bottom"/>
            <w:shd w:val="clear" w:color="auto" w:fill="DDDDDD"/>
          </w:tcPr>
          <w:p>
            <w:pPr>
              <w:spacing w:after="0"/>
              <w:rPr>
                <w:sz w:val="22"/>
                <w:szCs w:val="22"/>
                <w:color w:val="auto"/>
              </w:rPr>
            </w:pPr>
          </w:p>
        </w:tc>
        <w:tc>
          <w:tcPr>
            <w:tcW w:w="300" w:type="dxa"/>
            <w:vAlign w:val="bottom"/>
            <w:shd w:val="clear" w:color="auto" w:fill="DDDDDD"/>
          </w:tcPr>
          <w:p>
            <w:pPr>
              <w:spacing w:after="0"/>
              <w:rPr>
                <w:sz w:val="22"/>
                <w:szCs w:val="22"/>
                <w:color w:val="auto"/>
              </w:rPr>
            </w:pPr>
          </w:p>
        </w:tc>
        <w:tc>
          <w:tcPr>
            <w:tcW w:w="130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2,730.0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ind w:right="22"/>
              <w:spacing w:after="0"/>
              <w:rPr>
                <w:sz w:val="20"/>
                <w:szCs w:val="20"/>
                <w:color w:val="auto"/>
              </w:rPr>
            </w:pPr>
            <w:r>
              <w:rPr>
                <w:rFonts w:ascii="Arial" w:cs="Arial" w:eastAsia="Arial" w:hAnsi="Arial"/>
                <w:sz w:val="17"/>
                <w:szCs w:val="17"/>
                <w:color w:val="auto"/>
              </w:rPr>
              <w:t>2,552.6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ind w:right="20"/>
              <w:spacing w:after="0"/>
              <w:rPr>
                <w:sz w:val="20"/>
                <w:szCs w:val="20"/>
                <w:color w:val="auto"/>
              </w:rPr>
            </w:pPr>
            <w:r>
              <w:rPr>
                <w:rFonts w:ascii="Arial" w:cs="Arial" w:eastAsia="Arial" w:hAnsi="Arial"/>
                <w:sz w:val="17"/>
                <w:szCs w:val="17"/>
                <w:color w:val="auto"/>
              </w:rPr>
              <w:t>2,559.7</w:t>
            </w:r>
          </w:p>
        </w:tc>
      </w:tr>
      <w:tr>
        <w:trPr>
          <w:trHeight w:val="263"/>
        </w:trPr>
        <w:tc>
          <w:tcPr>
            <w:tcW w:w="4680" w:type="dxa"/>
            <w:vAlign w:val="bottom"/>
          </w:tcPr>
          <w:p>
            <w:pPr>
              <w:ind w:left="20"/>
              <w:spacing w:after="0"/>
              <w:rPr>
                <w:sz w:val="20"/>
                <w:szCs w:val="20"/>
                <w:color w:val="auto"/>
              </w:rPr>
            </w:pPr>
            <w:r>
              <w:rPr>
                <w:rFonts w:ascii="Arial" w:cs="Arial" w:eastAsia="Arial" w:hAnsi="Arial"/>
                <w:sz w:val="17"/>
                <w:szCs w:val="17"/>
                <w:color w:val="auto"/>
              </w:rPr>
              <w:t>Due after five years</w:t>
            </w:r>
          </w:p>
        </w:tc>
        <w:tc>
          <w:tcPr>
            <w:tcW w:w="760" w:type="dxa"/>
            <w:vAlign w:val="bottom"/>
            <w:tcBorders>
              <w:bottom w:val="single" w:sz="8" w:color="auto"/>
            </w:tcBorders>
            <w:shd w:val="clear" w:color="auto" w:fill="DDDDDD"/>
          </w:tcPr>
          <w:p>
            <w:pPr>
              <w:spacing w:after="0"/>
              <w:rPr>
                <w:sz w:val="22"/>
                <w:szCs w:val="22"/>
                <w:color w:val="auto"/>
              </w:rPr>
            </w:pPr>
          </w:p>
        </w:tc>
        <w:tc>
          <w:tcPr>
            <w:tcW w:w="860" w:type="dxa"/>
            <w:vAlign w:val="bottom"/>
            <w:tcBorders>
              <w:bottom w:val="single" w:sz="8" w:color="auto"/>
            </w:tcBorders>
            <w:shd w:val="clear" w:color="auto" w:fill="DDDDDD"/>
          </w:tcPr>
          <w:p>
            <w:pPr>
              <w:jc w:val="right"/>
              <w:ind w:right="40"/>
              <w:spacing w:after="0"/>
              <w:rPr>
                <w:sz w:val="20"/>
                <w:szCs w:val="20"/>
                <w:color w:val="auto"/>
              </w:rPr>
            </w:pPr>
            <w:r>
              <w:rPr>
                <w:rFonts w:ascii="Arial" w:cs="Arial" w:eastAsia="Arial" w:hAnsi="Arial"/>
                <w:sz w:val="17"/>
                <w:szCs w:val="17"/>
                <w:color w:val="2573BA"/>
              </w:rPr>
              <w:t>327.3</w:t>
            </w:r>
          </w:p>
        </w:tc>
        <w:tc>
          <w:tcPr>
            <w:tcW w:w="120" w:type="dxa"/>
            <w:vAlign w:val="bottom"/>
            <w:tcBorders>
              <w:bottom w:val="single" w:sz="8" w:color="DDDDDD"/>
            </w:tcBorders>
            <w:shd w:val="clear" w:color="auto" w:fill="DDDDDD"/>
          </w:tcPr>
          <w:p>
            <w:pPr>
              <w:spacing w:after="0"/>
              <w:rPr>
                <w:sz w:val="22"/>
                <w:szCs w:val="22"/>
                <w:color w:val="auto"/>
              </w:rPr>
            </w:pPr>
          </w:p>
        </w:tc>
        <w:tc>
          <w:tcPr>
            <w:tcW w:w="300" w:type="dxa"/>
            <w:vAlign w:val="bottom"/>
            <w:tcBorders>
              <w:bottom w:val="single" w:sz="8" w:color="auto"/>
            </w:tcBorders>
            <w:shd w:val="clear" w:color="auto" w:fill="DDDDDD"/>
          </w:tcPr>
          <w:p>
            <w:pPr>
              <w:spacing w:after="0"/>
              <w:rPr>
                <w:sz w:val="22"/>
                <w:szCs w:val="22"/>
                <w:color w:val="auto"/>
              </w:rPr>
            </w:pPr>
          </w:p>
        </w:tc>
        <w:tc>
          <w:tcPr>
            <w:tcW w:w="1300" w:type="dxa"/>
            <w:vAlign w:val="bottom"/>
            <w:tcBorders>
              <w:bottom w:val="single" w:sz="8" w:color="auto"/>
            </w:tcBorders>
            <w:shd w:val="clear" w:color="auto" w:fill="DDDDDD"/>
          </w:tcPr>
          <w:p>
            <w:pPr>
              <w:jc w:val="right"/>
              <w:ind w:right="20"/>
              <w:spacing w:after="0"/>
              <w:rPr>
                <w:sz w:val="20"/>
                <w:szCs w:val="20"/>
                <w:color w:val="auto"/>
              </w:rPr>
            </w:pPr>
            <w:r>
              <w:rPr>
                <w:rFonts w:ascii="Arial" w:cs="Arial" w:eastAsia="Arial" w:hAnsi="Arial"/>
                <w:sz w:val="17"/>
                <w:szCs w:val="17"/>
                <w:color w:val="2573BA"/>
              </w:rPr>
              <w:t>327.0</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2"/>
              <w:spacing w:after="0"/>
              <w:rPr>
                <w:sz w:val="20"/>
                <w:szCs w:val="20"/>
                <w:color w:val="auto"/>
              </w:rPr>
            </w:pPr>
            <w:r>
              <w:rPr>
                <w:rFonts w:ascii="Arial" w:cs="Arial" w:eastAsia="Arial" w:hAnsi="Arial"/>
                <w:sz w:val="17"/>
                <w:szCs w:val="17"/>
                <w:color w:val="auto"/>
              </w:rPr>
              <w:t>276.8</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277.5</w:t>
            </w:r>
          </w:p>
        </w:tc>
      </w:tr>
      <w:tr>
        <w:trPr>
          <w:trHeight w:val="236"/>
        </w:trPr>
        <w:tc>
          <w:tcPr>
            <w:tcW w:w="4680" w:type="dxa"/>
            <w:vAlign w:val="bottom"/>
          </w:tcPr>
          <w:p>
            <w:pPr>
              <w:ind w:left="160"/>
              <w:spacing w:after="0"/>
              <w:rPr>
                <w:sz w:val="20"/>
                <w:szCs w:val="20"/>
                <w:color w:val="auto"/>
              </w:rPr>
            </w:pPr>
            <w:r>
              <w:rPr>
                <w:rFonts w:ascii="Arial" w:cs="Arial" w:eastAsia="Arial" w:hAnsi="Arial"/>
                <w:sz w:val="17"/>
                <w:szCs w:val="17"/>
                <w:color w:val="auto"/>
              </w:rPr>
              <w:t>Total available-for-sale securities</w:t>
            </w:r>
          </w:p>
        </w:tc>
        <w:tc>
          <w:tcPr>
            <w:tcW w:w="760" w:type="dxa"/>
            <w:vAlign w:val="bottom"/>
            <w:shd w:val="clear" w:color="auto" w:fill="DDDDDD"/>
          </w:tcPr>
          <w:p>
            <w:pPr>
              <w:jc w:val="right"/>
              <w:ind w:right="563"/>
              <w:spacing w:after="0"/>
              <w:rPr>
                <w:sz w:val="20"/>
                <w:szCs w:val="20"/>
                <w:color w:val="auto"/>
              </w:rPr>
            </w:pPr>
            <w:r>
              <w:rPr>
                <w:rFonts w:ascii="Arial" w:cs="Arial" w:eastAsia="Arial" w:hAnsi="Arial"/>
                <w:sz w:val="17"/>
                <w:szCs w:val="17"/>
                <w:color w:val="2573BA"/>
              </w:rPr>
              <w:t>$</w:t>
            </w:r>
          </w:p>
        </w:tc>
        <w:tc>
          <w:tcPr>
            <w:tcW w:w="860" w:type="dxa"/>
            <w:vAlign w:val="bottom"/>
            <w:shd w:val="clear" w:color="auto" w:fill="DDDDDD"/>
          </w:tcPr>
          <w:p>
            <w:pPr>
              <w:jc w:val="right"/>
              <w:ind w:right="40"/>
              <w:spacing w:after="0"/>
              <w:rPr>
                <w:sz w:val="20"/>
                <w:szCs w:val="20"/>
                <w:color w:val="auto"/>
              </w:rPr>
            </w:pPr>
            <w:r>
              <w:rPr>
                <w:rFonts w:ascii="Arial" w:cs="Arial" w:eastAsia="Arial" w:hAnsi="Arial"/>
                <w:sz w:val="17"/>
                <w:szCs w:val="17"/>
                <w:color w:val="2573BA"/>
              </w:rPr>
              <w:t>5,172.5</w:t>
            </w:r>
          </w:p>
        </w:tc>
        <w:tc>
          <w:tcPr>
            <w:tcW w:w="120" w:type="dxa"/>
            <w:vAlign w:val="bottom"/>
            <w:shd w:val="clear" w:color="auto" w:fill="DDDDDD"/>
          </w:tcPr>
          <w:p>
            <w:pPr>
              <w:spacing w:after="0"/>
              <w:rPr>
                <w:sz w:val="20"/>
                <w:szCs w:val="20"/>
                <w:color w:val="auto"/>
              </w:rPr>
            </w:pPr>
          </w:p>
        </w:tc>
        <w:tc>
          <w:tcPr>
            <w:tcW w:w="300" w:type="dxa"/>
            <w:vAlign w:val="bottom"/>
            <w:shd w:val="clear" w:color="auto" w:fill="DDDDDD"/>
          </w:tcPr>
          <w:p>
            <w:pPr>
              <w:jc w:val="right"/>
              <w:ind w:right="95"/>
              <w:spacing w:after="0"/>
              <w:rPr>
                <w:sz w:val="20"/>
                <w:szCs w:val="20"/>
                <w:color w:val="auto"/>
              </w:rPr>
            </w:pPr>
            <w:r>
              <w:rPr>
                <w:rFonts w:ascii="Arial" w:cs="Arial" w:eastAsia="Arial" w:hAnsi="Arial"/>
                <w:sz w:val="17"/>
                <w:szCs w:val="17"/>
                <w:color w:val="2573BA"/>
              </w:rPr>
              <w:t>$</w:t>
            </w:r>
          </w:p>
        </w:tc>
        <w:tc>
          <w:tcPr>
            <w:tcW w:w="130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5,173.0</w:t>
            </w: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22"/>
              <w:spacing w:after="0"/>
              <w:rPr>
                <w:sz w:val="20"/>
                <w:szCs w:val="20"/>
                <w:color w:val="auto"/>
              </w:rPr>
            </w:pPr>
            <w:r>
              <w:rPr>
                <w:rFonts w:ascii="Arial" w:cs="Arial" w:eastAsia="Arial" w:hAnsi="Arial"/>
                <w:sz w:val="17"/>
                <w:szCs w:val="17"/>
                <w:color w:val="auto"/>
              </w:rPr>
              <w:t>5,398.0</w:t>
            </w:r>
          </w:p>
        </w:tc>
        <w:tc>
          <w:tcPr>
            <w:tcW w:w="120" w:type="dxa"/>
            <w:vAlign w:val="bottom"/>
          </w:tcPr>
          <w:p>
            <w:pPr>
              <w:spacing w:after="0"/>
              <w:rPr>
                <w:sz w:val="20"/>
                <w:szCs w:val="20"/>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20"/>
              <w:spacing w:after="0"/>
              <w:rPr>
                <w:sz w:val="20"/>
                <w:szCs w:val="20"/>
                <w:color w:val="auto"/>
              </w:rPr>
            </w:pPr>
            <w:r>
              <w:rPr>
                <w:rFonts w:ascii="Arial" w:cs="Arial" w:eastAsia="Arial" w:hAnsi="Arial"/>
                <w:sz w:val="17"/>
                <w:szCs w:val="17"/>
                <w:color w:val="auto"/>
              </w:rPr>
              <w:t>5,406.3</w:t>
            </w:r>
          </w:p>
        </w:tc>
      </w:tr>
      <w:tr>
        <w:trPr>
          <w:trHeight w:val="20"/>
        </w:trPr>
        <w:tc>
          <w:tcPr>
            <w:tcW w:w="4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right="360" w:firstLine="410"/>
        <w:spacing w:after="0" w:line="262" w:lineRule="auto"/>
        <w:rPr>
          <w:sz w:val="20"/>
          <w:szCs w:val="20"/>
          <w:color w:val="auto"/>
        </w:rPr>
      </w:pPr>
      <w:r>
        <w:rPr>
          <w:rFonts w:ascii="Arial" w:cs="Arial" w:eastAsia="Arial" w:hAnsi="Arial"/>
          <w:sz w:val="17"/>
          <w:szCs w:val="17"/>
          <w:color w:val="auto"/>
        </w:rPr>
        <w:t>The average maturity of our marketable debt securities available-for-sale as of December 31, 2017 and 2016 was 17 months and 12 months, respectively.</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Proceeds from Marketable Debt Securities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proceeds from maturities and sales of marketable debt securities and resulting realized gains and losses are summarized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ind w:right="175"/>
              <w:spacing w:after="0"/>
              <w:rPr>
                <w:sz w:val="20"/>
                <w:szCs w:val="20"/>
                <w:color w:val="auto"/>
              </w:rPr>
            </w:pPr>
            <w:r>
              <w:rPr>
                <w:rFonts w:ascii="Arial" w:cs="Arial" w:eastAsia="Arial" w:hAnsi="Arial"/>
                <w:sz w:val="14"/>
                <w:szCs w:val="14"/>
                <w:b w:val="1"/>
                <w:bCs w:val="1"/>
                <w:color w:val="auto"/>
              </w:rPr>
              <w:t>For the Years Ended December 31,</w:t>
            </w:r>
          </w:p>
        </w:tc>
        <w:tc>
          <w:tcPr>
            <w:tcW w:w="1280" w:type="dxa"/>
            <w:vAlign w:val="bottom"/>
            <w:tcBorders>
              <w:bottom w:val="single" w:sz="8" w:color="auto"/>
            </w:tcBorders>
          </w:tcPr>
          <w:p>
            <w:pPr>
              <w:spacing w:after="0"/>
              <w:rPr>
                <w:sz w:val="16"/>
                <w:szCs w:val="16"/>
                <w:color w:val="auto"/>
              </w:rPr>
            </w:pPr>
          </w:p>
        </w:tc>
      </w:tr>
      <w:tr>
        <w:trPr>
          <w:trHeight w:val="249"/>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b w:val="1"/>
                <w:bCs w:val="1"/>
                <w:color w:val="2573BA"/>
              </w:rPr>
              <w:t>2017</w:t>
            </w:r>
          </w:p>
        </w:tc>
        <w:tc>
          <w:tcPr>
            <w:tcW w:w="700" w:type="dxa"/>
            <w:vAlign w:val="bottom"/>
            <w:tcBorders>
              <w:bottom w:val="single" w:sz="8" w:color="auto"/>
            </w:tcBorders>
            <w:shd w:val="clear" w:color="auto" w:fill="DDDDDD"/>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2015</w:t>
            </w:r>
          </w:p>
        </w:tc>
      </w:tr>
      <w:tr>
        <w:trPr>
          <w:trHeight w:val="228"/>
        </w:trPr>
        <w:tc>
          <w:tcPr>
            <w:tcW w:w="6040" w:type="dxa"/>
            <w:vAlign w:val="bottom"/>
          </w:tcPr>
          <w:p>
            <w:pPr>
              <w:ind w:left="20"/>
              <w:spacing w:after="0"/>
              <w:rPr>
                <w:sz w:val="20"/>
                <w:szCs w:val="20"/>
                <w:color w:val="auto"/>
              </w:rPr>
            </w:pPr>
            <w:r>
              <w:rPr>
                <w:rFonts w:ascii="Arial" w:cs="Arial" w:eastAsia="Arial" w:hAnsi="Arial"/>
                <w:sz w:val="17"/>
                <w:szCs w:val="17"/>
                <w:color w:val="auto"/>
              </w:rPr>
              <w:t>Proceeds from maturities and sales</w:t>
            </w:r>
          </w:p>
        </w:tc>
        <w:tc>
          <w:tcPr>
            <w:tcW w:w="1040" w:type="dxa"/>
            <w:vAlign w:val="bottom"/>
            <w:shd w:val="clear" w:color="auto" w:fill="DDDDDD"/>
          </w:tcPr>
          <w:p>
            <w:pPr>
              <w:jc w:val="right"/>
              <w:ind w:right="839"/>
              <w:spacing w:after="0"/>
              <w:rPr>
                <w:sz w:val="20"/>
                <w:szCs w:val="20"/>
                <w:color w:val="auto"/>
              </w:rPr>
            </w:pPr>
            <w:r>
              <w:rPr>
                <w:rFonts w:ascii="Arial" w:cs="Arial" w:eastAsia="Arial" w:hAnsi="Arial"/>
                <w:sz w:val="17"/>
                <w:szCs w:val="17"/>
                <w:color w:val="2573BA"/>
              </w:rPr>
              <w:t>$</w:t>
            </w:r>
          </w:p>
        </w:tc>
        <w:tc>
          <w:tcPr>
            <w:tcW w:w="70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5,565.9</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9"/>
              <w:spacing w:after="0"/>
              <w:rPr>
                <w:sz w:val="20"/>
                <w:szCs w:val="20"/>
                <w:color w:val="auto"/>
              </w:rPr>
            </w:pPr>
            <w:r>
              <w:rPr>
                <w:rFonts w:ascii="Arial" w:cs="Arial" w:eastAsia="Arial" w:hAnsi="Arial"/>
                <w:sz w:val="17"/>
                <w:szCs w:val="17"/>
                <w:color w:val="auto"/>
              </w:rPr>
              <w:t>7,378.9</w:t>
            </w:r>
          </w:p>
        </w:tc>
        <w:tc>
          <w:tcPr>
            <w:tcW w:w="100" w:type="dxa"/>
            <w:vAlign w:val="bottom"/>
          </w:tcPr>
          <w:p>
            <w:pPr>
              <w:spacing w:after="0"/>
              <w:rPr>
                <w:sz w:val="19"/>
                <w:szCs w:val="19"/>
                <w:color w:val="auto"/>
              </w:rPr>
            </w:pP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9"/>
              <w:spacing w:after="0"/>
              <w:rPr>
                <w:sz w:val="20"/>
                <w:szCs w:val="20"/>
                <w:color w:val="auto"/>
              </w:rPr>
            </w:pPr>
            <w:r>
              <w:rPr>
                <w:rFonts w:ascii="Arial" w:cs="Arial" w:eastAsia="Arial" w:hAnsi="Arial"/>
                <w:sz w:val="17"/>
                <w:szCs w:val="17"/>
                <w:color w:val="auto"/>
              </w:rPr>
              <w:t>4,063.0</w:t>
            </w:r>
          </w:p>
        </w:tc>
      </w:tr>
      <w:tr>
        <w:trPr>
          <w:trHeight w:val="256"/>
        </w:trPr>
        <w:tc>
          <w:tcPr>
            <w:tcW w:w="6040" w:type="dxa"/>
            <w:vAlign w:val="bottom"/>
          </w:tcPr>
          <w:p>
            <w:pPr>
              <w:ind w:left="20"/>
              <w:spacing w:after="0"/>
              <w:rPr>
                <w:sz w:val="20"/>
                <w:szCs w:val="20"/>
                <w:color w:val="auto"/>
              </w:rPr>
            </w:pPr>
            <w:r>
              <w:rPr>
                <w:rFonts w:ascii="Arial" w:cs="Arial" w:eastAsia="Arial" w:hAnsi="Arial"/>
                <w:sz w:val="17"/>
                <w:szCs w:val="17"/>
                <w:color w:val="auto"/>
              </w:rPr>
              <w:t>Realized gains</w:t>
            </w:r>
          </w:p>
        </w:tc>
        <w:tc>
          <w:tcPr>
            <w:tcW w:w="1040" w:type="dxa"/>
            <w:vAlign w:val="bottom"/>
            <w:shd w:val="clear" w:color="auto" w:fill="DDDDDD"/>
          </w:tcPr>
          <w:p>
            <w:pPr>
              <w:jc w:val="right"/>
              <w:ind w:right="839"/>
              <w:spacing w:after="0"/>
              <w:rPr>
                <w:sz w:val="20"/>
                <w:szCs w:val="20"/>
                <w:color w:val="auto"/>
              </w:rPr>
            </w:pPr>
            <w:r>
              <w:rPr>
                <w:rFonts w:ascii="Arial" w:cs="Arial" w:eastAsia="Arial" w:hAnsi="Arial"/>
                <w:sz w:val="17"/>
                <w:szCs w:val="17"/>
                <w:color w:val="2573BA"/>
              </w:rPr>
              <w:t>$</w:t>
            </w:r>
          </w:p>
        </w:tc>
        <w:tc>
          <w:tcPr>
            <w:tcW w:w="70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3.0</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9"/>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22"/>
                <w:szCs w:val="22"/>
                <w:color w:val="auto"/>
              </w:rPr>
            </w:pP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9"/>
              <w:spacing w:after="0"/>
              <w:rPr>
                <w:sz w:val="20"/>
                <w:szCs w:val="20"/>
                <w:color w:val="auto"/>
              </w:rPr>
            </w:pPr>
            <w:r>
              <w:rPr>
                <w:rFonts w:ascii="Arial" w:cs="Arial" w:eastAsia="Arial" w:hAnsi="Arial"/>
                <w:sz w:val="17"/>
                <w:szCs w:val="17"/>
                <w:color w:val="auto"/>
              </w:rPr>
              <w:t>1.5</w:t>
            </w:r>
          </w:p>
        </w:tc>
      </w:tr>
      <w:tr>
        <w:trPr>
          <w:trHeight w:val="270"/>
        </w:trPr>
        <w:tc>
          <w:tcPr>
            <w:tcW w:w="6040" w:type="dxa"/>
            <w:vAlign w:val="bottom"/>
          </w:tcPr>
          <w:p>
            <w:pPr>
              <w:ind w:left="20"/>
              <w:spacing w:after="0"/>
              <w:rPr>
                <w:sz w:val="20"/>
                <w:szCs w:val="20"/>
                <w:color w:val="auto"/>
              </w:rPr>
            </w:pPr>
            <w:r>
              <w:rPr>
                <w:rFonts w:ascii="Arial" w:cs="Arial" w:eastAsia="Arial" w:hAnsi="Arial"/>
                <w:sz w:val="17"/>
                <w:szCs w:val="17"/>
                <w:color w:val="auto"/>
              </w:rPr>
              <w:t>Realized losses</w:t>
            </w:r>
          </w:p>
        </w:tc>
        <w:tc>
          <w:tcPr>
            <w:tcW w:w="1040" w:type="dxa"/>
            <w:vAlign w:val="bottom"/>
            <w:shd w:val="clear" w:color="auto" w:fill="DDDDDD"/>
          </w:tcPr>
          <w:p>
            <w:pPr>
              <w:jc w:val="right"/>
              <w:ind w:right="839"/>
              <w:spacing w:after="0"/>
              <w:rPr>
                <w:sz w:val="20"/>
                <w:szCs w:val="20"/>
                <w:color w:val="auto"/>
              </w:rPr>
            </w:pPr>
            <w:r>
              <w:rPr>
                <w:rFonts w:ascii="Arial" w:cs="Arial" w:eastAsia="Arial" w:hAnsi="Arial"/>
                <w:sz w:val="17"/>
                <w:szCs w:val="17"/>
                <w:color w:val="2573BA"/>
              </w:rPr>
              <w:t>$</w:t>
            </w:r>
          </w:p>
        </w:tc>
        <w:tc>
          <w:tcPr>
            <w:tcW w:w="70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22.4</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9"/>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23"/>
                <w:szCs w:val="23"/>
                <w:color w:val="auto"/>
              </w:rPr>
            </w:pP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9"/>
              <w:spacing w:after="0"/>
              <w:rPr>
                <w:sz w:val="20"/>
                <w:szCs w:val="20"/>
                <w:color w:val="auto"/>
              </w:rPr>
            </w:pPr>
            <w:r>
              <w:rPr>
                <w:rFonts w:ascii="Arial" w:cs="Arial" w:eastAsia="Arial" w:hAnsi="Arial"/>
                <w:sz w:val="17"/>
                <w:szCs w:val="17"/>
                <w:color w:val="auto"/>
              </w:rPr>
              <w:t>3.5</w:t>
            </w:r>
          </w:p>
        </w:tc>
      </w:tr>
    </w:tbl>
    <w:p>
      <w:pPr>
        <w:spacing w:after="0" w:line="153" w:lineRule="exact"/>
        <w:rPr>
          <w:sz w:val="20"/>
          <w:szCs w:val="20"/>
          <w:color w:val="auto"/>
        </w:rPr>
      </w:pPr>
    </w:p>
    <w:p>
      <w:pPr>
        <w:ind w:right="80" w:firstLine="410"/>
        <w:spacing w:after="0" w:line="254" w:lineRule="auto"/>
        <w:rPr>
          <w:sz w:val="20"/>
          <w:szCs w:val="20"/>
          <w:color w:val="auto"/>
        </w:rPr>
      </w:pPr>
      <w:r>
        <w:rPr>
          <w:rFonts w:ascii="Arial" w:cs="Arial" w:eastAsia="Arial" w:hAnsi="Arial"/>
          <w:sz w:val="17"/>
          <w:szCs w:val="17"/>
          <w:color w:val="auto"/>
        </w:rPr>
        <w:t>Realized losses for the year ended December 31, 2017 primarily relate to impairments recognized on certain of our available-for-sale marketable debt securities as we intend to sell these securities as a result of the Tax Cuts and Jobs Act of 2017 (the 2017 Tax Act), sales of agency mortgage-backed securities, corporate bonds and government securities. Realized losses for the year ended December 31, 2016 primarily relate to sales of corporate bonds, agency mortgage-backed securities and other asset-backed securities. Realized losses for the year ended December 31, 2015 primarily relate to sales of corporate bonds, agency mortgage-backed securities and other asset-backed securities.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Strategic Investments</w:t>
      </w:r>
    </w:p>
    <w:p>
      <w:pPr>
        <w:spacing w:after="0" w:line="106" w:lineRule="exact"/>
        <w:rPr>
          <w:sz w:val="20"/>
          <w:szCs w:val="20"/>
          <w:color w:val="auto"/>
        </w:rPr>
      </w:pPr>
    </w:p>
    <w:p>
      <w:pPr>
        <w:ind w:right="160" w:firstLine="410"/>
        <w:spacing w:after="0" w:line="255" w:lineRule="auto"/>
        <w:rPr>
          <w:sz w:val="20"/>
          <w:szCs w:val="20"/>
          <w:color w:val="auto"/>
        </w:rPr>
      </w:pPr>
      <w:r>
        <w:rPr>
          <w:rFonts w:ascii="Arial" w:cs="Arial" w:eastAsia="Arial" w:hAnsi="Arial"/>
          <w:sz w:val="17"/>
          <w:szCs w:val="17"/>
          <w:color w:val="auto"/>
        </w:rPr>
        <w:t>As of December 31, 2017 and 2016, our strategic investment portfolio was comprised of investments totaling $85.8 million and $99.9 million, respectively, which are included in investments and other assets in our consolidated balance sheets. Our strategic investment portfolio includes investments in equity securities of certain biotechnology companies and investments in venture capital funds where the underlying investments are in equity securities of biotechnology companies.</w:t>
      </w:r>
    </w:p>
    <w:p>
      <w:pPr>
        <w:spacing w:after="0" w:line="124" w:lineRule="exact"/>
        <w:rPr>
          <w:sz w:val="20"/>
          <w:szCs w:val="20"/>
          <w:color w:val="auto"/>
        </w:rPr>
      </w:pPr>
    </w:p>
    <w:p>
      <w:pPr>
        <w:ind w:left="520" w:hanging="518"/>
        <w:spacing w:after="0"/>
        <w:tabs>
          <w:tab w:leader="none" w:pos="520" w:val="left"/>
        </w:tabs>
        <w:numPr>
          <w:ilvl w:val="0"/>
          <w:numId w:val="104"/>
        </w:numPr>
        <w:rPr>
          <w:rFonts w:ascii="Arial" w:cs="Arial" w:eastAsia="Arial" w:hAnsi="Arial"/>
          <w:sz w:val="20"/>
          <w:szCs w:val="20"/>
          <w:b w:val="1"/>
          <w:bCs w:val="1"/>
          <w:color w:val="578196"/>
        </w:rPr>
      </w:pPr>
      <w:r>
        <w:rPr>
          <w:rFonts w:ascii="Arial" w:cs="Arial" w:eastAsia="Arial" w:hAnsi="Arial"/>
          <w:sz w:val="20"/>
          <w:szCs w:val="20"/>
          <w:b w:val="1"/>
          <w:bCs w:val="1"/>
          <w:color w:val="578196"/>
        </w:rPr>
        <w:t>Derivative Instruments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Foreign Currency Forward Contracts - Hedging Instruments</w:t>
      </w:r>
    </w:p>
    <w:p>
      <w:pPr>
        <w:spacing w:after="0" w:line="106" w:lineRule="exact"/>
        <w:rPr>
          <w:sz w:val="20"/>
          <w:szCs w:val="20"/>
          <w:color w:val="auto"/>
        </w:rPr>
      </w:pPr>
    </w:p>
    <w:p>
      <w:pPr>
        <w:ind w:right="20" w:firstLine="410"/>
        <w:spacing w:after="0" w:line="255" w:lineRule="auto"/>
        <w:rPr>
          <w:sz w:val="20"/>
          <w:szCs w:val="20"/>
          <w:color w:val="auto"/>
        </w:rPr>
      </w:pPr>
      <w:r>
        <w:rPr>
          <w:rFonts w:ascii="Arial" w:cs="Arial" w:eastAsia="Arial" w:hAnsi="Arial"/>
          <w:sz w:val="17"/>
          <w:szCs w:val="17"/>
          <w:color w:val="auto"/>
        </w:rPr>
        <w:t>Due to the global nature of our operations, portions of our revenues and operating expenses are recorded in currencies other than the U.S. dollar. The value of revenues and operating expenses measured in U.S. dollars is therefore subject to changes in foreign currency exchange rates. In order to mitigate these changes we use foreign currency forward contracts to lock in exchange rates associated with a portion of our forecasted international revenues and operating expenses.</w:t>
      </w:r>
    </w:p>
    <w:p>
      <w:pPr>
        <w:spacing w:after="0" w:line="143"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Foreign currency forward contracts in effect as of December 31, 2017 and 2016 had durations of 1 to 21 months and 1 to 18 months, respectively. These contracts have been designated as cash flow hedges and accordingly, to the extent effective, any unrealized gains or losses on these foreign currency forward contracts are reported in accumulated other comprehensive income (loss) (referred to as AOCI in the tables below). Realized gains and losses for the effective portion of such contracts are recognized in revenues when the sale of product in the currency being hedged is recognized and in operating expenses when the expense in the currency being hedged is recorded. To the extent ineffective, hedge transaction gains and losses are reported in other income (expense), net.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F- 35</w:t>
      </w:r>
    </w:p>
    <w:p>
      <w:pPr>
        <w:sectPr>
          <w:pgSz w:w="11900" w:h="16838" w:orient="portrait"/>
          <w:cols w:equalWidth="0" w:num="1">
            <w:col w:w="11400"/>
          </w:cols>
          <w:pgMar w:left="240" w:top="139" w:right="259" w:bottom="1440" w:gutter="0" w:footer="0" w:header="0"/>
        </w:sectPr>
      </w:pPr>
    </w:p>
    <w:bookmarkStart w:id="137" w:name="page138"/>
    <w:bookmarkEnd w:id="1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90" w:lineRule="exact"/>
        <w:rPr>
          <w:sz w:val="20"/>
          <w:szCs w:val="20"/>
          <w:color w:val="auto"/>
        </w:rPr>
      </w:pPr>
    </w:p>
    <w:p>
      <w:pPr>
        <w:ind w:right="760" w:firstLine="410"/>
        <w:spacing w:after="0" w:line="262" w:lineRule="auto"/>
        <w:rPr>
          <w:sz w:val="20"/>
          <w:szCs w:val="20"/>
          <w:color w:val="auto"/>
        </w:rPr>
      </w:pPr>
      <w:r>
        <w:rPr>
          <w:rFonts w:ascii="Arial" w:cs="Arial" w:eastAsia="Arial" w:hAnsi="Arial"/>
          <w:sz w:val="17"/>
          <w:szCs w:val="17"/>
          <w:color w:val="auto"/>
        </w:rPr>
        <w:t>The notional value of foreign currency forward contracts that were entered into to hedge forecasted revenues and operating expenses is summarized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Notional Amount</w:t>
            </w:r>
          </w:p>
        </w:tc>
        <w:tc>
          <w:tcPr>
            <w:tcW w:w="1140" w:type="dxa"/>
            <w:vAlign w:val="bottom"/>
          </w:tcPr>
          <w:p>
            <w:pPr>
              <w:spacing w:after="0"/>
              <w:rPr>
                <w:sz w:val="14"/>
                <w:szCs w:val="14"/>
                <w:color w:val="auto"/>
              </w:rPr>
            </w:pPr>
          </w:p>
        </w:tc>
      </w:tr>
      <w:tr>
        <w:trPr>
          <w:trHeight w:val="185"/>
        </w:trPr>
        <w:tc>
          <w:tcPr>
            <w:tcW w:w="76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6"/>
                <w:szCs w:val="16"/>
                <w:color w:val="auto"/>
              </w:rPr>
            </w:pPr>
          </w:p>
        </w:tc>
      </w:tr>
      <w:tr>
        <w:trPr>
          <w:trHeight w:val="249"/>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Foreign Currency: (In millions)</w:t>
            </w:r>
          </w:p>
        </w:tc>
        <w:tc>
          <w:tcPr>
            <w:tcW w:w="440" w:type="dxa"/>
            <w:vAlign w:val="bottom"/>
            <w:tcBorders>
              <w:bottom w:val="single" w:sz="8" w:color="auto"/>
            </w:tcBorders>
            <w:shd w:val="clear" w:color="auto" w:fill="DDDDDD"/>
          </w:tcPr>
          <w:p>
            <w:pPr>
              <w:spacing w:after="0"/>
              <w:rPr>
                <w:sz w:val="21"/>
                <w:szCs w:val="21"/>
                <w:color w:val="auto"/>
              </w:rPr>
            </w:pPr>
          </w:p>
        </w:tc>
        <w:tc>
          <w:tcPr>
            <w:tcW w:w="1400" w:type="dxa"/>
            <w:vAlign w:val="bottom"/>
            <w:tcBorders>
              <w:bottom w:val="single" w:sz="8" w:color="auto"/>
            </w:tcBorders>
            <w:shd w:val="clear" w:color="auto" w:fill="DDDDDD"/>
          </w:tcPr>
          <w:p>
            <w:pPr>
              <w:jc w:val="right"/>
              <w:ind w:right="681"/>
              <w:spacing w:after="0"/>
              <w:rPr>
                <w:sz w:val="20"/>
                <w:szCs w:val="20"/>
                <w:color w:val="auto"/>
              </w:rPr>
            </w:pPr>
            <w:r>
              <w:rPr>
                <w:rFonts w:ascii="Arial" w:cs="Arial" w:eastAsia="Arial" w:hAnsi="Arial"/>
                <w:sz w:val="14"/>
                <w:szCs w:val="14"/>
                <w:b w:val="1"/>
                <w:bCs w:val="1"/>
                <w:color w:val="2573BA"/>
              </w:rPr>
              <w:t>2017</w:t>
            </w:r>
          </w:p>
        </w:tc>
        <w:tc>
          <w:tcPr>
            <w:tcW w:w="10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2016</w:t>
            </w:r>
          </w:p>
        </w:tc>
      </w:tr>
      <w:tr>
        <w:trPr>
          <w:trHeight w:val="228"/>
        </w:trPr>
        <w:tc>
          <w:tcPr>
            <w:tcW w:w="7640" w:type="dxa"/>
            <w:vAlign w:val="bottom"/>
          </w:tcPr>
          <w:p>
            <w:pPr>
              <w:ind w:left="20"/>
              <w:spacing w:after="0"/>
              <w:rPr>
                <w:sz w:val="20"/>
                <w:szCs w:val="20"/>
                <w:color w:val="auto"/>
              </w:rPr>
            </w:pPr>
            <w:r>
              <w:rPr>
                <w:rFonts w:ascii="Arial" w:cs="Arial" w:eastAsia="Arial" w:hAnsi="Arial"/>
                <w:sz w:val="17"/>
                <w:szCs w:val="17"/>
                <w:color w:val="auto"/>
              </w:rPr>
              <w:t>Euro</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21"/>
              <w:spacing w:after="0"/>
              <w:rPr>
                <w:sz w:val="20"/>
                <w:szCs w:val="20"/>
                <w:color w:val="auto"/>
              </w:rPr>
            </w:pPr>
            <w:r>
              <w:rPr>
                <w:rFonts w:ascii="Arial" w:cs="Arial" w:eastAsia="Arial" w:hAnsi="Arial"/>
                <w:sz w:val="17"/>
                <w:szCs w:val="17"/>
                <w:color w:val="2573BA"/>
              </w:rPr>
              <w:t>1,875.6</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871.7</w:t>
            </w:r>
          </w:p>
        </w:tc>
      </w:tr>
      <w:tr>
        <w:trPr>
          <w:trHeight w:val="256"/>
        </w:trPr>
        <w:tc>
          <w:tcPr>
            <w:tcW w:w="7640" w:type="dxa"/>
            <w:vAlign w:val="bottom"/>
          </w:tcPr>
          <w:p>
            <w:pPr>
              <w:ind w:left="20"/>
              <w:spacing w:after="0"/>
              <w:rPr>
                <w:sz w:val="20"/>
                <w:szCs w:val="20"/>
                <w:color w:val="auto"/>
              </w:rPr>
            </w:pPr>
            <w:r>
              <w:rPr>
                <w:rFonts w:ascii="Arial" w:cs="Arial" w:eastAsia="Arial" w:hAnsi="Arial"/>
                <w:sz w:val="17"/>
                <w:szCs w:val="17"/>
                <w:color w:val="auto"/>
              </w:rPr>
              <w:t>British pound sterling</w:t>
            </w: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21"/>
              <w:spacing w:after="0"/>
              <w:rPr>
                <w:sz w:val="20"/>
                <w:szCs w:val="20"/>
                <w:color w:val="auto"/>
              </w:rPr>
            </w:pPr>
            <w:r>
              <w:rPr>
                <w:rFonts w:ascii="Arial" w:cs="Arial" w:eastAsia="Arial" w:hAnsi="Arial"/>
                <w:sz w:val="17"/>
                <w:szCs w:val="17"/>
                <w:color w:val="2573BA"/>
              </w:rPr>
              <w:t>150.9</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w:t>
            </w:r>
          </w:p>
        </w:tc>
      </w:tr>
      <w:tr>
        <w:trPr>
          <w:trHeight w:val="256"/>
        </w:trPr>
        <w:tc>
          <w:tcPr>
            <w:tcW w:w="7640" w:type="dxa"/>
            <w:vAlign w:val="bottom"/>
          </w:tcPr>
          <w:p>
            <w:pPr>
              <w:ind w:left="20"/>
              <w:spacing w:after="0"/>
              <w:rPr>
                <w:sz w:val="20"/>
                <w:szCs w:val="20"/>
                <w:color w:val="auto"/>
              </w:rPr>
            </w:pPr>
            <w:r>
              <w:rPr>
                <w:rFonts w:ascii="Arial" w:cs="Arial" w:eastAsia="Arial" w:hAnsi="Arial"/>
                <w:sz w:val="17"/>
                <w:szCs w:val="17"/>
                <w:color w:val="auto"/>
              </w:rPr>
              <w:t>Swiss francs</w:t>
            </w: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21"/>
              <w:spacing w:after="0"/>
              <w:rPr>
                <w:sz w:val="20"/>
                <w:szCs w:val="20"/>
                <w:color w:val="auto"/>
              </w:rPr>
            </w:pPr>
            <w:r>
              <w:rPr>
                <w:rFonts w:ascii="Arial" w:cs="Arial" w:eastAsia="Arial" w:hAnsi="Arial"/>
                <w:sz w:val="17"/>
                <w:szCs w:val="17"/>
                <w:color w:val="2573BA"/>
              </w:rPr>
              <w:t>88.7</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w:t>
            </w:r>
          </w:p>
        </w:tc>
      </w:tr>
      <w:tr>
        <w:trPr>
          <w:trHeight w:val="263"/>
        </w:trPr>
        <w:tc>
          <w:tcPr>
            <w:tcW w:w="7640" w:type="dxa"/>
            <w:vAlign w:val="bottom"/>
          </w:tcPr>
          <w:p>
            <w:pPr>
              <w:ind w:left="20"/>
              <w:spacing w:after="0"/>
              <w:rPr>
                <w:sz w:val="20"/>
                <w:szCs w:val="20"/>
                <w:color w:val="auto"/>
              </w:rPr>
            </w:pPr>
            <w:r>
              <w:rPr>
                <w:rFonts w:ascii="Arial" w:cs="Arial" w:eastAsia="Arial" w:hAnsi="Arial"/>
                <w:sz w:val="17"/>
                <w:szCs w:val="17"/>
                <w:color w:val="auto"/>
              </w:rPr>
              <w:t>Canadian dollar</w:t>
            </w:r>
          </w:p>
        </w:tc>
        <w:tc>
          <w:tcPr>
            <w:tcW w:w="440" w:type="dxa"/>
            <w:vAlign w:val="bottom"/>
            <w:tcBorders>
              <w:bottom w:val="single" w:sz="8" w:color="auto"/>
            </w:tcBorders>
            <w:shd w:val="clear" w:color="auto" w:fill="DDDDDD"/>
          </w:tcPr>
          <w:p>
            <w:pPr>
              <w:spacing w:after="0"/>
              <w:rPr>
                <w:sz w:val="22"/>
                <w:szCs w:val="22"/>
                <w:color w:val="auto"/>
              </w:rPr>
            </w:pPr>
          </w:p>
        </w:tc>
        <w:tc>
          <w:tcPr>
            <w:tcW w:w="1400" w:type="dxa"/>
            <w:vAlign w:val="bottom"/>
            <w:tcBorders>
              <w:bottom w:val="single" w:sz="8" w:color="auto"/>
            </w:tcBorders>
            <w:shd w:val="clear" w:color="auto" w:fill="DDDDDD"/>
          </w:tcPr>
          <w:p>
            <w:pPr>
              <w:jc w:val="right"/>
              <w:ind w:right="21"/>
              <w:spacing w:after="0"/>
              <w:rPr>
                <w:sz w:val="20"/>
                <w:szCs w:val="20"/>
                <w:color w:val="auto"/>
              </w:rPr>
            </w:pPr>
            <w:r>
              <w:rPr>
                <w:rFonts w:ascii="Arial" w:cs="Arial" w:eastAsia="Arial" w:hAnsi="Arial"/>
                <w:sz w:val="17"/>
                <w:szCs w:val="17"/>
                <w:color w:val="2573BA"/>
              </w:rPr>
              <w:t>83.5</w:t>
            </w:r>
          </w:p>
        </w:tc>
        <w:tc>
          <w:tcPr>
            <w:tcW w:w="10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r>
      <w:tr>
        <w:trPr>
          <w:trHeight w:val="236"/>
        </w:trPr>
        <w:tc>
          <w:tcPr>
            <w:tcW w:w="7640" w:type="dxa"/>
            <w:vAlign w:val="bottom"/>
          </w:tcPr>
          <w:p>
            <w:pPr>
              <w:ind w:left="160"/>
              <w:spacing w:after="0"/>
              <w:rPr>
                <w:sz w:val="20"/>
                <w:szCs w:val="20"/>
                <w:color w:val="auto"/>
              </w:rPr>
            </w:pPr>
            <w:r>
              <w:rPr>
                <w:rFonts w:ascii="Arial" w:cs="Arial" w:eastAsia="Arial" w:hAnsi="Arial"/>
                <w:sz w:val="17"/>
                <w:szCs w:val="17"/>
                <w:color w:val="auto"/>
              </w:rPr>
              <w:t>Total foreign currency forward contracts</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21"/>
              <w:spacing w:after="0"/>
              <w:rPr>
                <w:sz w:val="20"/>
                <w:szCs w:val="20"/>
                <w:color w:val="auto"/>
              </w:rPr>
            </w:pPr>
            <w:r>
              <w:rPr>
                <w:rFonts w:ascii="Arial" w:cs="Arial" w:eastAsia="Arial" w:hAnsi="Arial"/>
                <w:sz w:val="17"/>
                <w:szCs w:val="17"/>
                <w:color w:val="2573BA"/>
              </w:rPr>
              <w:t>2,198.7</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871.7</w:t>
            </w:r>
          </w:p>
        </w:tc>
      </w:tr>
      <w:tr>
        <w:trPr>
          <w:trHeight w:val="20"/>
        </w:trPr>
        <w:tc>
          <w:tcPr>
            <w:tcW w:w="76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pre-tax portion of the fair value of these foreign currency forward contracts that was included in accumulated other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(loss) in total equity reflected net losses of $113.0 million for the year ended December 31, 2017, and net gains of $49.8 million and $1.8 million for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years ended December 31, 2016 and 2015, respectively. We expect the net losses of $113.0 million to be settled over the next 21 months, of which</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$98.5 million is expected to be settled over the next 12 months, with any amounts in accumulated other comprehensive income (loss) to be reported as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an adjustment to revenue or operating expense. We consider the impact of our and our counterparties’ credit risk on the fair value of the contracts as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well as the ability of each party to execute its contractual obligations. As of December 31, 2017 and 2016, credit risk did not change the fair value of our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foreign currency forward contracts.</w:t>
      </w:r>
    </w:p>
    <w:p>
      <w:pPr>
        <w:spacing w:after="0" w:line="163" w:lineRule="exact"/>
        <w:rPr>
          <w:sz w:val="20"/>
          <w:szCs w:val="20"/>
          <w:color w:val="auto"/>
        </w:rPr>
      </w:pPr>
    </w:p>
    <w:p>
      <w:pPr>
        <w:ind w:firstLine="410"/>
        <w:spacing w:after="0" w:line="262" w:lineRule="auto"/>
        <w:rPr>
          <w:sz w:val="20"/>
          <w:szCs w:val="20"/>
          <w:color w:val="auto"/>
        </w:rPr>
      </w:pPr>
      <w:r>
        <w:rPr>
          <w:rFonts w:ascii="Arial" w:cs="Arial" w:eastAsia="Arial" w:hAnsi="Arial"/>
          <w:sz w:val="17"/>
          <w:szCs w:val="17"/>
          <w:color w:val="auto"/>
        </w:rPr>
        <w:t>The following table summarizes the effect of foreign currency forward contracts designated as hedging instruments in our consolidated statements of income: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725360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5">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60" w:type="dxa"/>
            <w:vAlign w:val="bottom"/>
            <w:gridSpan w:val="3"/>
          </w:tcPr>
          <w:p>
            <w:pPr>
              <w:jc w:val="center"/>
              <w:ind w:right="32"/>
              <w:spacing w:after="0"/>
              <w:rPr>
                <w:sz w:val="20"/>
                <w:szCs w:val="20"/>
                <w:color w:val="auto"/>
              </w:rPr>
            </w:pPr>
            <w:r>
              <w:rPr>
                <w:rFonts w:ascii="Arial" w:cs="Arial" w:eastAsia="Arial" w:hAnsi="Arial"/>
                <w:sz w:val="14"/>
                <w:szCs w:val="14"/>
                <w:b w:val="1"/>
                <w:bCs w:val="1"/>
                <w:color w:val="auto"/>
                <w:w w:val="96"/>
              </w:rPr>
              <w:t>Net Gains/(Losses)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6"/>
              </w:rPr>
              <w:t>Net Gains/(Losses)</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54"/>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40" w:type="dxa"/>
            <w:vAlign w:val="bottom"/>
            <w:gridSpan w:val="8"/>
          </w:tcPr>
          <w:p>
            <w:pPr>
              <w:jc w:val="center"/>
              <w:ind w:right="35"/>
              <w:spacing w:after="0" w:line="154" w:lineRule="exact"/>
              <w:rPr>
                <w:sz w:val="20"/>
                <w:szCs w:val="20"/>
                <w:color w:val="auto"/>
              </w:rPr>
            </w:pPr>
            <w:r>
              <w:rPr>
                <w:rFonts w:ascii="Arial" w:cs="Arial" w:eastAsia="Arial" w:hAnsi="Arial"/>
                <w:sz w:val="14"/>
                <w:szCs w:val="14"/>
                <w:b w:val="1"/>
                <w:bCs w:val="1"/>
                <w:color w:val="auto"/>
                <w:w w:val="98"/>
              </w:rPr>
              <w:t>Reclassified from AOCI into Operating Income</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20" w:type="dxa"/>
            <w:vAlign w:val="bottom"/>
            <w:gridSpan w:val="5"/>
          </w:tcPr>
          <w:p>
            <w:pPr>
              <w:jc w:val="center"/>
              <w:ind w:right="240"/>
              <w:spacing w:after="0" w:line="154" w:lineRule="exact"/>
              <w:rPr>
                <w:sz w:val="20"/>
                <w:szCs w:val="20"/>
                <w:color w:val="auto"/>
              </w:rPr>
            </w:pPr>
            <w:r>
              <w:rPr>
                <w:rFonts w:ascii="Arial" w:cs="Arial" w:eastAsia="Arial" w:hAnsi="Arial"/>
                <w:sz w:val="14"/>
                <w:szCs w:val="14"/>
                <w:b w:val="1"/>
                <w:bCs w:val="1"/>
                <w:color w:val="auto"/>
                <w:w w:val="97"/>
              </w:rPr>
              <w:t>Recognized into Net Income</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5"/>
        </w:trPr>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center"/>
              <w:ind w:left="12"/>
              <w:spacing w:after="0"/>
              <w:rPr>
                <w:sz w:val="20"/>
                <w:szCs w:val="20"/>
                <w:color w:val="auto"/>
              </w:rPr>
            </w:pPr>
            <w:r>
              <w:rPr>
                <w:rFonts w:ascii="Arial" w:cs="Arial" w:eastAsia="Arial" w:hAnsi="Arial"/>
                <w:sz w:val="14"/>
                <w:szCs w:val="14"/>
                <w:b w:val="1"/>
                <w:bCs w:val="1"/>
                <w:i w:val="1"/>
                <w:iCs w:val="1"/>
                <w:color w:val="auto"/>
                <w:w w:val="97"/>
              </w:rPr>
              <w:t>(Effective Portion) (in millions)</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i w:val="1"/>
                <w:iCs w:val="1"/>
                <w:color w:val="auto"/>
                <w:w w:val="97"/>
              </w:rPr>
              <w:t>(Ineffective Portion) (in millions)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49"/>
        </w:trPr>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120" w:type="dxa"/>
            <w:vAlign w:val="bottom"/>
          </w:tcPr>
          <w:p>
            <w:pPr>
              <w:spacing w:after="0"/>
              <w:rPr>
                <w:sz w:val="21"/>
                <w:szCs w:val="21"/>
                <w:color w:val="auto"/>
              </w:rPr>
            </w:pPr>
          </w:p>
        </w:tc>
        <w:tc>
          <w:tcPr>
            <w:tcW w:w="880" w:type="dxa"/>
            <w:vAlign w:val="bottom"/>
            <w:tcBorders>
              <w:bottom w:val="single" w:sz="8" w:color="auto"/>
            </w:tcBorders>
            <w:gridSpan w:val="2"/>
            <w:shd w:val="clear" w:color="auto" w:fill="DDDDDD"/>
          </w:tcPr>
          <w:p>
            <w:pPr>
              <w:jc w:val="right"/>
              <w:spacing w:after="0"/>
              <w:rPr>
                <w:sz w:val="20"/>
                <w:szCs w:val="20"/>
                <w:color w:val="auto"/>
              </w:rPr>
            </w:pPr>
            <w:r>
              <w:rPr>
                <w:rFonts w:ascii="Arial" w:cs="Arial" w:eastAsia="Arial" w:hAnsi="Arial"/>
                <w:sz w:val="14"/>
                <w:szCs w:val="14"/>
                <w:b w:val="1"/>
                <w:bCs w:val="1"/>
                <w:color w:val="2573BA"/>
              </w:rPr>
              <w:t>2017</w:t>
            </w:r>
          </w:p>
        </w:tc>
        <w:tc>
          <w:tcPr>
            <w:tcW w:w="520" w:type="dxa"/>
            <w:vAlign w:val="bottom"/>
            <w:tcBorders>
              <w:bottom w:val="single" w:sz="8" w:color="auto"/>
            </w:tcBorders>
            <w:shd w:val="clear" w:color="auto" w:fill="DDDDDD"/>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1"/>
                <w:szCs w:val="21"/>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100" w:type="dxa"/>
            <w:vAlign w:val="bottom"/>
          </w:tcPr>
          <w:p>
            <w:pPr>
              <w:spacing w:after="0"/>
              <w:rPr>
                <w:sz w:val="21"/>
                <w:szCs w:val="21"/>
                <w:color w:val="auto"/>
              </w:rPr>
            </w:pPr>
          </w:p>
        </w:tc>
        <w:tc>
          <w:tcPr>
            <w:tcW w:w="140" w:type="dxa"/>
            <w:vAlign w:val="bottom"/>
            <w:tcBorders>
              <w:bottom w:val="single" w:sz="8" w:color="auto"/>
            </w:tcBorders>
            <w:shd w:val="clear" w:color="auto" w:fill="DDDDDD"/>
          </w:tcPr>
          <w:p>
            <w:pPr>
              <w:spacing w:after="0"/>
              <w:rPr>
                <w:sz w:val="21"/>
                <w:szCs w:val="21"/>
                <w:color w:val="auto"/>
              </w:rPr>
            </w:pPr>
          </w:p>
        </w:tc>
        <w:tc>
          <w:tcPr>
            <w:tcW w:w="1240" w:type="dxa"/>
            <w:vAlign w:val="bottom"/>
            <w:tcBorders>
              <w:bottom w:val="single" w:sz="8" w:color="auto"/>
            </w:tcBorders>
            <w:shd w:val="clear" w:color="auto" w:fill="DDDDDD"/>
          </w:tcPr>
          <w:p>
            <w:pPr>
              <w:jc w:val="right"/>
              <w:ind w:right="466"/>
              <w:spacing w:after="0"/>
              <w:rPr>
                <w:sz w:val="20"/>
                <w:szCs w:val="20"/>
                <w:color w:val="auto"/>
              </w:rPr>
            </w:pPr>
            <w:r>
              <w:rPr>
                <w:rFonts w:ascii="Arial" w:cs="Arial" w:eastAsia="Arial" w:hAnsi="Arial"/>
                <w:sz w:val="14"/>
                <w:szCs w:val="14"/>
                <w:b w:val="1"/>
                <w:bCs w:val="1"/>
                <w:color w:val="2573BA"/>
              </w:rPr>
              <w:t>2017</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2015</w:t>
            </w:r>
          </w:p>
        </w:tc>
      </w:tr>
      <w:tr>
        <w:trPr>
          <w:trHeight w:val="215"/>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740" w:type="dxa"/>
            <w:vAlign w:val="bottom"/>
            <w:shd w:val="clear" w:color="auto" w:fill="DDDDDD"/>
          </w:tcPr>
          <w:p>
            <w:pPr>
              <w:spacing w:after="0"/>
              <w:rPr>
                <w:sz w:val="18"/>
                <w:szCs w:val="18"/>
                <w:color w:val="auto"/>
              </w:rPr>
            </w:pPr>
          </w:p>
        </w:tc>
        <w:tc>
          <w:tcPr>
            <w:tcW w:w="520" w:type="dxa"/>
            <w:vAlign w:val="bottom"/>
            <w:shd w:val="clear" w:color="auto" w:fill="DDDDDD"/>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Arial" w:cs="Arial" w:eastAsia="Arial" w:hAnsi="Arial"/>
                <w:sz w:val="17"/>
                <w:szCs w:val="17"/>
                <w:color w:val="auto"/>
              </w:rPr>
              <w:t>Other income</w:t>
            </w:r>
          </w:p>
        </w:tc>
        <w:tc>
          <w:tcPr>
            <w:tcW w:w="140" w:type="dxa"/>
            <w:vAlign w:val="bottom"/>
            <w:shd w:val="clear" w:color="auto" w:fill="DDDDDD"/>
          </w:tcPr>
          <w:p>
            <w:pPr>
              <w:spacing w:after="0"/>
              <w:rPr>
                <w:sz w:val="18"/>
                <w:szCs w:val="18"/>
                <w:color w:val="auto"/>
              </w:rPr>
            </w:pPr>
          </w:p>
        </w:tc>
        <w:tc>
          <w:tcPr>
            <w:tcW w:w="1240" w:type="dxa"/>
            <w:vAlign w:val="bottom"/>
            <w:shd w:val="clear" w:color="auto" w:fill="DDDDDD"/>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4"/>
        </w:trPr>
        <w:tc>
          <w:tcPr>
            <w:tcW w:w="1160" w:type="dxa"/>
            <w:vAlign w:val="bottom"/>
            <w:gridSpan w:val="2"/>
          </w:tcPr>
          <w:p>
            <w:pPr>
              <w:ind w:left="20"/>
              <w:spacing w:after="0"/>
              <w:rPr>
                <w:sz w:val="20"/>
                <w:szCs w:val="20"/>
                <w:color w:val="auto"/>
              </w:rPr>
            </w:pPr>
            <w:r>
              <w:rPr>
                <w:rFonts w:ascii="Arial" w:cs="Arial" w:eastAsia="Arial" w:hAnsi="Arial"/>
                <w:sz w:val="17"/>
                <w:szCs w:val="17"/>
                <w:color w:val="auto"/>
              </w:rPr>
              <w:t>Revenues</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740" w:type="dxa"/>
            <w:vAlign w:val="bottom"/>
            <w:shd w:val="clear" w:color="auto" w:fill="DDDDDD"/>
          </w:tcPr>
          <w:p>
            <w:pPr>
              <w:spacing w:after="0"/>
              <w:rPr>
                <w:sz w:val="17"/>
                <w:szCs w:val="17"/>
                <w:color w:val="auto"/>
              </w:rPr>
            </w:pPr>
          </w:p>
        </w:tc>
        <w:tc>
          <w:tcPr>
            <w:tcW w:w="520" w:type="dxa"/>
            <w:vAlign w:val="bottom"/>
            <w:shd w:val="clear" w:color="auto" w:fill="DDDDDD"/>
          </w:tcPr>
          <w:p>
            <w:pPr>
              <w:jc w:val="right"/>
              <w:spacing w:after="0"/>
              <w:rPr>
                <w:sz w:val="20"/>
                <w:szCs w:val="20"/>
                <w:color w:val="auto"/>
              </w:rPr>
            </w:pPr>
            <w:r>
              <w:rPr>
                <w:rFonts w:ascii="Arial" w:cs="Arial" w:eastAsia="Arial" w:hAnsi="Arial"/>
                <w:sz w:val="17"/>
                <w:szCs w:val="17"/>
                <w:color w:val="2573BA"/>
                <w:w w:val="98"/>
              </w:rPr>
              <w:t>(32.5)</w:t>
            </w:r>
          </w:p>
        </w:tc>
        <w:tc>
          <w:tcPr>
            <w:tcW w:w="1040" w:type="dxa"/>
            <w:vAlign w:val="bottom"/>
            <w:gridSpan w:val="2"/>
          </w:tcPr>
          <w:p>
            <w:pPr>
              <w:jc w:val="center"/>
              <w:ind w:right="592"/>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15"/>
              <w:spacing w:after="0"/>
              <w:rPr>
                <w:sz w:val="20"/>
                <w:szCs w:val="20"/>
                <w:color w:val="auto"/>
              </w:rPr>
            </w:pPr>
            <w:r>
              <w:rPr>
                <w:rFonts w:ascii="Arial" w:cs="Arial" w:eastAsia="Arial" w:hAnsi="Arial"/>
                <w:sz w:val="17"/>
                <w:szCs w:val="17"/>
                <w:color w:val="auto"/>
              </w:rPr>
              <w:t>5.3</w:t>
            </w:r>
          </w:p>
        </w:tc>
        <w:tc>
          <w:tcPr>
            <w:tcW w:w="100" w:type="dxa"/>
            <w:vAlign w:val="bottom"/>
          </w:tcPr>
          <w:p>
            <w:pPr>
              <w:spacing w:after="0"/>
              <w:rPr>
                <w:sz w:val="17"/>
                <w:szCs w:val="17"/>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20"/>
              <w:spacing w:after="0"/>
              <w:rPr>
                <w:sz w:val="20"/>
                <w:szCs w:val="20"/>
                <w:color w:val="auto"/>
              </w:rPr>
            </w:pPr>
            <w:r>
              <w:rPr>
                <w:rFonts w:ascii="Arial" w:cs="Arial" w:eastAsia="Arial" w:hAnsi="Arial"/>
                <w:sz w:val="17"/>
                <w:szCs w:val="17"/>
                <w:color w:val="auto"/>
              </w:rPr>
              <w:t>173.2</w:t>
            </w:r>
          </w:p>
        </w:tc>
        <w:tc>
          <w:tcPr>
            <w:tcW w:w="100" w:type="dxa"/>
            <w:vAlign w:val="bottom"/>
          </w:tcPr>
          <w:p>
            <w:pPr>
              <w:spacing w:after="0"/>
              <w:rPr>
                <w:sz w:val="17"/>
                <w:szCs w:val="17"/>
                <w:color w:val="auto"/>
              </w:rPr>
            </w:pPr>
          </w:p>
        </w:tc>
        <w:tc>
          <w:tcPr>
            <w:tcW w:w="1460" w:type="dxa"/>
            <w:vAlign w:val="bottom"/>
            <w:gridSpan w:val="2"/>
          </w:tcPr>
          <w:p>
            <w:pPr>
              <w:ind w:left="20"/>
              <w:spacing w:after="0"/>
              <w:rPr>
                <w:sz w:val="20"/>
                <w:szCs w:val="20"/>
                <w:color w:val="auto"/>
              </w:rPr>
            </w:pPr>
            <w:r>
              <w:rPr>
                <w:rFonts w:ascii="Arial" w:cs="Arial" w:eastAsia="Arial" w:hAnsi="Arial"/>
                <w:sz w:val="17"/>
                <w:szCs w:val="17"/>
                <w:color w:val="auto"/>
              </w:rPr>
              <w:t>(expense)</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26"/>
              <w:spacing w:after="0"/>
              <w:rPr>
                <w:sz w:val="20"/>
                <w:szCs w:val="20"/>
                <w:color w:val="auto"/>
              </w:rPr>
            </w:pPr>
            <w:r>
              <w:rPr>
                <w:rFonts w:ascii="Arial" w:cs="Arial" w:eastAsia="Arial" w:hAnsi="Arial"/>
                <w:sz w:val="17"/>
                <w:szCs w:val="17"/>
                <w:color w:val="2573BA"/>
              </w:rPr>
              <w:t>8.9</w:t>
            </w:r>
          </w:p>
        </w:tc>
        <w:tc>
          <w:tcPr>
            <w:tcW w:w="4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20"/>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7"/>
                <w:szCs w:val="17"/>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20"/>
              <w:spacing w:after="0"/>
              <w:rPr>
                <w:sz w:val="20"/>
                <w:szCs w:val="20"/>
                <w:color w:val="auto"/>
              </w:rPr>
            </w:pPr>
            <w:r>
              <w:rPr>
                <w:rFonts w:ascii="Arial" w:cs="Arial" w:eastAsia="Arial" w:hAnsi="Arial"/>
                <w:sz w:val="17"/>
                <w:szCs w:val="17"/>
                <w:color w:val="auto"/>
              </w:rPr>
              <w:t>4.9</w:t>
            </w:r>
          </w:p>
        </w:tc>
      </w:tr>
      <w:tr>
        <w:trPr>
          <w:trHeight w:val="231"/>
        </w:trPr>
        <w:tc>
          <w:tcPr>
            <w:tcW w:w="1160" w:type="dxa"/>
            <w:vAlign w:val="bottom"/>
            <w:gridSpan w:val="2"/>
          </w:tcPr>
          <w:p>
            <w:pPr>
              <w:ind w:left="20"/>
              <w:spacing w:after="0"/>
              <w:rPr>
                <w:sz w:val="20"/>
                <w:szCs w:val="20"/>
                <w:color w:val="auto"/>
              </w:rPr>
            </w:pPr>
            <w:r>
              <w:rPr>
                <w:rFonts w:ascii="Arial" w:cs="Arial" w:eastAsia="Arial" w:hAnsi="Arial"/>
                <w:sz w:val="17"/>
                <w:szCs w:val="17"/>
                <w:color w:val="auto"/>
              </w:rPr>
              <w:t>Operating</w:t>
            </w:r>
          </w:p>
        </w:tc>
        <w:tc>
          <w:tcPr>
            <w:tcW w:w="140" w:type="dxa"/>
            <w:vAlign w:val="bottom"/>
            <w:shd w:val="clear" w:color="auto" w:fill="DDDDDD"/>
          </w:tcPr>
          <w:p>
            <w:pPr>
              <w:spacing w:after="0"/>
              <w:rPr>
                <w:sz w:val="20"/>
                <w:szCs w:val="20"/>
                <w:color w:val="auto"/>
              </w:rPr>
            </w:pPr>
          </w:p>
        </w:tc>
        <w:tc>
          <w:tcPr>
            <w:tcW w:w="740" w:type="dxa"/>
            <w:vAlign w:val="bottom"/>
            <w:shd w:val="clear" w:color="auto" w:fill="DDDDDD"/>
          </w:tcPr>
          <w:p>
            <w:pPr>
              <w:spacing w:after="0"/>
              <w:rPr>
                <w:sz w:val="20"/>
                <w:szCs w:val="20"/>
                <w:color w:val="auto"/>
              </w:rPr>
            </w:pPr>
          </w:p>
        </w:tc>
        <w:tc>
          <w:tcPr>
            <w:tcW w:w="520" w:type="dxa"/>
            <w:vAlign w:val="bottom"/>
            <w:shd w:val="clear" w:color="auto" w:fill="DDDDDD"/>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7"/>
                <w:szCs w:val="17"/>
                <w:color w:val="auto"/>
              </w:rPr>
              <w:t>Other income</w:t>
            </w:r>
          </w:p>
        </w:tc>
        <w:tc>
          <w:tcPr>
            <w:tcW w:w="140" w:type="dxa"/>
            <w:vAlign w:val="bottom"/>
            <w:shd w:val="clear" w:color="auto" w:fill="DDDDDD"/>
          </w:tcPr>
          <w:p>
            <w:pPr>
              <w:spacing w:after="0"/>
              <w:rPr>
                <w:sz w:val="20"/>
                <w:szCs w:val="20"/>
                <w:color w:val="auto"/>
              </w:rPr>
            </w:pPr>
          </w:p>
        </w:tc>
        <w:tc>
          <w:tcPr>
            <w:tcW w:w="1240" w:type="dxa"/>
            <w:vAlign w:val="bottom"/>
            <w:shd w:val="clear" w:color="auto" w:fill="DDDDDD"/>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19"/>
        </w:trPr>
        <w:tc>
          <w:tcPr>
            <w:tcW w:w="1160" w:type="dxa"/>
            <w:vAlign w:val="bottom"/>
            <w:gridSpan w:val="2"/>
          </w:tcPr>
          <w:p>
            <w:pPr>
              <w:ind w:left="20"/>
              <w:spacing w:after="0"/>
              <w:rPr>
                <w:sz w:val="20"/>
                <w:szCs w:val="20"/>
                <w:color w:val="auto"/>
              </w:rPr>
            </w:pPr>
            <w:r>
              <w:rPr>
                <w:rFonts w:ascii="Arial" w:cs="Arial" w:eastAsia="Arial" w:hAnsi="Arial"/>
                <w:sz w:val="17"/>
                <w:szCs w:val="17"/>
                <w:color w:val="auto"/>
              </w:rPr>
              <w:t>expenses</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740" w:type="dxa"/>
            <w:vAlign w:val="bottom"/>
            <w:shd w:val="clear" w:color="auto" w:fill="DDDDDD"/>
          </w:tcPr>
          <w:p>
            <w:pPr>
              <w:spacing w:after="0"/>
              <w:rPr>
                <w:sz w:val="19"/>
                <w:szCs w:val="19"/>
                <w:color w:val="auto"/>
              </w:rPr>
            </w:pPr>
          </w:p>
        </w:tc>
        <w:tc>
          <w:tcPr>
            <w:tcW w:w="520" w:type="dxa"/>
            <w:vAlign w:val="bottom"/>
            <w:shd w:val="clear" w:color="auto" w:fill="DDDDDD"/>
          </w:tcPr>
          <w:p>
            <w:pPr>
              <w:jc w:val="right"/>
              <w:ind w:right="40"/>
              <w:spacing w:after="0"/>
              <w:rPr>
                <w:sz w:val="20"/>
                <w:szCs w:val="20"/>
                <w:color w:val="auto"/>
              </w:rPr>
            </w:pPr>
            <w:r>
              <w:rPr>
                <w:rFonts w:ascii="Arial" w:cs="Arial" w:eastAsia="Arial" w:hAnsi="Arial"/>
                <w:sz w:val="17"/>
                <w:szCs w:val="17"/>
                <w:color w:val="2573BA"/>
              </w:rPr>
              <w:t>0.6</w:t>
            </w:r>
          </w:p>
        </w:tc>
        <w:tc>
          <w:tcPr>
            <w:tcW w:w="1040" w:type="dxa"/>
            <w:vAlign w:val="bottom"/>
            <w:gridSpan w:val="2"/>
          </w:tcPr>
          <w:p>
            <w:pPr>
              <w:jc w:val="center"/>
              <w:ind w:right="592"/>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9"/>
                <w:szCs w:val="19"/>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60" w:type="dxa"/>
            <w:vAlign w:val="bottom"/>
            <w:gridSpan w:val="2"/>
          </w:tcPr>
          <w:p>
            <w:pPr>
              <w:ind w:left="20"/>
              <w:spacing w:after="0"/>
              <w:rPr>
                <w:sz w:val="20"/>
                <w:szCs w:val="20"/>
                <w:color w:val="auto"/>
              </w:rPr>
            </w:pPr>
            <w:r>
              <w:rPr>
                <w:rFonts w:ascii="Arial" w:cs="Arial" w:eastAsia="Arial" w:hAnsi="Arial"/>
                <w:sz w:val="17"/>
                <w:szCs w:val="17"/>
                <w:color w:val="auto"/>
              </w:rPr>
              <w:t>(expense)</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(0.2)</w:t>
            </w:r>
          </w:p>
        </w:tc>
        <w:tc>
          <w:tcPr>
            <w:tcW w:w="4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20"/>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20"/>
              <w:spacing w:after="0"/>
              <w:rPr>
                <w:sz w:val="20"/>
                <w:szCs w:val="20"/>
                <w:color w:val="auto"/>
              </w:rPr>
            </w:pPr>
            <w:r>
              <w:rPr>
                <w:rFonts w:ascii="Arial" w:cs="Arial" w:eastAsia="Arial" w:hAnsi="Arial"/>
                <w:sz w:val="17"/>
                <w:szCs w:val="17"/>
                <w:color w:val="auto"/>
              </w:rPr>
              <w:t>—</w:t>
            </w:r>
          </w:p>
        </w:tc>
      </w:tr>
    </w:tbl>
    <w:p>
      <w:pPr>
        <w:spacing w:after="0" w:line="13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Interest Rate Contracts - Hedging Instruments</w:t>
      </w:r>
    </w:p>
    <w:p>
      <w:pPr>
        <w:spacing w:after="0" w:line="106" w:lineRule="exact"/>
        <w:rPr>
          <w:sz w:val="20"/>
          <w:szCs w:val="20"/>
          <w:color w:val="auto"/>
        </w:rPr>
      </w:pPr>
    </w:p>
    <w:p>
      <w:pPr>
        <w:ind w:right="360" w:firstLine="410"/>
        <w:spacing w:after="0" w:line="262" w:lineRule="auto"/>
        <w:rPr>
          <w:sz w:val="20"/>
          <w:szCs w:val="20"/>
          <w:color w:val="auto"/>
        </w:rPr>
      </w:pPr>
      <w:r>
        <w:rPr>
          <w:rFonts w:ascii="Arial" w:cs="Arial" w:eastAsia="Arial" w:hAnsi="Arial"/>
          <w:sz w:val="17"/>
          <w:szCs w:val="17"/>
          <w:color w:val="auto"/>
        </w:rPr>
        <w:t>We have entered into interest rate lock contracts or interest rate swap contracts on certain borrowing transactions to manage our exposure to interest rate changes and to reduce our overall cost of borrowing.</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Interest Rate Lock Contracts</w:t>
      </w:r>
    </w:p>
    <w:p>
      <w:pPr>
        <w:spacing w:after="0" w:line="104" w:lineRule="exact"/>
        <w:rPr>
          <w:sz w:val="20"/>
          <w:szCs w:val="20"/>
          <w:color w:val="auto"/>
        </w:rPr>
      </w:pPr>
    </w:p>
    <w:p>
      <w:pPr>
        <w:ind w:right="60" w:firstLine="410"/>
        <w:spacing w:after="0" w:line="254" w:lineRule="auto"/>
        <w:rPr>
          <w:sz w:val="20"/>
          <w:szCs w:val="20"/>
          <w:color w:val="auto"/>
        </w:rPr>
      </w:pPr>
      <w:r>
        <w:rPr>
          <w:rFonts w:ascii="Arial" w:cs="Arial" w:eastAsia="Arial" w:hAnsi="Arial"/>
          <w:sz w:val="17"/>
          <w:szCs w:val="17"/>
          <w:color w:val="auto"/>
        </w:rPr>
        <w:t xml:space="preserve">During 2015 we entered into treasury rate locks, with an aggregated notional amount of $1.1 billion, which were designated as cash flow hedges to hedge against changes in the 10-year and 30-year U.S. treasury interest rates that could have impacted our anticipated debt offering. In connection with the issuance of our 4.05% and 5.20% Senior Notes, as described in Note 12, </w:t>
      </w:r>
      <w:r>
        <w:rPr>
          <w:rFonts w:ascii="Arial" w:cs="Arial" w:eastAsia="Arial" w:hAnsi="Arial"/>
          <w:sz w:val="17"/>
          <w:szCs w:val="17"/>
          <w:i w:val="1"/>
          <w:iCs w:val="1"/>
          <w:color w:val="auto"/>
        </w:rPr>
        <w:t>Indebtedness</w:t>
      </w:r>
      <w:r>
        <w:rPr>
          <w:rFonts w:ascii="Arial" w:cs="Arial" w:eastAsia="Arial" w:hAnsi="Arial"/>
          <w:sz w:val="17"/>
          <w:szCs w:val="17"/>
          <w:color w:val="auto"/>
        </w:rPr>
        <w:t>, to these consolidated financial statements, we settled the treasury rate locks and realized an $8.5 million gain. As the hedging relationship was effective, the gain was recorded in AOCI and will be recognized in other income (expense), net over the life of the 4.05% and 5.20% Senior Notes.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F- 36</w:t>
      </w:r>
    </w:p>
    <w:p>
      <w:pPr>
        <w:sectPr>
          <w:pgSz w:w="11900" w:h="16838" w:orient="portrait"/>
          <w:cols w:equalWidth="0" w:num="1">
            <w:col w:w="11420"/>
          </w:cols>
          <w:pgMar w:left="240" w:top="139" w:right="239" w:bottom="1440" w:gutter="0" w:footer="0" w:header="0"/>
        </w:sectPr>
      </w:pPr>
    </w:p>
    <w:bookmarkStart w:id="138" w:name="page139"/>
    <w:bookmarkEnd w:id="1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Interest Rate Swap Contracts</w:t>
      </w:r>
    </w:p>
    <w:p>
      <w:pPr>
        <w:spacing w:after="0" w:line="86" w:lineRule="exact"/>
        <w:rPr>
          <w:sz w:val="20"/>
          <w:szCs w:val="20"/>
          <w:color w:val="auto"/>
        </w:rPr>
      </w:pPr>
    </w:p>
    <w:p>
      <w:pPr>
        <w:ind w:firstLine="410"/>
        <w:spacing w:after="0" w:line="258" w:lineRule="auto"/>
        <w:rPr>
          <w:sz w:val="20"/>
          <w:szCs w:val="20"/>
          <w:color w:val="auto"/>
        </w:rPr>
      </w:pPr>
      <w:r>
        <w:rPr>
          <w:rFonts w:ascii="Arial" w:cs="Arial" w:eastAsia="Arial" w:hAnsi="Arial"/>
          <w:sz w:val="17"/>
          <w:szCs w:val="17"/>
          <w:color w:val="auto"/>
        </w:rPr>
        <w:t xml:space="preserve">In connection with the issuance of our 2.90% Senior Notes, as described in Note 12, </w:t>
      </w:r>
      <w:r>
        <w:rPr>
          <w:rFonts w:ascii="Arial" w:cs="Arial" w:eastAsia="Arial" w:hAnsi="Arial"/>
          <w:sz w:val="17"/>
          <w:szCs w:val="17"/>
          <w:i w:val="1"/>
          <w:iCs w:val="1"/>
          <w:color w:val="auto"/>
        </w:rPr>
        <w:t>Indebtedness</w:t>
      </w:r>
      <w:r>
        <w:rPr>
          <w:rFonts w:ascii="Arial" w:cs="Arial" w:eastAsia="Arial" w:hAnsi="Arial"/>
          <w:sz w:val="17"/>
          <w:szCs w:val="17"/>
          <w:color w:val="auto"/>
        </w:rPr>
        <w:t>, to these consolidated financial statements, we entered into interest rate swaps with an aggregate notional amount of $675.0 million, which expire on September 15, 2020. The interest rate swap contracts are designated as hedges of the fair value changes in the 2.90% Senior Notes attributable to changes in interest rates. Since the specific terms and notional amount of the swaps match the debt being hedged, it is assumed to be a highly effective hedge and all changes in the fair value of the swaps are recorded as a component of the 2.90% Senior Notes with no net impact recorded in income. Any net interest payments made or received on the interest rate swap contracts are recognized as a component of interest expense in our consolidated statements of income.</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Foreign Currency Forward Contracts - Other Derivatives</w:t>
      </w:r>
    </w:p>
    <w:p>
      <w:pPr>
        <w:spacing w:after="0" w:line="106" w:lineRule="exact"/>
        <w:rPr>
          <w:sz w:val="20"/>
          <w:szCs w:val="20"/>
          <w:color w:val="auto"/>
        </w:rPr>
      </w:pPr>
    </w:p>
    <w:p>
      <w:pPr>
        <w:ind w:right="500" w:firstLine="410"/>
        <w:spacing w:after="0" w:line="262" w:lineRule="auto"/>
        <w:rPr>
          <w:sz w:val="20"/>
          <w:szCs w:val="20"/>
          <w:color w:val="auto"/>
        </w:rPr>
      </w:pPr>
      <w:r>
        <w:rPr>
          <w:rFonts w:ascii="Arial" w:cs="Arial" w:eastAsia="Arial" w:hAnsi="Arial"/>
          <w:sz w:val="17"/>
          <w:szCs w:val="17"/>
          <w:color w:val="auto"/>
        </w:rPr>
        <w:t>We also enter into other foreign currency forward contracts, usually with durations of one month or less, to mitigate the foreign currency risk related to certain balance sheet positions. We have not elected hedge accounting for these transactions.</w:t>
      </w:r>
    </w:p>
    <w:p>
      <w:pPr>
        <w:spacing w:after="0" w:line="137" w:lineRule="exact"/>
        <w:rPr>
          <w:sz w:val="20"/>
          <w:szCs w:val="20"/>
          <w:color w:val="auto"/>
        </w:rPr>
      </w:pPr>
    </w:p>
    <w:p>
      <w:pPr>
        <w:ind w:right="200" w:firstLine="410"/>
        <w:spacing w:after="0" w:line="257" w:lineRule="auto"/>
        <w:rPr>
          <w:sz w:val="20"/>
          <w:szCs w:val="20"/>
          <w:color w:val="auto"/>
        </w:rPr>
      </w:pPr>
      <w:r>
        <w:rPr>
          <w:rFonts w:ascii="Arial" w:cs="Arial" w:eastAsia="Arial" w:hAnsi="Arial"/>
          <w:sz w:val="17"/>
          <w:szCs w:val="17"/>
          <w:color w:val="auto"/>
        </w:rPr>
        <w:t>The aggregate notional amount of these outstanding foreign currency contracts was $564.9 million and $902.1 million as of December 31, 2017 and 2016, respectively. Net gains of $4.5 million and net losses of $29.2 million and $23.8 million related to these contracts were recognized as a component of other income (expense), net, for the years ended December 31, 2017, 2016 and 2015, respectively.</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Summary of Derivatives</w:t>
      </w:r>
    </w:p>
    <w:p>
      <w:pPr>
        <w:spacing w:after="0" w:line="106" w:lineRule="exact"/>
        <w:rPr>
          <w:sz w:val="20"/>
          <w:szCs w:val="20"/>
          <w:color w:val="auto"/>
        </w:rPr>
      </w:pPr>
    </w:p>
    <w:p>
      <w:pPr>
        <w:ind w:right="60" w:firstLine="410"/>
        <w:spacing w:after="0" w:line="262" w:lineRule="auto"/>
        <w:rPr>
          <w:sz w:val="20"/>
          <w:szCs w:val="20"/>
          <w:color w:val="auto"/>
        </w:rPr>
      </w:pPr>
      <w:r>
        <w:rPr>
          <w:rFonts w:ascii="Arial" w:cs="Arial" w:eastAsia="Arial" w:hAnsi="Arial"/>
          <w:sz w:val="17"/>
          <w:szCs w:val="17"/>
          <w:color w:val="auto"/>
        </w:rPr>
        <w:t>While certain of our derivatives are subject to netting arrangements with our counterparties, we do not offset derivative assets and liabilities in our consolidated balance sheets.</w:t>
      </w:r>
    </w:p>
    <w:p>
      <w:pPr>
        <w:spacing w:after="0" w:line="137" w:lineRule="exact"/>
        <w:rPr>
          <w:sz w:val="20"/>
          <w:szCs w:val="20"/>
          <w:color w:val="auto"/>
        </w:rPr>
      </w:pPr>
    </w:p>
    <w:p>
      <w:pPr>
        <w:ind w:right="140" w:firstLine="410"/>
        <w:spacing w:after="0" w:line="262" w:lineRule="auto"/>
        <w:rPr>
          <w:sz w:val="20"/>
          <w:szCs w:val="20"/>
          <w:color w:val="auto"/>
        </w:rPr>
      </w:pPr>
      <w:r>
        <w:rPr>
          <w:rFonts w:ascii="Arial" w:cs="Arial" w:eastAsia="Arial" w:hAnsi="Arial"/>
          <w:sz w:val="17"/>
          <w:szCs w:val="17"/>
          <w:color w:val="auto"/>
        </w:rPr>
        <w:t>The following table summarizes the fair value and presentation in our consolidated balance sheets of our outstanding derivatives including those designated as hedging instruments: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1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40" w:type="dxa"/>
            <w:vAlign w:val="bottom"/>
            <w:shd w:val="clear" w:color="auto" w:fill="DDDDDD"/>
          </w:tcPr>
          <w:p>
            <w:pPr>
              <w:spacing w:after="0"/>
              <w:rPr>
                <w:sz w:val="14"/>
                <w:szCs w:val="14"/>
                <w:color w:val="auto"/>
              </w:rPr>
            </w:pPr>
          </w:p>
        </w:tc>
        <w:tc>
          <w:tcPr>
            <w:tcW w:w="2140" w:type="dxa"/>
            <w:vAlign w:val="bottom"/>
            <w:shd w:val="clear" w:color="auto" w:fill="DDDDDD"/>
          </w:tcPr>
          <w:p>
            <w:pPr>
              <w:jc w:val="center"/>
              <w:ind w:right="59"/>
              <w:spacing w:after="0"/>
              <w:rPr>
                <w:sz w:val="20"/>
                <w:szCs w:val="20"/>
                <w:color w:val="auto"/>
              </w:rPr>
            </w:pPr>
            <w:r>
              <w:rPr>
                <w:rFonts w:ascii="Arial" w:cs="Arial" w:eastAsia="Arial" w:hAnsi="Arial"/>
                <w:sz w:val="14"/>
                <w:szCs w:val="14"/>
                <w:b w:val="1"/>
                <w:bCs w:val="1"/>
                <w:color w:val="2573BA"/>
                <w:w w:val="95"/>
              </w:rPr>
              <w:t>Fair Value</w:t>
            </w:r>
          </w:p>
        </w:tc>
      </w:tr>
      <w:tr>
        <w:trPr>
          <w:trHeight w:val="185"/>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5980" w:type="dxa"/>
            <w:vAlign w:val="bottom"/>
            <w:tcBorders>
              <w:bottom w:val="single" w:sz="8" w:color="auto"/>
            </w:tcBorders>
          </w:tcPr>
          <w:p>
            <w:pPr>
              <w:ind w:left="2940"/>
              <w:spacing w:after="0"/>
              <w:rPr>
                <w:sz w:val="20"/>
                <w:szCs w:val="20"/>
                <w:color w:val="auto"/>
              </w:rPr>
            </w:pPr>
            <w:r>
              <w:rPr>
                <w:rFonts w:ascii="Arial" w:cs="Arial" w:eastAsia="Arial" w:hAnsi="Arial"/>
                <w:sz w:val="14"/>
                <w:szCs w:val="14"/>
                <w:b w:val="1"/>
                <w:bCs w:val="1"/>
                <w:color w:val="auto"/>
              </w:rPr>
              <w:t>Balance Sheet Location</w:t>
            </w:r>
          </w:p>
        </w:tc>
        <w:tc>
          <w:tcPr>
            <w:tcW w:w="140" w:type="dxa"/>
            <w:vAlign w:val="bottom"/>
            <w:tcBorders>
              <w:bottom w:val="single" w:sz="8" w:color="auto"/>
            </w:tcBorders>
            <w:shd w:val="clear" w:color="auto" w:fill="DDDDDD"/>
          </w:tcPr>
          <w:p>
            <w:pPr>
              <w:spacing w:after="0"/>
              <w:rPr>
                <w:sz w:val="16"/>
                <w:szCs w:val="16"/>
                <w:color w:val="auto"/>
              </w:rPr>
            </w:pPr>
          </w:p>
        </w:tc>
        <w:tc>
          <w:tcPr>
            <w:tcW w:w="2140" w:type="dxa"/>
            <w:vAlign w:val="bottom"/>
            <w:tcBorders>
              <w:bottom w:val="single" w:sz="8" w:color="auto"/>
            </w:tcBorders>
            <w:shd w:val="clear" w:color="auto" w:fill="DDDDDD"/>
          </w:tcPr>
          <w:p>
            <w:pPr>
              <w:jc w:val="center"/>
              <w:ind w:right="59"/>
              <w:spacing w:after="0"/>
              <w:rPr>
                <w:sz w:val="20"/>
                <w:szCs w:val="20"/>
                <w:color w:val="auto"/>
              </w:rPr>
            </w:pPr>
            <w:r>
              <w:rPr>
                <w:rFonts w:ascii="Arial" w:cs="Arial" w:eastAsia="Arial" w:hAnsi="Arial"/>
                <w:sz w:val="14"/>
                <w:szCs w:val="14"/>
                <w:b w:val="1"/>
                <w:bCs w:val="1"/>
                <w:color w:val="2573BA"/>
                <w:w w:val="96"/>
              </w:rPr>
              <w:t>As of December 31, 2017</w:t>
            </w:r>
          </w:p>
        </w:tc>
      </w:tr>
      <w:tr>
        <w:trPr>
          <w:trHeight w:val="228"/>
        </w:trPr>
        <w:tc>
          <w:tcPr>
            <w:tcW w:w="3120" w:type="dxa"/>
            <w:vAlign w:val="bottom"/>
          </w:tcPr>
          <w:p>
            <w:pPr>
              <w:ind w:left="20"/>
              <w:spacing w:after="0"/>
              <w:rPr>
                <w:sz w:val="20"/>
                <w:szCs w:val="20"/>
                <w:color w:val="auto"/>
              </w:rPr>
            </w:pPr>
            <w:r>
              <w:rPr>
                <w:rFonts w:ascii="Arial" w:cs="Arial" w:eastAsia="Arial" w:hAnsi="Arial"/>
                <w:sz w:val="17"/>
                <w:szCs w:val="17"/>
                <w:i w:val="1"/>
                <w:iCs w:val="1"/>
                <w:color w:val="auto"/>
              </w:rPr>
              <w:t>Hedging Instruments:</w:t>
            </w:r>
          </w:p>
        </w:tc>
        <w:tc>
          <w:tcPr>
            <w:tcW w:w="5980" w:type="dxa"/>
            <w:vAlign w:val="bottom"/>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2140" w:type="dxa"/>
            <w:vAlign w:val="bottom"/>
            <w:shd w:val="clear" w:color="auto" w:fill="DDDDDD"/>
          </w:tcPr>
          <w:p>
            <w:pPr>
              <w:spacing w:after="0"/>
              <w:rPr>
                <w:sz w:val="19"/>
                <w:szCs w:val="19"/>
                <w:color w:val="auto"/>
              </w:rPr>
            </w:pPr>
          </w:p>
        </w:tc>
      </w:tr>
      <w:tr>
        <w:trPr>
          <w:trHeight w:val="256"/>
        </w:trPr>
        <w:tc>
          <w:tcPr>
            <w:tcW w:w="3120" w:type="dxa"/>
            <w:vAlign w:val="bottom"/>
          </w:tcPr>
          <w:p>
            <w:pPr>
              <w:ind w:left="160"/>
              <w:spacing w:after="0"/>
              <w:rPr>
                <w:sz w:val="20"/>
                <w:szCs w:val="20"/>
                <w:color w:val="auto"/>
              </w:rPr>
            </w:pPr>
            <w:r>
              <w:rPr>
                <w:rFonts w:ascii="Arial" w:cs="Arial" w:eastAsia="Arial" w:hAnsi="Arial"/>
                <w:sz w:val="17"/>
                <w:szCs w:val="17"/>
                <w:color w:val="auto"/>
              </w:rPr>
              <w:t>Asset derivatives</w:t>
            </w:r>
          </w:p>
        </w:tc>
        <w:tc>
          <w:tcPr>
            <w:tcW w:w="5980" w:type="dxa"/>
            <w:vAlign w:val="bottom"/>
          </w:tcPr>
          <w:p>
            <w:pPr>
              <w:ind w:left="1460"/>
              <w:spacing w:after="0"/>
              <w:rPr>
                <w:sz w:val="20"/>
                <w:szCs w:val="20"/>
                <w:color w:val="auto"/>
              </w:rPr>
            </w:pPr>
            <w:r>
              <w:rPr>
                <w:rFonts w:ascii="Arial" w:cs="Arial" w:eastAsia="Arial" w:hAnsi="Arial"/>
                <w:sz w:val="17"/>
                <w:szCs w:val="17"/>
                <w:color w:val="auto"/>
              </w:rPr>
              <w:t>Other current assets</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214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0.7</w:t>
            </w:r>
          </w:p>
        </w:tc>
      </w:tr>
      <w:tr>
        <w:trPr>
          <w:trHeight w:val="256"/>
        </w:trPr>
        <w:tc>
          <w:tcPr>
            <w:tcW w:w="3120" w:type="dxa"/>
            <w:vAlign w:val="bottom"/>
          </w:tcPr>
          <w:p>
            <w:pPr>
              <w:spacing w:after="0"/>
              <w:rPr>
                <w:sz w:val="22"/>
                <w:szCs w:val="22"/>
                <w:color w:val="auto"/>
              </w:rPr>
            </w:pPr>
          </w:p>
        </w:tc>
        <w:tc>
          <w:tcPr>
            <w:tcW w:w="5980" w:type="dxa"/>
            <w:vAlign w:val="bottom"/>
          </w:tcPr>
          <w:p>
            <w:pPr>
              <w:ind w:left="1460"/>
              <w:spacing w:after="0"/>
              <w:rPr>
                <w:sz w:val="20"/>
                <w:szCs w:val="20"/>
                <w:color w:val="auto"/>
              </w:rPr>
            </w:pPr>
            <w:r>
              <w:rPr>
                <w:rFonts w:ascii="Arial" w:cs="Arial" w:eastAsia="Arial" w:hAnsi="Arial"/>
                <w:sz w:val="17"/>
                <w:szCs w:val="17"/>
                <w:color w:val="auto"/>
              </w:rPr>
              <w:t>Investments and other assets</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214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0.2</w:t>
            </w:r>
          </w:p>
        </w:tc>
      </w:tr>
      <w:tr>
        <w:trPr>
          <w:trHeight w:val="243"/>
        </w:trPr>
        <w:tc>
          <w:tcPr>
            <w:tcW w:w="3120" w:type="dxa"/>
            <w:vAlign w:val="bottom"/>
          </w:tcPr>
          <w:p>
            <w:pPr>
              <w:ind w:left="160"/>
              <w:spacing w:after="0"/>
              <w:rPr>
                <w:sz w:val="20"/>
                <w:szCs w:val="20"/>
                <w:color w:val="auto"/>
              </w:rPr>
            </w:pPr>
            <w:r>
              <w:rPr>
                <w:rFonts w:ascii="Arial" w:cs="Arial" w:eastAsia="Arial" w:hAnsi="Arial"/>
                <w:sz w:val="17"/>
                <w:szCs w:val="17"/>
                <w:color w:val="auto"/>
              </w:rPr>
              <w:t>Liability derivatives</w:t>
            </w:r>
          </w:p>
        </w:tc>
        <w:tc>
          <w:tcPr>
            <w:tcW w:w="5980" w:type="dxa"/>
            <w:vAlign w:val="bottom"/>
          </w:tcPr>
          <w:p>
            <w:pPr>
              <w:ind w:left="1460"/>
              <w:spacing w:after="0"/>
              <w:rPr>
                <w:sz w:val="20"/>
                <w:szCs w:val="20"/>
                <w:color w:val="auto"/>
              </w:rPr>
            </w:pPr>
            <w:r>
              <w:rPr>
                <w:rFonts w:ascii="Arial" w:cs="Arial" w:eastAsia="Arial" w:hAnsi="Arial"/>
                <w:sz w:val="17"/>
                <w:szCs w:val="17"/>
                <w:color w:val="auto"/>
              </w:rPr>
              <w:t>Accrued expenses and other</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214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84.7</w:t>
            </w:r>
          </w:p>
        </w:tc>
      </w:tr>
      <w:tr>
        <w:trPr>
          <w:trHeight w:val="256"/>
        </w:trPr>
        <w:tc>
          <w:tcPr>
            <w:tcW w:w="3120" w:type="dxa"/>
            <w:vAlign w:val="bottom"/>
          </w:tcPr>
          <w:p>
            <w:pPr>
              <w:spacing w:after="0"/>
              <w:rPr>
                <w:sz w:val="22"/>
                <w:szCs w:val="22"/>
                <w:color w:val="auto"/>
              </w:rPr>
            </w:pPr>
          </w:p>
        </w:tc>
        <w:tc>
          <w:tcPr>
            <w:tcW w:w="5980" w:type="dxa"/>
            <w:vAlign w:val="bottom"/>
          </w:tcPr>
          <w:p>
            <w:pPr>
              <w:ind w:left="1460"/>
              <w:spacing w:after="0"/>
              <w:rPr>
                <w:sz w:val="20"/>
                <w:szCs w:val="20"/>
                <w:color w:val="auto"/>
              </w:rPr>
            </w:pPr>
            <w:r>
              <w:rPr>
                <w:rFonts w:ascii="Arial" w:cs="Arial" w:eastAsia="Arial" w:hAnsi="Arial"/>
                <w:sz w:val="17"/>
                <w:szCs w:val="17"/>
                <w:color w:val="auto"/>
              </w:rPr>
              <w:t>Other long-term liabilities</w:t>
            </w:r>
          </w:p>
        </w:tc>
        <w:tc>
          <w:tcPr>
            <w:tcW w:w="140" w:type="dxa"/>
            <w:vAlign w:val="bottom"/>
            <w:shd w:val="clear" w:color="auto" w:fill="DDDDDD"/>
          </w:tcPr>
          <w:p>
            <w:pPr>
              <w:spacing w:after="0"/>
              <w:rPr>
                <w:sz w:val="22"/>
                <w:szCs w:val="22"/>
                <w:color w:val="auto"/>
              </w:rPr>
            </w:pPr>
          </w:p>
        </w:tc>
        <w:tc>
          <w:tcPr>
            <w:tcW w:w="214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23.6</w:t>
            </w:r>
          </w:p>
        </w:tc>
      </w:tr>
      <w:tr>
        <w:trPr>
          <w:trHeight w:val="243"/>
        </w:trPr>
        <w:tc>
          <w:tcPr>
            <w:tcW w:w="3120" w:type="dxa"/>
            <w:vAlign w:val="bottom"/>
          </w:tcPr>
          <w:p>
            <w:pPr>
              <w:ind w:left="20"/>
              <w:spacing w:after="0"/>
              <w:rPr>
                <w:sz w:val="20"/>
                <w:szCs w:val="20"/>
                <w:color w:val="auto"/>
              </w:rPr>
            </w:pPr>
            <w:r>
              <w:rPr>
                <w:rFonts w:ascii="Arial" w:cs="Arial" w:eastAsia="Arial" w:hAnsi="Arial"/>
                <w:sz w:val="17"/>
                <w:szCs w:val="17"/>
                <w:i w:val="1"/>
                <w:iCs w:val="1"/>
                <w:color w:val="auto"/>
              </w:rPr>
              <w:t>Other Derivatives:</w:t>
            </w:r>
          </w:p>
        </w:tc>
        <w:tc>
          <w:tcPr>
            <w:tcW w:w="5980" w:type="dxa"/>
            <w:vAlign w:val="bottom"/>
          </w:tcPr>
          <w:p>
            <w:pPr>
              <w:spacing w:after="0"/>
              <w:rPr>
                <w:sz w:val="21"/>
                <w:szCs w:val="21"/>
                <w:color w:val="auto"/>
              </w:rPr>
            </w:pPr>
          </w:p>
        </w:tc>
        <w:tc>
          <w:tcPr>
            <w:tcW w:w="140" w:type="dxa"/>
            <w:vAlign w:val="bottom"/>
            <w:shd w:val="clear" w:color="auto" w:fill="DDDDDD"/>
          </w:tcPr>
          <w:p>
            <w:pPr>
              <w:spacing w:after="0"/>
              <w:rPr>
                <w:sz w:val="21"/>
                <w:szCs w:val="21"/>
                <w:color w:val="auto"/>
              </w:rPr>
            </w:pPr>
          </w:p>
        </w:tc>
        <w:tc>
          <w:tcPr>
            <w:tcW w:w="2140" w:type="dxa"/>
            <w:vAlign w:val="bottom"/>
            <w:shd w:val="clear" w:color="auto" w:fill="DDDDDD"/>
          </w:tcPr>
          <w:p>
            <w:pPr>
              <w:spacing w:after="0"/>
              <w:rPr>
                <w:sz w:val="21"/>
                <w:szCs w:val="21"/>
                <w:color w:val="auto"/>
              </w:rPr>
            </w:pPr>
          </w:p>
        </w:tc>
      </w:tr>
      <w:tr>
        <w:trPr>
          <w:trHeight w:val="256"/>
        </w:trPr>
        <w:tc>
          <w:tcPr>
            <w:tcW w:w="3120" w:type="dxa"/>
            <w:vAlign w:val="bottom"/>
          </w:tcPr>
          <w:p>
            <w:pPr>
              <w:ind w:left="160"/>
              <w:spacing w:after="0"/>
              <w:rPr>
                <w:sz w:val="20"/>
                <w:szCs w:val="20"/>
                <w:color w:val="auto"/>
              </w:rPr>
            </w:pPr>
            <w:r>
              <w:rPr>
                <w:rFonts w:ascii="Arial" w:cs="Arial" w:eastAsia="Arial" w:hAnsi="Arial"/>
                <w:sz w:val="17"/>
                <w:szCs w:val="17"/>
                <w:color w:val="auto"/>
              </w:rPr>
              <w:t>Asset derivatives</w:t>
            </w:r>
          </w:p>
        </w:tc>
        <w:tc>
          <w:tcPr>
            <w:tcW w:w="5980" w:type="dxa"/>
            <w:vAlign w:val="bottom"/>
          </w:tcPr>
          <w:p>
            <w:pPr>
              <w:ind w:left="1460"/>
              <w:spacing w:after="0"/>
              <w:rPr>
                <w:sz w:val="20"/>
                <w:szCs w:val="20"/>
                <w:color w:val="auto"/>
              </w:rPr>
            </w:pPr>
            <w:r>
              <w:rPr>
                <w:rFonts w:ascii="Arial" w:cs="Arial" w:eastAsia="Arial" w:hAnsi="Arial"/>
                <w:sz w:val="17"/>
                <w:szCs w:val="17"/>
                <w:color w:val="auto"/>
              </w:rPr>
              <w:t>Other current assets</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214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1.8</w:t>
            </w:r>
          </w:p>
        </w:tc>
      </w:tr>
      <w:tr>
        <w:trPr>
          <w:trHeight w:val="257"/>
        </w:trPr>
        <w:tc>
          <w:tcPr>
            <w:tcW w:w="3120" w:type="dxa"/>
            <w:vAlign w:val="bottom"/>
          </w:tcPr>
          <w:p>
            <w:pPr>
              <w:ind w:left="160"/>
              <w:spacing w:after="0"/>
              <w:rPr>
                <w:sz w:val="20"/>
                <w:szCs w:val="20"/>
                <w:color w:val="auto"/>
              </w:rPr>
            </w:pPr>
            <w:r>
              <w:rPr>
                <w:rFonts w:ascii="Arial" w:cs="Arial" w:eastAsia="Arial" w:hAnsi="Arial"/>
                <w:sz w:val="17"/>
                <w:szCs w:val="17"/>
                <w:color w:val="auto"/>
              </w:rPr>
              <w:t>Liability derivatives</w:t>
            </w:r>
          </w:p>
        </w:tc>
        <w:tc>
          <w:tcPr>
            <w:tcW w:w="5980" w:type="dxa"/>
            <w:vAlign w:val="bottom"/>
          </w:tcPr>
          <w:p>
            <w:pPr>
              <w:ind w:left="1460"/>
              <w:spacing w:after="0"/>
              <w:rPr>
                <w:sz w:val="20"/>
                <w:szCs w:val="20"/>
                <w:color w:val="auto"/>
              </w:rPr>
            </w:pPr>
            <w:r>
              <w:rPr>
                <w:rFonts w:ascii="Arial" w:cs="Arial" w:eastAsia="Arial" w:hAnsi="Arial"/>
                <w:sz w:val="17"/>
                <w:szCs w:val="17"/>
                <w:color w:val="auto"/>
              </w:rPr>
              <w:t>Accrued expenses and other</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214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3.0</w:t>
            </w:r>
          </w:p>
        </w:tc>
      </w:tr>
      <w:tr>
        <w:trPr>
          <w:trHeight w:val="296"/>
        </w:trPr>
        <w:tc>
          <w:tcPr>
            <w:tcW w:w="31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Pr>
          <w:p>
            <w:pPr>
              <w:jc w:val="center"/>
              <w:ind w:right="59"/>
              <w:spacing w:after="0"/>
              <w:rPr>
                <w:sz w:val="20"/>
                <w:szCs w:val="20"/>
                <w:color w:val="auto"/>
              </w:rPr>
            </w:pPr>
            <w:r>
              <w:rPr>
                <w:rFonts w:ascii="Arial" w:cs="Arial" w:eastAsia="Arial" w:hAnsi="Arial"/>
                <w:sz w:val="14"/>
                <w:szCs w:val="14"/>
                <w:b w:val="1"/>
                <w:bCs w:val="1"/>
                <w:color w:val="auto"/>
                <w:w w:val="95"/>
              </w:rPr>
              <w:t>Fair Value</w:t>
            </w:r>
          </w:p>
        </w:tc>
      </w:tr>
      <w:tr>
        <w:trPr>
          <w:trHeight w:val="185"/>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5980" w:type="dxa"/>
            <w:vAlign w:val="bottom"/>
            <w:tcBorders>
              <w:bottom w:val="single" w:sz="8" w:color="auto"/>
            </w:tcBorders>
          </w:tcPr>
          <w:p>
            <w:pPr>
              <w:ind w:left="2940"/>
              <w:spacing w:after="0"/>
              <w:rPr>
                <w:sz w:val="20"/>
                <w:szCs w:val="20"/>
                <w:color w:val="auto"/>
              </w:rPr>
            </w:pPr>
            <w:r>
              <w:rPr>
                <w:rFonts w:ascii="Arial" w:cs="Arial" w:eastAsia="Arial" w:hAnsi="Arial"/>
                <w:sz w:val="14"/>
                <w:szCs w:val="14"/>
                <w:b w:val="1"/>
                <w:bCs w:val="1"/>
                <w:color w:val="auto"/>
              </w:rPr>
              <w:t>Balance Sheet Location</w:t>
            </w:r>
          </w:p>
        </w:tc>
        <w:tc>
          <w:tcPr>
            <w:tcW w:w="1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6"/>
              </w:rPr>
              <w:t>As of December 31, 2016</w:t>
            </w:r>
          </w:p>
        </w:tc>
      </w:tr>
      <w:tr>
        <w:trPr>
          <w:trHeight w:val="228"/>
        </w:trPr>
        <w:tc>
          <w:tcPr>
            <w:tcW w:w="3120" w:type="dxa"/>
            <w:vAlign w:val="bottom"/>
          </w:tcPr>
          <w:p>
            <w:pPr>
              <w:ind w:left="20"/>
              <w:spacing w:after="0"/>
              <w:rPr>
                <w:sz w:val="20"/>
                <w:szCs w:val="20"/>
                <w:color w:val="auto"/>
              </w:rPr>
            </w:pPr>
            <w:r>
              <w:rPr>
                <w:rFonts w:ascii="Arial" w:cs="Arial" w:eastAsia="Arial" w:hAnsi="Arial"/>
                <w:sz w:val="17"/>
                <w:szCs w:val="17"/>
                <w:i w:val="1"/>
                <w:iCs w:val="1"/>
                <w:color w:val="auto"/>
              </w:rPr>
              <w:t>Hedging Instruments:</w:t>
            </w:r>
          </w:p>
        </w:tc>
        <w:tc>
          <w:tcPr>
            <w:tcW w:w="5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256"/>
        </w:trPr>
        <w:tc>
          <w:tcPr>
            <w:tcW w:w="3120" w:type="dxa"/>
            <w:vAlign w:val="bottom"/>
          </w:tcPr>
          <w:p>
            <w:pPr>
              <w:ind w:left="160"/>
              <w:spacing w:after="0"/>
              <w:rPr>
                <w:sz w:val="20"/>
                <w:szCs w:val="20"/>
                <w:color w:val="auto"/>
              </w:rPr>
            </w:pPr>
            <w:r>
              <w:rPr>
                <w:rFonts w:ascii="Arial" w:cs="Arial" w:eastAsia="Arial" w:hAnsi="Arial"/>
                <w:sz w:val="17"/>
                <w:szCs w:val="17"/>
                <w:color w:val="auto"/>
              </w:rPr>
              <w:t>Asset derivatives</w:t>
            </w:r>
          </w:p>
        </w:tc>
        <w:tc>
          <w:tcPr>
            <w:tcW w:w="5980" w:type="dxa"/>
            <w:vAlign w:val="bottom"/>
          </w:tcPr>
          <w:p>
            <w:pPr>
              <w:ind w:left="1460"/>
              <w:spacing w:after="0"/>
              <w:rPr>
                <w:sz w:val="20"/>
                <w:szCs w:val="20"/>
                <w:color w:val="auto"/>
              </w:rPr>
            </w:pPr>
            <w:r>
              <w:rPr>
                <w:rFonts w:ascii="Arial" w:cs="Arial" w:eastAsia="Arial" w:hAnsi="Arial"/>
                <w:sz w:val="17"/>
                <w:szCs w:val="17"/>
                <w:color w:val="auto"/>
              </w:rPr>
              <w:t>Other current assets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2140" w:type="dxa"/>
            <w:vAlign w:val="bottom"/>
          </w:tcPr>
          <w:p>
            <w:pPr>
              <w:jc w:val="right"/>
              <w:ind w:right="19"/>
              <w:spacing w:after="0"/>
              <w:rPr>
                <w:sz w:val="20"/>
                <w:szCs w:val="20"/>
                <w:color w:val="auto"/>
              </w:rPr>
            </w:pPr>
            <w:r>
              <w:rPr>
                <w:rFonts w:ascii="Arial" w:cs="Arial" w:eastAsia="Arial" w:hAnsi="Arial"/>
                <w:sz w:val="17"/>
                <w:szCs w:val="17"/>
                <w:color w:val="auto"/>
              </w:rPr>
              <w:t>50.4</w:t>
            </w:r>
          </w:p>
        </w:tc>
      </w:tr>
      <w:tr>
        <w:trPr>
          <w:trHeight w:val="256"/>
        </w:trPr>
        <w:tc>
          <w:tcPr>
            <w:tcW w:w="3120" w:type="dxa"/>
            <w:vAlign w:val="bottom"/>
          </w:tcPr>
          <w:p>
            <w:pPr>
              <w:spacing w:after="0"/>
              <w:rPr>
                <w:sz w:val="22"/>
                <w:szCs w:val="22"/>
                <w:color w:val="auto"/>
              </w:rPr>
            </w:pPr>
          </w:p>
        </w:tc>
        <w:tc>
          <w:tcPr>
            <w:tcW w:w="5980" w:type="dxa"/>
            <w:vAlign w:val="bottom"/>
          </w:tcPr>
          <w:p>
            <w:pPr>
              <w:ind w:left="1460"/>
              <w:spacing w:after="0"/>
              <w:rPr>
                <w:sz w:val="20"/>
                <w:szCs w:val="20"/>
                <w:color w:val="auto"/>
              </w:rPr>
            </w:pPr>
            <w:r>
              <w:rPr>
                <w:rFonts w:ascii="Arial" w:cs="Arial" w:eastAsia="Arial" w:hAnsi="Arial"/>
                <w:sz w:val="17"/>
                <w:szCs w:val="17"/>
                <w:color w:val="auto"/>
              </w:rPr>
              <w:t>Investments and other assets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2140" w:type="dxa"/>
            <w:vAlign w:val="bottom"/>
          </w:tcPr>
          <w:p>
            <w:pPr>
              <w:jc w:val="right"/>
              <w:ind w:right="19"/>
              <w:spacing w:after="0"/>
              <w:rPr>
                <w:sz w:val="20"/>
                <w:szCs w:val="20"/>
                <w:color w:val="auto"/>
              </w:rPr>
            </w:pPr>
            <w:r>
              <w:rPr>
                <w:rFonts w:ascii="Arial" w:cs="Arial" w:eastAsia="Arial" w:hAnsi="Arial"/>
                <w:sz w:val="17"/>
                <w:szCs w:val="17"/>
                <w:color w:val="auto"/>
              </w:rPr>
              <w:t>6.6</w:t>
            </w:r>
          </w:p>
        </w:tc>
      </w:tr>
      <w:tr>
        <w:trPr>
          <w:trHeight w:val="243"/>
        </w:trPr>
        <w:tc>
          <w:tcPr>
            <w:tcW w:w="3120" w:type="dxa"/>
            <w:vAlign w:val="bottom"/>
          </w:tcPr>
          <w:p>
            <w:pPr>
              <w:ind w:left="160"/>
              <w:spacing w:after="0"/>
              <w:rPr>
                <w:sz w:val="20"/>
                <w:szCs w:val="20"/>
                <w:color w:val="auto"/>
              </w:rPr>
            </w:pPr>
            <w:r>
              <w:rPr>
                <w:rFonts w:ascii="Arial" w:cs="Arial" w:eastAsia="Arial" w:hAnsi="Arial"/>
                <w:sz w:val="17"/>
                <w:szCs w:val="17"/>
                <w:color w:val="auto"/>
              </w:rPr>
              <w:t>Liability derivatives</w:t>
            </w:r>
          </w:p>
        </w:tc>
        <w:tc>
          <w:tcPr>
            <w:tcW w:w="5980" w:type="dxa"/>
            <w:vAlign w:val="bottom"/>
          </w:tcPr>
          <w:p>
            <w:pPr>
              <w:ind w:left="1460"/>
              <w:spacing w:after="0"/>
              <w:rPr>
                <w:sz w:val="20"/>
                <w:szCs w:val="20"/>
                <w:color w:val="auto"/>
              </w:rPr>
            </w:pPr>
            <w:r>
              <w:rPr>
                <w:rFonts w:ascii="Arial" w:cs="Arial" w:eastAsia="Arial" w:hAnsi="Arial"/>
                <w:sz w:val="17"/>
                <w:szCs w:val="17"/>
                <w:color w:val="auto"/>
              </w:rPr>
              <w:t>Other long-term liabilities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2140" w:type="dxa"/>
            <w:vAlign w:val="bottom"/>
          </w:tcPr>
          <w:p>
            <w:pPr>
              <w:jc w:val="right"/>
              <w:ind w:right="19"/>
              <w:spacing w:after="0"/>
              <w:rPr>
                <w:sz w:val="20"/>
                <w:szCs w:val="20"/>
                <w:color w:val="auto"/>
              </w:rPr>
            </w:pPr>
            <w:r>
              <w:rPr>
                <w:rFonts w:ascii="Arial" w:cs="Arial" w:eastAsia="Arial" w:hAnsi="Arial"/>
                <w:sz w:val="17"/>
                <w:szCs w:val="17"/>
                <w:color w:val="auto"/>
              </w:rPr>
              <w:t>4.6</w:t>
            </w:r>
          </w:p>
        </w:tc>
      </w:tr>
      <w:tr>
        <w:trPr>
          <w:trHeight w:val="243"/>
        </w:trPr>
        <w:tc>
          <w:tcPr>
            <w:tcW w:w="3120" w:type="dxa"/>
            <w:vAlign w:val="bottom"/>
          </w:tcPr>
          <w:p>
            <w:pPr>
              <w:ind w:left="20"/>
              <w:spacing w:after="0"/>
              <w:rPr>
                <w:sz w:val="20"/>
                <w:szCs w:val="20"/>
                <w:color w:val="auto"/>
              </w:rPr>
            </w:pPr>
            <w:r>
              <w:rPr>
                <w:rFonts w:ascii="Arial" w:cs="Arial" w:eastAsia="Arial" w:hAnsi="Arial"/>
                <w:sz w:val="17"/>
                <w:szCs w:val="17"/>
                <w:i w:val="1"/>
                <w:iCs w:val="1"/>
                <w:color w:val="auto"/>
              </w:rPr>
              <w:t>Other Derivatives:</w:t>
            </w:r>
          </w:p>
        </w:tc>
        <w:tc>
          <w:tcPr>
            <w:tcW w:w="5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40" w:type="dxa"/>
            <w:vAlign w:val="bottom"/>
          </w:tcPr>
          <w:p>
            <w:pPr>
              <w:spacing w:after="0"/>
              <w:rPr>
                <w:sz w:val="21"/>
                <w:szCs w:val="21"/>
                <w:color w:val="auto"/>
              </w:rPr>
            </w:pPr>
          </w:p>
        </w:tc>
      </w:tr>
      <w:tr>
        <w:trPr>
          <w:trHeight w:val="256"/>
        </w:trPr>
        <w:tc>
          <w:tcPr>
            <w:tcW w:w="3120" w:type="dxa"/>
            <w:vAlign w:val="bottom"/>
          </w:tcPr>
          <w:p>
            <w:pPr>
              <w:ind w:left="160"/>
              <w:spacing w:after="0"/>
              <w:rPr>
                <w:sz w:val="20"/>
                <w:szCs w:val="20"/>
                <w:color w:val="auto"/>
              </w:rPr>
            </w:pPr>
            <w:r>
              <w:rPr>
                <w:rFonts w:ascii="Arial" w:cs="Arial" w:eastAsia="Arial" w:hAnsi="Arial"/>
                <w:sz w:val="17"/>
                <w:szCs w:val="17"/>
                <w:color w:val="auto"/>
              </w:rPr>
              <w:t>Asset derivatives</w:t>
            </w:r>
          </w:p>
        </w:tc>
        <w:tc>
          <w:tcPr>
            <w:tcW w:w="5980" w:type="dxa"/>
            <w:vAlign w:val="bottom"/>
          </w:tcPr>
          <w:p>
            <w:pPr>
              <w:ind w:left="1460"/>
              <w:spacing w:after="0"/>
              <w:rPr>
                <w:sz w:val="20"/>
                <w:szCs w:val="20"/>
                <w:color w:val="auto"/>
              </w:rPr>
            </w:pPr>
            <w:r>
              <w:rPr>
                <w:rFonts w:ascii="Arial" w:cs="Arial" w:eastAsia="Arial" w:hAnsi="Arial"/>
                <w:sz w:val="17"/>
                <w:szCs w:val="17"/>
                <w:color w:val="auto"/>
              </w:rPr>
              <w:t>Other current assets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2140" w:type="dxa"/>
            <w:vAlign w:val="bottom"/>
          </w:tcPr>
          <w:p>
            <w:pPr>
              <w:jc w:val="right"/>
              <w:ind w:right="19"/>
              <w:spacing w:after="0"/>
              <w:rPr>
                <w:sz w:val="20"/>
                <w:szCs w:val="20"/>
                <w:color w:val="auto"/>
              </w:rPr>
            </w:pPr>
            <w:r>
              <w:rPr>
                <w:rFonts w:ascii="Arial" w:cs="Arial" w:eastAsia="Arial" w:hAnsi="Arial"/>
                <w:sz w:val="17"/>
                <w:szCs w:val="17"/>
                <w:color w:val="auto"/>
              </w:rPr>
              <w:t>4.0</w:t>
            </w:r>
          </w:p>
        </w:tc>
      </w:tr>
      <w:tr>
        <w:trPr>
          <w:trHeight w:val="243"/>
        </w:trPr>
        <w:tc>
          <w:tcPr>
            <w:tcW w:w="3120" w:type="dxa"/>
            <w:vAlign w:val="bottom"/>
          </w:tcPr>
          <w:p>
            <w:pPr>
              <w:ind w:left="160"/>
              <w:spacing w:after="0"/>
              <w:rPr>
                <w:sz w:val="20"/>
                <w:szCs w:val="20"/>
                <w:color w:val="auto"/>
              </w:rPr>
            </w:pPr>
            <w:r>
              <w:rPr>
                <w:rFonts w:ascii="Arial" w:cs="Arial" w:eastAsia="Arial" w:hAnsi="Arial"/>
                <w:sz w:val="17"/>
                <w:szCs w:val="17"/>
                <w:color w:val="auto"/>
              </w:rPr>
              <w:t>Liability derivatives</w:t>
            </w:r>
          </w:p>
        </w:tc>
        <w:tc>
          <w:tcPr>
            <w:tcW w:w="5980" w:type="dxa"/>
            <w:vAlign w:val="bottom"/>
          </w:tcPr>
          <w:p>
            <w:pPr>
              <w:ind w:left="1460"/>
              <w:spacing w:after="0"/>
              <w:rPr>
                <w:sz w:val="20"/>
                <w:szCs w:val="20"/>
                <w:color w:val="auto"/>
              </w:rPr>
            </w:pPr>
            <w:r>
              <w:rPr>
                <w:rFonts w:ascii="Arial" w:cs="Arial" w:eastAsia="Arial" w:hAnsi="Arial"/>
                <w:sz w:val="17"/>
                <w:szCs w:val="17"/>
                <w:color w:val="auto"/>
              </w:rPr>
              <w:t>Accrued expenses and other</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2140" w:type="dxa"/>
            <w:vAlign w:val="bottom"/>
          </w:tcPr>
          <w:p>
            <w:pPr>
              <w:jc w:val="right"/>
              <w:ind w:right="19"/>
              <w:spacing w:after="0"/>
              <w:rPr>
                <w:sz w:val="20"/>
                <w:szCs w:val="20"/>
                <w:color w:val="auto"/>
              </w:rPr>
            </w:pPr>
            <w:r>
              <w:rPr>
                <w:rFonts w:ascii="Arial" w:cs="Arial" w:eastAsia="Arial" w:hAnsi="Arial"/>
                <w:sz w:val="17"/>
                <w:szCs w:val="17"/>
                <w:color w:val="auto"/>
              </w:rPr>
              <w:t>9.0</w:t>
            </w:r>
          </w:p>
        </w:tc>
      </w:tr>
      <w:tr>
        <w:trPr>
          <w:trHeight w:val="448"/>
        </w:trPr>
        <w:tc>
          <w:tcPr>
            <w:tcW w:w="3120" w:type="dxa"/>
            <w:vAlign w:val="bottom"/>
          </w:tcPr>
          <w:p>
            <w:pPr>
              <w:spacing w:after="0"/>
              <w:rPr>
                <w:sz w:val="24"/>
                <w:szCs w:val="24"/>
                <w:color w:val="auto"/>
              </w:rPr>
            </w:pPr>
          </w:p>
        </w:tc>
        <w:tc>
          <w:tcPr>
            <w:tcW w:w="5980" w:type="dxa"/>
            <w:vAlign w:val="bottom"/>
          </w:tcPr>
          <w:p>
            <w:pPr>
              <w:ind w:left="2400"/>
              <w:spacing w:after="0"/>
              <w:rPr>
                <w:sz w:val="20"/>
                <w:szCs w:val="20"/>
                <w:color w:val="auto"/>
              </w:rPr>
            </w:pPr>
            <w:r>
              <w:rPr>
                <w:rFonts w:ascii="Arial" w:cs="Arial" w:eastAsia="Arial" w:hAnsi="Arial"/>
                <w:sz w:val="17"/>
                <w:szCs w:val="17"/>
                <w:color w:val="auto"/>
              </w:rPr>
              <w:t>F- 37</w:t>
            </w:r>
          </w:p>
        </w:tc>
        <w:tc>
          <w:tcPr>
            <w:tcW w:w="140" w:type="dxa"/>
            <w:vAlign w:val="bottom"/>
          </w:tcPr>
          <w:p>
            <w:pPr>
              <w:spacing w:after="0"/>
              <w:rPr>
                <w:sz w:val="24"/>
                <w:szCs w:val="24"/>
                <w:color w:val="auto"/>
              </w:rPr>
            </w:pPr>
          </w:p>
        </w:tc>
        <w:tc>
          <w:tcPr>
            <w:tcW w:w="2140" w:type="dxa"/>
            <w:vAlign w:val="bottom"/>
          </w:tcPr>
          <w:p>
            <w:pPr>
              <w:spacing w:after="0"/>
              <w:rPr>
                <w:sz w:val="24"/>
                <w:szCs w:val="24"/>
                <w:color w:val="auto"/>
              </w:rPr>
            </w:pPr>
          </w:p>
        </w:tc>
      </w:tr>
    </w:tbl>
    <w:p>
      <w:pPr>
        <w:sectPr>
          <w:pgSz w:w="11900" w:h="16838" w:orient="portrait"/>
          <w:cols w:equalWidth="0" w:num="1">
            <w:col w:w="11420"/>
          </w:cols>
          <w:pgMar w:left="240" w:top="139" w:right="239" w:bottom="1440" w:gutter="0" w:footer="0" w:header="0"/>
        </w:sectPr>
      </w:pPr>
    </w:p>
    <w:bookmarkStart w:id="139" w:name="page140"/>
    <w:bookmarkEnd w:id="1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2" w:lineRule="exact"/>
        <w:rPr>
          <w:sz w:val="20"/>
          <w:szCs w:val="20"/>
          <w:color w:val="auto"/>
        </w:rPr>
      </w:pPr>
    </w:p>
    <w:p>
      <w:pPr>
        <w:ind w:left="620" w:hanging="618"/>
        <w:spacing w:after="0"/>
        <w:tabs>
          <w:tab w:leader="none" w:pos="620" w:val="left"/>
        </w:tabs>
        <w:numPr>
          <w:ilvl w:val="0"/>
          <w:numId w:val="105"/>
        </w:numPr>
        <w:rPr>
          <w:rFonts w:ascii="Arial" w:cs="Arial" w:eastAsia="Arial" w:hAnsi="Arial"/>
          <w:sz w:val="20"/>
          <w:szCs w:val="20"/>
          <w:b w:val="1"/>
          <w:bCs w:val="1"/>
          <w:color w:val="578196"/>
        </w:rPr>
      </w:pPr>
      <w:r>
        <w:rPr>
          <w:rFonts w:ascii="Arial" w:cs="Arial" w:eastAsia="Arial" w:hAnsi="Arial"/>
          <w:sz w:val="20"/>
          <w:szCs w:val="20"/>
          <w:b w:val="1"/>
          <w:bCs w:val="1"/>
          <w:color w:val="578196"/>
        </w:rPr>
        <w:t>Property, Plant and Equipment</w:t>
      </w:r>
    </w:p>
    <w:p>
      <w:pPr>
        <w:spacing w:after="0" w:line="109" w:lineRule="exact"/>
        <w:rPr>
          <w:sz w:val="20"/>
          <w:szCs w:val="20"/>
          <w:color w:val="auto"/>
        </w:rPr>
      </w:pPr>
    </w:p>
    <w:p>
      <w:pPr>
        <w:ind w:right="20" w:firstLine="410"/>
        <w:spacing w:after="0" w:line="262" w:lineRule="auto"/>
        <w:rPr>
          <w:sz w:val="20"/>
          <w:szCs w:val="20"/>
          <w:color w:val="auto"/>
        </w:rPr>
      </w:pPr>
      <w:r>
        <w:rPr>
          <w:rFonts w:ascii="Arial" w:cs="Arial" w:eastAsia="Arial" w:hAnsi="Arial"/>
          <w:sz w:val="17"/>
          <w:szCs w:val="17"/>
          <w:color w:val="auto"/>
        </w:rPr>
        <w:t>Property, plant and equipment are recorded at historical cost, net of accumulated depreciation. Components of property, plant and equipment, net are summarized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6"/>
                <w:szCs w:val="16"/>
                <w:color w:val="auto"/>
              </w:rPr>
            </w:pPr>
          </w:p>
        </w:tc>
      </w:tr>
      <w:tr>
        <w:trPr>
          <w:trHeight w:val="249"/>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bottom w:val="single" w:sz="8" w:color="auto"/>
            </w:tcBorders>
            <w:shd w:val="clear" w:color="auto" w:fill="DDDDDD"/>
          </w:tcPr>
          <w:p>
            <w:pPr>
              <w:spacing w:after="0"/>
              <w:rPr>
                <w:sz w:val="21"/>
                <w:szCs w:val="21"/>
                <w:color w:val="auto"/>
              </w:rPr>
            </w:pPr>
          </w:p>
        </w:tc>
        <w:tc>
          <w:tcPr>
            <w:tcW w:w="1400" w:type="dxa"/>
            <w:vAlign w:val="bottom"/>
            <w:tcBorders>
              <w:bottom w:val="single" w:sz="8" w:color="auto"/>
            </w:tcBorders>
            <w:shd w:val="clear" w:color="auto" w:fill="DDDDDD"/>
          </w:tcPr>
          <w:p>
            <w:pPr>
              <w:jc w:val="right"/>
              <w:ind w:right="677"/>
              <w:spacing w:after="0"/>
              <w:rPr>
                <w:sz w:val="20"/>
                <w:szCs w:val="20"/>
                <w:color w:val="auto"/>
              </w:rPr>
            </w:pPr>
            <w:r>
              <w:rPr>
                <w:rFonts w:ascii="Arial" w:cs="Arial" w:eastAsia="Arial" w:hAnsi="Arial"/>
                <w:sz w:val="14"/>
                <w:szCs w:val="14"/>
                <w:b w:val="1"/>
                <w:bCs w:val="1"/>
                <w:color w:val="2573BA"/>
              </w:rPr>
              <w:t>2017</w:t>
            </w:r>
          </w:p>
        </w:tc>
        <w:tc>
          <w:tcPr>
            <w:tcW w:w="10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2016</w:t>
            </w:r>
          </w:p>
        </w:tc>
      </w:tr>
      <w:tr>
        <w:trPr>
          <w:trHeight w:val="242"/>
        </w:trPr>
        <w:tc>
          <w:tcPr>
            <w:tcW w:w="7640" w:type="dxa"/>
            <w:vAlign w:val="bottom"/>
          </w:tcPr>
          <w:p>
            <w:pPr>
              <w:ind w:left="20"/>
              <w:spacing w:after="0"/>
              <w:rPr>
                <w:sz w:val="20"/>
                <w:szCs w:val="20"/>
                <w:color w:val="auto"/>
              </w:rPr>
            </w:pPr>
            <w:r>
              <w:rPr>
                <w:rFonts w:ascii="Arial" w:cs="Arial" w:eastAsia="Arial" w:hAnsi="Arial"/>
                <w:sz w:val="17"/>
                <w:szCs w:val="17"/>
                <w:color w:val="auto"/>
              </w:rPr>
              <w:t>Land</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141.2</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137.8</w:t>
            </w:r>
          </w:p>
        </w:tc>
      </w:tr>
      <w:tr>
        <w:trPr>
          <w:trHeight w:val="242"/>
        </w:trPr>
        <w:tc>
          <w:tcPr>
            <w:tcW w:w="7640" w:type="dxa"/>
            <w:vAlign w:val="bottom"/>
          </w:tcPr>
          <w:p>
            <w:pPr>
              <w:ind w:left="20"/>
              <w:spacing w:after="0"/>
              <w:rPr>
                <w:sz w:val="20"/>
                <w:szCs w:val="20"/>
                <w:color w:val="auto"/>
              </w:rPr>
            </w:pPr>
            <w:r>
              <w:rPr>
                <w:rFonts w:ascii="Arial" w:cs="Arial" w:eastAsia="Arial" w:hAnsi="Arial"/>
                <w:sz w:val="17"/>
                <w:szCs w:val="17"/>
                <w:color w:val="auto"/>
              </w:rPr>
              <w:t>Buildings</w:t>
            </w:r>
          </w:p>
        </w:tc>
        <w:tc>
          <w:tcPr>
            <w:tcW w:w="440" w:type="dxa"/>
            <w:vAlign w:val="bottom"/>
          </w:tcPr>
          <w:p>
            <w:pPr>
              <w:spacing w:after="0"/>
              <w:rPr>
                <w:sz w:val="21"/>
                <w:szCs w:val="21"/>
                <w:color w:val="auto"/>
              </w:rPr>
            </w:pPr>
          </w:p>
        </w:tc>
        <w:tc>
          <w:tcPr>
            <w:tcW w:w="1400" w:type="dxa"/>
            <w:vAlign w:val="bottom"/>
          </w:tcPr>
          <w:p>
            <w:pPr>
              <w:jc w:val="right"/>
              <w:ind w:right="17"/>
              <w:spacing w:after="0"/>
              <w:rPr>
                <w:sz w:val="20"/>
                <w:szCs w:val="20"/>
                <w:color w:val="auto"/>
              </w:rPr>
            </w:pPr>
            <w:r>
              <w:rPr>
                <w:rFonts w:ascii="Arial" w:cs="Arial" w:eastAsia="Arial" w:hAnsi="Arial"/>
                <w:sz w:val="17"/>
                <w:szCs w:val="17"/>
                <w:color w:val="2573BA"/>
              </w:rPr>
              <w:t>1,213.6</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1,107.8</w:t>
            </w:r>
          </w:p>
        </w:tc>
      </w:tr>
      <w:tr>
        <w:trPr>
          <w:trHeight w:val="256"/>
        </w:trPr>
        <w:tc>
          <w:tcPr>
            <w:tcW w:w="7640" w:type="dxa"/>
            <w:vAlign w:val="bottom"/>
          </w:tcPr>
          <w:p>
            <w:pPr>
              <w:ind w:left="20"/>
              <w:spacing w:after="0"/>
              <w:rPr>
                <w:sz w:val="20"/>
                <w:szCs w:val="20"/>
                <w:color w:val="auto"/>
              </w:rPr>
            </w:pPr>
            <w:r>
              <w:rPr>
                <w:rFonts w:ascii="Arial" w:cs="Arial" w:eastAsia="Arial" w:hAnsi="Arial"/>
                <w:sz w:val="17"/>
                <w:szCs w:val="17"/>
                <w:color w:val="auto"/>
              </w:rPr>
              <w:t>Leasehold improvements</w:t>
            </w:r>
          </w:p>
        </w:tc>
        <w:tc>
          <w:tcPr>
            <w:tcW w:w="440" w:type="dxa"/>
            <w:vAlign w:val="bottom"/>
          </w:tcPr>
          <w:p>
            <w:pPr>
              <w:spacing w:after="0"/>
              <w:rPr>
                <w:sz w:val="22"/>
                <w:szCs w:val="22"/>
                <w:color w:val="auto"/>
              </w:rPr>
            </w:pPr>
          </w:p>
        </w:tc>
        <w:tc>
          <w:tcPr>
            <w:tcW w:w="1400" w:type="dxa"/>
            <w:vAlign w:val="bottom"/>
          </w:tcPr>
          <w:p>
            <w:pPr>
              <w:jc w:val="right"/>
              <w:ind w:right="17"/>
              <w:spacing w:after="0"/>
              <w:rPr>
                <w:sz w:val="20"/>
                <w:szCs w:val="20"/>
                <w:color w:val="auto"/>
              </w:rPr>
            </w:pPr>
            <w:r>
              <w:rPr>
                <w:rFonts w:ascii="Arial" w:cs="Arial" w:eastAsia="Arial" w:hAnsi="Arial"/>
                <w:sz w:val="17"/>
                <w:szCs w:val="17"/>
                <w:color w:val="2573BA"/>
              </w:rPr>
              <w:t>80.6</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123.7</w:t>
            </w:r>
          </w:p>
        </w:tc>
      </w:tr>
      <w:tr>
        <w:trPr>
          <w:trHeight w:val="256"/>
        </w:trPr>
        <w:tc>
          <w:tcPr>
            <w:tcW w:w="7640" w:type="dxa"/>
            <w:vAlign w:val="bottom"/>
          </w:tcPr>
          <w:p>
            <w:pPr>
              <w:ind w:left="20"/>
              <w:spacing w:after="0"/>
              <w:rPr>
                <w:sz w:val="20"/>
                <w:szCs w:val="20"/>
                <w:color w:val="auto"/>
              </w:rPr>
            </w:pPr>
            <w:r>
              <w:rPr>
                <w:rFonts w:ascii="Arial" w:cs="Arial" w:eastAsia="Arial" w:hAnsi="Arial"/>
                <w:sz w:val="17"/>
                <w:szCs w:val="17"/>
                <w:color w:val="auto"/>
              </w:rPr>
              <w:t>Machinery and equipment</w:t>
            </w:r>
          </w:p>
        </w:tc>
        <w:tc>
          <w:tcPr>
            <w:tcW w:w="440" w:type="dxa"/>
            <w:vAlign w:val="bottom"/>
          </w:tcPr>
          <w:p>
            <w:pPr>
              <w:spacing w:after="0"/>
              <w:rPr>
                <w:sz w:val="22"/>
                <w:szCs w:val="22"/>
                <w:color w:val="auto"/>
              </w:rPr>
            </w:pPr>
          </w:p>
        </w:tc>
        <w:tc>
          <w:tcPr>
            <w:tcW w:w="1400" w:type="dxa"/>
            <w:vAlign w:val="bottom"/>
          </w:tcPr>
          <w:p>
            <w:pPr>
              <w:jc w:val="right"/>
              <w:ind w:right="17"/>
              <w:spacing w:after="0"/>
              <w:rPr>
                <w:sz w:val="20"/>
                <w:szCs w:val="20"/>
                <w:color w:val="auto"/>
              </w:rPr>
            </w:pPr>
            <w:r>
              <w:rPr>
                <w:rFonts w:ascii="Arial" w:cs="Arial" w:eastAsia="Arial" w:hAnsi="Arial"/>
                <w:sz w:val="17"/>
                <w:szCs w:val="17"/>
                <w:color w:val="2573BA"/>
              </w:rPr>
              <w:t>1,207.7</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1,105.8</w:t>
            </w:r>
          </w:p>
        </w:tc>
      </w:tr>
      <w:tr>
        <w:trPr>
          <w:trHeight w:val="256"/>
        </w:trPr>
        <w:tc>
          <w:tcPr>
            <w:tcW w:w="7640" w:type="dxa"/>
            <w:vAlign w:val="bottom"/>
          </w:tcPr>
          <w:p>
            <w:pPr>
              <w:ind w:left="20"/>
              <w:spacing w:after="0"/>
              <w:rPr>
                <w:sz w:val="20"/>
                <w:szCs w:val="20"/>
                <w:color w:val="auto"/>
              </w:rPr>
            </w:pPr>
            <w:r>
              <w:rPr>
                <w:rFonts w:ascii="Arial" w:cs="Arial" w:eastAsia="Arial" w:hAnsi="Arial"/>
                <w:sz w:val="17"/>
                <w:szCs w:val="17"/>
                <w:color w:val="auto"/>
              </w:rPr>
              <w:t>Computer software and hardware</w:t>
            </w:r>
          </w:p>
        </w:tc>
        <w:tc>
          <w:tcPr>
            <w:tcW w:w="440" w:type="dxa"/>
            <w:vAlign w:val="bottom"/>
          </w:tcPr>
          <w:p>
            <w:pPr>
              <w:spacing w:after="0"/>
              <w:rPr>
                <w:sz w:val="22"/>
                <w:szCs w:val="22"/>
                <w:color w:val="auto"/>
              </w:rPr>
            </w:pPr>
          </w:p>
        </w:tc>
        <w:tc>
          <w:tcPr>
            <w:tcW w:w="1400" w:type="dxa"/>
            <w:vAlign w:val="bottom"/>
          </w:tcPr>
          <w:p>
            <w:pPr>
              <w:jc w:val="right"/>
              <w:ind w:right="17"/>
              <w:spacing w:after="0"/>
              <w:rPr>
                <w:sz w:val="20"/>
                <w:szCs w:val="20"/>
                <w:color w:val="auto"/>
              </w:rPr>
            </w:pPr>
            <w:r>
              <w:rPr>
                <w:rFonts w:ascii="Arial" w:cs="Arial" w:eastAsia="Arial" w:hAnsi="Arial"/>
                <w:sz w:val="17"/>
                <w:szCs w:val="17"/>
                <w:color w:val="2573BA"/>
              </w:rPr>
              <w:t>767.1</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746.8</w:t>
            </w:r>
          </w:p>
        </w:tc>
      </w:tr>
      <w:tr>
        <w:trPr>
          <w:trHeight w:val="256"/>
        </w:trPr>
        <w:tc>
          <w:tcPr>
            <w:tcW w:w="7640" w:type="dxa"/>
            <w:vAlign w:val="bottom"/>
          </w:tcPr>
          <w:p>
            <w:pPr>
              <w:ind w:left="20"/>
              <w:spacing w:after="0"/>
              <w:rPr>
                <w:sz w:val="20"/>
                <w:szCs w:val="20"/>
                <w:color w:val="auto"/>
              </w:rPr>
            </w:pPr>
            <w:r>
              <w:rPr>
                <w:rFonts w:ascii="Arial" w:cs="Arial" w:eastAsia="Arial" w:hAnsi="Arial"/>
                <w:sz w:val="17"/>
                <w:szCs w:val="17"/>
                <w:color w:val="auto"/>
              </w:rPr>
              <w:t>Furniture and fixtures</w:t>
            </w:r>
          </w:p>
        </w:tc>
        <w:tc>
          <w:tcPr>
            <w:tcW w:w="440" w:type="dxa"/>
            <w:vAlign w:val="bottom"/>
          </w:tcPr>
          <w:p>
            <w:pPr>
              <w:spacing w:after="0"/>
              <w:rPr>
                <w:sz w:val="22"/>
                <w:szCs w:val="22"/>
                <w:color w:val="auto"/>
              </w:rPr>
            </w:pPr>
          </w:p>
        </w:tc>
        <w:tc>
          <w:tcPr>
            <w:tcW w:w="1400" w:type="dxa"/>
            <w:vAlign w:val="bottom"/>
          </w:tcPr>
          <w:p>
            <w:pPr>
              <w:jc w:val="right"/>
              <w:ind w:right="17"/>
              <w:spacing w:after="0"/>
              <w:rPr>
                <w:sz w:val="20"/>
                <w:szCs w:val="20"/>
                <w:color w:val="auto"/>
              </w:rPr>
            </w:pPr>
            <w:r>
              <w:rPr>
                <w:rFonts w:ascii="Arial" w:cs="Arial" w:eastAsia="Arial" w:hAnsi="Arial"/>
                <w:sz w:val="17"/>
                <w:szCs w:val="17"/>
                <w:color w:val="2573BA"/>
              </w:rPr>
              <w:t>55.3</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60.6</w:t>
            </w:r>
          </w:p>
        </w:tc>
      </w:tr>
      <w:tr>
        <w:trPr>
          <w:trHeight w:val="263"/>
        </w:trPr>
        <w:tc>
          <w:tcPr>
            <w:tcW w:w="7640" w:type="dxa"/>
            <w:vAlign w:val="bottom"/>
          </w:tcPr>
          <w:p>
            <w:pPr>
              <w:ind w:left="20"/>
              <w:spacing w:after="0"/>
              <w:rPr>
                <w:sz w:val="20"/>
                <w:szCs w:val="20"/>
                <w:color w:val="auto"/>
              </w:rPr>
            </w:pPr>
            <w:r>
              <w:rPr>
                <w:rFonts w:ascii="Arial" w:cs="Arial" w:eastAsia="Arial" w:hAnsi="Arial"/>
                <w:sz w:val="17"/>
                <w:szCs w:val="17"/>
                <w:color w:val="auto"/>
              </w:rPr>
              <w:t>Construction in progress</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2573BA"/>
              </w:rPr>
              <w:t>1,276.0</w:t>
            </w:r>
          </w:p>
        </w:tc>
        <w:tc>
          <w:tcPr>
            <w:tcW w:w="10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658.6</w:t>
            </w:r>
          </w:p>
        </w:tc>
      </w:tr>
      <w:tr>
        <w:trPr>
          <w:trHeight w:val="236"/>
        </w:trPr>
        <w:tc>
          <w:tcPr>
            <w:tcW w:w="7640" w:type="dxa"/>
            <w:vAlign w:val="bottom"/>
          </w:tcPr>
          <w:p>
            <w:pPr>
              <w:ind w:left="160"/>
              <w:spacing w:after="0"/>
              <w:rPr>
                <w:sz w:val="20"/>
                <w:szCs w:val="20"/>
                <w:color w:val="auto"/>
              </w:rPr>
            </w:pPr>
            <w:r>
              <w:rPr>
                <w:rFonts w:ascii="Arial" w:cs="Arial" w:eastAsia="Arial" w:hAnsi="Arial"/>
                <w:sz w:val="17"/>
                <w:szCs w:val="17"/>
                <w:color w:val="auto"/>
              </w:rPr>
              <w:t>Total cost</w:t>
            </w:r>
          </w:p>
        </w:tc>
        <w:tc>
          <w:tcPr>
            <w:tcW w:w="4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2573BA"/>
              </w:rPr>
              <w:t>4,741.5</w:t>
            </w:r>
          </w:p>
        </w:tc>
        <w:tc>
          <w:tcPr>
            <w:tcW w:w="1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3,941.1</w:t>
            </w:r>
          </w:p>
        </w:tc>
      </w:tr>
      <w:tr>
        <w:trPr>
          <w:trHeight w:val="236"/>
        </w:trPr>
        <w:tc>
          <w:tcPr>
            <w:tcW w:w="7640" w:type="dxa"/>
            <w:vAlign w:val="bottom"/>
          </w:tcPr>
          <w:p>
            <w:pPr>
              <w:ind w:left="20"/>
              <w:spacing w:after="0"/>
              <w:rPr>
                <w:sz w:val="20"/>
                <w:szCs w:val="20"/>
                <w:color w:val="auto"/>
              </w:rPr>
            </w:pPr>
            <w:r>
              <w:rPr>
                <w:rFonts w:ascii="Arial" w:cs="Arial" w:eastAsia="Arial" w:hAnsi="Arial"/>
                <w:sz w:val="17"/>
                <w:szCs w:val="17"/>
                <w:color w:val="auto"/>
              </w:rPr>
              <w:t>Less: accumulated depreciation</w:t>
            </w:r>
          </w:p>
        </w:tc>
        <w:tc>
          <w:tcPr>
            <w:tcW w:w="4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(1,559.1)</w:t>
            </w:r>
          </w:p>
        </w:tc>
        <w:tc>
          <w:tcPr>
            <w:tcW w:w="1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(1,439.3)</w:t>
            </w:r>
          </w:p>
        </w:tc>
      </w:tr>
      <w:tr>
        <w:trPr>
          <w:trHeight w:val="236"/>
        </w:trPr>
        <w:tc>
          <w:tcPr>
            <w:tcW w:w="7640" w:type="dxa"/>
            <w:vAlign w:val="bottom"/>
          </w:tcPr>
          <w:p>
            <w:pPr>
              <w:ind w:left="160"/>
              <w:spacing w:after="0"/>
              <w:rPr>
                <w:sz w:val="20"/>
                <w:szCs w:val="20"/>
                <w:color w:val="auto"/>
              </w:rPr>
            </w:pPr>
            <w:r>
              <w:rPr>
                <w:rFonts w:ascii="Arial" w:cs="Arial" w:eastAsia="Arial" w:hAnsi="Arial"/>
                <w:sz w:val="17"/>
                <w:szCs w:val="17"/>
                <w:color w:val="auto"/>
              </w:rPr>
              <w:t>Total property, plant and equipment, net</w:t>
            </w:r>
          </w:p>
        </w:tc>
        <w:tc>
          <w:tcPr>
            <w:tcW w:w="440" w:type="dxa"/>
            <w:vAlign w:val="bottom"/>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tcPr>
          <w:p>
            <w:pPr>
              <w:jc w:val="right"/>
              <w:ind w:right="17"/>
              <w:spacing w:after="0"/>
              <w:rPr>
                <w:sz w:val="20"/>
                <w:szCs w:val="20"/>
                <w:color w:val="auto"/>
              </w:rPr>
            </w:pPr>
            <w:r>
              <w:rPr>
                <w:rFonts w:ascii="Arial" w:cs="Arial" w:eastAsia="Arial" w:hAnsi="Arial"/>
                <w:sz w:val="17"/>
                <w:szCs w:val="17"/>
                <w:color w:val="2573BA"/>
              </w:rPr>
              <w:t>3,182.4</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2,501.8</w:t>
            </w:r>
          </w:p>
        </w:tc>
      </w:tr>
      <w:tr>
        <w:trPr>
          <w:trHeight w:val="20"/>
        </w:trPr>
        <w:tc>
          <w:tcPr>
            <w:tcW w:w="76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4856480</wp:posOffset>
            </wp:positionH>
            <wp:positionV relativeFrom="paragraph">
              <wp:posOffset>-1650365</wp:posOffset>
            </wp:positionV>
            <wp:extent cx="1162685" cy="16344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6">
                      <a:extLst>
                        <a:ext uri="{28A0092B-C50C-407E-A947-70E740481C1C}"/>
                      </a:extLst>
                    </a:blip>
                    <a:srcRect/>
                    <a:stretch>
                      <a:fillRect/>
                    </a:stretch>
                  </pic:blipFill>
                  <pic:spPr bwMode="auto">
                    <a:xfrm>
                      <a:off x="0" y="0"/>
                      <a:ext cx="1162685" cy="1634490"/>
                    </a:xfrm>
                    <a:prstGeom prst="rect">
                      <a:avLst/>
                    </a:prstGeom>
                    <a:noFill/>
                  </pic:spPr>
                </pic:pic>
              </a:graphicData>
            </a:graphic>
          </wp:anchor>
        </w:drawing>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Depreciation expense totaled $266.3 million, $309.3 million and $217.9 million for 2017, 2016 and 2015, respectively.</w:t>
      </w:r>
    </w:p>
    <w:p>
      <w:pPr>
        <w:spacing w:after="0" w:line="163" w:lineRule="exact"/>
        <w:rPr>
          <w:sz w:val="20"/>
          <w:szCs w:val="20"/>
          <w:color w:val="auto"/>
        </w:rPr>
      </w:pPr>
    </w:p>
    <w:p>
      <w:pPr>
        <w:ind w:right="140" w:firstLine="410"/>
        <w:spacing w:after="0" w:line="257" w:lineRule="auto"/>
        <w:rPr>
          <w:sz w:val="20"/>
          <w:szCs w:val="20"/>
          <w:color w:val="auto"/>
        </w:rPr>
      </w:pPr>
      <w:r>
        <w:rPr>
          <w:rFonts w:ascii="Arial" w:cs="Arial" w:eastAsia="Arial" w:hAnsi="Arial"/>
          <w:sz w:val="17"/>
          <w:szCs w:val="17"/>
          <w:color w:val="auto"/>
        </w:rPr>
        <w:t>For 2017, 2016 and 2015, we capitalized interest costs related to construction in progress totaling approximately $30.7 million, $12.9 million and $10.4 million, respectively. The increase in capitalized interest costs is primarily due to the construction of our Solothurn, Switzerland facility, as discussed below.</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Solothurn, Switzerland Facility</w:t>
      </w:r>
    </w:p>
    <w:p>
      <w:pPr>
        <w:spacing w:after="0" w:line="106" w:lineRule="exact"/>
        <w:rPr>
          <w:sz w:val="20"/>
          <w:szCs w:val="20"/>
          <w:color w:val="auto"/>
        </w:rPr>
      </w:pPr>
    </w:p>
    <w:p>
      <w:pPr>
        <w:ind w:right="180" w:firstLine="410"/>
        <w:spacing w:after="0" w:line="254" w:lineRule="auto"/>
        <w:rPr>
          <w:sz w:val="20"/>
          <w:szCs w:val="20"/>
          <w:color w:val="auto"/>
        </w:rPr>
      </w:pPr>
      <w:r>
        <w:rPr>
          <w:rFonts w:ascii="Arial" w:cs="Arial" w:eastAsia="Arial" w:hAnsi="Arial"/>
          <w:sz w:val="17"/>
          <w:szCs w:val="17"/>
          <w:color w:val="auto"/>
        </w:rPr>
        <w:t>During the first quarter of 2016 we purchased land in Solothurn, Switzerland for 64.4 million Swiss Francs (approximately $62.5 million) and are building a large-scale biologics manufacturing facility at this site. We expect this facility to be operational by the end of the decade. Upon completion, the facility will include 393,000 square feet related to a large-scale biologics manufacturing facility, 290,000 square feet of warehouse, utilities and support space and 51,000 square feet of administrative space. As of December 31, 2017 and 2016, we had approximately $1.2 billion and $481.5 million, respectively, capitalized as construction in progress related to this facility.</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Research Triangle Park Facility Purchase</w:t>
      </w:r>
    </w:p>
    <w:p>
      <w:pPr>
        <w:spacing w:after="0" w:line="106" w:lineRule="exact"/>
        <w:rPr>
          <w:sz w:val="20"/>
          <w:szCs w:val="20"/>
          <w:color w:val="auto"/>
        </w:rPr>
      </w:pPr>
    </w:p>
    <w:p>
      <w:pPr>
        <w:jc w:val="both"/>
        <w:ind w:right="480" w:firstLine="410"/>
        <w:spacing w:after="0" w:line="257" w:lineRule="auto"/>
        <w:rPr>
          <w:sz w:val="20"/>
          <w:szCs w:val="20"/>
          <w:color w:val="auto"/>
        </w:rPr>
      </w:pPr>
      <w:r>
        <w:rPr>
          <w:rFonts w:ascii="Arial" w:cs="Arial" w:eastAsia="Arial" w:hAnsi="Arial"/>
          <w:sz w:val="17"/>
          <w:szCs w:val="17"/>
          <w:color w:val="auto"/>
        </w:rPr>
        <w:t>In August 2015 we completed the purchase of a drug product manufacturing facility and supporting infrastructure in Research Triangle Park (RTP), NC from Eisai Inc. (Eisai). The $104.8 million purchase price was comprised of $58.6 million for buildings, $25.9 million for machinery and equipment and $20.3 million for land.</w:t>
      </w:r>
    </w:p>
    <w:p>
      <w:pPr>
        <w:spacing w:after="0" w:line="140" w:lineRule="exact"/>
        <w:rPr>
          <w:sz w:val="20"/>
          <w:szCs w:val="20"/>
          <w:color w:val="auto"/>
        </w:rPr>
      </w:pPr>
    </w:p>
    <w:p>
      <w:pPr>
        <w:ind w:right="80" w:firstLine="410"/>
        <w:spacing w:after="0" w:line="253" w:lineRule="auto"/>
        <w:rPr>
          <w:sz w:val="20"/>
          <w:szCs w:val="20"/>
          <w:color w:val="auto"/>
        </w:rPr>
      </w:pPr>
      <w:r>
        <w:rPr>
          <w:rFonts w:ascii="Arial" w:cs="Arial" w:eastAsia="Arial" w:hAnsi="Arial"/>
          <w:sz w:val="17"/>
          <w:szCs w:val="17"/>
          <w:color w:val="auto"/>
        </w:rPr>
        <w:t>In August 2015 we also amended our existing 10-year lease related to Eisai's oral solid dose products manufacturing facility in RTP, NC. The amended lease provided for a three-year term and our agreement to purchase the facility upon expiration of the lease term or at Eisai's option, their completion of certain activities at the facility. Upon signing, we recognized assets along with a corresponding financing obligation in our consolidated balance sheet of $20.3 million, the net present value of the future minimum lease payments. These assets were recorded as a component of buildings and machinery and equipment. In December 2017, upon the earlier than expected completion of Eisai's activities, we completed our purchase of this facility for $17.2 million.</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F- 38</w:t>
      </w:r>
    </w:p>
    <w:p>
      <w:pPr>
        <w:sectPr>
          <w:pgSz w:w="11900" w:h="16838" w:orient="portrait"/>
          <w:cols w:equalWidth="0" w:num="1">
            <w:col w:w="11400"/>
          </w:cols>
          <w:pgMar w:left="240" w:top="139" w:right="259" w:bottom="1440" w:gutter="0" w:footer="0" w:header="0"/>
        </w:sectPr>
      </w:pPr>
    </w:p>
    <w:bookmarkStart w:id="140" w:name="page141"/>
    <w:bookmarkEnd w:id="1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2" w:lineRule="exact"/>
        <w:rPr>
          <w:sz w:val="20"/>
          <w:szCs w:val="20"/>
          <w:color w:val="auto"/>
        </w:rPr>
      </w:pPr>
    </w:p>
    <w:p>
      <w:pPr>
        <w:ind w:left="580" w:hanging="578"/>
        <w:spacing w:after="0"/>
        <w:tabs>
          <w:tab w:leader="none" w:pos="580" w:val="left"/>
        </w:tabs>
        <w:numPr>
          <w:ilvl w:val="0"/>
          <w:numId w:val="106"/>
        </w:numPr>
        <w:rPr>
          <w:rFonts w:ascii="Arial" w:cs="Arial" w:eastAsia="Arial" w:hAnsi="Arial"/>
          <w:sz w:val="20"/>
          <w:szCs w:val="20"/>
          <w:b w:val="1"/>
          <w:bCs w:val="1"/>
          <w:color w:val="578196"/>
        </w:rPr>
      </w:pPr>
      <w:r>
        <w:rPr>
          <w:rFonts w:ascii="Arial" w:cs="Arial" w:eastAsia="Arial" w:hAnsi="Arial"/>
          <w:sz w:val="20"/>
          <w:szCs w:val="20"/>
          <w:b w:val="1"/>
          <w:bCs w:val="1"/>
          <w:color w:val="578196"/>
        </w:rPr>
        <w:t>Indebtedness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indebtedness is summarized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6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6"/>
                <w:szCs w:val="16"/>
                <w:color w:val="auto"/>
              </w:rPr>
            </w:pPr>
          </w:p>
        </w:tc>
      </w:tr>
      <w:tr>
        <w:trPr>
          <w:trHeight w:val="249"/>
        </w:trPr>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68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shd w:val="clear" w:color="auto" w:fill="DDDDDD"/>
          </w:tcPr>
          <w:p>
            <w:pPr>
              <w:spacing w:after="0"/>
              <w:rPr>
                <w:sz w:val="21"/>
                <w:szCs w:val="21"/>
                <w:color w:val="auto"/>
              </w:rPr>
            </w:pPr>
          </w:p>
        </w:tc>
        <w:tc>
          <w:tcPr>
            <w:tcW w:w="1400" w:type="dxa"/>
            <w:vAlign w:val="bottom"/>
            <w:tcBorders>
              <w:bottom w:val="single" w:sz="8" w:color="auto"/>
            </w:tcBorders>
            <w:shd w:val="clear" w:color="auto" w:fill="DDDDDD"/>
          </w:tcPr>
          <w:p>
            <w:pPr>
              <w:jc w:val="right"/>
              <w:ind w:right="677"/>
              <w:spacing w:after="0"/>
              <w:rPr>
                <w:sz w:val="20"/>
                <w:szCs w:val="20"/>
                <w:color w:val="auto"/>
              </w:rPr>
            </w:pPr>
            <w:r>
              <w:rPr>
                <w:rFonts w:ascii="Arial" w:cs="Arial" w:eastAsia="Arial" w:hAnsi="Arial"/>
                <w:sz w:val="14"/>
                <w:szCs w:val="14"/>
                <w:b w:val="1"/>
                <w:bCs w:val="1"/>
                <w:color w:val="2573BA"/>
              </w:rPr>
              <w:t>2017</w:t>
            </w:r>
          </w:p>
        </w:tc>
        <w:tc>
          <w:tcPr>
            <w:tcW w:w="10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2016</w:t>
            </w:r>
          </w:p>
        </w:tc>
      </w:tr>
      <w:tr>
        <w:trPr>
          <w:trHeight w:val="228"/>
        </w:trPr>
        <w:tc>
          <w:tcPr>
            <w:tcW w:w="7660" w:type="dxa"/>
            <w:vAlign w:val="bottom"/>
            <w:gridSpan w:val="2"/>
          </w:tcPr>
          <w:p>
            <w:pPr>
              <w:ind w:left="20"/>
              <w:spacing w:after="0"/>
              <w:rPr>
                <w:sz w:val="20"/>
                <w:szCs w:val="20"/>
                <w:color w:val="auto"/>
              </w:rPr>
            </w:pPr>
            <w:r>
              <w:rPr>
                <w:rFonts w:ascii="Arial" w:cs="Arial" w:eastAsia="Arial" w:hAnsi="Arial"/>
                <w:sz w:val="17"/>
                <w:szCs w:val="17"/>
                <w:i w:val="1"/>
                <w:iCs w:val="1"/>
                <w:color w:val="auto"/>
              </w:rPr>
              <w:t>Current portion:</w:t>
            </w:r>
          </w:p>
        </w:tc>
        <w:tc>
          <w:tcPr>
            <w:tcW w:w="440" w:type="dxa"/>
            <w:vAlign w:val="bottom"/>
            <w:shd w:val="clear" w:color="auto" w:fill="DDDDDD"/>
          </w:tcPr>
          <w:p>
            <w:pPr>
              <w:spacing w:after="0"/>
              <w:rPr>
                <w:sz w:val="19"/>
                <w:szCs w:val="19"/>
                <w:color w:val="auto"/>
              </w:rPr>
            </w:pPr>
          </w:p>
        </w:tc>
        <w:tc>
          <w:tcPr>
            <w:tcW w:w="1400" w:type="dxa"/>
            <w:vAlign w:val="bottom"/>
            <w:shd w:val="clear" w:color="auto" w:fill="DDDDDD"/>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69"/>
        </w:trPr>
        <w:tc>
          <w:tcPr>
            <w:tcW w:w="7660" w:type="dxa"/>
            <w:vAlign w:val="bottom"/>
            <w:gridSpan w:val="2"/>
          </w:tcPr>
          <w:p>
            <w:pPr>
              <w:ind w:left="160"/>
              <w:spacing w:after="0"/>
              <w:rPr>
                <w:sz w:val="20"/>
                <w:szCs w:val="20"/>
                <w:color w:val="auto"/>
              </w:rPr>
            </w:pPr>
            <w:r>
              <w:rPr>
                <w:rFonts w:ascii="Arial" w:cs="Arial" w:eastAsia="Arial" w:hAnsi="Arial"/>
                <w:sz w:val="17"/>
                <w:szCs w:val="17"/>
                <w:color w:val="auto"/>
              </w:rPr>
              <w:t>Notes payable to Fumedica</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3.2</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3.0</w:t>
            </w:r>
          </w:p>
        </w:tc>
      </w:tr>
      <w:tr>
        <w:trPr>
          <w:trHeight w:val="263"/>
        </w:trPr>
        <w:tc>
          <w:tcPr>
            <w:tcW w:w="7660" w:type="dxa"/>
            <w:vAlign w:val="bottom"/>
            <w:gridSpan w:val="2"/>
          </w:tcPr>
          <w:p>
            <w:pPr>
              <w:ind w:left="160"/>
              <w:spacing w:after="0"/>
              <w:rPr>
                <w:sz w:val="20"/>
                <w:szCs w:val="20"/>
                <w:color w:val="auto"/>
              </w:rPr>
            </w:pPr>
            <w:r>
              <w:rPr>
                <w:rFonts w:ascii="Arial" w:cs="Arial" w:eastAsia="Arial" w:hAnsi="Arial"/>
                <w:sz w:val="17"/>
                <w:szCs w:val="17"/>
                <w:color w:val="auto"/>
              </w:rPr>
              <w:t>Financing arrangement for the purchase of the RTP facility</w:t>
            </w:r>
          </w:p>
        </w:tc>
        <w:tc>
          <w:tcPr>
            <w:tcW w:w="440" w:type="dxa"/>
            <w:vAlign w:val="bottom"/>
            <w:tcBorders>
              <w:bottom w:val="single" w:sz="8" w:color="auto"/>
            </w:tcBorders>
            <w:shd w:val="clear" w:color="auto" w:fill="DDDDDD"/>
          </w:tcPr>
          <w:p>
            <w:pPr>
              <w:spacing w:after="0"/>
              <w:rPr>
                <w:sz w:val="22"/>
                <w:szCs w:val="22"/>
                <w:color w:val="auto"/>
              </w:rPr>
            </w:pPr>
          </w:p>
        </w:tc>
        <w:tc>
          <w:tcPr>
            <w:tcW w:w="1400" w:type="dxa"/>
            <w:vAlign w:val="bottom"/>
            <w:tcBorders>
              <w:bottom w:val="single" w:sz="8" w:color="auto"/>
            </w:tcBorders>
            <w:shd w:val="clear" w:color="auto" w:fill="DDDDDD"/>
          </w:tcPr>
          <w:p>
            <w:pPr>
              <w:jc w:val="right"/>
              <w:ind w:right="17"/>
              <w:spacing w:after="0"/>
              <w:rPr>
                <w:sz w:val="20"/>
                <w:szCs w:val="20"/>
                <w:color w:val="auto"/>
              </w:rPr>
            </w:pPr>
            <w:r>
              <w:rPr>
                <w:rFonts w:ascii="Arial" w:cs="Arial" w:eastAsia="Arial" w:hAnsi="Arial"/>
                <w:sz w:val="17"/>
                <w:szCs w:val="17"/>
                <w:color w:val="2573BA"/>
              </w:rPr>
              <w:t>—</w:t>
            </w:r>
          </w:p>
        </w:tc>
        <w:tc>
          <w:tcPr>
            <w:tcW w:w="10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1.7</w:t>
            </w:r>
          </w:p>
        </w:tc>
      </w:tr>
      <w:tr>
        <w:trPr>
          <w:trHeight w:val="276"/>
        </w:trPr>
        <w:tc>
          <w:tcPr>
            <w:tcW w:w="7660" w:type="dxa"/>
            <w:vAlign w:val="bottom"/>
            <w:gridSpan w:val="2"/>
          </w:tcPr>
          <w:p>
            <w:pPr>
              <w:ind w:left="360"/>
              <w:spacing w:after="0"/>
              <w:rPr>
                <w:sz w:val="20"/>
                <w:szCs w:val="20"/>
                <w:color w:val="auto"/>
              </w:rPr>
            </w:pPr>
            <w:r>
              <w:rPr>
                <w:rFonts w:ascii="Arial" w:cs="Arial" w:eastAsia="Arial" w:hAnsi="Arial"/>
                <w:sz w:val="17"/>
                <w:szCs w:val="17"/>
                <w:color w:val="auto"/>
              </w:rPr>
              <w:t>Current portion of notes payable and other financing arrangements</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3.2</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4.7</w:t>
            </w:r>
          </w:p>
        </w:tc>
      </w:tr>
      <w:tr>
        <w:trPr>
          <w:trHeight w:val="189"/>
        </w:trPr>
        <w:tc>
          <w:tcPr>
            <w:tcW w:w="7660" w:type="dxa"/>
            <w:vAlign w:val="bottom"/>
            <w:gridSpan w:val="2"/>
          </w:tcPr>
          <w:p>
            <w:pPr>
              <w:ind w:left="20"/>
              <w:spacing w:after="0" w:line="189" w:lineRule="exact"/>
              <w:rPr>
                <w:sz w:val="20"/>
                <w:szCs w:val="20"/>
                <w:color w:val="auto"/>
              </w:rPr>
            </w:pPr>
            <w:r>
              <w:rPr>
                <w:rFonts w:ascii="Arial" w:cs="Arial" w:eastAsia="Arial" w:hAnsi="Arial"/>
                <w:sz w:val="17"/>
                <w:szCs w:val="17"/>
                <w:i w:val="1"/>
                <w:iCs w:val="1"/>
                <w:color w:val="auto"/>
              </w:rPr>
              <w:t>Non-current portion:</w:t>
            </w:r>
          </w:p>
        </w:tc>
        <w:tc>
          <w:tcPr>
            <w:tcW w:w="440" w:type="dxa"/>
            <w:vAlign w:val="bottom"/>
            <w:tcBorders>
              <w:top w:val="single" w:sz="8" w:color="auto"/>
            </w:tcBorders>
            <w:shd w:val="clear" w:color="auto" w:fill="DDDDDD"/>
          </w:tcPr>
          <w:p>
            <w:pPr>
              <w:spacing w:after="0"/>
              <w:rPr>
                <w:sz w:val="16"/>
                <w:szCs w:val="16"/>
                <w:color w:val="auto"/>
              </w:rPr>
            </w:pPr>
          </w:p>
        </w:tc>
        <w:tc>
          <w:tcPr>
            <w:tcW w:w="1400" w:type="dxa"/>
            <w:vAlign w:val="bottom"/>
            <w:tcBorders>
              <w:top w:val="single" w:sz="8" w:color="auto"/>
            </w:tcBorders>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r>
      <w:tr>
        <w:trPr>
          <w:trHeight w:val="295"/>
        </w:trPr>
        <w:tc>
          <w:tcPr>
            <w:tcW w:w="860" w:type="dxa"/>
            <w:vAlign w:val="bottom"/>
          </w:tcPr>
          <w:p>
            <w:pPr>
              <w:jc w:val="right"/>
              <w:spacing w:after="0"/>
              <w:rPr>
                <w:sz w:val="20"/>
                <w:szCs w:val="20"/>
                <w:color w:val="auto"/>
              </w:rPr>
            </w:pPr>
            <w:r>
              <w:rPr>
                <w:rFonts w:ascii="Arial" w:cs="Arial" w:eastAsia="Arial" w:hAnsi="Arial"/>
                <w:sz w:val="17"/>
                <w:szCs w:val="17"/>
                <w:color w:val="auto"/>
              </w:rPr>
              <w:t>6.875%</w:t>
            </w:r>
          </w:p>
        </w:tc>
        <w:tc>
          <w:tcPr>
            <w:tcW w:w="6800" w:type="dxa"/>
            <w:vAlign w:val="bottom"/>
          </w:tcPr>
          <w:p>
            <w:pPr>
              <w:ind w:left="20"/>
              <w:spacing w:after="0"/>
              <w:rPr>
                <w:sz w:val="20"/>
                <w:szCs w:val="20"/>
                <w:color w:val="auto"/>
              </w:rPr>
            </w:pPr>
            <w:r>
              <w:rPr>
                <w:rFonts w:ascii="Arial" w:cs="Arial" w:eastAsia="Arial" w:hAnsi="Arial"/>
                <w:sz w:val="17"/>
                <w:szCs w:val="17"/>
                <w:color w:val="auto"/>
              </w:rPr>
              <w:t>Senior Notes due March 1, 2018</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558.5</w:t>
            </w:r>
          </w:p>
        </w:tc>
      </w:tr>
      <w:tr>
        <w:trPr>
          <w:trHeight w:val="256"/>
        </w:trPr>
        <w:tc>
          <w:tcPr>
            <w:tcW w:w="860" w:type="dxa"/>
            <w:vAlign w:val="bottom"/>
          </w:tcPr>
          <w:p>
            <w:pPr>
              <w:jc w:val="right"/>
              <w:spacing w:after="0"/>
              <w:rPr>
                <w:sz w:val="20"/>
                <w:szCs w:val="20"/>
                <w:color w:val="auto"/>
              </w:rPr>
            </w:pPr>
            <w:r>
              <w:rPr>
                <w:rFonts w:ascii="Arial" w:cs="Arial" w:eastAsia="Arial" w:hAnsi="Arial"/>
                <w:sz w:val="17"/>
                <w:szCs w:val="17"/>
                <w:color w:val="auto"/>
              </w:rPr>
              <w:t>2.900%</w:t>
            </w:r>
          </w:p>
        </w:tc>
        <w:tc>
          <w:tcPr>
            <w:tcW w:w="6800" w:type="dxa"/>
            <w:vAlign w:val="bottom"/>
          </w:tcPr>
          <w:p>
            <w:pPr>
              <w:ind w:left="20"/>
              <w:spacing w:after="0"/>
              <w:rPr>
                <w:sz w:val="20"/>
                <w:szCs w:val="20"/>
                <w:color w:val="auto"/>
              </w:rPr>
            </w:pPr>
            <w:r>
              <w:rPr>
                <w:rFonts w:ascii="Arial" w:cs="Arial" w:eastAsia="Arial" w:hAnsi="Arial"/>
                <w:sz w:val="17"/>
                <w:szCs w:val="17"/>
                <w:color w:val="auto"/>
              </w:rPr>
              <w:t>Senior Notes due September 15, 2020</w:t>
            </w: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1,482.4</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1,485.3</w:t>
            </w:r>
          </w:p>
        </w:tc>
      </w:tr>
      <w:tr>
        <w:trPr>
          <w:trHeight w:val="256"/>
        </w:trPr>
        <w:tc>
          <w:tcPr>
            <w:tcW w:w="860" w:type="dxa"/>
            <w:vAlign w:val="bottom"/>
          </w:tcPr>
          <w:p>
            <w:pPr>
              <w:jc w:val="right"/>
              <w:spacing w:after="0"/>
              <w:rPr>
                <w:sz w:val="20"/>
                <w:szCs w:val="20"/>
                <w:color w:val="auto"/>
              </w:rPr>
            </w:pPr>
            <w:r>
              <w:rPr>
                <w:rFonts w:ascii="Arial" w:cs="Arial" w:eastAsia="Arial" w:hAnsi="Arial"/>
                <w:sz w:val="17"/>
                <w:szCs w:val="17"/>
                <w:color w:val="auto"/>
              </w:rPr>
              <w:t>3.625%</w:t>
            </w:r>
          </w:p>
        </w:tc>
        <w:tc>
          <w:tcPr>
            <w:tcW w:w="6800" w:type="dxa"/>
            <w:vAlign w:val="bottom"/>
          </w:tcPr>
          <w:p>
            <w:pPr>
              <w:ind w:left="20"/>
              <w:spacing w:after="0"/>
              <w:rPr>
                <w:sz w:val="20"/>
                <w:szCs w:val="20"/>
                <w:color w:val="auto"/>
              </w:rPr>
            </w:pPr>
            <w:r>
              <w:rPr>
                <w:rFonts w:ascii="Arial" w:cs="Arial" w:eastAsia="Arial" w:hAnsi="Arial"/>
                <w:sz w:val="17"/>
                <w:szCs w:val="17"/>
                <w:color w:val="auto"/>
              </w:rPr>
              <w:t>Senior Notes due September 15, 2022</w:t>
            </w: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994.3</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993.2</w:t>
            </w:r>
          </w:p>
        </w:tc>
      </w:tr>
      <w:tr>
        <w:trPr>
          <w:trHeight w:val="256"/>
        </w:trPr>
        <w:tc>
          <w:tcPr>
            <w:tcW w:w="860" w:type="dxa"/>
            <w:vAlign w:val="bottom"/>
          </w:tcPr>
          <w:p>
            <w:pPr>
              <w:jc w:val="right"/>
              <w:spacing w:after="0"/>
              <w:rPr>
                <w:sz w:val="20"/>
                <w:szCs w:val="20"/>
                <w:color w:val="auto"/>
              </w:rPr>
            </w:pPr>
            <w:r>
              <w:rPr>
                <w:rFonts w:ascii="Arial" w:cs="Arial" w:eastAsia="Arial" w:hAnsi="Arial"/>
                <w:sz w:val="17"/>
                <w:szCs w:val="17"/>
                <w:color w:val="auto"/>
              </w:rPr>
              <w:t>4.050%</w:t>
            </w:r>
          </w:p>
        </w:tc>
        <w:tc>
          <w:tcPr>
            <w:tcW w:w="6800" w:type="dxa"/>
            <w:vAlign w:val="bottom"/>
          </w:tcPr>
          <w:p>
            <w:pPr>
              <w:ind w:left="20"/>
              <w:spacing w:after="0"/>
              <w:rPr>
                <w:sz w:val="20"/>
                <w:szCs w:val="20"/>
                <w:color w:val="auto"/>
              </w:rPr>
            </w:pPr>
            <w:r>
              <w:rPr>
                <w:rFonts w:ascii="Arial" w:cs="Arial" w:eastAsia="Arial" w:hAnsi="Arial"/>
                <w:sz w:val="17"/>
                <w:szCs w:val="17"/>
                <w:color w:val="auto"/>
              </w:rPr>
              <w:t>Senior Notes due September 15, 2025</w:t>
            </w: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1,736.3</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1,734.8</w:t>
            </w:r>
          </w:p>
        </w:tc>
      </w:tr>
      <w:tr>
        <w:trPr>
          <w:trHeight w:val="256"/>
        </w:trPr>
        <w:tc>
          <w:tcPr>
            <w:tcW w:w="860" w:type="dxa"/>
            <w:vAlign w:val="bottom"/>
          </w:tcPr>
          <w:p>
            <w:pPr>
              <w:jc w:val="right"/>
              <w:spacing w:after="0"/>
              <w:rPr>
                <w:sz w:val="20"/>
                <w:szCs w:val="20"/>
                <w:color w:val="auto"/>
              </w:rPr>
            </w:pPr>
            <w:r>
              <w:rPr>
                <w:rFonts w:ascii="Arial" w:cs="Arial" w:eastAsia="Arial" w:hAnsi="Arial"/>
                <w:sz w:val="17"/>
                <w:szCs w:val="17"/>
                <w:color w:val="auto"/>
              </w:rPr>
              <w:t>5.200%</w:t>
            </w:r>
          </w:p>
        </w:tc>
        <w:tc>
          <w:tcPr>
            <w:tcW w:w="6800" w:type="dxa"/>
            <w:vAlign w:val="bottom"/>
          </w:tcPr>
          <w:p>
            <w:pPr>
              <w:ind w:left="20"/>
              <w:spacing w:after="0"/>
              <w:rPr>
                <w:sz w:val="20"/>
                <w:szCs w:val="20"/>
                <w:color w:val="auto"/>
              </w:rPr>
            </w:pPr>
            <w:r>
              <w:rPr>
                <w:rFonts w:ascii="Arial" w:cs="Arial" w:eastAsia="Arial" w:hAnsi="Arial"/>
                <w:sz w:val="17"/>
                <w:szCs w:val="17"/>
                <w:color w:val="auto"/>
              </w:rPr>
              <w:t>Senior Notes due September 15, 2045</w:t>
            </w: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1,722.0</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1,721.5</w:t>
            </w:r>
          </w:p>
        </w:tc>
      </w:tr>
      <w:tr>
        <w:trPr>
          <w:trHeight w:val="256"/>
        </w:trPr>
        <w:tc>
          <w:tcPr>
            <w:tcW w:w="7660" w:type="dxa"/>
            <w:vAlign w:val="bottom"/>
            <w:gridSpan w:val="2"/>
          </w:tcPr>
          <w:p>
            <w:pPr>
              <w:ind w:left="160"/>
              <w:spacing w:after="0"/>
              <w:rPr>
                <w:sz w:val="20"/>
                <w:szCs w:val="20"/>
                <w:color w:val="auto"/>
              </w:rPr>
            </w:pPr>
            <w:r>
              <w:rPr>
                <w:rFonts w:ascii="Arial" w:cs="Arial" w:eastAsia="Arial" w:hAnsi="Arial"/>
                <w:sz w:val="17"/>
                <w:szCs w:val="17"/>
                <w:color w:val="auto"/>
              </w:rPr>
              <w:t>Notes payable to Fumedica</w:t>
            </w: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3.0</w:t>
            </w:r>
          </w:p>
        </w:tc>
      </w:tr>
      <w:tr>
        <w:trPr>
          <w:trHeight w:val="263"/>
        </w:trPr>
        <w:tc>
          <w:tcPr>
            <w:tcW w:w="7660" w:type="dxa"/>
            <w:vAlign w:val="bottom"/>
            <w:gridSpan w:val="2"/>
          </w:tcPr>
          <w:p>
            <w:pPr>
              <w:ind w:left="160"/>
              <w:spacing w:after="0"/>
              <w:rPr>
                <w:sz w:val="20"/>
                <w:szCs w:val="20"/>
                <w:color w:val="auto"/>
              </w:rPr>
            </w:pPr>
            <w:r>
              <w:rPr>
                <w:rFonts w:ascii="Arial" w:cs="Arial" w:eastAsia="Arial" w:hAnsi="Arial"/>
                <w:sz w:val="17"/>
                <w:szCs w:val="17"/>
                <w:color w:val="auto"/>
              </w:rPr>
              <w:t>Financing arrangement for the purchase of the RTP facility</w:t>
            </w:r>
          </w:p>
        </w:tc>
        <w:tc>
          <w:tcPr>
            <w:tcW w:w="440" w:type="dxa"/>
            <w:vAlign w:val="bottom"/>
            <w:tcBorders>
              <w:bottom w:val="single" w:sz="8" w:color="auto"/>
            </w:tcBorders>
            <w:shd w:val="clear" w:color="auto" w:fill="DDDDDD"/>
          </w:tcPr>
          <w:p>
            <w:pPr>
              <w:spacing w:after="0"/>
              <w:rPr>
                <w:sz w:val="22"/>
                <w:szCs w:val="22"/>
                <w:color w:val="auto"/>
              </w:rPr>
            </w:pPr>
          </w:p>
        </w:tc>
        <w:tc>
          <w:tcPr>
            <w:tcW w:w="1400" w:type="dxa"/>
            <w:vAlign w:val="bottom"/>
            <w:tcBorders>
              <w:bottom w:val="single" w:sz="8" w:color="auto"/>
            </w:tcBorders>
            <w:shd w:val="clear" w:color="auto" w:fill="DDDDDD"/>
          </w:tcPr>
          <w:p>
            <w:pPr>
              <w:jc w:val="right"/>
              <w:ind w:right="17"/>
              <w:spacing w:after="0"/>
              <w:rPr>
                <w:sz w:val="20"/>
                <w:szCs w:val="20"/>
                <w:color w:val="auto"/>
              </w:rPr>
            </w:pPr>
            <w:r>
              <w:rPr>
                <w:rFonts w:ascii="Arial" w:cs="Arial" w:eastAsia="Arial" w:hAnsi="Arial"/>
                <w:sz w:val="17"/>
                <w:szCs w:val="17"/>
                <w:color w:val="2573BA"/>
              </w:rPr>
              <w:t>—</w:t>
            </w:r>
          </w:p>
        </w:tc>
        <w:tc>
          <w:tcPr>
            <w:tcW w:w="10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16.4</w:t>
            </w:r>
          </w:p>
        </w:tc>
      </w:tr>
      <w:tr>
        <w:trPr>
          <w:trHeight w:val="236"/>
        </w:trPr>
        <w:tc>
          <w:tcPr>
            <w:tcW w:w="7660" w:type="dxa"/>
            <w:vAlign w:val="bottom"/>
            <w:gridSpan w:val="2"/>
          </w:tcPr>
          <w:p>
            <w:pPr>
              <w:ind w:left="360"/>
              <w:spacing w:after="0"/>
              <w:rPr>
                <w:sz w:val="20"/>
                <w:szCs w:val="20"/>
                <w:color w:val="auto"/>
              </w:rPr>
            </w:pPr>
            <w:r>
              <w:rPr>
                <w:rFonts w:ascii="Arial" w:cs="Arial" w:eastAsia="Arial" w:hAnsi="Arial"/>
                <w:sz w:val="17"/>
                <w:szCs w:val="17"/>
                <w:color w:val="auto"/>
              </w:rPr>
              <w:t>Non-current portion of notes payable and other financing arrangements</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5,935.0</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6,512.7</w:t>
            </w:r>
          </w:p>
        </w:tc>
      </w:tr>
      <w:tr>
        <w:trPr>
          <w:trHeight w:val="20"/>
        </w:trPr>
        <w:tc>
          <w:tcPr>
            <w:tcW w:w="86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3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6.875% Senior Notes due March 1, 2018</w:t>
      </w:r>
    </w:p>
    <w:p>
      <w:pPr>
        <w:spacing w:after="0" w:line="106" w:lineRule="exact"/>
        <w:rPr>
          <w:sz w:val="20"/>
          <w:szCs w:val="20"/>
          <w:color w:val="auto"/>
        </w:rPr>
      </w:pPr>
    </w:p>
    <w:p>
      <w:pPr>
        <w:ind w:right="80" w:firstLine="410"/>
        <w:spacing w:after="0" w:line="254" w:lineRule="auto"/>
        <w:rPr>
          <w:sz w:val="20"/>
          <w:szCs w:val="20"/>
          <w:color w:val="auto"/>
        </w:rPr>
      </w:pPr>
      <w:r>
        <w:rPr>
          <w:rFonts w:ascii="Arial" w:cs="Arial" w:eastAsia="Arial" w:hAnsi="Arial"/>
          <w:sz w:val="17"/>
          <w:szCs w:val="17"/>
          <w:color w:val="auto"/>
        </w:rPr>
        <w:t>On March 4, 2008, we issued $550.0 million aggregate principal amount of 6.875% Senior Notes due March 1, 2018 at 99.184% of par. These notes were senior unsecured obligations. We also entered into interest rate swap contracts where we received a fixed rate and paid a variable rate. These contracts were terminated in December 2008. Upon termination of these contracts, the carrying amount of these notes were increased by $62.8 million with this amount being amortized using the effective interest rate method over the remaining life of the Senior Notes and recognized as a reduction of interest expense.</w:t>
      </w:r>
    </w:p>
    <w:p>
      <w:pPr>
        <w:spacing w:after="0" w:line="144" w:lineRule="exact"/>
        <w:rPr>
          <w:sz w:val="20"/>
          <w:szCs w:val="20"/>
          <w:color w:val="auto"/>
        </w:rPr>
      </w:pPr>
    </w:p>
    <w:p>
      <w:pPr>
        <w:ind w:right="100" w:firstLine="410"/>
        <w:spacing w:after="0" w:line="254" w:lineRule="auto"/>
        <w:rPr>
          <w:sz w:val="20"/>
          <w:szCs w:val="20"/>
          <w:color w:val="auto"/>
        </w:rPr>
      </w:pPr>
      <w:r>
        <w:rPr>
          <w:rFonts w:ascii="Arial" w:cs="Arial" w:eastAsia="Arial" w:hAnsi="Arial"/>
          <w:sz w:val="17"/>
          <w:szCs w:val="17"/>
          <w:color w:val="auto"/>
        </w:rPr>
        <w:t>In November 2017 we redeemed these notes prior to their maturity and recognized a net charge of $5.2 million upon the extinguishment of these notes. This charge, which was recognized in interest expense in other income (expense) net in our consolidated statements of income for the year ended December 31, 2017, reflects the payment of a $7.7 million early call premium and the write off of remaining unamortized original debt issuance costs and discount balances, partially offset by a $2.9 million gain related to the remaining unamortized balance of the interest rate swap liability discussed above.</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2015 Senior Notes</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is a summary of our principal indebtedness as of December 31, 2017:</w:t>
      </w:r>
    </w:p>
    <w:p>
      <w:pPr>
        <w:spacing w:after="0" w:line="151" w:lineRule="exact"/>
        <w:rPr>
          <w:sz w:val="20"/>
          <w:szCs w:val="20"/>
          <w:color w:val="auto"/>
        </w:rPr>
      </w:pPr>
    </w:p>
    <w:p>
      <w:pPr>
        <w:ind w:left="380" w:hanging="301"/>
        <w:spacing w:after="0"/>
        <w:tabs>
          <w:tab w:leader="none" w:pos="3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$1.5 billion aggregate principal amount of 2.90% Senior Notes due September 15, 2020, valued at 99.792% of par;</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$1.0 billion aggregate principal amount of 3.625% Senior Notes due September 15, 2022, valued at 99.920% of par;</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$1.75 billion aggregate principal amount of 4.05% Senior Notes due September 15, 2025, valued at 99.764% of par; and</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$1.75 billion aggregate principal amount of 5.20% Senior Notes due September 15, 2045, valued at 99.294% of par.</w:t>
      </w:r>
    </w:p>
    <w:p>
      <w:pPr>
        <w:spacing w:after="0" w:line="175" w:lineRule="exact"/>
        <w:rPr>
          <w:sz w:val="20"/>
          <w:szCs w:val="20"/>
          <w:color w:val="auto"/>
        </w:rPr>
      </w:pPr>
    </w:p>
    <w:p>
      <w:pPr>
        <w:jc w:val="both"/>
        <w:ind w:right="120" w:firstLine="410"/>
        <w:spacing w:after="0" w:line="257" w:lineRule="auto"/>
        <w:rPr>
          <w:sz w:val="20"/>
          <w:szCs w:val="20"/>
          <w:color w:val="auto"/>
        </w:rPr>
      </w:pPr>
      <w:r>
        <w:rPr>
          <w:rFonts w:ascii="Arial" w:cs="Arial" w:eastAsia="Arial" w:hAnsi="Arial"/>
          <w:sz w:val="17"/>
          <w:szCs w:val="17"/>
          <w:color w:val="auto"/>
        </w:rPr>
        <w:t>The costs associated with these offerings of approximately $47.5 million have been recorded as a reduction to the carrying amount of the debt in our consolidated balance sheet. These costs along with the discounts will be amortized as additional interest expense using the effective interest rate method over the period from issuance through maturity.</w:t>
      </w:r>
    </w:p>
    <w:p>
      <w:pPr>
        <w:spacing w:after="0" w:line="140" w:lineRule="exact"/>
        <w:rPr>
          <w:sz w:val="20"/>
          <w:szCs w:val="20"/>
          <w:color w:val="auto"/>
        </w:rPr>
      </w:pPr>
    </w:p>
    <w:p>
      <w:pPr>
        <w:ind w:right="200" w:firstLine="410"/>
        <w:spacing w:after="0" w:line="262" w:lineRule="auto"/>
        <w:rPr>
          <w:sz w:val="20"/>
          <w:szCs w:val="20"/>
          <w:color w:val="auto"/>
        </w:rPr>
      </w:pPr>
      <w:r>
        <w:rPr>
          <w:rFonts w:ascii="Arial" w:cs="Arial" w:eastAsia="Arial" w:hAnsi="Arial"/>
          <w:sz w:val="17"/>
          <w:szCs w:val="17"/>
          <w:color w:val="auto"/>
        </w:rPr>
        <w:t>These notes are senior unsecured obligations. These Senior Notes may be redeemed at our option at any time at 100% of the principal amount plus accrued interest and a specified make-whole amount. These Senior Notes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F- 39</w:t>
      </w:r>
    </w:p>
    <w:p>
      <w:pPr>
        <w:sectPr>
          <w:pgSz w:w="11900" w:h="16838" w:orient="portrait"/>
          <w:cols w:equalWidth="0" w:num="1">
            <w:col w:w="11420"/>
          </w:cols>
          <w:pgMar w:left="240" w:top="139" w:right="239" w:bottom="1440" w:gutter="0" w:footer="0" w:header="0"/>
        </w:sectPr>
      </w:pPr>
    </w:p>
    <w:bookmarkStart w:id="141" w:name="page142"/>
    <w:bookmarkEnd w:id="1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90" w:lineRule="exact"/>
        <w:rPr>
          <w:sz w:val="20"/>
          <w:szCs w:val="20"/>
          <w:color w:val="auto"/>
        </w:rPr>
      </w:pPr>
    </w:p>
    <w:p>
      <w:pPr>
        <w:ind w:right="440"/>
        <w:spacing w:after="0" w:line="262" w:lineRule="auto"/>
        <w:rPr>
          <w:sz w:val="20"/>
          <w:szCs w:val="20"/>
          <w:color w:val="auto"/>
        </w:rPr>
      </w:pPr>
      <w:r>
        <w:rPr>
          <w:rFonts w:ascii="Arial" w:cs="Arial" w:eastAsia="Arial" w:hAnsi="Arial"/>
          <w:sz w:val="17"/>
          <w:szCs w:val="17"/>
          <w:color w:val="auto"/>
        </w:rPr>
        <w:t>contain a change of control provision that may require us to purchase the notes at a price equal to 101% of the principal amount plus accrued and unpaid interest to the date of purchase under certain circumstances.</w:t>
      </w:r>
    </w:p>
    <w:p>
      <w:pPr>
        <w:spacing w:after="0" w:line="137" w:lineRule="exact"/>
        <w:rPr>
          <w:sz w:val="20"/>
          <w:szCs w:val="20"/>
          <w:color w:val="auto"/>
        </w:rPr>
      </w:pPr>
    </w:p>
    <w:p>
      <w:pPr>
        <w:ind w:right="80" w:firstLine="410"/>
        <w:spacing w:after="0" w:line="257" w:lineRule="auto"/>
        <w:rPr>
          <w:sz w:val="20"/>
          <w:szCs w:val="20"/>
          <w:color w:val="auto"/>
        </w:rPr>
      </w:pPr>
      <w:r>
        <w:rPr>
          <w:rFonts w:ascii="Arial" w:cs="Arial" w:eastAsia="Arial" w:hAnsi="Arial"/>
          <w:sz w:val="17"/>
          <w:szCs w:val="17"/>
          <w:color w:val="auto"/>
        </w:rPr>
        <w:t xml:space="preserve">In connection with the 2.90% Senior Notes offering due in 2020, we entered into interest rate swap contracts. The carrying value of the 2.90% Senior Notes includes approximately $10.1 million related to changes in the fair value of these contracts. For additional information on our interest rate contracts, please read Note 10, </w:t>
      </w:r>
      <w:r>
        <w:rPr>
          <w:rFonts w:ascii="Arial" w:cs="Arial" w:eastAsia="Arial" w:hAnsi="Arial"/>
          <w:sz w:val="17"/>
          <w:szCs w:val="17"/>
          <w:i w:val="1"/>
          <w:iCs w:val="1"/>
          <w:color w:val="auto"/>
        </w:rPr>
        <w:t>Derivative Instruments,</w:t>
      </w:r>
      <w:r>
        <w:rPr>
          <w:rFonts w:ascii="Arial" w:cs="Arial" w:eastAsia="Arial" w:hAnsi="Arial"/>
          <w:sz w:val="17"/>
          <w:szCs w:val="17"/>
          <w:color w:val="auto"/>
        </w:rPr>
        <w:t xml:space="preserve"> to these consolidated financial statements.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Notes Payable to Fumedica</w:t>
      </w:r>
    </w:p>
    <w:p>
      <w:pPr>
        <w:spacing w:after="0" w:line="106" w:lineRule="exact"/>
        <w:rPr>
          <w:sz w:val="20"/>
          <w:szCs w:val="20"/>
          <w:color w:val="auto"/>
        </w:rPr>
      </w:pPr>
    </w:p>
    <w:p>
      <w:pPr>
        <w:ind w:right="400" w:firstLine="410"/>
        <w:spacing w:after="0" w:line="257" w:lineRule="auto"/>
        <w:rPr>
          <w:sz w:val="20"/>
          <w:szCs w:val="20"/>
          <w:color w:val="auto"/>
        </w:rPr>
      </w:pPr>
      <w:r>
        <w:rPr>
          <w:rFonts w:ascii="Arial" w:cs="Arial" w:eastAsia="Arial" w:hAnsi="Arial"/>
          <w:sz w:val="17"/>
          <w:szCs w:val="17"/>
          <w:color w:val="auto"/>
        </w:rPr>
        <w:t>In connection with our 2006 distribution agreement with Fumedica, we issued notes totaling 61.4 million Swiss Francs that are payable to Fumedica in varying amounts from June 2008 through June 2018. Our remaining note payable to Fumedica, payable in June 2018, had a carrying value of 3.1 million Swiss Francs ($3.2 million) and 6.2 million Swiss Francs ($6.0 million) as of December 31, 2017 and 2016, respectively.</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Credit Facility</w:t>
      </w:r>
    </w:p>
    <w:p>
      <w:pPr>
        <w:spacing w:after="0" w:line="106" w:lineRule="exact"/>
        <w:rPr>
          <w:sz w:val="20"/>
          <w:szCs w:val="20"/>
          <w:color w:val="auto"/>
        </w:rPr>
      </w:pPr>
    </w:p>
    <w:p>
      <w:pPr>
        <w:jc w:val="both"/>
        <w:ind w:right="140" w:firstLine="410"/>
        <w:spacing w:after="0" w:line="255" w:lineRule="auto"/>
        <w:rPr>
          <w:sz w:val="20"/>
          <w:szCs w:val="20"/>
          <w:color w:val="auto"/>
        </w:rPr>
      </w:pPr>
      <w:r>
        <w:rPr>
          <w:rFonts w:ascii="Arial" w:cs="Arial" w:eastAsia="Arial" w:hAnsi="Arial"/>
          <w:sz w:val="17"/>
          <w:szCs w:val="17"/>
          <w:color w:val="auto"/>
        </w:rPr>
        <w:t>In August 2015 we entered into a $1.0 billion, five-year senior unsecured revolving credit facility under which we are permitted to draw funds for working capital and general corporate purposes. The terms of the revolving credit facility include a financial covenant that requires us not to exceed a maximum consolidated leverage ratio. As of December 31, 2017, we had no outstanding borrowings and were in compliance with all covenants under this facility.</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Financing Arrangement</w:t>
      </w:r>
    </w:p>
    <w:p>
      <w:pPr>
        <w:spacing w:after="0" w:line="106" w:lineRule="exact"/>
        <w:rPr>
          <w:sz w:val="20"/>
          <w:szCs w:val="20"/>
          <w:color w:val="auto"/>
        </w:rPr>
      </w:pPr>
    </w:p>
    <w:p>
      <w:pPr>
        <w:ind w:right="500" w:firstLine="410"/>
        <w:spacing w:after="0" w:line="255" w:lineRule="auto"/>
        <w:rPr>
          <w:sz w:val="20"/>
          <w:szCs w:val="20"/>
          <w:color w:val="auto"/>
        </w:rPr>
      </w:pPr>
      <w:r>
        <w:rPr>
          <w:rFonts w:ascii="Arial" w:cs="Arial" w:eastAsia="Arial" w:hAnsi="Arial"/>
          <w:sz w:val="17"/>
          <w:szCs w:val="17"/>
          <w:color w:val="auto"/>
        </w:rPr>
        <w:t xml:space="preserve">During 2015 we recorded a financing obligation in relation to the amendment of our lease agreement for Eisai's oral solid dose products manufacturing facility in RTP, NC. In December 2017 we completed the purchase of this facility for $17.2 million and derecognized the remaining unamortized portion of the financing obligation from our consolidated balance sheet as of that date. For additional information on this transaction, please read Note 11,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xml:space="preserve"> to these consolidated financial statements.</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Debt Maturity</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total gross payments, excluding our financing arrangement, due under our debt arrangements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auto"/>
            </w:tcBorders>
            <w:shd w:val="clear" w:color="auto" w:fill="DDDDDD"/>
          </w:tcPr>
          <w:p>
            <w:pPr>
              <w:spacing w:after="0"/>
              <w:rPr>
                <w:sz w:val="17"/>
                <w:szCs w:val="17"/>
                <w:color w:val="auto"/>
              </w:rPr>
            </w:pPr>
          </w:p>
        </w:tc>
        <w:tc>
          <w:tcPr>
            <w:tcW w:w="2020" w:type="dxa"/>
            <w:vAlign w:val="bottom"/>
            <w:tcBorders>
              <w:bottom w:val="single" w:sz="8" w:color="auto"/>
            </w:tcBorders>
            <w:shd w:val="clear" w:color="auto" w:fill="DDDDDD"/>
          </w:tcPr>
          <w:p>
            <w:pPr>
              <w:jc w:val="right"/>
              <w:ind w:right="237"/>
              <w:spacing w:after="0"/>
              <w:rPr>
                <w:sz w:val="20"/>
                <w:szCs w:val="20"/>
                <w:color w:val="auto"/>
              </w:rPr>
            </w:pPr>
            <w:r>
              <w:rPr>
                <w:rFonts w:ascii="Arial" w:cs="Arial" w:eastAsia="Arial" w:hAnsi="Arial"/>
                <w:sz w:val="14"/>
                <w:szCs w:val="14"/>
                <w:b w:val="1"/>
                <w:bCs w:val="1"/>
                <w:color w:val="2573BA"/>
              </w:rPr>
              <w:t>As of December 31, 2017</w:t>
            </w:r>
          </w:p>
        </w:tc>
      </w:tr>
      <w:tr>
        <w:trPr>
          <w:trHeight w:val="225"/>
        </w:trPr>
        <w:tc>
          <w:tcPr>
            <w:tcW w:w="9000" w:type="dxa"/>
            <w:vAlign w:val="bottom"/>
          </w:tcPr>
          <w:p>
            <w:pPr>
              <w:ind w:left="20"/>
              <w:spacing w:after="0"/>
              <w:rPr>
                <w:sz w:val="20"/>
                <w:szCs w:val="20"/>
                <w:color w:val="auto"/>
              </w:rPr>
            </w:pPr>
            <w:r>
              <w:rPr>
                <w:rFonts w:ascii="Arial" w:cs="Arial" w:eastAsia="Arial" w:hAnsi="Arial"/>
                <w:sz w:val="17"/>
                <w:szCs w:val="17"/>
                <w:color w:val="auto"/>
              </w:rPr>
              <w:t>2018</w:t>
            </w:r>
          </w:p>
        </w:tc>
        <w:tc>
          <w:tcPr>
            <w:tcW w:w="22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w:t>
            </w:r>
          </w:p>
        </w:tc>
        <w:tc>
          <w:tcPr>
            <w:tcW w:w="202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3.2</w:t>
            </w:r>
          </w:p>
        </w:tc>
      </w:tr>
      <w:tr>
        <w:trPr>
          <w:trHeight w:val="243"/>
        </w:trPr>
        <w:tc>
          <w:tcPr>
            <w:tcW w:w="9000" w:type="dxa"/>
            <w:vAlign w:val="bottom"/>
          </w:tcPr>
          <w:p>
            <w:pPr>
              <w:ind w:left="20"/>
              <w:spacing w:after="0"/>
              <w:rPr>
                <w:sz w:val="20"/>
                <w:szCs w:val="20"/>
                <w:color w:val="auto"/>
              </w:rPr>
            </w:pPr>
            <w:r>
              <w:rPr>
                <w:rFonts w:ascii="Arial" w:cs="Arial" w:eastAsia="Arial" w:hAnsi="Arial"/>
                <w:sz w:val="17"/>
                <w:szCs w:val="17"/>
                <w:color w:val="auto"/>
              </w:rPr>
              <w:t>2019</w:t>
            </w:r>
          </w:p>
        </w:tc>
        <w:tc>
          <w:tcPr>
            <w:tcW w:w="220" w:type="dxa"/>
            <w:vAlign w:val="bottom"/>
            <w:shd w:val="clear" w:color="auto" w:fill="DDDDDD"/>
          </w:tcPr>
          <w:p>
            <w:pPr>
              <w:spacing w:after="0"/>
              <w:rPr>
                <w:sz w:val="21"/>
                <w:szCs w:val="21"/>
                <w:color w:val="auto"/>
              </w:rPr>
            </w:pPr>
          </w:p>
        </w:tc>
        <w:tc>
          <w:tcPr>
            <w:tcW w:w="202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w:t>
            </w:r>
          </w:p>
        </w:tc>
      </w:tr>
      <w:tr>
        <w:trPr>
          <w:trHeight w:val="243"/>
        </w:trPr>
        <w:tc>
          <w:tcPr>
            <w:tcW w:w="9000" w:type="dxa"/>
            <w:vAlign w:val="bottom"/>
          </w:tcPr>
          <w:p>
            <w:pPr>
              <w:ind w:left="20"/>
              <w:spacing w:after="0"/>
              <w:rPr>
                <w:sz w:val="20"/>
                <w:szCs w:val="20"/>
                <w:color w:val="auto"/>
              </w:rPr>
            </w:pPr>
            <w:r>
              <w:rPr>
                <w:rFonts w:ascii="Arial" w:cs="Arial" w:eastAsia="Arial" w:hAnsi="Arial"/>
                <w:sz w:val="17"/>
                <w:szCs w:val="17"/>
                <w:color w:val="auto"/>
              </w:rPr>
              <w:t>2020</w:t>
            </w:r>
          </w:p>
        </w:tc>
        <w:tc>
          <w:tcPr>
            <w:tcW w:w="220" w:type="dxa"/>
            <w:vAlign w:val="bottom"/>
            <w:shd w:val="clear" w:color="auto" w:fill="DDDDDD"/>
          </w:tcPr>
          <w:p>
            <w:pPr>
              <w:spacing w:after="0"/>
              <w:rPr>
                <w:sz w:val="21"/>
                <w:szCs w:val="21"/>
                <w:color w:val="auto"/>
              </w:rPr>
            </w:pPr>
          </w:p>
        </w:tc>
        <w:tc>
          <w:tcPr>
            <w:tcW w:w="202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1,500.0</w:t>
            </w:r>
          </w:p>
        </w:tc>
      </w:tr>
      <w:tr>
        <w:trPr>
          <w:trHeight w:val="243"/>
        </w:trPr>
        <w:tc>
          <w:tcPr>
            <w:tcW w:w="9000" w:type="dxa"/>
            <w:vAlign w:val="bottom"/>
          </w:tcPr>
          <w:p>
            <w:pPr>
              <w:ind w:left="20"/>
              <w:spacing w:after="0"/>
              <w:rPr>
                <w:sz w:val="20"/>
                <w:szCs w:val="20"/>
                <w:color w:val="auto"/>
              </w:rPr>
            </w:pPr>
            <w:r>
              <w:rPr>
                <w:rFonts w:ascii="Arial" w:cs="Arial" w:eastAsia="Arial" w:hAnsi="Arial"/>
                <w:sz w:val="17"/>
                <w:szCs w:val="17"/>
                <w:color w:val="auto"/>
              </w:rPr>
              <w:t>2021</w:t>
            </w:r>
          </w:p>
        </w:tc>
        <w:tc>
          <w:tcPr>
            <w:tcW w:w="220" w:type="dxa"/>
            <w:vAlign w:val="bottom"/>
            <w:shd w:val="clear" w:color="auto" w:fill="DDDDDD"/>
          </w:tcPr>
          <w:p>
            <w:pPr>
              <w:spacing w:after="0"/>
              <w:rPr>
                <w:sz w:val="21"/>
                <w:szCs w:val="21"/>
                <w:color w:val="auto"/>
              </w:rPr>
            </w:pPr>
          </w:p>
        </w:tc>
        <w:tc>
          <w:tcPr>
            <w:tcW w:w="202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w:t>
            </w:r>
          </w:p>
        </w:tc>
      </w:tr>
      <w:tr>
        <w:trPr>
          <w:trHeight w:val="243"/>
        </w:trPr>
        <w:tc>
          <w:tcPr>
            <w:tcW w:w="9000" w:type="dxa"/>
            <w:vAlign w:val="bottom"/>
          </w:tcPr>
          <w:p>
            <w:pPr>
              <w:ind w:left="20"/>
              <w:spacing w:after="0"/>
              <w:rPr>
                <w:sz w:val="20"/>
                <w:szCs w:val="20"/>
                <w:color w:val="auto"/>
              </w:rPr>
            </w:pPr>
            <w:r>
              <w:rPr>
                <w:rFonts w:ascii="Arial" w:cs="Arial" w:eastAsia="Arial" w:hAnsi="Arial"/>
                <w:sz w:val="17"/>
                <w:szCs w:val="17"/>
                <w:color w:val="auto"/>
              </w:rPr>
              <w:t>2022</w:t>
            </w:r>
          </w:p>
        </w:tc>
        <w:tc>
          <w:tcPr>
            <w:tcW w:w="220" w:type="dxa"/>
            <w:vAlign w:val="bottom"/>
            <w:shd w:val="clear" w:color="auto" w:fill="DDDDDD"/>
          </w:tcPr>
          <w:p>
            <w:pPr>
              <w:spacing w:after="0"/>
              <w:rPr>
                <w:sz w:val="21"/>
                <w:szCs w:val="21"/>
                <w:color w:val="auto"/>
              </w:rPr>
            </w:pPr>
          </w:p>
        </w:tc>
        <w:tc>
          <w:tcPr>
            <w:tcW w:w="202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1,000.0</w:t>
            </w:r>
          </w:p>
        </w:tc>
      </w:tr>
      <w:tr>
        <w:trPr>
          <w:trHeight w:val="250"/>
        </w:trPr>
        <w:tc>
          <w:tcPr>
            <w:tcW w:w="9000" w:type="dxa"/>
            <w:vAlign w:val="bottom"/>
          </w:tcPr>
          <w:p>
            <w:pPr>
              <w:ind w:left="20"/>
              <w:spacing w:after="0"/>
              <w:rPr>
                <w:sz w:val="20"/>
                <w:szCs w:val="20"/>
                <w:color w:val="auto"/>
              </w:rPr>
            </w:pPr>
            <w:r>
              <w:rPr>
                <w:rFonts w:ascii="Arial" w:cs="Arial" w:eastAsia="Arial" w:hAnsi="Arial"/>
                <w:sz w:val="17"/>
                <w:szCs w:val="17"/>
                <w:color w:val="auto"/>
              </w:rPr>
              <w:t>2023 and thereafter</w:t>
            </w:r>
          </w:p>
        </w:tc>
        <w:tc>
          <w:tcPr>
            <w:tcW w:w="220" w:type="dxa"/>
            <w:vAlign w:val="bottom"/>
            <w:tcBorders>
              <w:bottom w:val="single" w:sz="8" w:color="auto"/>
            </w:tcBorders>
            <w:shd w:val="clear" w:color="auto" w:fill="DDDDDD"/>
          </w:tcPr>
          <w:p>
            <w:pPr>
              <w:spacing w:after="0"/>
              <w:rPr>
                <w:sz w:val="21"/>
                <w:szCs w:val="21"/>
                <w:color w:val="auto"/>
              </w:rPr>
            </w:pPr>
          </w:p>
        </w:tc>
        <w:tc>
          <w:tcPr>
            <w:tcW w:w="2020" w:type="dxa"/>
            <w:vAlign w:val="bottom"/>
            <w:tcBorders>
              <w:bottom w:val="single" w:sz="8" w:color="auto"/>
            </w:tcBorders>
            <w:shd w:val="clear" w:color="auto" w:fill="DDDDDD"/>
          </w:tcPr>
          <w:p>
            <w:pPr>
              <w:jc w:val="right"/>
              <w:ind w:right="17"/>
              <w:spacing w:after="0"/>
              <w:rPr>
                <w:sz w:val="20"/>
                <w:szCs w:val="20"/>
                <w:color w:val="auto"/>
              </w:rPr>
            </w:pPr>
            <w:r>
              <w:rPr>
                <w:rFonts w:ascii="Arial" w:cs="Arial" w:eastAsia="Arial" w:hAnsi="Arial"/>
                <w:sz w:val="17"/>
                <w:szCs w:val="17"/>
                <w:color w:val="2573BA"/>
              </w:rPr>
              <w:t>3,500.0</w:t>
            </w:r>
          </w:p>
        </w:tc>
      </w:tr>
      <w:tr>
        <w:trPr>
          <w:trHeight w:val="236"/>
        </w:trPr>
        <w:tc>
          <w:tcPr>
            <w:tcW w:w="9000" w:type="dxa"/>
            <w:vAlign w:val="bottom"/>
          </w:tcPr>
          <w:p>
            <w:pPr>
              <w:ind w:left="36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DDDDDD"/>
          </w:tcPr>
          <w:p>
            <w:pPr>
              <w:jc w:val="right"/>
              <w:ind w:right="15"/>
              <w:spacing w:after="0"/>
              <w:rPr>
                <w:sz w:val="20"/>
                <w:szCs w:val="20"/>
                <w:color w:val="auto"/>
              </w:rPr>
            </w:pPr>
            <w:r>
              <w:rPr>
                <w:rFonts w:ascii="Arial" w:cs="Arial" w:eastAsia="Arial" w:hAnsi="Arial"/>
                <w:sz w:val="17"/>
                <w:szCs w:val="17"/>
                <w:color w:val="2573BA"/>
              </w:rPr>
              <w:t>$</w:t>
            </w:r>
          </w:p>
        </w:tc>
        <w:tc>
          <w:tcPr>
            <w:tcW w:w="2020" w:type="dxa"/>
            <w:vAlign w:val="bottom"/>
            <w:tcBorders>
              <w:bottom w:val="single" w:sz="8" w:color="auto"/>
            </w:tcBorders>
            <w:shd w:val="clear" w:color="auto" w:fill="DDDDDD"/>
          </w:tcPr>
          <w:p>
            <w:pPr>
              <w:jc w:val="right"/>
              <w:ind w:right="17"/>
              <w:spacing w:after="0"/>
              <w:rPr>
                <w:sz w:val="20"/>
                <w:szCs w:val="20"/>
                <w:color w:val="auto"/>
              </w:rPr>
            </w:pPr>
            <w:r>
              <w:rPr>
                <w:rFonts w:ascii="Arial" w:cs="Arial" w:eastAsia="Arial" w:hAnsi="Arial"/>
                <w:sz w:val="17"/>
                <w:szCs w:val="17"/>
                <w:color w:val="2573BA"/>
              </w:rPr>
              <w:t>6,003.2</w:t>
            </w:r>
          </w:p>
        </w:tc>
      </w:tr>
      <w:tr>
        <w:trPr>
          <w:trHeight w:val="20"/>
        </w:trPr>
        <w:tc>
          <w:tcPr>
            <w:tcW w:w="9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The fair value of our debt is disclosed in Note 8,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to these consolidated financial statements.</w:t>
      </w:r>
    </w:p>
    <w:p>
      <w:pPr>
        <w:spacing w:after="0" w:line="163" w:lineRule="exact"/>
        <w:rPr>
          <w:sz w:val="20"/>
          <w:szCs w:val="20"/>
          <w:color w:val="auto"/>
        </w:rPr>
      </w:pPr>
    </w:p>
    <w:p>
      <w:pPr>
        <w:ind w:left="620" w:hanging="618"/>
        <w:spacing w:after="0"/>
        <w:tabs>
          <w:tab w:leader="none" w:pos="620" w:val="left"/>
        </w:tabs>
        <w:numPr>
          <w:ilvl w:val="0"/>
          <w:numId w:val="108"/>
        </w:numPr>
        <w:rPr>
          <w:rFonts w:ascii="Arial" w:cs="Arial" w:eastAsia="Arial" w:hAnsi="Arial"/>
          <w:sz w:val="20"/>
          <w:szCs w:val="20"/>
          <w:b w:val="1"/>
          <w:bCs w:val="1"/>
          <w:color w:val="578196"/>
        </w:rPr>
      </w:pPr>
      <w:r>
        <w:rPr>
          <w:rFonts w:ascii="Arial" w:cs="Arial" w:eastAsia="Arial" w:hAnsi="Arial"/>
          <w:sz w:val="20"/>
          <w:szCs w:val="20"/>
          <w:b w:val="1"/>
          <w:bCs w:val="1"/>
          <w:color w:val="578196"/>
        </w:rPr>
        <w:t>Equity</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Preferred Stock</w:t>
      </w:r>
    </w:p>
    <w:p>
      <w:pPr>
        <w:spacing w:after="0" w:line="106"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We have 8.0 million shares of Preferred Stock authorized, of which 1.75 million shares are authorized as Series A, 1.0 million shares are authorized as Series X junior participating and 5.25 million shares are undesignated. Shares may be issued without a vote or action of shareholders from time to time in classes or series with the designations, powers, preferences, and the relative, participating, optional or other special rights of the shares of each such class or series and any qualifications, limitations or restrictions thereon as set forth in the instruments governing such shares. Any such Preferred Stock may rank prior to common stock as to dividend rights, liquidation preference or both, and may have full or limited voting rights and may be convertible into shares of common stock. No shares of Preferred Stock were issued and outstanding during 2017, 2016 and 2015.</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F- 40</w:t>
      </w:r>
    </w:p>
    <w:p>
      <w:pPr>
        <w:sectPr>
          <w:pgSz w:w="11900" w:h="16838" w:orient="portrait"/>
          <w:cols w:equalWidth="0" w:num="1">
            <w:col w:w="11420"/>
          </w:cols>
          <w:pgMar w:left="240" w:top="139" w:right="239" w:bottom="1440" w:gutter="0" w:footer="0" w:header="0"/>
        </w:sectPr>
      </w:pPr>
    </w:p>
    <w:bookmarkStart w:id="142" w:name="page143"/>
    <w:bookmarkEnd w:id="1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Common Stock</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describes the number of shares authorized, issued and outstanding of our common stock as of December 31, 2017 and 2016:</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760" w:type="dxa"/>
            <w:vAlign w:val="bottom"/>
          </w:tcPr>
          <w:p>
            <w:pPr>
              <w:spacing w:after="0"/>
              <w:rPr>
                <w:sz w:val="21"/>
                <w:szCs w:val="21"/>
                <w:color w:val="auto"/>
              </w:rPr>
            </w:pPr>
          </w:p>
        </w:tc>
        <w:tc>
          <w:tcPr>
            <w:tcW w:w="1300" w:type="dxa"/>
            <w:vAlign w:val="bottom"/>
            <w:tcBorders>
              <w:bottom w:val="single" w:sz="8" w:color="auto"/>
            </w:tcBorders>
            <w:shd w:val="clear" w:color="auto" w:fill="DDDDDD"/>
          </w:tcPr>
          <w:p>
            <w:pPr>
              <w:spacing w:after="0"/>
              <w:rPr>
                <w:sz w:val="21"/>
                <w:szCs w:val="21"/>
                <w:color w:val="auto"/>
              </w:rPr>
            </w:pPr>
          </w:p>
        </w:tc>
        <w:tc>
          <w:tcPr>
            <w:tcW w:w="1700" w:type="dxa"/>
            <w:vAlign w:val="bottom"/>
            <w:tcBorders>
              <w:bottom w:val="single" w:sz="8" w:color="auto"/>
            </w:tcBorders>
            <w:gridSpan w:val="4"/>
            <w:shd w:val="clear" w:color="auto" w:fill="DDDDDD"/>
          </w:tcPr>
          <w:p>
            <w:pPr>
              <w:ind w:left="40"/>
              <w:spacing w:after="0"/>
              <w:rPr>
                <w:sz w:val="20"/>
                <w:szCs w:val="20"/>
                <w:color w:val="auto"/>
              </w:rPr>
            </w:pPr>
            <w:r>
              <w:rPr>
                <w:rFonts w:ascii="Arial" w:cs="Arial" w:eastAsia="Arial" w:hAnsi="Arial"/>
                <w:sz w:val="14"/>
                <w:szCs w:val="14"/>
                <w:b w:val="1"/>
                <w:bCs w:val="1"/>
                <w:color w:val="2573BA"/>
                <w:w w:val="99"/>
              </w:rPr>
              <w:t>As of December 31, 2017</w:t>
            </w:r>
          </w:p>
        </w:tc>
        <w:tc>
          <w:tcPr>
            <w:tcW w:w="1260" w:type="dxa"/>
            <w:vAlign w:val="bottom"/>
            <w:tcBorders>
              <w:bottom w:val="single" w:sz="8" w:color="auto"/>
            </w:tcBorders>
            <w:shd w:val="clear" w:color="auto" w:fill="DDDDDD"/>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4"/>
                <w:szCs w:val="14"/>
                <w:b w:val="1"/>
                <w:bCs w:val="1"/>
                <w:color w:val="auto"/>
                <w:w w:val="98"/>
              </w:rPr>
              <w:t>As of December 31, 2016</w:t>
            </w:r>
          </w:p>
        </w:tc>
        <w:tc>
          <w:tcPr>
            <w:tcW w:w="1200" w:type="dxa"/>
            <w:vAlign w:val="bottom"/>
            <w:tcBorders>
              <w:bottom w:val="single" w:sz="8" w:color="auto"/>
            </w:tcBorders>
          </w:tcPr>
          <w:p>
            <w:pPr>
              <w:spacing w:after="0"/>
              <w:rPr>
                <w:sz w:val="21"/>
                <w:szCs w:val="21"/>
                <w:color w:val="auto"/>
              </w:rPr>
            </w:pPr>
          </w:p>
        </w:tc>
      </w:tr>
      <w:tr>
        <w:trPr>
          <w:trHeight w:val="249"/>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30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Authorized</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DDDDDD"/>
            </w:tcBorders>
          </w:tcPr>
          <w:p>
            <w:pPr>
              <w:spacing w:after="0"/>
              <w:rPr>
                <w:sz w:val="21"/>
                <w:szCs w:val="21"/>
                <w:color w:val="auto"/>
              </w:rPr>
            </w:pPr>
          </w:p>
        </w:tc>
        <w:tc>
          <w:tcPr>
            <w:tcW w:w="13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Issued</w:t>
            </w:r>
          </w:p>
        </w:tc>
        <w:tc>
          <w:tcPr>
            <w:tcW w:w="120" w:type="dxa"/>
            <w:vAlign w:val="bottom"/>
            <w:tcBorders>
              <w:bottom w:val="single" w:sz="8" w:color="DDDDDD"/>
            </w:tcBorders>
          </w:tcPr>
          <w:p>
            <w:pPr>
              <w:spacing w:after="0"/>
              <w:rPr>
                <w:sz w:val="21"/>
                <w:szCs w:val="21"/>
                <w:color w:val="auto"/>
              </w:rPr>
            </w:pPr>
          </w:p>
        </w:tc>
        <w:tc>
          <w:tcPr>
            <w:tcW w:w="126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21"/>
                <w:szCs w:val="21"/>
                <w:color w:val="auto"/>
              </w:rPr>
            </w:pPr>
          </w:p>
        </w:tc>
        <w:tc>
          <w:tcPr>
            <w:tcW w:w="13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Authorized</w:t>
            </w:r>
          </w:p>
        </w:tc>
        <w:tc>
          <w:tcPr>
            <w:tcW w:w="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Issued</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Outstanding</w:t>
            </w:r>
          </w:p>
        </w:tc>
      </w:tr>
      <w:tr>
        <w:trPr>
          <w:trHeight w:val="242"/>
        </w:trPr>
        <w:tc>
          <w:tcPr>
            <w:tcW w:w="2760" w:type="dxa"/>
            <w:vAlign w:val="bottom"/>
          </w:tcPr>
          <w:p>
            <w:pPr>
              <w:ind w:left="20"/>
              <w:spacing w:after="0"/>
              <w:rPr>
                <w:sz w:val="20"/>
                <w:szCs w:val="20"/>
                <w:color w:val="auto"/>
              </w:rPr>
            </w:pPr>
            <w:r>
              <w:rPr>
                <w:rFonts w:ascii="Arial" w:cs="Arial" w:eastAsia="Arial" w:hAnsi="Arial"/>
                <w:sz w:val="17"/>
                <w:szCs w:val="17"/>
                <w:color w:val="auto"/>
              </w:rPr>
              <w:t>Common stock</w:t>
            </w:r>
          </w:p>
        </w:tc>
        <w:tc>
          <w:tcPr>
            <w:tcW w:w="130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1,000.0</w:t>
            </w:r>
          </w:p>
        </w:tc>
        <w:tc>
          <w:tcPr>
            <w:tcW w:w="1580" w:type="dxa"/>
            <w:vAlign w:val="bottom"/>
            <w:gridSpan w:val="3"/>
            <w:shd w:val="clear" w:color="auto" w:fill="DDDDDD"/>
          </w:tcPr>
          <w:p>
            <w:pPr>
              <w:jc w:val="right"/>
              <w:ind w:right="52"/>
              <w:spacing w:after="0"/>
              <w:rPr>
                <w:sz w:val="20"/>
                <w:szCs w:val="20"/>
                <w:color w:val="auto"/>
              </w:rPr>
            </w:pPr>
            <w:r>
              <w:rPr>
                <w:rFonts w:ascii="Arial" w:cs="Arial" w:eastAsia="Arial" w:hAnsi="Arial"/>
                <w:sz w:val="17"/>
                <w:szCs w:val="17"/>
                <w:color w:val="2573BA"/>
              </w:rPr>
              <w:t>235.3</w:t>
            </w:r>
          </w:p>
        </w:tc>
        <w:tc>
          <w:tcPr>
            <w:tcW w:w="120" w:type="dxa"/>
            <w:vAlign w:val="bottom"/>
            <w:shd w:val="clear" w:color="auto" w:fill="DDDDDD"/>
          </w:tcPr>
          <w:p>
            <w:pPr>
              <w:spacing w:after="0"/>
              <w:rPr>
                <w:sz w:val="21"/>
                <w:szCs w:val="21"/>
                <w:color w:val="auto"/>
              </w:rPr>
            </w:pPr>
          </w:p>
        </w:tc>
        <w:tc>
          <w:tcPr>
            <w:tcW w:w="1260" w:type="dxa"/>
            <w:vAlign w:val="bottom"/>
            <w:shd w:val="clear" w:color="auto" w:fill="DDDDDD"/>
          </w:tcPr>
          <w:p>
            <w:pPr>
              <w:jc w:val="right"/>
              <w:ind w:right="43"/>
              <w:spacing w:after="0"/>
              <w:rPr>
                <w:sz w:val="20"/>
                <w:szCs w:val="20"/>
                <w:color w:val="auto"/>
              </w:rPr>
            </w:pPr>
            <w:r>
              <w:rPr>
                <w:rFonts w:ascii="Arial" w:cs="Arial" w:eastAsia="Arial" w:hAnsi="Arial"/>
                <w:sz w:val="17"/>
                <w:szCs w:val="17"/>
                <w:color w:val="2573BA"/>
              </w:rPr>
              <w:t>211.5</w:t>
            </w:r>
          </w:p>
        </w:tc>
        <w:tc>
          <w:tcPr>
            <w:tcW w:w="1420" w:type="dxa"/>
            <w:vAlign w:val="bottom"/>
            <w:gridSpan w:val="2"/>
          </w:tcPr>
          <w:p>
            <w:pPr>
              <w:jc w:val="right"/>
              <w:spacing w:after="0"/>
              <w:rPr>
                <w:sz w:val="20"/>
                <w:szCs w:val="20"/>
                <w:color w:val="auto"/>
              </w:rPr>
            </w:pPr>
            <w:r>
              <w:rPr>
                <w:rFonts w:ascii="Arial" w:cs="Arial" w:eastAsia="Arial" w:hAnsi="Arial"/>
                <w:sz w:val="17"/>
                <w:szCs w:val="17"/>
                <w:color w:val="auto"/>
              </w:rPr>
              <w:t>1,000.0</w:t>
            </w:r>
          </w:p>
        </w:tc>
        <w:tc>
          <w:tcPr>
            <w:tcW w:w="1520" w:type="dxa"/>
            <w:vAlign w:val="bottom"/>
            <w:gridSpan w:val="3"/>
          </w:tcPr>
          <w:p>
            <w:pPr>
              <w:jc w:val="right"/>
              <w:ind w:right="32"/>
              <w:spacing w:after="0"/>
              <w:rPr>
                <w:sz w:val="20"/>
                <w:szCs w:val="20"/>
                <w:color w:val="auto"/>
              </w:rPr>
            </w:pPr>
            <w:r>
              <w:rPr>
                <w:rFonts w:ascii="Arial" w:cs="Arial" w:eastAsia="Arial" w:hAnsi="Arial"/>
                <w:sz w:val="17"/>
                <w:szCs w:val="17"/>
                <w:color w:val="auto"/>
              </w:rPr>
              <w:t>238.5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23"/>
              <w:spacing w:after="0"/>
              <w:rPr>
                <w:sz w:val="20"/>
                <w:szCs w:val="20"/>
                <w:color w:val="auto"/>
              </w:rPr>
            </w:pPr>
            <w:r>
              <w:rPr>
                <w:rFonts w:ascii="Arial" w:cs="Arial" w:eastAsia="Arial" w:hAnsi="Arial"/>
                <w:sz w:val="17"/>
                <w:szCs w:val="17"/>
                <w:color w:val="auto"/>
              </w:rPr>
              <w:t>215.9</w:t>
            </w:r>
          </w:p>
        </w:tc>
      </w:tr>
    </w:tbl>
    <w:p>
      <w:pPr>
        <w:spacing w:after="0" w:line="13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Share Repurchases</w:t>
      </w:r>
    </w:p>
    <w:p>
      <w:pPr>
        <w:spacing w:after="0" w:line="106" w:lineRule="exact"/>
        <w:rPr>
          <w:sz w:val="20"/>
          <w:szCs w:val="20"/>
          <w:color w:val="auto"/>
        </w:rPr>
      </w:pPr>
    </w:p>
    <w:p>
      <w:pPr>
        <w:ind w:right="20" w:firstLine="410"/>
        <w:spacing w:after="0" w:line="255" w:lineRule="auto"/>
        <w:rPr>
          <w:sz w:val="20"/>
          <w:szCs w:val="20"/>
          <w:color w:val="auto"/>
        </w:rPr>
      </w:pPr>
      <w:r>
        <w:rPr>
          <w:rFonts w:ascii="Arial" w:cs="Arial" w:eastAsia="Arial" w:hAnsi="Arial"/>
          <w:sz w:val="17"/>
          <w:szCs w:val="17"/>
          <w:color w:val="auto"/>
        </w:rPr>
        <w:t>In July 2016 our Board of Directors authorized a program to repurchase up to $5.0 billion of our common stock (2016 Share Repurchase Program). This authorization does not have an expiration date. All share repurchases under this authorization will be retired. Under this authorization, we repurchased and retired 3.7 million and 3.3 million shares of common stock during the years ended December 31, 2017 and 2016, respectively, at a cost of $1.0 billion for each year. As of December 31, 2017, approximately $3.0 billion remains available for share repurchases under this authorization.</w:t>
      </w:r>
    </w:p>
    <w:p>
      <w:pPr>
        <w:spacing w:after="0" w:line="143" w:lineRule="exact"/>
        <w:rPr>
          <w:sz w:val="20"/>
          <w:szCs w:val="20"/>
          <w:color w:val="auto"/>
        </w:rPr>
      </w:pPr>
    </w:p>
    <w:p>
      <w:pPr>
        <w:ind w:right="120" w:firstLine="410"/>
        <w:spacing w:after="0" w:line="255" w:lineRule="auto"/>
        <w:rPr>
          <w:sz w:val="20"/>
          <w:szCs w:val="20"/>
          <w:color w:val="auto"/>
        </w:rPr>
      </w:pPr>
      <w:r>
        <w:rPr>
          <w:rFonts w:ascii="Arial" w:cs="Arial" w:eastAsia="Arial" w:hAnsi="Arial"/>
          <w:sz w:val="17"/>
          <w:szCs w:val="17"/>
          <w:color w:val="auto"/>
        </w:rPr>
        <w:t>In May 2015 our Board of Directors authorized a program to repurchase up to $5.0 billion of our common stock (2015 Share Repurchase Program). All shares repurchased under this authorization were retired. Our 2015 Share Repurchase Program was completed as of December 31, 2015. Under this authorization, we repurchased and retired approximately 16.8 million shares of common stock at a cost of $5.0 billion during the year ended December 31, 2015.</w:t>
      </w:r>
    </w:p>
    <w:p>
      <w:pPr>
        <w:spacing w:after="0" w:line="143" w:lineRule="exact"/>
        <w:rPr>
          <w:sz w:val="20"/>
          <w:szCs w:val="20"/>
          <w:color w:val="auto"/>
        </w:rPr>
      </w:pPr>
    </w:p>
    <w:p>
      <w:pPr>
        <w:ind w:right="220" w:firstLine="410"/>
        <w:spacing w:after="0" w:line="254" w:lineRule="auto"/>
        <w:rPr>
          <w:sz w:val="20"/>
          <w:szCs w:val="20"/>
          <w:color w:val="auto"/>
        </w:rPr>
      </w:pPr>
      <w:r>
        <w:rPr>
          <w:rFonts w:ascii="Arial" w:cs="Arial" w:eastAsia="Arial" w:hAnsi="Arial"/>
          <w:sz w:val="17"/>
          <w:szCs w:val="17"/>
          <w:color w:val="auto"/>
        </w:rPr>
        <w:t>In February 2011 our Board of Directors authorized a program to repurchase up to 20.0 million shares of our common stock (2011 Share Repurchase Program). Shares repurchased under this authorization were principally used to offset common stock issuances under our share-based compensation programs. Our 2011 Share Repurchase Program was completed as of March 31, 2017. Under this authorization, we repurchased 1.2 million shares of common stock at a cost of $365.4 million during the year ended December 31, 2017. We did not repurchase any shares of common stock under this authorization during the years ended December 31, 2016 and 2015.</w:t>
      </w:r>
    </w:p>
    <w:p>
      <w:pPr>
        <w:spacing w:after="0" w:line="125" w:lineRule="exact"/>
        <w:rPr>
          <w:sz w:val="20"/>
          <w:szCs w:val="20"/>
          <w:color w:val="auto"/>
        </w:rPr>
      </w:pPr>
    </w:p>
    <w:p>
      <w:pPr>
        <w:ind w:left="620" w:hanging="618"/>
        <w:spacing w:after="0"/>
        <w:tabs>
          <w:tab w:leader="none" w:pos="620" w:val="left"/>
        </w:tabs>
        <w:numPr>
          <w:ilvl w:val="0"/>
          <w:numId w:val="109"/>
        </w:numPr>
        <w:rPr>
          <w:rFonts w:ascii="Arial" w:cs="Arial" w:eastAsia="Arial" w:hAnsi="Arial"/>
          <w:sz w:val="20"/>
          <w:szCs w:val="20"/>
          <w:b w:val="1"/>
          <w:bCs w:val="1"/>
          <w:color w:val="578196"/>
        </w:rPr>
      </w:pPr>
      <w:r>
        <w:rPr>
          <w:rFonts w:ascii="Arial" w:cs="Arial" w:eastAsia="Arial" w:hAnsi="Arial"/>
          <w:sz w:val="20"/>
          <w:szCs w:val="20"/>
          <w:b w:val="1"/>
          <w:bCs w:val="1"/>
          <w:color w:val="578196"/>
        </w:rPr>
        <w:t>Accumulated Other Comprehensive Income (Loss)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the changes in accumulated other comprehensive income (loss), net of tax by component:</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center"/>
              <w:ind w:right="120"/>
              <w:spacing w:after="0"/>
              <w:rPr>
                <w:sz w:val="20"/>
                <w:szCs w:val="20"/>
                <w:color w:val="auto"/>
              </w:rPr>
            </w:pPr>
            <w:r>
              <w:rPr>
                <w:rFonts w:ascii="Arial" w:cs="Arial" w:eastAsia="Arial" w:hAnsi="Arial"/>
                <w:sz w:val="14"/>
                <w:szCs w:val="14"/>
                <w:b w:val="1"/>
                <w:bCs w:val="1"/>
                <w:color w:val="auto"/>
                <w:w w:val="98"/>
              </w:rPr>
              <w:t>Unrealized Gains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54"/>
        </w:trPr>
        <w:tc>
          <w:tcPr>
            <w:tcW w:w="2960" w:type="dxa"/>
            <w:vAlign w:val="bottom"/>
          </w:tcPr>
          <w:p>
            <w:pPr>
              <w:spacing w:after="0"/>
              <w:rPr>
                <w:sz w:val="13"/>
                <w:szCs w:val="13"/>
                <w:color w:val="auto"/>
              </w:rPr>
            </w:pPr>
          </w:p>
        </w:tc>
        <w:tc>
          <w:tcPr>
            <w:tcW w:w="1640" w:type="dxa"/>
            <w:vAlign w:val="bottom"/>
            <w:gridSpan w:val="2"/>
          </w:tcPr>
          <w:p>
            <w:pPr>
              <w:jc w:val="center"/>
              <w:spacing w:after="0" w:line="154" w:lineRule="exact"/>
              <w:rPr>
                <w:sz w:val="20"/>
                <w:szCs w:val="20"/>
                <w:color w:val="auto"/>
              </w:rPr>
            </w:pPr>
            <w:r>
              <w:rPr>
                <w:rFonts w:ascii="Arial" w:cs="Arial" w:eastAsia="Arial" w:hAnsi="Arial"/>
                <w:sz w:val="14"/>
                <w:szCs w:val="14"/>
                <w:b w:val="1"/>
                <w:bCs w:val="1"/>
                <w:color w:val="auto"/>
                <w:w w:val="96"/>
              </w:rPr>
              <w:t>(Losses) on Securities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2"/>
          </w:tcPr>
          <w:p>
            <w:pPr>
              <w:jc w:val="center"/>
              <w:ind w:right="280"/>
              <w:spacing w:after="0" w:line="154" w:lineRule="exact"/>
              <w:rPr>
                <w:sz w:val="20"/>
                <w:szCs w:val="20"/>
                <w:color w:val="auto"/>
              </w:rPr>
            </w:pPr>
            <w:r>
              <w:rPr>
                <w:rFonts w:ascii="Arial" w:cs="Arial" w:eastAsia="Arial" w:hAnsi="Arial"/>
                <w:sz w:val="14"/>
                <w:szCs w:val="14"/>
                <w:b w:val="1"/>
                <w:bCs w:val="1"/>
                <w:color w:val="auto"/>
                <w:w w:val="96"/>
              </w:rPr>
              <w:t>Unrealized Gains</w:t>
            </w:r>
          </w:p>
        </w:tc>
        <w:tc>
          <w:tcPr>
            <w:tcW w:w="140" w:type="dxa"/>
            <w:vAlign w:val="bottom"/>
          </w:tcPr>
          <w:p>
            <w:pPr>
              <w:spacing w:after="0"/>
              <w:rPr>
                <w:sz w:val="13"/>
                <w:szCs w:val="13"/>
                <w:color w:val="auto"/>
              </w:rPr>
            </w:pPr>
          </w:p>
        </w:tc>
        <w:tc>
          <w:tcPr>
            <w:tcW w:w="1560" w:type="dxa"/>
            <w:vAlign w:val="bottom"/>
            <w:gridSpan w:val="2"/>
          </w:tcPr>
          <w:p>
            <w:pPr>
              <w:jc w:val="center"/>
              <w:ind w:right="260"/>
              <w:spacing w:after="0" w:line="154" w:lineRule="exact"/>
              <w:rPr>
                <w:sz w:val="20"/>
                <w:szCs w:val="20"/>
                <w:color w:val="auto"/>
              </w:rPr>
            </w:pPr>
            <w:r>
              <w:rPr>
                <w:rFonts w:ascii="Arial" w:cs="Arial" w:eastAsia="Arial" w:hAnsi="Arial"/>
                <w:sz w:val="14"/>
                <w:szCs w:val="14"/>
                <w:b w:val="1"/>
                <w:bCs w:val="1"/>
                <w:color w:val="auto"/>
                <w:w w:val="97"/>
              </w:rPr>
              <w:t>Unfunded Status of</w:t>
            </w: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54"/>
        </w:trPr>
        <w:tc>
          <w:tcPr>
            <w:tcW w:w="2960" w:type="dxa"/>
            <w:vAlign w:val="bottom"/>
          </w:tcPr>
          <w:p>
            <w:pPr>
              <w:spacing w:after="0"/>
              <w:rPr>
                <w:sz w:val="13"/>
                <w:szCs w:val="13"/>
                <w:color w:val="auto"/>
              </w:rPr>
            </w:pPr>
          </w:p>
        </w:tc>
        <w:tc>
          <w:tcPr>
            <w:tcW w:w="1640" w:type="dxa"/>
            <w:vAlign w:val="bottom"/>
            <w:gridSpan w:val="2"/>
          </w:tcPr>
          <w:p>
            <w:pPr>
              <w:jc w:val="center"/>
              <w:spacing w:after="0" w:line="154" w:lineRule="exact"/>
              <w:rPr>
                <w:sz w:val="20"/>
                <w:szCs w:val="20"/>
                <w:color w:val="auto"/>
              </w:rPr>
            </w:pPr>
            <w:r>
              <w:rPr>
                <w:rFonts w:ascii="Arial" w:cs="Arial" w:eastAsia="Arial" w:hAnsi="Arial"/>
                <w:sz w:val="14"/>
                <w:szCs w:val="14"/>
                <w:b w:val="1"/>
                <w:bCs w:val="1"/>
                <w:color w:val="auto"/>
                <w:w w:val="96"/>
              </w:rPr>
              <w:t>Available for Sale, net</w:t>
            </w:r>
          </w:p>
        </w:tc>
        <w:tc>
          <w:tcPr>
            <w:tcW w:w="100" w:type="dxa"/>
            <w:vAlign w:val="bottom"/>
          </w:tcPr>
          <w:p>
            <w:pPr>
              <w:spacing w:after="0"/>
              <w:rPr>
                <w:sz w:val="13"/>
                <w:szCs w:val="13"/>
                <w:color w:val="auto"/>
              </w:rPr>
            </w:pPr>
          </w:p>
        </w:tc>
        <w:tc>
          <w:tcPr>
            <w:tcW w:w="1720" w:type="dxa"/>
            <w:vAlign w:val="bottom"/>
            <w:gridSpan w:val="3"/>
          </w:tcPr>
          <w:p>
            <w:pPr>
              <w:jc w:val="center"/>
              <w:ind w:right="80"/>
              <w:spacing w:after="0" w:line="154" w:lineRule="exact"/>
              <w:rPr>
                <w:sz w:val="20"/>
                <w:szCs w:val="20"/>
                <w:color w:val="auto"/>
              </w:rPr>
            </w:pPr>
            <w:r>
              <w:rPr>
                <w:rFonts w:ascii="Arial" w:cs="Arial" w:eastAsia="Arial" w:hAnsi="Arial"/>
                <w:sz w:val="14"/>
                <w:szCs w:val="14"/>
                <w:b w:val="1"/>
                <w:bCs w:val="1"/>
                <w:color w:val="auto"/>
                <w:w w:val="97"/>
              </w:rPr>
              <w:t>(Losses) on Cash Flow</w:t>
            </w:r>
          </w:p>
        </w:tc>
        <w:tc>
          <w:tcPr>
            <w:tcW w:w="1700" w:type="dxa"/>
            <w:vAlign w:val="bottom"/>
            <w:gridSpan w:val="3"/>
          </w:tcPr>
          <w:p>
            <w:pPr>
              <w:jc w:val="center"/>
              <w:ind w:right="120"/>
              <w:spacing w:after="0" w:line="154" w:lineRule="exact"/>
              <w:rPr>
                <w:sz w:val="20"/>
                <w:szCs w:val="20"/>
                <w:color w:val="auto"/>
              </w:rPr>
            </w:pPr>
            <w:r>
              <w:rPr>
                <w:rFonts w:ascii="Arial" w:cs="Arial" w:eastAsia="Arial" w:hAnsi="Arial"/>
                <w:sz w:val="14"/>
                <w:szCs w:val="14"/>
                <w:b w:val="1"/>
                <w:bCs w:val="1"/>
                <w:color w:val="auto"/>
                <w:w w:val="97"/>
              </w:rPr>
              <w:t>Postretirement Benefit</w:t>
            </w:r>
          </w:p>
        </w:tc>
        <w:tc>
          <w:tcPr>
            <w:tcW w:w="240" w:type="dxa"/>
            <w:vAlign w:val="bottom"/>
          </w:tcPr>
          <w:p>
            <w:pPr>
              <w:spacing w:after="0"/>
              <w:rPr>
                <w:sz w:val="13"/>
                <w:szCs w:val="13"/>
                <w:color w:val="auto"/>
              </w:rPr>
            </w:pPr>
          </w:p>
        </w:tc>
        <w:tc>
          <w:tcPr>
            <w:tcW w:w="1440" w:type="dxa"/>
            <w:vAlign w:val="bottom"/>
            <w:gridSpan w:val="2"/>
          </w:tcPr>
          <w:p>
            <w:pPr>
              <w:ind w:left="180"/>
              <w:spacing w:after="0" w:line="154" w:lineRule="exact"/>
              <w:rPr>
                <w:sz w:val="20"/>
                <w:szCs w:val="20"/>
                <w:color w:val="auto"/>
              </w:rPr>
            </w:pPr>
            <w:r>
              <w:rPr>
                <w:rFonts w:ascii="Arial" w:cs="Arial" w:eastAsia="Arial" w:hAnsi="Arial"/>
                <w:sz w:val="14"/>
                <w:szCs w:val="14"/>
                <w:b w:val="1"/>
                <w:bCs w:val="1"/>
                <w:color w:val="auto"/>
              </w:rPr>
              <w:t>Translation</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85"/>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6"/>
              </w:rPr>
              <w:t>of tax</w:t>
            </w:r>
          </w:p>
        </w:tc>
        <w:tc>
          <w:tcPr>
            <w:tcW w:w="100" w:type="dxa"/>
            <w:vAlign w:val="bottom"/>
            <w:tcBorders>
              <w:bottom w:val="single" w:sz="8" w:color="DDDDDD"/>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7"/>
              </w:rPr>
              <w:t>Hedges, net of tax</w:t>
            </w:r>
          </w:p>
        </w:tc>
        <w:tc>
          <w:tcPr>
            <w:tcW w:w="100" w:type="dxa"/>
            <w:vAlign w:val="bottom"/>
            <w:tcBorders>
              <w:bottom w:val="single" w:sz="8" w:color="DDDDDD"/>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6"/>
              </w:rPr>
              <w:t>Plans, net of tax</w:t>
            </w:r>
          </w:p>
        </w:tc>
        <w:tc>
          <w:tcPr>
            <w:tcW w:w="100" w:type="dxa"/>
            <w:vAlign w:val="bottom"/>
            <w:tcBorders>
              <w:bottom w:val="single" w:sz="8" w:color="DDDDDD"/>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Borders>
              <w:bottom w:val="single" w:sz="8" w:color="DDDDDD"/>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Total</w:t>
            </w:r>
          </w:p>
        </w:tc>
      </w:tr>
      <w:tr>
        <w:trPr>
          <w:trHeight w:val="228"/>
        </w:trPr>
        <w:tc>
          <w:tcPr>
            <w:tcW w:w="2960" w:type="dxa"/>
            <w:vAlign w:val="bottom"/>
          </w:tcPr>
          <w:p>
            <w:pPr>
              <w:ind w:left="20"/>
              <w:spacing w:after="0"/>
              <w:rPr>
                <w:sz w:val="20"/>
                <w:szCs w:val="20"/>
                <w:color w:val="auto"/>
              </w:rPr>
            </w:pPr>
            <w:r>
              <w:rPr>
                <w:rFonts w:ascii="Arial" w:cs="Arial" w:eastAsia="Arial" w:hAnsi="Arial"/>
                <w:sz w:val="17"/>
                <w:szCs w:val="17"/>
                <w:color w:val="auto"/>
              </w:rPr>
              <w:t>Balance, December 31, 2016</w:t>
            </w:r>
          </w:p>
        </w:tc>
        <w:tc>
          <w:tcPr>
            <w:tcW w:w="200" w:type="dxa"/>
            <w:vAlign w:val="bottom"/>
            <w:shd w:val="clear" w:color="auto" w:fill="DDDDDD"/>
          </w:tcPr>
          <w:p>
            <w:pPr>
              <w:jc w:val="right"/>
              <w:ind w:right="3"/>
              <w:spacing w:after="0"/>
              <w:rPr>
                <w:sz w:val="20"/>
                <w:szCs w:val="20"/>
                <w:color w:val="auto"/>
              </w:rPr>
            </w:pPr>
            <w:r>
              <w:rPr>
                <w:rFonts w:ascii="Arial" w:cs="Arial" w:eastAsia="Arial" w:hAnsi="Arial"/>
                <w:sz w:val="17"/>
                <w:szCs w:val="17"/>
                <w:color w:val="2573BA"/>
              </w:rPr>
              <w:t>$</w:t>
            </w:r>
          </w:p>
        </w:tc>
        <w:tc>
          <w:tcPr>
            <w:tcW w:w="1440" w:type="dxa"/>
            <w:vAlign w:val="bottom"/>
            <w:shd w:val="clear" w:color="auto" w:fill="DDDDDD"/>
          </w:tcPr>
          <w:p>
            <w:pPr>
              <w:jc w:val="right"/>
              <w:ind w:right="40"/>
              <w:spacing w:after="0"/>
              <w:rPr>
                <w:sz w:val="20"/>
                <w:szCs w:val="20"/>
                <w:color w:val="auto"/>
              </w:rPr>
            </w:pPr>
            <w:r>
              <w:rPr>
                <w:rFonts w:ascii="Arial" w:cs="Arial" w:eastAsia="Arial" w:hAnsi="Arial"/>
                <w:sz w:val="17"/>
                <w:szCs w:val="17"/>
                <w:color w:val="2573BA"/>
              </w:rPr>
              <w:t>(10.8)</w:t>
            </w:r>
          </w:p>
        </w:tc>
        <w:tc>
          <w:tcPr>
            <w:tcW w:w="280" w:type="dxa"/>
            <w:vAlign w:val="bottom"/>
            <w:gridSpan w:val="2"/>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4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57.8</w:t>
            </w:r>
          </w:p>
        </w:tc>
        <w:tc>
          <w:tcPr>
            <w:tcW w:w="100" w:type="dxa"/>
            <w:vAlign w:val="bottom"/>
            <w:shd w:val="clear" w:color="auto" w:fill="DDDDDD"/>
          </w:tcPr>
          <w:p>
            <w:pPr>
              <w:spacing w:after="0"/>
              <w:rPr>
                <w:sz w:val="19"/>
                <w:szCs w:val="19"/>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(32.7)</w:t>
            </w:r>
          </w:p>
        </w:tc>
        <w:tc>
          <w:tcPr>
            <w:tcW w:w="100" w:type="dxa"/>
            <w:vAlign w:val="bottom"/>
            <w:shd w:val="clear" w:color="auto" w:fill="DDDDDD"/>
          </w:tcPr>
          <w:p>
            <w:pPr>
              <w:spacing w:after="0"/>
              <w:rPr>
                <w:sz w:val="19"/>
                <w:szCs w:val="19"/>
                <w:color w:val="auto"/>
              </w:rPr>
            </w:pPr>
          </w:p>
        </w:tc>
        <w:tc>
          <w:tcPr>
            <w:tcW w:w="240" w:type="dxa"/>
            <w:vAlign w:val="bottom"/>
            <w:shd w:val="clear" w:color="auto" w:fill="DDDDDD"/>
          </w:tcPr>
          <w:p>
            <w:pPr>
              <w:jc w:val="right"/>
              <w:ind w:right="35"/>
              <w:spacing w:after="0"/>
              <w:rPr>
                <w:sz w:val="20"/>
                <w:szCs w:val="20"/>
                <w:color w:val="auto"/>
              </w:rPr>
            </w:pPr>
            <w:r>
              <w:rPr>
                <w:rFonts w:ascii="Arial" w:cs="Arial" w:eastAsia="Arial" w:hAnsi="Arial"/>
                <w:sz w:val="17"/>
                <w:szCs w:val="17"/>
                <w:color w:val="2573BA"/>
              </w:rPr>
              <w:t>$</w:t>
            </w:r>
          </w:p>
        </w:tc>
        <w:tc>
          <w:tcPr>
            <w:tcW w:w="13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(334.2)</w:t>
            </w:r>
          </w:p>
        </w:tc>
        <w:tc>
          <w:tcPr>
            <w:tcW w:w="100" w:type="dxa"/>
            <w:vAlign w:val="bottom"/>
            <w:shd w:val="clear" w:color="auto" w:fill="DDDDDD"/>
          </w:tcPr>
          <w:p>
            <w:pPr>
              <w:spacing w:after="0"/>
              <w:rPr>
                <w:sz w:val="19"/>
                <w:szCs w:val="19"/>
                <w:color w:val="auto"/>
              </w:rPr>
            </w:pPr>
          </w:p>
        </w:tc>
        <w:tc>
          <w:tcPr>
            <w:tcW w:w="380" w:type="dxa"/>
            <w:vAlign w:val="bottom"/>
            <w:shd w:val="clear" w:color="auto" w:fill="DDDDDD"/>
          </w:tcPr>
          <w:p>
            <w:pPr>
              <w:jc w:val="right"/>
              <w:ind w:right="175"/>
              <w:spacing w:after="0"/>
              <w:rPr>
                <w:sz w:val="20"/>
                <w:szCs w:val="20"/>
                <w:color w:val="auto"/>
              </w:rPr>
            </w:pPr>
            <w:r>
              <w:rPr>
                <w:rFonts w:ascii="Arial" w:cs="Arial" w:eastAsia="Arial" w:hAnsi="Arial"/>
                <w:sz w:val="17"/>
                <w:szCs w:val="17"/>
                <w:color w:val="2573BA"/>
              </w:rPr>
              <w:t>$</w:t>
            </w:r>
          </w:p>
        </w:tc>
        <w:tc>
          <w:tcPr>
            <w:tcW w:w="12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(319.9)</w:t>
            </w:r>
          </w:p>
        </w:tc>
      </w:tr>
      <w:tr>
        <w:trPr>
          <w:trHeight w:val="231"/>
        </w:trPr>
        <w:tc>
          <w:tcPr>
            <w:tcW w:w="2960" w:type="dxa"/>
            <w:vAlign w:val="bottom"/>
          </w:tcPr>
          <w:p>
            <w:pPr>
              <w:ind w:left="260"/>
              <w:spacing w:after="0"/>
              <w:rPr>
                <w:sz w:val="20"/>
                <w:szCs w:val="20"/>
                <w:color w:val="auto"/>
              </w:rPr>
            </w:pPr>
            <w:r>
              <w:rPr>
                <w:rFonts w:ascii="Arial" w:cs="Arial" w:eastAsia="Arial" w:hAnsi="Arial"/>
                <w:sz w:val="17"/>
                <w:szCs w:val="17"/>
                <w:color w:val="auto"/>
              </w:rPr>
              <w:t>Other comprehensive income</w:t>
            </w:r>
          </w:p>
        </w:tc>
        <w:tc>
          <w:tcPr>
            <w:tcW w:w="200" w:type="dxa"/>
            <w:vAlign w:val="bottom"/>
            <w:shd w:val="clear" w:color="auto" w:fill="DDDDDD"/>
          </w:tcPr>
          <w:p>
            <w:pPr>
              <w:spacing w:after="0"/>
              <w:rPr>
                <w:sz w:val="20"/>
                <w:szCs w:val="20"/>
                <w:color w:val="auto"/>
              </w:rPr>
            </w:pPr>
          </w:p>
        </w:tc>
        <w:tc>
          <w:tcPr>
            <w:tcW w:w="14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14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14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13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380" w:type="dxa"/>
            <w:vAlign w:val="bottom"/>
            <w:shd w:val="clear" w:color="auto" w:fill="DDDDDD"/>
          </w:tcPr>
          <w:p>
            <w:pPr>
              <w:spacing w:after="0"/>
              <w:rPr>
                <w:sz w:val="20"/>
                <w:szCs w:val="20"/>
                <w:color w:val="auto"/>
              </w:rPr>
            </w:pPr>
          </w:p>
        </w:tc>
        <w:tc>
          <w:tcPr>
            <w:tcW w:w="1220" w:type="dxa"/>
            <w:vAlign w:val="bottom"/>
            <w:shd w:val="clear" w:color="auto" w:fill="DDDDDD"/>
          </w:tcPr>
          <w:p>
            <w:pPr>
              <w:spacing w:after="0"/>
              <w:rPr>
                <w:sz w:val="20"/>
                <w:szCs w:val="20"/>
                <w:color w:val="auto"/>
              </w:rPr>
            </w:pPr>
          </w:p>
        </w:tc>
      </w:tr>
      <w:tr>
        <w:trPr>
          <w:trHeight w:val="204"/>
        </w:trPr>
        <w:tc>
          <w:tcPr>
            <w:tcW w:w="2960" w:type="dxa"/>
            <w:vAlign w:val="bottom"/>
          </w:tcPr>
          <w:p>
            <w:pPr>
              <w:ind w:left="260"/>
              <w:spacing w:after="0"/>
              <w:rPr>
                <w:sz w:val="20"/>
                <w:szCs w:val="20"/>
                <w:color w:val="auto"/>
              </w:rPr>
            </w:pPr>
            <w:r>
              <w:rPr>
                <w:rFonts w:ascii="Arial" w:cs="Arial" w:eastAsia="Arial" w:hAnsi="Arial"/>
                <w:sz w:val="17"/>
                <w:szCs w:val="17"/>
                <w:color w:val="auto"/>
              </w:rPr>
              <w:t>(loss) before reclassifications</w:t>
            </w:r>
          </w:p>
        </w:tc>
        <w:tc>
          <w:tcPr>
            <w:tcW w:w="200" w:type="dxa"/>
            <w:vAlign w:val="bottom"/>
            <w:shd w:val="clear" w:color="auto" w:fill="DDDDDD"/>
          </w:tcPr>
          <w:p>
            <w:pPr>
              <w:spacing w:after="0"/>
              <w:rPr>
                <w:sz w:val="17"/>
                <w:szCs w:val="17"/>
                <w:color w:val="auto"/>
              </w:rPr>
            </w:pPr>
          </w:p>
        </w:tc>
        <w:tc>
          <w:tcPr>
            <w:tcW w:w="1440" w:type="dxa"/>
            <w:vAlign w:val="bottom"/>
            <w:shd w:val="clear" w:color="auto" w:fill="DDDDDD"/>
          </w:tcPr>
          <w:p>
            <w:pPr>
              <w:jc w:val="right"/>
              <w:ind w:right="40"/>
              <w:spacing w:after="0"/>
              <w:rPr>
                <w:sz w:val="20"/>
                <w:szCs w:val="20"/>
                <w:color w:val="auto"/>
              </w:rPr>
            </w:pPr>
            <w:r>
              <w:rPr>
                <w:rFonts w:ascii="Arial" w:cs="Arial" w:eastAsia="Arial" w:hAnsi="Arial"/>
                <w:sz w:val="17"/>
                <w:szCs w:val="17"/>
                <w:color w:val="2573BA"/>
              </w:rPr>
              <w:t>(3.5)</w:t>
            </w:r>
          </w:p>
        </w:tc>
        <w:tc>
          <w:tcPr>
            <w:tcW w:w="10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14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(193.8)</w:t>
            </w:r>
          </w:p>
        </w:tc>
        <w:tc>
          <w:tcPr>
            <w:tcW w:w="10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14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(4.1)</w:t>
            </w:r>
          </w:p>
        </w:tc>
        <w:tc>
          <w:tcPr>
            <w:tcW w:w="100" w:type="dxa"/>
            <w:vAlign w:val="bottom"/>
            <w:shd w:val="clear" w:color="auto" w:fill="DDDDDD"/>
          </w:tcPr>
          <w:p>
            <w:pPr>
              <w:spacing w:after="0"/>
              <w:rPr>
                <w:sz w:val="17"/>
                <w:szCs w:val="17"/>
                <w:color w:val="auto"/>
              </w:rPr>
            </w:pPr>
          </w:p>
        </w:tc>
        <w:tc>
          <w:tcPr>
            <w:tcW w:w="240" w:type="dxa"/>
            <w:vAlign w:val="bottom"/>
            <w:shd w:val="clear" w:color="auto" w:fill="DDDDDD"/>
          </w:tcPr>
          <w:p>
            <w:pPr>
              <w:spacing w:after="0"/>
              <w:rPr>
                <w:sz w:val="17"/>
                <w:szCs w:val="17"/>
                <w:color w:val="auto"/>
              </w:rPr>
            </w:pPr>
          </w:p>
        </w:tc>
        <w:tc>
          <w:tcPr>
            <w:tcW w:w="134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158.7</w:t>
            </w:r>
          </w:p>
        </w:tc>
        <w:tc>
          <w:tcPr>
            <w:tcW w:w="100" w:type="dxa"/>
            <w:vAlign w:val="bottom"/>
            <w:shd w:val="clear" w:color="auto" w:fill="DDDDDD"/>
          </w:tcPr>
          <w:p>
            <w:pPr>
              <w:spacing w:after="0"/>
              <w:rPr>
                <w:sz w:val="17"/>
                <w:szCs w:val="17"/>
                <w:color w:val="auto"/>
              </w:rPr>
            </w:pPr>
          </w:p>
        </w:tc>
        <w:tc>
          <w:tcPr>
            <w:tcW w:w="380" w:type="dxa"/>
            <w:vAlign w:val="bottom"/>
            <w:shd w:val="clear" w:color="auto" w:fill="DDDDDD"/>
          </w:tcPr>
          <w:p>
            <w:pPr>
              <w:spacing w:after="0"/>
              <w:rPr>
                <w:sz w:val="17"/>
                <w:szCs w:val="17"/>
                <w:color w:val="auto"/>
              </w:rPr>
            </w:pPr>
          </w:p>
        </w:tc>
        <w:tc>
          <w:tcPr>
            <w:tcW w:w="12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(42.7)</w:t>
            </w:r>
          </w:p>
        </w:tc>
      </w:tr>
      <w:tr>
        <w:trPr>
          <w:trHeight w:val="231"/>
        </w:trPr>
        <w:tc>
          <w:tcPr>
            <w:tcW w:w="2960" w:type="dxa"/>
            <w:vAlign w:val="bottom"/>
          </w:tcPr>
          <w:p>
            <w:pPr>
              <w:ind w:left="260"/>
              <w:spacing w:after="0"/>
              <w:rPr>
                <w:sz w:val="20"/>
                <w:szCs w:val="20"/>
                <w:color w:val="auto"/>
              </w:rPr>
            </w:pPr>
            <w:r>
              <w:rPr>
                <w:rFonts w:ascii="Arial" w:cs="Arial" w:eastAsia="Arial" w:hAnsi="Arial"/>
                <w:sz w:val="17"/>
                <w:szCs w:val="17"/>
                <w:color w:val="auto"/>
              </w:rPr>
              <w:t>Amounts reclassified from</w:t>
            </w:r>
          </w:p>
        </w:tc>
        <w:tc>
          <w:tcPr>
            <w:tcW w:w="200" w:type="dxa"/>
            <w:vAlign w:val="bottom"/>
            <w:shd w:val="clear" w:color="auto" w:fill="DDDDDD"/>
          </w:tcPr>
          <w:p>
            <w:pPr>
              <w:spacing w:after="0"/>
              <w:rPr>
                <w:sz w:val="20"/>
                <w:szCs w:val="20"/>
                <w:color w:val="auto"/>
              </w:rPr>
            </w:pPr>
          </w:p>
        </w:tc>
        <w:tc>
          <w:tcPr>
            <w:tcW w:w="14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14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14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13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380" w:type="dxa"/>
            <w:vAlign w:val="bottom"/>
            <w:shd w:val="clear" w:color="auto" w:fill="DDDDDD"/>
          </w:tcPr>
          <w:p>
            <w:pPr>
              <w:spacing w:after="0"/>
              <w:rPr>
                <w:sz w:val="20"/>
                <w:szCs w:val="20"/>
                <w:color w:val="auto"/>
              </w:rPr>
            </w:pPr>
          </w:p>
        </w:tc>
        <w:tc>
          <w:tcPr>
            <w:tcW w:w="1220" w:type="dxa"/>
            <w:vAlign w:val="bottom"/>
            <w:shd w:val="clear" w:color="auto" w:fill="DDDDDD"/>
          </w:tcPr>
          <w:p>
            <w:pPr>
              <w:spacing w:after="0"/>
              <w:rPr>
                <w:sz w:val="20"/>
                <w:szCs w:val="20"/>
                <w:color w:val="auto"/>
              </w:rPr>
            </w:pPr>
          </w:p>
        </w:tc>
      </w:tr>
      <w:tr>
        <w:trPr>
          <w:trHeight w:val="192"/>
        </w:trPr>
        <w:tc>
          <w:tcPr>
            <w:tcW w:w="2960" w:type="dxa"/>
            <w:vAlign w:val="bottom"/>
          </w:tcPr>
          <w:p>
            <w:pPr>
              <w:ind w:left="260"/>
              <w:spacing w:after="0" w:line="192" w:lineRule="exact"/>
              <w:rPr>
                <w:sz w:val="20"/>
                <w:szCs w:val="20"/>
                <w:color w:val="auto"/>
              </w:rPr>
            </w:pPr>
            <w:r>
              <w:rPr>
                <w:rFonts w:ascii="Arial" w:cs="Arial" w:eastAsia="Arial" w:hAnsi="Arial"/>
                <w:sz w:val="17"/>
                <w:szCs w:val="17"/>
                <w:color w:val="auto"/>
              </w:rPr>
              <w:t>accumulated other comprehensive</w:t>
            </w:r>
          </w:p>
        </w:tc>
        <w:tc>
          <w:tcPr>
            <w:tcW w:w="200" w:type="dxa"/>
            <w:vAlign w:val="bottom"/>
            <w:shd w:val="clear" w:color="auto" w:fill="DDDDDD"/>
          </w:tcPr>
          <w:p>
            <w:pPr>
              <w:spacing w:after="0"/>
              <w:rPr>
                <w:sz w:val="16"/>
                <w:szCs w:val="16"/>
                <w:color w:val="auto"/>
              </w:rPr>
            </w:pPr>
          </w:p>
        </w:tc>
        <w:tc>
          <w:tcPr>
            <w:tcW w:w="14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14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14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13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220" w:type="dxa"/>
            <w:vAlign w:val="bottom"/>
            <w:shd w:val="clear" w:color="auto" w:fill="DDDDDD"/>
          </w:tcPr>
          <w:p>
            <w:pPr>
              <w:spacing w:after="0"/>
              <w:rPr>
                <w:sz w:val="16"/>
                <w:szCs w:val="16"/>
                <w:color w:val="auto"/>
              </w:rPr>
            </w:pPr>
          </w:p>
        </w:tc>
      </w:tr>
      <w:tr>
        <w:trPr>
          <w:trHeight w:val="211"/>
        </w:trPr>
        <w:tc>
          <w:tcPr>
            <w:tcW w:w="2960" w:type="dxa"/>
            <w:vAlign w:val="bottom"/>
          </w:tcPr>
          <w:p>
            <w:pPr>
              <w:ind w:left="260"/>
              <w:spacing w:after="0"/>
              <w:rPr>
                <w:sz w:val="20"/>
                <w:szCs w:val="20"/>
                <w:color w:val="auto"/>
              </w:rPr>
            </w:pPr>
            <w:r>
              <w:rPr>
                <w:rFonts w:ascii="Arial" w:cs="Arial" w:eastAsia="Arial" w:hAnsi="Arial"/>
                <w:sz w:val="17"/>
                <w:szCs w:val="17"/>
                <w:color w:val="auto"/>
              </w:rPr>
              <w:t>income (loss)</w:t>
            </w:r>
          </w:p>
        </w:tc>
        <w:tc>
          <w:tcPr>
            <w:tcW w:w="200" w:type="dxa"/>
            <w:vAlign w:val="bottom"/>
            <w:shd w:val="clear" w:color="auto" w:fill="DDDDDD"/>
          </w:tcPr>
          <w:p>
            <w:pPr>
              <w:spacing w:after="0"/>
              <w:rPr>
                <w:sz w:val="18"/>
                <w:szCs w:val="18"/>
                <w:color w:val="auto"/>
              </w:rPr>
            </w:pPr>
          </w:p>
        </w:tc>
        <w:tc>
          <w:tcPr>
            <w:tcW w:w="1440" w:type="dxa"/>
            <w:vAlign w:val="bottom"/>
            <w:shd w:val="clear" w:color="auto" w:fill="DDDDDD"/>
          </w:tcPr>
          <w:p>
            <w:pPr>
              <w:jc w:val="right"/>
              <w:ind w:right="40"/>
              <w:spacing w:after="0"/>
              <w:rPr>
                <w:sz w:val="20"/>
                <w:szCs w:val="20"/>
                <w:color w:val="auto"/>
              </w:rPr>
            </w:pPr>
            <w:r>
              <w:rPr>
                <w:rFonts w:ascii="Arial" w:cs="Arial" w:eastAsia="Arial" w:hAnsi="Arial"/>
                <w:sz w:val="17"/>
                <w:szCs w:val="17"/>
                <w:color w:val="2573BA"/>
              </w:rPr>
              <w:t>12.7</w:t>
            </w:r>
          </w:p>
        </w:tc>
        <w:tc>
          <w:tcPr>
            <w:tcW w:w="100" w:type="dxa"/>
            <w:vAlign w:val="bottom"/>
            <w:shd w:val="clear" w:color="auto" w:fill="DDDDDD"/>
          </w:tcPr>
          <w:p>
            <w:pPr>
              <w:spacing w:after="0"/>
              <w:rPr>
                <w:sz w:val="18"/>
                <w:szCs w:val="18"/>
                <w:color w:val="auto"/>
              </w:rPr>
            </w:pPr>
          </w:p>
        </w:tc>
        <w:tc>
          <w:tcPr>
            <w:tcW w:w="180" w:type="dxa"/>
            <w:vAlign w:val="bottom"/>
            <w:shd w:val="clear" w:color="auto" w:fill="DDDDDD"/>
          </w:tcPr>
          <w:p>
            <w:pPr>
              <w:spacing w:after="0"/>
              <w:rPr>
                <w:sz w:val="18"/>
                <w:szCs w:val="18"/>
                <w:color w:val="auto"/>
              </w:rPr>
            </w:pPr>
          </w:p>
        </w:tc>
        <w:tc>
          <w:tcPr>
            <w:tcW w:w="144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31.5</w:t>
            </w:r>
          </w:p>
        </w:tc>
        <w:tc>
          <w:tcPr>
            <w:tcW w:w="10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560" w:type="dxa"/>
            <w:vAlign w:val="bottom"/>
            <w:gridSpan w:val="2"/>
            <w:shd w:val="clear" w:color="auto" w:fill="DDDDDD"/>
          </w:tcPr>
          <w:p>
            <w:pPr>
              <w:jc w:val="right"/>
              <w:ind w:right="220"/>
              <w:spacing w:after="0"/>
              <w:rPr>
                <w:sz w:val="20"/>
                <w:szCs w:val="20"/>
                <w:color w:val="auto"/>
              </w:rPr>
            </w:pPr>
            <w:r>
              <w:rPr>
                <w:rFonts w:ascii="Arial" w:cs="Arial" w:eastAsia="Arial" w:hAnsi="Arial"/>
                <w:sz w:val="17"/>
                <w:szCs w:val="17"/>
                <w:color w:val="2573BA"/>
              </w:rPr>
              <w:t>—</w:t>
            </w:r>
          </w:p>
        </w:tc>
        <w:tc>
          <w:tcPr>
            <w:tcW w:w="240" w:type="dxa"/>
            <w:vAlign w:val="bottom"/>
            <w:shd w:val="clear" w:color="auto" w:fill="DDDDDD"/>
          </w:tcPr>
          <w:p>
            <w:pPr>
              <w:spacing w:after="0"/>
              <w:rPr>
                <w:sz w:val="18"/>
                <w:szCs w:val="18"/>
                <w:color w:val="auto"/>
              </w:rPr>
            </w:pPr>
          </w:p>
        </w:tc>
        <w:tc>
          <w:tcPr>
            <w:tcW w:w="1440" w:type="dxa"/>
            <w:vAlign w:val="bottom"/>
            <w:gridSpan w:val="2"/>
            <w:shd w:val="clear" w:color="auto" w:fill="DDDDDD"/>
          </w:tcPr>
          <w:p>
            <w:pPr>
              <w:jc w:val="right"/>
              <w:ind w:right="200"/>
              <w:spacing w:after="0"/>
              <w:rPr>
                <w:sz w:val="20"/>
                <w:szCs w:val="20"/>
                <w:color w:val="auto"/>
              </w:rPr>
            </w:pPr>
            <w:r>
              <w:rPr>
                <w:rFonts w:ascii="Arial" w:cs="Arial" w:eastAsia="Arial" w:hAnsi="Arial"/>
                <w:sz w:val="17"/>
                <w:szCs w:val="17"/>
                <w:color w:val="2573BA"/>
              </w:rPr>
              <w:t>—</w:t>
            </w:r>
          </w:p>
        </w:tc>
        <w:tc>
          <w:tcPr>
            <w:tcW w:w="380" w:type="dxa"/>
            <w:vAlign w:val="bottom"/>
            <w:shd w:val="clear" w:color="auto" w:fill="DDDDDD"/>
          </w:tcPr>
          <w:p>
            <w:pPr>
              <w:spacing w:after="0"/>
              <w:rPr>
                <w:sz w:val="18"/>
                <w:szCs w:val="18"/>
                <w:color w:val="auto"/>
              </w:rPr>
            </w:pPr>
          </w:p>
        </w:tc>
        <w:tc>
          <w:tcPr>
            <w:tcW w:w="122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44.2</w:t>
            </w:r>
          </w:p>
        </w:tc>
      </w:tr>
      <w:tr>
        <w:trPr>
          <w:trHeight w:val="204"/>
        </w:trPr>
        <w:tc>
          <w:tcPr>
            <w:tcW w:w="2960" w:type="dxa"/>
            <w:vAlign w:val="bottom"/>
          </w:tcPr>
          <w:p>
            <w:pPr>
              <w:ind w:left="140"/>
              <w:spacing w:after="0"/>
              <w:rPr>
                <w:sz w:val="20"/>
                <w:szCs w:val="20"/>
                <w:color w:val="auto"/>
              </w:rPr>
            </w:pPr>
            <w:r>
              <w:rPr>
                <w:rFonts w:ascii="Arial" w:cs="Arial" w:eastAsia="Arial" w:hAnsi="Arial"/>
                <w:sz w:val="17"/>
                <w:szCs w:val="17"/>
                <w:color w:val="auto"/>
              </w:rPr>
              <w:t>Net current period other</w:t>
            </w:r>
          </w:p>
        </w:tc>
        <w:tc>
          <w:tcPr>
            <w:tcW w:w="200" w:type="dxa"/>
            <w:vAlign w:val="bottom"/>
            <w:tcBorders>
              <w:top w:val="single" w:sz="8" w:color="auto"/>
            </w:tcBorders>
            <w:shd w:val="clear" w:color="auto" w:fill="DDDDDD"/>
          </w:tcPr>
          <w:p>
            <w:pPr>
              <w:spacing w:after="0"/>
              <w:rPr>
                <w:sz w:val="17"/>
                <w:szCs w:val="17"/>
                <w:color w:val="auto"/>
              </w:rPr>
            </w:pPr>
          </w:p>
        </w:tc>
        <w:tc>
          <w:tcPr>
            <w:tcW w:w="1440" w:type="dxa"/>
            <w:vAlign w:val="bottom"/>
            <w:tcBorders>
              <w:top w:val="single" w:sz="8" w:color="auto"/>
            </w:tcBorders>
            <w:shd w:val="clear" w:color="auto" w:fill="DDDDDD"/>
          </w:tcPr>
          <w:p>
            <w:pPr>
              <w:spacing w:after="0"/>
              <w:rPr>
                <w:sz w:val="17"/>
                <w:szCs w:val="17"/>
                <w:color w:val="auto"/>
              </w:rPr>
            </w:pPr>
          </w:p>
        </w:tc>
        <w:tc>
          <w:tcPr>
            <w:tcW w:w="100" w:type="dxa"/>
            <w:vAlign w:val="bottom"/>
            <w:tcBorders>
              <w:top w:val="single" w:sz="8" w:color="DDDDDD"/>
            </w:tcBorders>
            <w:shd w:val="clear" w:color="auto" w:fill="DDDDDD"/>
          </w:tcPr>
          <w:p>
            <w:pPr>
              <w:spacing w:after="0"/>
              <w:rPr>
                <w:sz w:val="17"/>
                <w:szCs w:val="17"/>
                <w:color w:val="auto"/>
              </w:rPr>
            </w:pPr>
          </w:p>
        </w:tc>
        <w:tc>
          <w:tcPr>
            <w:tcW w:w="180" w:type="dxa"/>
            <w:vAlign w:val="bottom"/>
            <w:tcBorders>
              <w:top w:val="single" w:sz="8" w:color="auto"/>
            </w:tcBorders>
            <w:shd w:val="clear" w:color="auto" w:fill="DDDDDD"/>
          </w:tcPr>
          <w:p>
            <w:pPr>
              <w:spacing w:after="0"/>
              <w:rPr>
                <w:sz w:val="17"/>
                <w:szCs w:val="17"/>
                <w:color w:val="auto"/>
              </w:rPr>
            </w:pPr>
          </w:p>
        </w:tc>
        <w:tc>
          <w:tcPr>
            <w:tcW w:w="1440" w:type="dxa"/>
            <w:vAlign w:val="bottom"/>
            <w:tcBorders>
              <w:top w:val="single" w:sz="8" w:color="auto"/>
            </w:tcBorders>
            <w:shd w:val="clear" w:color="auto" w:fill="DDDDDD"/>
          </w:tcPr>
          <w:p>
            <w:pPr>
              <w:spacing w:after="0"/>
              <w:rPr>
                <w:sz w:val="17"/>
                <w:szCs w:val="17"/>
                <w:color w:val="auto"/>
              </w:rPr>
            </w:pPr>
          </w:p>
        </w:tc>
        <w:tc>
          <w:tcPr>
            <w:tcW w:w="100" w:type="dxa"/>
            <w:vAlign w:val="bottom"/>
            <w:tcBorders>
              <w:top w:val="single" w:sz="8" w:color="DDDDDD"/>
            </w:tcBorders>
            <w:shd w:val="clear" w:color="auto" w:fill="DDDDDD"/>
          </w:tcPr>
          <w:p>
            <w:pPr>
              <w:spacing w:after="0"/>
              <w:rPr>
                <w:sz w:val="17"/>
                <w:szCs w:val="17"/>
                <w:color w:val="auto"/>
              </w:rPr>
            </w:pPr>
          </w:p>
        </w:tc>
        <w:tc>
          <w:tcPr>
            <w:tcW w:w="140" w:type="dxa"/>
            <w:vAlign w:val="bottom"/>
            <w:tcBorders>
              <w:top w:val="single" w:sz="8" w:color="auto"/>
            </w:tcBorders>
            <w:shd w:val="clear" w:color="auto" w:fill="DDDDDD"/>
          </w:tcPr>
          <w:p>
            <w:pPr>
              <w:spacing w:after="0"/>
              <w:rPr>
                <w:sz w:val="17"/>
                <w:szCs w:val="17"/>
                <w:color w:val="auto"/>
              </w:rPr>
            </w:pPr>
          </w:p>
        </w:tc>
        <w:tc>
          <w:tcPr>
            <w:tcW w:w="1460" w:type="dxa"/>
            <w:vAlign w:val="bottom"/>
            <w:tcBorders>
              <w:top w:val="single" w:sz="8" w:color="auto"/>
            </w:tcBorders>
            <w:shd w:val="clear" w:color="auto" w:fill="DDDDDD"/>
          </w:tcPr>
          <w:p>
            <w:pPr>
              <w:spacing w:after="0"/>
              <w:rPr>
                <w:sz w:val="17"/>
                <w:szCs w:val="17"/>
                <w:color w:val="auto"/>
              </w:rPr>
            </w:pPr>
          </w:p>
        </w:tc>
        <w:tc>
          <w:tcPr>
            <w:tcW w:w="100" w:type="dxa"/>
            <w:vAlign w:val="bottom"/>
            <w:tcBorders>
              <w:top w:val="single" w:sz="8" w:color="DDDDDD"/>
            </w:tcBorders>
            <w:shd w:val="clear" w:color="auto" w:fill="DDDDDD"/>
          </w:tcPr>
          <w:p>
            <w:pPr>
              <w:spacing w:after="0"/>
              <w:rPr>
                <w:sz w:val="17"/>
                <w:szCs w:val="17"/>
                <w:color w:val="auto"/>
              </w:rPr>
            </w:pPr>
          </w:p>
        </w:tc>
        <w:tc>
          <w:tcPr>
            <w:tcW w:w="240" w:type="dxa"/>
            <w:vAlign w:val="bottom"/>
            <w:tcBorders>
              <w:top w:val="single" w:sz="8" w:color="auto"/>
            </w:tcBorders>
            <w:shd w:val="clear" w:color="auto" w:fill="DDDDDD"/>
          </w:tcPr>
          <w:p>
            <w:pPr>
              <w:spacing w:after="0"/>
              <w:rPr>
                <w:sz w:val="17"/>
                <w:szCs w:val="17"/>
                <w:color w:val="auto"/>
              </w:rPr>
            </w:pPr>
          </w:p>
        </w:tc>
        <w:tc>
          <w:tcPr>
            <w:tcW w:w="1340" w:type="dxa"/>
            <w:vAlign w:val="bottom"/>
            <w:tcBorders>
              <w:top w:val="single" w:sz="8" w:color="auto"/>
            </w:tcBorders>
            <w:shd w:val="clear" w:color="auto" w:fill="DDDDDD"/>
          </w:tcPr>
          <w:p>
            <w:pPr>
              <w:spacing w:after="0"/>
              <w:rPr>
                <w:sz w:val="17"/>
                <w:szCs w:val="17"/>
                <w:color w:val="auto"/>
              </w:rPr>
            </w:pPr>
          </w:p>
        </w:tc>
        <w:tc>
          <w:tcPr>
            <w:tcW w:w="100" w:type="dxa"/>
            <w:vAlign w:val="bottom"/>
            <w:tcBorders>
              <w:top w:val="single" w:sz="8" w:color="DDDDDD"/>
            </w:tcBorders>
            <w:shd w:val="clear" w:color="auto" w:fill="DDDDDD"/>
          </w:tcPr>
          <w:p>
            <w:pPr>
              <w:spacing w:after="0"/>
              <w:rPr>
                <w:sz w:val="17"/>
                <w:szCs w:val="17"/>
                <w:color w:val="auto"/>
              </w:rPr>
            </w:pPr>
          </w:p>
        </w:tc>
        <w:tc>
          <w:tcPr>
            <w:tcW w:w="380" w:type="dxa"/>
            <w:vAlign w:val="bottom"/>
            <w:tcBorders>
              <w:top w:val="single" w:sz="8" w:color="auto"/>
            </w:tcBorders>
            <w:shd w:val="clear" w:color="auto" w:fill="DDDDDD"/>
          </w:tcPr>
          <w:p>
            <w:pPr>
              <w:spacing w:after="0"/>
              <w:rPr>
                <w:sz w:val="17"/>
                <w:szCs w:val="17"/>
                <w:color w:val="auto"/>
              </w:rPr>
            </w:pPr>
          </w:p>
        </w:tc>
        <w:tc>
          <w:tcPr>
            <w:tcW w:w="1220" w:type="dxa"/>
            <w:vAlign w:val="bottom"/>
            <w:tcBorders>
              <w:top w:val="single" w:sz="8" w:color="auto"/>
            </w:tcBorders>
            <w:shd w:val="clear" w:color="auto" w:fill="DDDDDD"/>
          </w:tcPr>
          <w:p>
            <w:pPr>
              <w:spacing w:after="0"/>
              <w:rPr>
                <w:sz w:val="17"/>
                <w:szCs w:val="17"/>
                <w:color w:val="auto"/>
              </w:rPr>
            </w:pPr>
          </w:p>
        </w:tc>
      </w:tr>
      <w:tr>
        <w:trPr>
          <w:trHeight w:val="211"/>
        </w:trPr>
        <w:tc>
          <w:tcPr>
            <w:tcW w:w="2960" w:type="dxa"/>
            <w:vAlign w:val="bottom"/>
          </w:tcPr>
          <w:p>
            <w:pPr>
              <w:ind w:left="140"/>
              <w:spacing w:after="0"/>
              <w:rPr>
                <w:sz w:val="20"/>
                <w:szCs w:val="20"/>
                <w:color w:val="auto"/>
              </w:rPr>
            </w:pPr>
            <w:r>
              <w:rPr>
                <w:rFonts w:ascii="Arial" w:cs="Arial" w:eastAsia="Arial" w:hAnsi="Arial"/>
                <w:sz w:val="17"/>
                <w:szCs w:val="17"/>
                <w:color w:val="auto"/>
              </w:rPr>
              <w:t>comprehensive income (loss)</w:t>
            </w:r>
          </w:p>
        </w:tc>
        <w:tc>
          <w:tcPr>
            <w:tcW w:w="200" w:type="dxa"/>
            <w:vAlign w:val="bottom"/>
            <w:tcBorders>
              <w:bottom w:val="single" w:sz="8" w:color="auto"/>
            </w:tcBorders>
            <w:shd w:val="clear" w:color="auto" w:fill="DDDDDD"/>
          </w:tcPr>
          <w:p>
            <w:pPr>
              <w:spacing w:after="0"/>
              <w:rPr>
                <w:sz w:val="18"/>
                <w:szCs w:val="18"/>
                <w:color w:val="auto"/>
              </w:rPr>
            </w:pPr>
          </w:p>
        </w:tc>
        <w:tc>
          <w:tcPr>
            <w:tcW w:w="1440" w:type="dxa"/>
            <w:vAlign w:val="bottom"/>
            <w:tcBorders>
              <w:bottom w:val="single" w:sz="8" w:color="auto"/>
            </w:tcBorders>
            <w:shd w:val="clear" w:color="auto" w:fill="DDDDDD"/>
          </w:tcPr>
          <w:p>
            <w:pPr>
              <w:jc w:val="right"/>
              <w:ind w:right="40"/>
              <w:spacing w:after="0"/>
              <w:rPr>
                <w:sz w:val="20"/>
                <w:szCs w:val="20"/>
                <w:color w:val="auto"/>
              </w:rPr>
            </w:pPr>
            <w:r>
              <w:rPr>
                <w:rFonts w:ascii="Arial" w:cs="Arial" w:eastAsia="Arial" w:hAnsi="Arial"/>
                <w:sz w:val="17"/>
                <w:szCs w:val="17"/>
                <w:color w:val="2573BA"/>
              </w:rPr>
              <w:t>9.2</w:t>
            </w:r>
          </w:p>
        </w:tc>
        <w:tc>
          <w:tcPr>
            <w:tcW w:w="100" w:type="dxa"/>
            <w:vAlign w:val="bottom"/>
            <w:tcBorders>
              <w:bottom w:val="single" w:sz="8" w:color="DDDDDD"/>
            </w:tcBorders>
            <w:shd w:val="clear" w:color="auto" w:fill="DDDDDD"/>
          </w:tcPr>
          <w:p>
            <w:pPr>
              <w:spacing w:after="0"/>
              <w:rPr>
                <w:sz w:val="18"/>
                <w:szCs w:val="18"/>
                <w:color w:val="auto"/>
              </w:rPr>
            </w:pPr>
          </w:p>
        </w:tc>
        <w:tc>
          <w:tcPr>
            <w:tcW w:w="180" w:type="dxa"/>
            <w:vAlign w:val="bottom"/>
            <w:tcBorders>
              <w:bottom w:val="single" w:sz="8" w:color="auto"/>
            </w:tcBorders>
            <w:shd w:val="clear" w:color="auto" w:fill="DDDDDD"/>
          </w:tcPr>
          <w:p>
            <w:pPr>
              <w:spacing w:after="0"/>
              <w:rPr>
                <w:sz w:val="18"/>
                <w:szCs w:val="18"/>
                <w:color w:val="auto"/>
              </w:rPr>
            </w:pPr>
          </w:p>
        </w:tc>
        <w:tc>
          <w:tcPr>
            <w:tcW w:w="14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(162.3)</w:t>
            </w:r>
          </w:p>
        </w:tc>
        <w:tc>
          <w:tcPr>
            <w:tcW w:w="100" w:type="dxa"/>
            <w:vAlign w:val="bottom"/>
            <w:tcBorders>
              <w:bottom w:val="single" w:sz="8" w:color="DDDDDD"/>
            </w:tcBorders>
            <w:shd w:val="clear" w:color="auto" w:fill="DDDDDD"/>
          </w:tcPr>
          <w:p>
            <w:pPr>
              <w:spacing w:after="0"/>
              <w:rPr>
                <w:sz w:val="18"/>
                <w:szCs w:val="18"/>
                <w:color w:val="auto"/>
              </w:rPr>
            </w:pPr>
          </w:p>
        </w:tc>
        <w:tc>
          <w:tcPr>
            <w:tcW w:w="140" w:type="dxa"/>
            <w:vAlign w:val="bottom"/>
            <w:tcBorders>
              <w:bottom w:val="single" w:sz="8" w:color="auto"/>
            </w:tcBorders>
            <w:shd w:val="clear" w:color="auto" w:fill="DDDDDD"/>
          </w:tcPr>
          <w:p>
            <w:pPr>
              <w:spacing w:after="0"/>
              <w:rPr>
                <w:sz w:val="18"/>
                <w:szCs w:val="18"/>
                <w:color w:val="auto"/>
              </w:rPr>
            </w:pPr>
          </w:p>
        </w:tc>
        <w:tc>
          <w:tcPr>
            <w:tcW w:w="14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(4.1)</w:t>
            </w:r>
          </w:p>
        </w:tc>
        <w:tc>
          <w:tcPr>
            <w:tcW w:w="100" w:type="dxa"/>
            <w:vAlign w:val="bottom"/>
            <w:tcBorders>
              <w:bottom w:val="single" w:sz="8" w:color="DDDDDD"/>
            </w:tcBorders>
            <w:shd w:val="clear" w:color="auto" w:fill="DDDDDD"/>
          </w:tcPr>
          <w:p>
            <w:pPr>
              <w:spacing w:after="0"/>
              <w:rPr>
                <w:sz w:val="18"/>
                <w:szCs w:val="18"/>
                <w:color w:val="auto"/>
              </w:rPr>
            </w:pPr>
          </w:p>
        </w:tc>
        <w:tc>
          <w:tcPr>
            <w:tcW w:w="240" w:type="dxa"/>
            <w:vAlign w:val="bottom"/>
            <w:tcBorders>
              <w:bottom w:val="single" w:sz="8" w:color="auto"/>
            </w:tcBorders>
            <w:shd w:val="clear" w:color="auto" w:fill="DDDDDD"/>
          </w:tcPr>
          <w:p>
            <w:pPr>
              <w:spacing w:after="0"/>
              <w:rPr>
                <w:sz w:val="18"/>
                <w:szCs w:val="18"/>
                <w:color w:val="auto"/>
              </w:rPr>
            </w:pPr>
          </w:p>
        </w:tc>
        <w:tc>
          <w:tcPr>
            <w:tcW w:w="1340" w:type="dxa"/>
            <w:vAlign w:val="bottom"/>
            <w:tcBorders>
              <w:bottom w:val="single" w:sz="8" w:color="auto"/>
            </w:tcBorders>
            <w:shd w:val="clear" w:color="auto" w:fill="DDDDDD"/>
          </w:tcPr>
          <w:p>
            <w:pPr>
              <w:jc w:val="right"/>
              <w:ind w:right="20"/>
              <w:spacing w:after="0"/>
              <w:rPr>
                <w:sz w:val="20"/>
                <w:szCs w:val="20"/>
                <w:color w:val="auto"/>
              </w:rPr>
            </w:pPr>
            <w:r>
              <w:rPr>
                <w:rFonts w:ascii="Arial" w:cs="Arial" w:eastAsia="Arial" w:hAnsi="Arial"/>
                <w:sz w:val="17"/>
                <w:szCs w:val="17"/>
                <w:color w:val="2573BA"/>
              </w:rPr>
              <w:t>158.7</w:t>
            </w:r>
          </w:p>
        </w:tc>
        <w:tc>
          <w:tcPr>
            <w:tcW w:w="100" w:type="dxa"/>
            <w:vAlign w:val="bottom"/>
            <w:tcBorders>
              <w:bottom w:val="single" w:sz="8" w:color="DDDDDD"/>
            </w:tcBorders>
            <w:shd w:val="clear" w:color="auto" w:fill="DDDDDD"/>
          </w:tcPr>
          <w:p>
            <w:pPr>
              <w:spacing w:after="0"/>
              <w:rPr>
                <w:sz w:val="18"/>
                <w:szCs w:val="18"/>
                <w:color w:val="auto"/>
              </w:rPr>
            </w:pPr>
          </w:p>
        </w:tc>
        <w:tc>
          <w:tcPr>
            <w:tcW w:w="380" w:type="dxa"/>
            <w:vAlign w:val="bottom"/>
            <w:tcBorders>
              <w:bottom w:val="single" w:sz="8" w:color="auto"/>
            </w:tcBorders>
            <w:shd w:val="clear" w:color="auto" w:fill="DDDDDD"/>
          </w:tcPr>
          <w:p>
            <w:pPr>
              <w:spacing w:after="0"/>
              <w:rPr>
                <w:sz w:val="18"/>
                <w:szCs w:val="18"/>
                <w:color w:val="auto"/>
              </w:rPr>
            </w:pPr>
          </w:p>
        </w:tc>
        <w:tc>
          <w:tcPr>
            <w:tcW w:w="1220" w:type="dxa"/>
            <w:vAlign w:val="bottom"/>
            <w:tcBorders>
              <w:bottom w:val="single" w:sz="8" w:color="auto"/>
            </w:tcBorders>
            <w:shd w:val="clear" w:color="auto" w:fill="DDDDDD"/>
          </w:tcPr>
          <w:p>
            <w:pPr>
              <w:jc w:val="right"/>
              <w:ind w:right="17"/>
              <w:spacing w:after="0"/>
              <w:rPr>
                <w:sz w:val="20"/>
                <w:szCs w:val="20"/>
                <w:color w:val="auto"/>
              </w:rPr>
            </w:pPr>
            <w:r>
              <w:rPr>
                <w:rFonts w:ascii="Arial" w:cs="Arial" w:eastAsia="Arial" w:hAnsi="Arial"/>
                <w:sz w:val="17"/>
                <w:szCs w:val="17"/>
                <w:color w:val="2573BA"/>
              </w:rPr>
              <w:t>1.5</w:t>
            </w:r>
          </w:p>
        </w:tc>
      </w:tr>
      <w:tr>
        <w:trPr>
          <w:trHeight w:val="236"/>
        </w:trPr>
        <w:tc>
          <w:tcPr>
            <w:tcW w:w="2960" w:type="dxa"/>
            <w:vAlign w:val="bottom"/>
          </w:tcPr>
          <w:p>
            <w:pPr>
              <w:ind w:left="20"/>
              <w:spacing w:after="0"/>
              <w:rPr>
                <w:sz w:val="20"/>
                <w:szCs w:val="20"/>
                <w:color w:val="auto"/>
              </w:rPr>
            </w:pPr>
            <w:r>
              <w:rPr>
                <w:rFonts w:ascii="Arial" w:cs="Arial" w:eastAsia="Arial" w:hAnsi="Arial"/>
                <w:sz w:val="17"/>
                <w:szCs w:val="17"/>
                <w:color w:val="auto"/>
              </w:rPr>
              <w:t>Balance, December 31, 2017</w:t>
            </w:r>
          </w:p>
        </w:tc>
        <w:tc>
          <w:tcPr>
            <w:tcW w:w="20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7"/>
                <w:szCs w:val="17"/>
                <w:color w:val="2573BA"/>
              </w:rPr>
              <w:t>$</w:t>
            </w:r>
          </w:p>
        </w:tc>
        <w:tc>
          <w:tcPr>
            <w:tcW w:w="1440" w:type="dxa"/>
            <w:vAlign w:val="bottom"/>
            <w:tcBorders>
              <w:bottom w:val="single" w:sz="8" w:color="auto"/>
            </w:tcBorders>
            <w:shd w:val="clear" w:color="auto" w:fill="DDDDDD"/>
          </w:tcPr>
          <w:p>
            <w:pPr>
              <w:jc w:val="right"/>
              <w:ind w:right="40"/>
              <w:spacing w:after="0"/>
              <w:rPr>
                <w:sz w:val="20"/>
                <w:szCs w:val="20"/>
                <w:color w:val="auto"/>
              </w:rPr>
            </w:pPr>
            <w:r>
              <w:rPr>
                <w:rFonts w:ascii="Arial" w:cs="Arial" w:eastAsia="Arial" w:hAnsi="Arial"/>
                <w:sz w:val="17"/>
                <w:szCs w:val="17"/>
                <w:color w:val="2573BA"/>
              </w:rPr>
              <w:t>(1.6)</w:t>
            </w:r>
          </w:p>
        </w:tc>
        <w:tc>
          <w:tcPr>
            <w:tcW w:w="100" w:type="dxa"/>
            <w:vAlign w:val="bottom"/>
            <w:tcBorders>
              <w:bottom w:val="single" w:sz="8" w:color="DDDDDD"/>
            </w:tcBorders>
            <w:shd w:val="clear" w:color="auto" w:fill="DDDDDD"/>
          </w:tcPr>
          <w:p>
            <w:pPr>
              <w:spacing w:after="0"/>
              <w:rPr>
                <w:sz w:val="20"/>
                <w:szCs w:val="20"/>
                <w:color w:val="auto"/>
              </w:rPr>
            </w:pPr>
          </w:p>
        </w:tc>
        <w:tc>
          <w:tcPr>
            <w:tcW w:w="1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(104.5)</w:t>
            </w:r>
          </w:p>
        </w:tc>
        <w:tc>
          <w:tcPr>
            <w:tcW w:w="100" w:type="dxa"/>
            <w:vAlign w:val="bottom"/>
            <w:tcBorders>
              <w:bottom w:val="single" w:sz="8" w:color="DDDDDD"/>
            </w:tcBorders>
            <w:shd w:val="clear" w:color="auto" w:fill="DDDDDD"/>
          </w:tcPr>
          <w:p>
            <w:pPr>
              <w:spacing w:after="0"/>
              <w:rPr>
                <w:sz w:val="20"/>
                <w:szCs w:val="20"/>
                <w:color w:val="auto"/>
              </w:rPr>
            </w:pPr>
          </w:p>
        </w:tc>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(36.8)</w:t>
            </w:r>
          </w:p>
        </w:tc>
        <w:tc>
          <w:tcPr>
            <w:tcW w:w="100" w:type="dxa"/>
            <w:vAlign w:val="bottom"/>
            <w:tcBorders>
              <w:bottom w:val="single" w:sz="8" w:color="DDDDDD"/>
            </w:tcBorders>
            <w:shd w:val="clear" w:color="auto" w:fill="DDDDDD"/>
          </w:tcPr>
          <w:p>
            <w:pPr>
              <w:spacing w:after="0"/>
              <w:rPr>
                <w:sz w:val="20"/>
                <w:szCs w:val="20"/>
                <w:color w:val="auto"/>
              </w:rPr>
            </w:pPr>
          </w:p>
        </w:tc>
        <w:tc>
          <w:tcPr>
            <w:tcW w:w="240" w:type="dxa"/>
            <w:vAlign w:val="bottom"/>
            <w:tcBorders>
              <w:bottom w:val="single" w:sz="8" w:color="auto"/>
            </w:tcBorders>
            <w:shd w:val="clear" w:color="auto" w:fill="DDDDDD"/>
          </w:tcPr>
          <w:p>
            <w:pPr>
              <w:jc w:val="right"/>
              <w:ind w:right="35"/>
              <w:spacing w:after="0"/>
              <w:rPr>
                <w:sz w:val="20"/>
                <w:szCs w:val="20"/>
                <w:color w:val="auto"/>
              </w:rPr>
            </w:pPr>
            <w:r>
              <w:rPr>
                <w:rFonts w:ascii="Arial" w:cs="Arial" w:eastAsia="Arial" w:hAnsi="Arial"/>
                <w:sz w:val="17"/>
                <w:szCs w:val="17"/>
                <w:color w:val="2573BA"/>
              </w:rPr>
              <w:t>$</w:t>
            </w:r>
          </w:p>
        </w:tc>
        <w:tc>
          <w:tcPr>
            <w:tcW w:w="13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(175.5)</w:t>
            </w:r>
          </w:p>
        </w:tc>
        <w:tc>
          <w:tcPr>
            <w:tcW w:w="100" w:type="dxa"/>
            <w:vAlign w:val="bottom"/>
            <w:tcBorders>
              <w:bottom w:val="single" w:sz="8" w:color="DDDDDD"/>
            </w:tcBorders>
            <w:shd w:val="clear" w:color="auto" w:fill="DDDDDD"/>
          </w:tcPr>
          <w:p>
            <w:pPr>
              <w:spacing w:after="0"/>
              <w:rPr>
                <w:sz w:val="20"/>
                <w:szCs w:val="20"/>
                <w:color w:val="auto"/>
              </w:rPr>
            </w:pPr>
          </w:p>
        </w:tc>
        <w:tc>
          <w:tcPr>
            <w:tcW w:w="380" w:type="dxa"/>
            <w:vAlign w:val="bottom"/>
            <w:tcBorders>
              <w:bottom w:val="single" w:sz="8" w:color="auto"/>
            </w:tcBorders>
            <w:shd w:val="clear" w:color="auto" w:fill="DDDDDD"/>
          </w:tcPr>
          <w:p>
            <w:pPr>
              <w:jc w:val="right"/>
              <w:ind w:right="175"/>
              <w:spacing w:after="0"/>
              <w:rPr>
                <w:sz w:val="20"/>
                <w:szCs w:val="20"/>
                <w:color w:val="auto"/>
              </w:rPr>
            </w:pPr>
            <w:r>
              <w:rPr>
                <w:rFonts w:ascii="Arial" w:cs="Arial" w:eastAsia="Arial" w:hAnsi="Arial"/>
                <w:sz w:val="17"/>
                <w:szCs w:val="17"/>
                <w:color w:val="2573BA"/>
              </w:rPr>
              <w:t>$</w:t>
            </w:r>
          </w:p>
        </w:tc>
        <w:tc>
          <w:tcPr>
            <w:tcW w:w="12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(318.4)</w:t>
            </w:r>
          </w:p>
        </w:tc>
      </w:tr>
      <w:tr>
        <w:trPr>
          <w:trHeight w:val="20"/>
        </w:trPr>
        <w:tc>
          <w:tcPr>
            <w:tcW w:w="2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20"/>
        </w:trPr>
        <w:tc>
          <w:tcPr>
            <w:tcW w:w="2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ind w:left="620"/>
              <w:spacing w:after="0"/>
              <w:rPr>
                <w:sz w:val="20"/>
                <w:szCs w:val="20"/>
                <w:color w:val="auto"/>
              </w:rPr>
            </w:pPr>
            <w:r>
              <w:rPr>
                <w:rFonts w:ascii="Arial" w:cs="Arial" w:eastAsia="Arial" w:hAnsi="Arial"/>
                <w:sz w:val="17"/>
                <w:szCs w:val="17"/>
                <w:color w:val="auto"/>
              </w:rPr>
              <w:t>F- 41</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39" w:right="239" w:bottom="1440" w:gutter="0" w:footer="0" w:header="0"/>
        </w:sectPr>
      </w:pPr>
    </w:p>
    <w:bookmarkStart w:id="143" w:name="page144"/>
    <w:bookmarkEnd w:id="1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Unrealized Gains</w:t>
            </w: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54"/>
        </w:trPr>
        <w:tc>
          <w:tcPr>
            <w:tcW w:w="2960" w:type="dxa"/>
            <w:vAlign w:val="bottom"/>
          </w:tcPr>
          <w:p>
            <w:pPr>
              <w:spacing w:after="0"/>
              <w:rPr>
                <w:sz w:val="13"/>
                <w:szCs w:val="13"/>
                <w:color w:val="auto"/>
              </w:rPr>
            </w:pPr>
          </w:p>
        </w:tc>
        <w:tc>
          <w:tcPr>
            <w:tcW w:w="1740" w:type="dxa"/>
            <w:vAlign w:val="bottom"/>
            <w:gridSpan w:val="3"/>
          </w:tcPr>
          <w:p>
            <w:pPr>
              <w:jc w:val="center"/>
              <w:ind w:right="100"/>
              <w:spacing w:after="0" w:line="154" w:lineRule="exact"/>
              <w:rPr>
                <w:sz w:val="20"/>
                <w:szCs w:val="20"/>
                <w:color w:val="auto"/>
              </w:rPr>
            </w:pPr>
            <w:r>
              <w:rPr>
                <w:rFonts w:ascii="Arial" w:cs="Arial" w:eastAsia="Arial" w:hAnsi="Arial"/>
                <w:sz w:val="14"/>
                <w:szCs w:val="14"/>
                <w:b w:val="1"/>
                <w:bCs w:val="1"/>
                <w:color w:val="auto"/>
                <w:w w:val="96"/>
              </w:rPr>
              <w:t>(Losses) on Securities</w:t>
            </w:r>
          </w:p>
        </w:tc>
        <w:tc>
          <w:tcPr>
            <w:tcW w:w="180" w:type="dxa"/>
            <w:vAlign w:val="bottom"/>
          </w:tcPr>
          <w:p>
            <w:pPr>
              <w:spacing w:after="0"/>
              <w:rPr>
                <w:sz w:val="13"/>
                <w:szCs w:val="13"/>
                <w:color w:val="auto"/>
              </w:rPr>
            </w:pPr>
          </w:p>
        </w:tc>
        <w:tc>
          <w:tcPr>
            <w:tcW w:w="1540" w:type="dxa"/>
            <w:vAlign w:val="bottom"/>
            <w:gridSpan w:val="2"/>
          </w:tcPr>
          <w:p>
            <w:pPr>
              <w:jc w:val="center"/>
              <w:ind w:right="280"/>
              <w:spacing w:after="0" w:line="154" w:lineRule="exact"/>
              <w:rPr>
                <w:sz w:val="20"/>
                <w:szCs w:val="20"/>
                <w:color w:val="auto"/>
              </w:rPr>
            </w:pPr>
            <w:r>
              <w:rPr>
                <w:rFonts w:ascii="Arial" w:cs="Arial" w:eastAsia="Arial" w:hAnsi="Arial"/>
                <w:sz w:val="14"/>
                <w:szCs w:val="14"/>
                <w:b w:val="1"/>
                <w:bCs w:val="1"/>
                <w:color w:val="auto"/>
                <w:w w:val="96"/>
              </w:rPr>
              <w:t>Unrealized Gains</w:t>
            </w:r>
          </w:p>
        </w:tc>
        <w:tc>
          <w:tcPr>
            <w:tcW w:w="140" w:type="dxa"/>
            <w:vAlign w:val="bottom"/>
          </w:tcPr>
          <w:p>
            <w:pPr>
              <w:spacing w:after="0"/>
              <w:rPr>
                <w:sz w:val="13"/>
                <w:szCs w:val="13"/>
                <w:color w:val="auto"/>
              </w:rPr>
            </w:pPr>
          </w:p>
        </w:tc>
        <w:tc>
          <w:tcPr>
            <w:tcW w:w="1560" w:type="dxa"/>
            <w:vAlign w:val="bottom"/>
            <w:gridSpan w:val="2"/>
          </w:tcPr>
          <w:p>
            <w:pPr>
              <w:jc w:val="center"/>
              <w:ind w:right="260"/>
              <w:spacing w:after="0" w:line="154" w:lineRule="exact"/>
              <w:rPr>
                <w:sz w:val="20"/>
                <w:szCs w:val="20"/>
                <w:color w:val="auto"/>
              </w:rPr>
            </w:pPr>
            <w:r>
              <w:rPr>
                <w:rFonts w:ascii="Arial" w:cs="Arial" w:eastAsia="Arial" w:hAnsi="Arial"/>
                <w:sz w:val="14"/>
                <w:szCs w:val="14"/>
                <w:b w:val="1"/>
                <w:bCs w:val="1"/>
                <w:color w:val="auto"/>
                <w:w w:val="97"/>
              </w:rPr>
              <w:t>Unfunded Status of</w:t>
            </w: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54"/>
        </w:trPr>
        <w:tc>
          <w:tcPr>
            <w:tcW w:w="2960" w:type="dxa"/>
            <w:vAlign w:val="bottom"/>
          </w:tcPr>
          <w:p>
            <w:pPr>
              <w:spacing w:after="0"/>
              <w:rPr>
                <w:sz w:val="13"/>
                <w:szCs w:val="13"/>
                <w:color w:val="auto"/>
              </w:rPr>
            </w:pPr>
          </w:p>
        </w:tc>
        <w:tc>
          <w:tcPr>
            <w:tcW w:w="1740" w:type="dxa"/>
            <w:vAlign w:val="bottom"/>
            <w:gridSpan w:val="3"/>
          </w:tcPr>
          <w:p>
            <w:pPr>
              <w:jc w:val="center"/>
              <w:ind w:right="100"/>
              <w:spacing w:after="0" w:line="154" w:lineRule="exact"/>
              <w:rPr>
                <w:sz w:val="20"/>
                <w:szCs w:val="20"/>
                <w:color w:val="auto"/>
              </w:rPr>
            </w:pPr>
            <w:r>
              <w:rPr>
                <w:rFonts w:ascii="Arial" w:cs="Arial" w:eastAsia="Arial" w:hAnsi="Arial"/>
                <w:sz w:val="14"/>
                <w:szCs w:val="14"/>
                <w:b w:val="1"/>
                <w:bCs w:val="1"/>
                <w:color w:val="auto"/>
                <w:w w:val="96"/>
              </w:rPr>
              <w:t>Available for Sale, net</w:t>
            </w:r>
          </w:p>
        </w:tc>
        <w:tc>
          <w:tcPr>
            <w:tcW w:w="1720" w:type="dxa"/>
            <w:vAlign w:val="bottom"/>
            <w:gridSpan w:val="3"/>
          </w:tcPr>
          <w:p>
            <w:pPr>
              <w:jc w:val="center"/>
              <w:ind w:right="80"/>
              <w:spacing w:after="0" w:line="154" w:lineRule="exact"/>
              <w:rPr>
                <w:sz w:val="20"/>
                <w:szCs w:val="20"/>
                <w:color w:val="auto"/>
              </w:rPr>
            </w:pPr>
            <w:r>
              <w:rPr>
                <w:rFonts w:ascii="Arial" w:cs="Arial" w:eastAsia="Arial" w:hAnsi="Arial"/>
                <w:sz w:val="14"/>
                <w:szCs w:val="14"/>
                <w:b w:val="1"/>
                <w:bCs w:val="1"/>
                <w:color w:val="auto"/>
                <w:w w:val="97"/>
              </w:rPr>
              <w:t>(Losses) on Cash Flow</w:t>
            </w:r>
          </w:p>
        </w:tc>
        <w:tc>
          <w:tcPr>
            <w:tcW w:w="1700" w:type="dxa"/>
            <w:vAlign w:val="bottom"/>
            <w:gridSpan w:val="3"/>
          </w:tcPr>
          <w:p>
            <w:pPr>
              <w:jc w:val="center"/>
              <w:ind w:right="120"/>
              <w:spacing w:after="0" w:line="154" w:lineRule="exact"/>
              <w:rPr>
                <w:sz w:val="20"/>
                <w:szCs w:val="20"/>
                <w:color w:val="auto"/>
              </w:rPr>
            </w:pPr>
            <w:r>
              <w:rPr>
                <w:rFonts w:ascii="Arial" w:cs="Arial" w:eastAsia="Arial" w:hAnsi="Arial"/>
                <w:sz w:val="14"/>
                <w:szCs w:val="14"/>
                <w:b w:val="1"/>
                <w:bCs w:val="1"/>
                <w:color w:val="auto"/>
                <w:w w:val="97"/>
              </w:rPr>
              <w:t>Postretirement Benefit</w:t>
            </w:r>
          </w:p>
        </w:tc>
        <w:tc>
          <w:tcPr>
            <w:tcW w:w="240" w:type="dxa"/>
            <w:vAlign w:val="bottom"/>
          </w:tcPr>
          <w:p>
            <w:pPr>
              <w:spacing w:after="0"/>
              <w:rPr>
                <w:sz w:val="13"/>
                <w:szCs w:val="13"/>
                <w:color w:val="auto"/>
              </w:rPr>
            </w:pPr>
          </w:p>
        </w:tc>
        <w:tc>
          <w:tcPr>
            <w:tcW w:w="1440" w:type="dxa"/>
            <w:vAlign w:val="bottom"/>
            <w:gridSpan w:val="2"/>
          </w:tcPr>
          <w:p>
            <w:pPr>
              <w:jc w:val="center"/>
              <w:ind w:right="340"/>
              <w:spacing w:after="0" w:line="154" w:lineRule="exact"/>
              <w:rPr>
                <w:sz w:val="20"/>
                <w:szCs w:val="20"/>
                <w:color w:val="auto"/>
              </w:rPr>
            </w:pPr>
            <w:r>
              <w:rPr>
                <w:rFonts w:ascii="Arial" w:cs="Arial" w:eastAsia="Arial" w:hAnsi="Arial"/>
                <w:sz w:val="14"/>
                <w:szCs w:val="14"/>
                <w:b w:val="1"/>
                <w:bCs w:val="1"/>
                <w:color w:val="auto"/>
                <w:w w:val="98"/>
              </w:rPr>
              <w:t>Translation</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85"/>
        </w:trPr>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of tax</w:t>
            </w:r>
          </w:p>
        </w:tc>
        <w:tc>
          <w:tcPr>
            <w:tcW w:w="180" w:type="dxa"/>
            <w:vAlign w:val="bottom"/>
          </w:tcPr>
          <w:p>
            <w:pPr>
              <w:spacing w:after="0"/>
              <w:rPr>
                <w:sz w:val="16"/>
                <w:szCs w:val="16"/>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Hedges, net of tax</w:t>
            </w:r>
          </w:p>
        </w:tc>
        <w:tc>
          <w:tcPr>
            <w:tcW w:w="14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Plans, net of tax</w:t>
            </w:r>
          </w:p>
        </w:tc>
        <w:tc>
          <w:tcPr>
            <w:tcW w:w="24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Adjustments</w:t>
            </w:r>
          </w:p>
        </w:tc>
        <w:tc>
          <w:tcPr>
            <w:tcW w:w="380" w:type="dxa"/>
            <w:vAlign w:val="bottom"/>
          </w:tcPr>
          <w:p>
            <w:pPr>
              <w:spacing w:after="0"/>
              <w:rPr>
                <w:sz w:val="16"/>
                <w:szCs w:val="16"/>
                <w:color w:val="auto"/>
              </w:rPr>
            </w:pPr>
          </w:p>
        </w:tc>
        <w:tc>
          <w:tcPr>
            <w:tcW w:w="1220" w:type="dxa"/>
            <w:vAlign w:val="bottom"/>
          </w:tcPr>
          <w:p>
            <w:pPr>
              <w:jc w:val="right"/>
              <w:ind w:right="557"/>
              <w:spacing w:after="0"/>
              <w:rPr>
                <w:sz w:val="20"/>
                <w:szCs w:val="20"/>
                <w:color w:val="auto"/>
              </w:rPr>
            </w:pPr>
            <w:r>
              <w:rPr>
                <w:rFonts w:ascii="Arial" w:cs="Arial" w:eastAsia="Arial" w:hAnsi="Arial"/>
                <w:sz w:val="14"/>
                <w:szCs w:val="14"/>
                <w:b w:val="1"/>
                <w:bCs w:val="1"/>
                <w:color w:val="auto"/>
              </w:rPr>
              <w:t>Total</w:t>
            </w:r>
          </w:p>
        </w:tc>
      </w:tr>
      <w:tr>
        <w:trPr>
          <w:trHeight w:val="228"/>
        </w:trPr>
        <w:tc>
          <w:tcPr>
            <w:tcW w:w="29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Balance, December 31, 2015</w:t>
            </w:r>
          </w:p>
        </w:tc>
        <w:tc>
          <w:tcPr>
            <w:tcW w:w="200" w:type="dxa"/>
            <w:vAlign w:val="bottom"/>
            <w:tcBorders>
              <w:top w:val="single" w:sz="8" w:color="auto"/>
            </w:tcBorders>
          </w:tcPr>
          <w:p>
            <w:pPr>
              <w:jc w:val="right"/>
              <w:ind w:right="3"/>
              <w:spacing w:after="0"/>
              <w:rPr>
                <w:sz w:val="20"/>
                <w:szCs w:val="20"/>
                <w:color w:val="auto"/>
              </w:rPr>
            </w:pPr>
            <w:r>
              <w:rPr>
                <w:rFonts w:ascii="Arial" w:cs="Arial" w:eastAsia="Arial" w:hAnsi="Arial"/>
                <w:sz w:val="17"/>
                <w:szCs w:val="17"/>
                <w:color w:val="auto"/>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top w:val="single" w:sz="8" w:color="auto"/>
            </w:tcBorders>
          </w:tcPr>
          <w:p>
            <w:pPr>
              <w:jc w:val="right"/>
              <w:ind w:right="20"/>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(37.8)</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(195.6)</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(224.0)</w:t>
            </w:r>
          </w:p>
        </w:tc>
      </w:tr>
      <w:tr>
        <w:trPr>
          <w:trHeight w:val="231"/>
        </w:trPr>
        <w:tc>
          <w:tcPr>
            <w:tcW w:w="2960" w:type="dxa"/>
            <w:vAlign w:val="bottom"/>
          </w:tcPr>
          <w:p>
            <w:pPr>
              <w:ind w:left="260"/>
              <w:spacing w:after="0"/>
              <w:rPr>
                <w:sz w:val="20"/>
                <w:szCs w:val="20"/>
                <w:color w:val="auto"/>
              </w:rPr>
            </w:pPr>
            <w:r>
              <w:rPr>
                <w:rFonts w:ascii="Arial" w:cs="Arial" w:eastAsia="Arial" w:hAnsi="Arial"/>
                <w:sz w:val="17"/>
                <w:szCs w:val="17"/>
                <w:color w:val="auto"/>
              </w:rPr>
              <w:t>Other comprehensive income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04"/>
        </w:trPr>
        <w:tc>
          <w:tcPr>
            <w:tcW w:w="2960" w:type="dxa"/>
            <w:vAlign w:val="bottom"/>
          </w:tcPr>
          <w:p>
            <w:pPr>
              <w:ind w:left="260"/>
              <w:spacing w:after="0"/>
              <w:rPr>
                <w:sz w:val="20"/>
                <w:szCs w:val="20"/>
                <w:color w:val="auto"/>
              </w:rPr>
            </w:pPr>
            <w:r>
              <w:rPr>
                <w:rFonts w:ascii="Arial" w:cs="Arial" w:eastAsia="Arial" w:hAnsi="Arial"/>
                <w:sz w:val="17"/>
                <w:szCs w:val="17"/>
                <w:color w:val="auto"/>
              </w:rPr>
              <w:t>(loss) before reclassifications</w:t>
            </w: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ind w:right="20"/>
              <w:spacing w:after="0"/>
              <w:rPr>
                <w:sz w:val="20"/>
                <w:szCs w:val="20"/>
                <w:color w:val="auto"/>
              </w:rPr>
            </w:pPr>
            <w:r>
              <w:rPr>
                <w:rFonts w:ascii="Arial" w:cs="Arial" w:eastAsia="Arial" w:hAnsi="Arial"/>
                <w:sz w:val="17"/>
                <w:szCs w:val="17"/>
                <w:color w:val="auto"/>
              </w:rPr>
              <w:t>51.6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ind w:right="40"/>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(138.6)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(92.5)</w:t>
            </w:r>
          </w:p>
        </w:tc>
      </w:tr>
      <w:tr>
        <w:trPr>
          <w:trHeight w:val="231"/>
        </w:trPr>
        <w:tc>
          <w:tcPr>
            <w:tcW w:w="2960" w:type="dxa"/>
            <w:vAlign w:val="bottom"/>
          </w:tcPr>
          <w:p>
            <w:pPr>
              <w:ind w:left="260"/>
              <w:spacing w:after="0"/>
              <w:rPr>
                <w:sz w:val="20"/>
                <w:szCs w:val="20"/>
                <w:color w:val="auto"/>
              </w:rPr>
            </w:pPr>
            <w:r>
              <w:rPr>
                <w:rFonts w:ascii="Arial" w:cs="Arial" w:eastAsia="Arial" w:hAnsi="Arial"/>
                <w:sz w:val="17"/>
                <w:szCs w:val="17"/>
                <w:color w:val="auto"/>
              </w:rPr>
              <w:t>Amounts reclassified from</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92"/>
        </w:trPr>
        <w:tc>
          <w:tcPr>
            <w:tcW w:w="2960" w:type="dxa"/>
            <w:vAlign w:val="bottom"/>
          </w:tcPr>
          <w:p>
            <w:pPr>
              <w:ind w:left="260"/>
              <w:spacing w:after="0" w:line="192" w:lineRule="exact"/>
              <w:rPr>
                <w:sz w:val="20"/>
                <w:szCs w:val="20"/>
                <w:color w:val="auto"/>
              </w:rPr>
            </w:pPr>
            <w:r>
              <w:rPr>
                <w:rFonts w:ascii="Arial" w:cs="Arial" w:eastAsia="Arial" w:hAnsi="Arial"/>
                <w:sz w:val="17"/>
                <w:szCs w:val="17"/>
                <w:color w:val="auto"/>
              </w:rPr>
              <w:t>accumulated other comprehensive</w:t>
            </w: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1"/>
        </w:trPr>
        <w:tc>
          <w:tcPr>
            <w:tcW w:w="2960" w:type="dxa"/>
            <w:vAlign w:val="bottom"/>
          </w:tcPr>
          <w:p>
            <w:pPr>
              <w:ind w:left="260"/>
              <w:spacing w:after="0"/>
              <w:rPr>
                <w:sz w:val="20"/>
                <w:szCs w:val="20"/>
                <w:color w:val="auto"/>
              </w:rPr>
            </w:pPr>
            <w:r>
              <w:rPr>
                <w:rFonts w:ascii="Arial" w:cs="Arial" w:eastAsia="Arial" w:hAnsi="Arial"/>
                <w:sz w:val="17"/>
                <w:szCs w:val="17"/>
                <w:color w:val="auto"/>
              </w:rPr>
              <w:t>income (loss)</w:t>
            </w:r>
          </w:p>
        </w:tc>
        <w:tc>
          <w:tcPr>
            <w:tcW w:w="200" w:type="dxa"/>
            <w:vAlign w:val="bottom"/>
          </w:tcPr>
          <w:p>
            <w:pPr>
              <w:spacing w:after="0"/>
              <w:rPr>
                <w:sz w:val="18"/>
                <w:szCs w:val="18"/>
                <w:color w:val="auto"/>
              </w:rPr>
            </w:pPr>
          </w:p>
        </w:tc>
        <w:tc>
          <w:tcPr>
            <w:tcW w:w="1440" w:type="dxa"/>
            <w:vAlign w:val="bottom"/>
          </w:tcPr>
          <w:p>
            <w:pPr>
              <w:jc w:val="right"/>
              <w:ind w:right="40"/>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04"/>
        </w:trPr>
        <w:tc>
          <w:tcPr>
            <w:tcW w:w="2960" w:type="dxa"/>
            <w:vAlign w:val="bottom"/>
          </w:tcPr>
          <w:p>
            <w:pPr>
              <w:ind w:left="140"/>
              <w:spacing w:after="0"/>
              <w:rPr>
                <w:sz w:val="20"/>
                <w:szCs w:val="20"/>
                <w:color w:val="auto"/>
              </w:rPr>
            </w:pPr>
            <w:r>
              <w:rPr>
                <w:rFonts w:ascii="Arial" w:cs="Arial" w:eastAsia="Arial" w:hAnsi="Arial"/>
                <w:sz w:val="17"/>
                <w:szCs w:val="17"/>
                <w:color w:val="auto"/>
              </w:rPr>
              <w:t>Net current period other</w:t>
            </w:r>
          </w:p>
        </w:tc>
        <w:tc>
          <w:tcPr>
            <w:tcW w:w="2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212"/>
        </w:trPr>
        <w:tc>
          <w:tcPr>
            <w:tcW w:w="2960" w:type="dxa"/>
            <w:vAlign w:val="bottom"/>
          </w:tcPr>
          <w:p>
            <w:pPr>
              <w:ind w:left="140"/>
              <w:spacing w:after="0"/>
              <w:rPr>
                <w:sz w:val="20"/>
                <w:szCs w:val="20"/>
                <w:color w:val="auto"/>
              </w:rPr>
            </w:pPr>
            <w:r>
              <w:rPr>
                <w:rFonts w:ascii="Arial" w:cs="Arial" w:eastAsia="Arial" w:hAnsi="Arial"/>
                <w:sz w:val="17"/>
                <w:szCs w:val="17"/>
                <w:color w:val="auto"/>
              </w:rPr>
              <w:t>comprehensive income (loss)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47.6</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(138.6)</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(95.9)</w:t>
            </w:r>
          </w:p>
        </w:tc>
      </w:tr>
      <w:tr>
        <w:trPr>
          <w:trHeight w:val="243"/>
        </w:trPr>
        <w:tc>
          <w:tcPr>
            <w:tcW w:w="2960" w:type="dxa"/>
            <w:vAlign w:val="bottom"/>
          </w:tcPr>
          <w:p>
            <w:pPr>
              <w:ind w:left="20"/>
              <w:spacing w:after="0"/>
              <w:rPr>
                <w:sz w:val="20"/>
                <w:szCs w:val="20"/>
                <w:color w:val="auto"/>
              </w:rPr>
            </w:pPr>
            <w:r>
              <w:rPr>
                <w:rFonts w:ascii="Arial" w:cs="Arial" w:eastAsia="Arial" w:hAnsi="Arial"/>
                <w:sz w:val="17"/>
                <w:szCs w:val="17"/>
                <w:color w:val="auto"/>
              </w:rPr>
              <w:t>Balance, December 31, 2016</w:t>
            </w:r>
          </w:p>
        </w:tc>
        <w:tc>
          <w:tcPr>
            <w:tcW w:w="20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57.8</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(32.7)</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(334.2)</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(319.9)</w:t>
            </w:r>
          </w:p>
        </w:tc>
      </w:tr>
      <w:tr>
        <w:trPr>
          <w:trHeight w:val="20"/>
        </w:trPr>
        <w:tc>
          <w:tcPr>
            <w:tcW w:w="2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75"/>
        </w:trPr>
        <w:tc>
          <w:tcPr>
            <w:tcW w:w="2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Unrealized Gains</w:t>
            </w: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154"/>
        </w:trPr>
        <w:tc>
          <w:tcPr>
            <w:tcW w:w="2960" w:type="dxa"/>
            <w:vAlign w:val="bottom"/>
          </w:tcPr>
          <w:p>
            <w:pPr>
              <w:spacing w:after="0"/>
              <w:rPr>
                <w:sz w:val="13"/>
                <w:szCs w:val="13"/>
                <w:color w:val="auto"/>
              </w:rPr>
            </w:pPr>
          </w:p>
        </w:tc>
        <w:tc>
          <w:tcPr>
            <w:tcW w:w="1740" w:type="dxa"/>
            <w:vAlign w:val="bottom"/>
            <w:gridSpan w:val="3"/>
          </w:tcPr>
          <w:p>
            <w:pPr>
              <w:jc w:val="center"/>
              <w:ind w:right="100"/>
              <w:spacing w:after="0" w:line="154" w:lineRule="exact"/>
              <w:rPr>
                <w:sz w:val="20"/>
                <w:szCs w:val="20"/>
                <w:color w:val="auto"/>
              </w:rPr>
            </w:pPr>
            <w:r>
              <w:rPr>
                <w:rFonts w:ascii="Arial" w:cs="Arial" w:eastAsia="Arial" w:hAnsi="Arial"/>
                <w:sz w:val="14"/>
                <w:szCs w:val="14"/>
                <w:b w:val="1"/>
                <w:bCs w:val="1"/>
                <w:color w:val="auto"/>
                <w:w w:val="96"/>
              </w:rPr>
              <w:t>(Losses) on Securities</w:t>
            </w:r>
          </w:p>
        </w:tc>
        <w:tc>
          <w:tcPr>
            <w:tcW w:w="180" w:type="dxa"/>
            <w:vAlign w:val="bottom"/>
          </w:tcPr>
          <w:p>
            <w:pPr>
              <w:spacing w:after="0"/>
              <w:rPr>
                <w:sz w:val="13"/>
                <w:szCs w:val="13"/>
                <w:color w:val="auto"/>
              </w:rPr>
            </w:pPr>
          </w:p>
        </w:tc>
        <w:tc>
          <w:tcPr>
            <w:tcW w:w="1540" w:type="dxa"/>
            <w:vAlign w:val="bottom"/>
            <w:gridSpan w:val="2"/>
          </w:tcPr>
          <w:p>
            <w:pPr>
              <w:jc w:val="center"/>
              <w:ind w:right="280"/>
              <w:spacing w:after="0" w:line="154" w:lineRule="exact"/>
              <w:rPr>
                <w:sz w:val="20"/>
                <w:szCs w:val="20"/>
                <w:color w:val="auto"/>
              </w:rPr>
            </w:pPr>
            <w:r>
              <w:rPr>
                <w:rFonts w:ascii="Arial" w:cs="Arial" w:eastAsia="Arial" w:hAnsi="Arial"/>
                <w:sz w:val="14"/>
                <w:szCs w:val="14"/>
                <w:b w:val="1"/>
                <w:bCs w:val="1"/>
                <w:color w:val="auto"/>
                <w:w w:val="96"/>
              </w:rPr>
              <w:t>Unrealized Gains</w:t>
            </w:r>
          </w:p>
        </w:tc>
        <w:tc>
          <w:tcPr>
            <w:tcW w:w="140" w:type="dxa"/>
            <w:vAlign w:val="bottom"/>
          </w:tcPr>
          <w:p>
            <w:pPr>
              <w:spacing w:after="0"/>
              <w:rPr>
                <w:sz w:val="13"/>
                <w:szCs w:val="13"/>
                <w:color w:val="auto"/>
              </w:rPr>
            </w:pPr>
          </w:p>
        </w:tc>
        <w:tc>
          <w:tcPr>
            <w:tcW w:w="1560" w:type="dxa"/>
            <w:vAlign w:val="bottom"/>
            <w:gridSpan w:val="2"/>
          </w:tcPr>
          <w:p>
            <w:pPr>
              <w:jc w:val="center"/>
              <w:ind w:right="260"/>
              <w:spacing w:after="0" w:line="154" w:lineRule="exact"/>
              <w:rPr>
                <w:sz w:val="20"/>
                <w:szCs w:val="20"/>
                <w:color w:val="auto"/>
              </w:rPr>
            </w:pPr>
            <w:r>
              <w:rPr>
                <w:rFonts w:ascii="Arial" w:cs="Arial" w:eastAsia="Arial" w:hAnsi="Arial"/>
                <w:sz w:val="14"/>
                <w:szCs w:val="14"/>
                <w:b w:val="1"/>
                <w:bCs w:val="1"/>
                <w:color w:val="auto"/>
                <w:w w:val="97"/>
              </w:rPr>
              <w:t>Unfunded Status of</w:t>
            </w: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54"/>
        </w:trPr>
        <w:tc>
          <w:tcPr>
            <w:tcW w:w="2960" w:type="dxa"/>
            <w:vAlign w:val="bottom"/>
          </w:tcPr>
          <w:p>
            <w:pPr>
              <w:spacing w:after="0"/>
              <w:rPr>
                <w:sz w:val="13"/>
                <w:szCs w:val="13"/>
                <w:color w:val="auto"/>
              </w:rPr>
            </w:pPr>
          </w:p>
        </w:tc>
        <w:tc>
          <w:tcPr>
            <w:tcW w:w="1740" w:type="dxa"/>
            <w:vAlign w:val="bottom"/>
            <w:gridSpan w:val="3"/>
          </w:tcPr>
          <w:p>
            <w:pPr>
              <w:jc w:val="center"/>
              <w:ind w:right="100"/>
              <w:spacing w:after="0" w:line="154" w:lineRule="exact"/>
              <w:rPr>
                <w:sz w:val="20"/>
                <w:szCs w:val="20"/>
                <w:color w:val="auto"/>
              </w:rPr>
            </w:pPr>
            <w:r>
              <w:rPr>
                <w:rFonts w:ascii="Arial" w:cs="Arial" w:eastAsia="Arial" w:hAnsi="Arial"/>
                <w:sz w:val="14"/>
                <w:szCs w:val="14"/>
                <w:b w:val="1"/>
                <w:bCs w:val="1"/>
                <w:color w:val="auto"/>
                <w:w w:val="96"/>
              </w:rPr>
              <w:t>Available for Sale, net</w:t>
            </w:r>
          </w:p>
        </w:tc>
        <w:tc>
          <w:tcPr>
            <w:tcW w:w="1720" w:type="dxa"/>
            <w:vAlign w:val="bottom"/>
            <w:gridSpan w:val="3"/>
          </w:tcPr>
          <w:p>
            <w:pPr>
              <w:jc w:val="center"/>
              <w:ind w:right="80"/>
              <w:spacing w:after="0" w:line="154" w:lineRule="exact"/>
              <w:rPr>
                <w:sz w:val="20"/>
                <w:szCs w:val="20"/>
                <w:color w:val="auto"/>
              </w:rPr>
            </w:pPr>
            <w:r>
              <w:rPr>
                <w:rFonts w:ascii="Arial" w:cs="Arial" w:eastAsia="Arial" w:hAnsi="Arial"/>
                <w:sz w:val="14"/>
                <w:szCs w:val="14"/>
                <w:b w:val="1"/>
                <w:bCs w:val="1"/>
                <w:color w:val="auto"/>
                <w:w w:val="97"/>
              </w:rPr>
              <w:t>(Losses) on Cash Flow</w:t>
            </w:r>
          </w:p>
        </w:tc>
        <w:tc>
          <w:tcPr>
            <w:tcW w:w="1700" w:type="dxa"/>
            <w:vAlign w:val="bottom"/>
            <w:gridSpan w:val="3"/>
          </w:tcPr>
          <w:p>
            <w:pPr>
              <w:jc w:val="center"/>
              <w:ind w:right="120"/>
              <w:spacing w:after="0" w:line="154" w:lineRule="exact"/>
              <w:rPr>
                <w:sz w:val="20"/>
                <w:szCs w:val="20"/>
                <w:color w:val="auto"/>
              </w:rPr>
            </w:pPr>
            <w:r>
              <w:rPr>
                <w:rFonts w:ascii="Arial" w:cs="Arial" w:eastAsia="Arial" w:hAnsi="Arial"/>
                <w:sz w:val="14"/>
                <w:szCs w:val="14"/>
                <w:b w:val="1"/>
                <w:bCs w:val="1"/>
                <w:color w:val="auto"/>
                <w:w w:val="97"/>
              </w:rPr>
              <w:t>Postretirement Benefit</w:t>
            </w:r>
          </w:p>
        </w:tc>
        <w:tc>
          <w:tcPr>
            <w:tcW w:w="240" w:type="dxa"/>
            <w:vAlign w:val="bottom"/>
          </w:tcPr>
          <w:p>
            <w:pPr>
              <w:spacing w:after="0"/>
              <w:rPr>
                <w:sz w:val="13"/>
                <w:szCs w:val="13"/>
                <w:color w:val="auto"/>
              </w:rPr>
            </w:pPr>
          </w:p>
        </w:tc>
        <w:tc>
          <w:tcPr>
            <w:tcW w:w="1440" w:type="dxa"/>
            <w:vAlign w:val="bottom"/>
            <w:gridSpan w:val="2"/>
          </w:tcPr>
          <w:p>
            <w:pPr>
              <w:jc w:val="center"/>
              <w:ind w:right="340"/>
              <w:spacing w:after="0" w:line="154" w:lineRule="exact"/>
              <w:rPr>
                <w:sz w:val="20"/>
                <w:szCs w:val="20"/>
                <w:color w:val="auto"/>
              </w:rPr>
            </w:pPr>
            <w:r>
              <w:rPr>
                <w:rFonts w:ascii="Arial" w:cs="Arial" w:eastAsia="Arial" w:hAnsi="Arial"/>
                <w:sz w:val="14"/>
                <w:szCs w:val="14"/>
                <w:b w:val="1"/>
                <w:bCs w:val="1"/>
                <w:color w:val="auto"/>
                <w:w w:val="98"/>
              </w:rPr>
              <w:t>Translation</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85"/>
        </w:trPr>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of tax</w:t>
            </w:r>
          </w:p>
        </w:tc>
        <w:tc>
          <w:tcPr>
            <w:tcW w:w="180" w:type="dxa"/>
            <w:vAlign w:val="bottom"/>
          </w:tcPr>
          <w:p>
            <w:pPr>
              <w:spacing w:after="0"/>
              <w:rPr>
                <w:sz w:val="16"/>
                <w:szCs w:val="16"/>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Hedges, net of tax</w:t>
            </w:r>
          </w:p>
        </w:tc>
        <w:tc>
          <w:tcPr>
            <w:tcW w:w="14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Plans, net of tax</w:t>
            </w:r>
          </w:p>
        </w:tc>
        <w:tc>
          <w:tcPr>
            <w:tcW w:w="24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Adjustments</w:t>
            </w:r>
          </w:p>
        </w:tc>
        <w:tc>
          <w:tcPr>
            <w:tcW w:w="380" w:type="dxa"/>
            <w:vAlign w:val="bottom"/>
          </w:tcPr>
          <w:p>
            <w:pPr>
              <w:spacing w:after="0"/>
              <w:rPr>
                <w:sz w:val="16"/>
                <w:szCs w:val="16"/>
                <w:color w:val="auto"/>
              </w:rPr>
            </w:pPr>
          </w:p>
        </w:tc>
        <w:tc>
          <w:tcPr>
            <w:tcW w:w="1220" w:type="dxa"/>
            <w:vAlign w:val="bottom"/>
          </w:tcPr>
          <w:p>
            <w:pPr>
              <w:jc w:val="right"/>
              <w:ind w:right="557"/>
              <w:spacing w:after="0"/>
              <w:rPr>
                <w:sz w:val="20"/>
                <w:szCs w:val="20"/>
                <w:color w:val="auto"/>
              </w:rPr>
            </w:pPr>
            <w:r>
              <w:rPr>
                <w:rFonts w:ascii="Arial" w:cs="Arial" w:eastAsia="Arial" w:hAnsi="Arial"/>
                <w:sz w:val="14"/>
                <w:szCs w:val="14"/>
                <w:b w:val="1"/>
                <w:bCs w:val="1"/>
                <w:color w:val="auto"/>
              </w:rPr>
              <w:t>Total</w:t>
            </w:r>
          </w:p>
        </w:tc>
      </w:tr>
      <w:tr>
        <w:trPr>
          <w:trHeight w:val="228"/>
        </w:trPr>
        <w:tc>
          <w:tcPr>
            <w:tcW w:w="29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Balance, December 31, 2014</w:t>
            </w:r>
          </w:p>
        </w:tc>
        <w:tc>
          <w:tcPr>
            <w:tcW w:w="200" w:type="dxa"/>
            <w:vAlign w:val="bottom"/>
            <w:tcBorders>
              <w:top w:val="single" w:sz="8" w:color="auto"/>
            </w:tcBorders>
          </w:tcPr>
          <w:p>
            <w:pPr>
              <w:jc w:val="right"/>
              <w:ind w:right="3"/>
              <w:spacing w:after="0"/>
              <w:rPr>
                <w:sz w:val="20"/>
                <w:szCs w:val="20"/>
                <w:color w:val="auto"/>
              </w:rPr>
            </w:pPr>
            <w:r>
              <w:rPr>
                <w:rFonts w:ascii="Arial" w:cs="Arial" w:eastAsia="Arial" w:hAnsi="Arial"/>
                <w:sz w:val="17"/>
                <w:szCs w:val="17"/>
                <w:color w:val="auto"/>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top w:val="single" w:sz="8" w:color="auto"/>
            </w:tcBorders>
          </w:tcPr>
          <w:p>
            <w:pPr>
              <w:jc w:val="right"/>
              <w:ind w:right="20"/>
              <w:spacing w:after="0"/>
              <w:rPr>
                <w:sz w:val="20"/>
                <w:szCs w:val="20"/>
                <w:color w:val="auto"/>
              </w:rPr>
            </w:pPr>
            <w:r>
              <w:rPr>
                <w:rFonts w:ascii="Arial" w:cs="Arial" w:eastAsia="Arial" w:hAnsi="Arial"/>
                <w:sz w:val="17"/>
                <w:szCs w:val="17"/>
                <w:color w:val="auto"/>
              </w:rPr>
              <w:t>71.7</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(31.6)</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(99.2)</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(59.5)</w:t>
            </w:r>
          </w:p>
        </w:tc>
      </w:tr>
      <w:tr>
        <w:trPr>
          <w:trHeight w:val="231"/>
        </w:trPr>
        <w:tc>
          <w:tcPr>
            <w:tcW w:w="2960" w:type="dxa"/>
            <w:vAlign w:val="bottom"/>
          </w:tcPr>
          <w:p>
            <w:pPr>
              <w:ind w:left="260"/>
              <w:spacing w:after="0"/>
              <w:rPr>
                <w:sz w:val="20"/>
                <w:szCs w:val="20"/>
                <w:color w:val="auto"/>
              </w:rPr>
            </w:pPr>
            <w:r>
              <w:rPr>
                <w:rFonts w:ascii="Arial" w:cs="Arial" w:eastAsia="Arial" w:hAnsi="Arial"/>
                <w:sz w:val="17"/>
                <w:szCs w:val="17"/>
                <w:color w:val="auto"/>
              </w:rPr>
              <w:t>Other comprehensive income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04"/>
        </w:trPr>
        <w:tc>
          <w:tcPr>
            <w:tcW w:w="2960" w:type="dxa"/>
            <w:vAlign w:val="bottom"/>
          </w:tcPr>
          <w:p>
            <w:pPr>
              <w:ind w:left="260"/>
              <w:spacing w:after="0"/>
              <w:rPr>
                <w:sz w:val="20"/>
                <w:szCs w:val="20"/>
                <w:color w:val="auto"/>
              </w:rPr>
            </w:pPr>
            <w:r>
              <w:rPr>
                <w:rFonts w:ascii="Arial" w:cs="Arial" w:eastAsia="Arial" w:hAnsi="Arial"/>
                <w:sz w:val="17"/>
                <w:szCs w:val="17"/>
                <w:color w:val="auto"/>
              </w:rPr>
              <w:t>(loss) before reclassifications</w:t>
            </w: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ind w:right="20"/>
              <w:spacing w:after="0"/>
              <w:rPr>
                <w:sz w:val="20"/>
                <w:szCs w:val="20"/>
                <w:color w:val="auto"/>
              </w:rPr>
            </w:pPr>
            <w:r>
              <w:rPr>
                <w:rFonts w:ascii="Arial" w:cs="Arial" w:eastAsia="Arial" w:hAnsi="Arial"/>
                <w:sz w:val="17"/>
                <w:szCs w:val="17"/>
                <w:color w:val="auto"/>
              </w:rPr>
              <w:t>110.8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(6.2)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(96.4)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6.5</w:t>
            </w:r>
          </w:p>
        </w:tc>
      </w:tr>
      <w:tr>
        <w:trPr>
          <w:trHeight w:val="231"/>
        </w:trPr>
        <w:tc>
          <w:tcPr>
            <w:tcW w:w="2960" w:type="dxa"/>
            <w:vAlign w:val="bottom"/>
          </w:tcPr>
          <w:p>
            <w:pPr>
              <w:ind w:left="260"/>
              <w:spacing w:after="0"/>
              <w:rPr>
                <w:sz w:val="20"/>
                <w:szCs w:val="20"/>
                <w:color w:val="auto"/>
              </w:rPr>
            </w:pPr>
            <w:r>
              <w:rPr>
                <w:rFonts w:ascii="Arial" w:cs="Arial" w:eastAsia="Arial" w:hAnsi="Arial"/>
                <w:sz w:val="17"/>
                <w:szCs w:val="17"/>
                <w:color w:val="auto"/>
              </w:rPr>
              <w:t>Amounts reclassified from</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92"/>
        </w:trPr>
        <w:tc>
          <w:tcPr>
            <w:tcW w:w="2960" w:type="dxa"/>
            <w:vAlign w:val="bottom"/>
          </w:tcPr>
          <w:p>
            <w:pPr>
              <w:ind w:left="260"/>
              <w:spacing w:after="0" w:line="192" w:lineRule="exact"/>
              <w:rPr>
                <w:sz w:val="20"/>
                <w:szCs w:val="20"/>
                <w:color w:val="auto"/>
              </w:rPr>
            </w:pPr>
            <w:r>
              <w:rPr>
                <w:rFonts w:ascii="Arial" w:cs="Arial" w:eastAsia="Arial" w:hAnsi="Arial"/>
                <w:sz w:val="17"/>
                <w:szCs w:val="17"/>
                <w:color w:val="auto"/>
              </w:rPr>
              <w:t>accumulated other comprehensive</w:t>
            </w: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1"/>
        </w:trPr>
        <w:tc>
          <w:tcPr>
            <w:tcW w:w="2960" w:type="dxa"/>
            <w:vAlign w:val="bottom"/>
          </w:tcPr>
          <w:p>
            <w:pPr>
              <w:ind w:left="260"/>
              <w:spacing w:after="0"/>
              <w:rPr>
                <w:sz w:val="20"/>
                <w:szCs w:val="20"/>
                <w:color w:val="auto"/>
              </w:rPr>
            </w:pPr>
            <w:r>
              <w:rPr>
                <w:rFonts w:ascii="Arial" w:cs="Arial" w:eastAsia="Arial" w:hAnsi="Arial"/>
                <w:sz w:val="17"/>
                <w:szCs w:val="17"/>
                <w:color w:val="auto"/>
              </w:rPr>
              <w:t>income (loss)</w:t>
            </w:r>
          </w:p>
        </w:tc>
        <w:tc>
          <w:tcPr>
            <w:tcW w:w="200" w:type="dxa"/>
            <w:vAlign w:val="bottom"/>
          </w:tcPr>
          <w:p>
            <w:pPr>
              <w:spacing w:after="0"/>
              <w:rPr>
                <w:sz w:val="18"/>
                <w:szCs w:val="18"/>
                <w:color w:val="auto"/>
              </w:rPr>
            </w:pPr>
          </w:p>
        </w:tc>
        <w:tc>
          <w:tcPr>
            <w:tcW w:w="1440" w:type="dxa"/>
            <w:vAlign w:val="bottom"/>
          </w:tcPr>
          <w:p>
            <w:pPr>
              <w:jc w:val="right"/>
              <w:ind w:right="40"/>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(172.3)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(171.0)</w:t>
            </w:r>
          </w:p>
        </w:tc>
      </w:tr>
      <w:tr>
        <w:trPr>
          <w:trHeight w:val="204"/>
        </w:trPr>
        <w:tc>
          <w:tcPr>
            <w:tcW w:w="2960" w:type="dxa"/>
            <w:vAlign w:val="bottom"/>
          </w:tcPr>
          <w:p>
            <w:pPr>
              <w:ind w:left="140"/>
              <w:spacing w:after="0"/>
              <w:rPr>
                <w:sz w:val="20"/>
                <w:szCs w:val="20"/>
                <w:color w:val="auto"/>
              </w:rPr>
            </w:pPr>
            <w:r>
              <w:rPr>
                <w:rFonts w:ascii="Arial" w:cs="Arial" w:eastAsia="Arial" w:hAnsi="Arial"/>
                <w:sz w:val="17"/>
                <w:szCs w:val="17"/>
                <w:color w:val="auto"/>
              </w:rPr>
              <w:t>Net current period other</w:t>
            </w:r>
          </w:p>
        </w:tc>
        <w:tc>
          <w:tcPr>
            <w:tcW w:w="2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212"/>
        </w:trPr>
        <w:tc>
          <w:tcPr>
            <w:tcW w:w="2960" w:type="dxa"/>
            <w:vAlign w:val="bottom"/>
          </w:tcPr>
          <w:p>
            <w:pPr>
              <w:ind w:left="140"/>
              <w:spacing w:after="0"/>
              <w:rPr>
                <w:sz w:val="20"/>
                <w:szCs w:val="20"/>
                <w:color w:val="auto"/>
              </w:rPr>
            </w:pPr>
            <w:r>
              <w:rPr>
                <w:rFonts w:ascii="Arial" w:cs="Arial" w:eastAsia="Arial" w:hAnsi="Arial"/>
                <w:sz w:val="17"/>
                <w:szCs w:val="17"/>
                <w:color w:val="auto"/>
              </w:rPr>
              <w:t>comprehensive income (loss)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(96.4)</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(164.5)</w:t>
            </w:r>
          </w:p>
        </w:tc>
      </w:tr>
      <w:tr>
        <w:trPr>
          <w:trHeight w:val="243"/>
        </w:trPr>
        <w:tc>
          <w:tcPr>
            <w:tcW w:w="2960" w:type="dxa"/>
            <w:vAlign w:val="bottom"/>
          </w:tcPr>
          <w:p>
            <w:pPr>
              <w:ind w:left="20"/>
              <w:spacing w:after="0"/>
              <w:rPr>
                <w:sz w:val="20"/>
                <w:szCs w:val="20"/>
                <w:color w:val="auto"/>
              </w:rPr>
            </w:pPr>
            <w:r>
              <w:rPr>
                <w:rFonts w:ascii="Arial" w:cs="Arial" w:eastAsia="Arial" w:hAnsi="Arial"/>
                <w:sz w:val="17"/>
                <w:szCs w:val="17"/>
                <w:color w:val="auto"/>
              </w:rPr>
              <w:t>Balance, December 31, 2015</w:t>
            </w:r>
          </w:p>
        </w:tc>
        <w:tc>
          <w:tcPr>
            <w:tcW w:w="20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(37.8)</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(195.6)</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(224.0)</w:t>
            </w:r>
          </w:p>
        </w:tc>
      </w:tr>
      <w:tr>
        <w:trPr>
          <w:trHeight w:val="20"/>
        </w:trPr>
        <w:tc>
          <w:tcPr>
            <w:tcW w:w="2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the amounts reclassified from accumulated other comprehensive income:</w:t>
      </w:r>
    </w:p>
    <w:p>
      <w:pPr>
        <w:spacing w:after="0" w:line="152" w:lineRule="exact"/>
        <w:rPr>
          <w:sz w:val="20"/>
          <w:szCs w:val="20"/>
          <w:color w:val="auto"/>
        </w:rPr>
      </w:pPr>
    </w:p>
    <w:p>
      <w:pPr>
        <w:jc w:val="center"/>
        <w:ind w:left="6100"/>
        <w:spacing w:after="0"/>
        <w:rPr>
          <w:sz w:val="20"/>
          <w:szCs w:val="20"/>
          <w:color w:val="auto"/>
        </w:rPr>
      </w:pPr>
      <w:r>
        <w:rPr>
          <w:rFonts w:ascii="Arial" w:cs="Arial" w:eastAsia="Arial" w:hAnsi="Arial"/>
          <w:sz w:val="14"/>
          <w:szCs w:val="14"/>
          <w:b w:val="1"/>
          <w:bCs w:val="1"/>
          <w:color w:val="auto"/>
        </w:rPr>
        <w:t>Amounts Reclassified from</w:t>
      </w:r>
    </w:p>
    <w:p>
      <w:pPr>
        <w:spacing w:after="0" w:line="9" w:lineRule="exact"/>
        <w:rPr>
          <w:sz w:val="20"/>
          <w:szCs w:val="20"/>
          <w:color w:val="auto"/>
        </w:rPr>
      </w:pPr>
    </w:p>
    <w:p>
      <w:pPr>
        <w:jc w:val="center"/>
        <w:ind w:left="6100"/>
        <w:spacing w:after="0"/>
        <w:rPr>
          <w:sz w:val="20"/>
          <w:szCs w:val="20"/>
          <w:color w:val="auto"/>
        </w:rPr>
      </w:pPr>
      <w:r>
        <w:rPr>
          <w:rFonts w:ascii="Arial" w:cs="Arial" w:eastAsia="Arial" w:hAnsi="Arial"/>
          <w:sz w:val="14"/>
          <w:szCs w:val="14"/>
          <w:b w:val="1"/>
          <w:bCs w:val="1"/>
          <w:color w:val="auto"/>
        </w:rPr>
        <w:t>Accumulated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3856355</wp:posOffset>
            </wp:positionH>
            <wp:positionV relativeFrom="paragraph">
              <wp:posOffset>8890</wp:posOffset>
            </wp:positionV>
            <wp:extent cx="33991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7">
                      <a:extLst>
                        <a:ext uri="{28A0092B-C50C-407E-A947-70E740481C1C}"/>
                      </a:extLst>
                    </a:blip>
                    <a:srcRect/>
                    <a:stretch>
                      <a:fillRect/>
                    </a:stretch>
                  </pic:blipFill>
                  <pic:spPr bwMode="auto">
                    <a:xfrm>
                      <a:off x="0" y="0"/>
                      <a:ext cx="3399155" cy="8255"/>
                    </a:xfrm>
                    <a:prstGeom prst="rect">
                      <a:avLst/>
                    </a:prstGeom>
                    <a:noFill/>
                  </pic:spPr>
                </pic:pic>
              </a:graphicData>
            </a:graphic>
          </wp:anchor>
        </w:drawing>
      </w:r>
    </w:p>
    <w:p>
      <w:pPr>
        <w:spacing w:after="0" w:line="21" w:lineRule="exact"/>
        <w:rPr>
          <w:sz w:val="20"/>
          <w:szCs w:val="20"/>
          <w:color w:val="auto"/>
        </w:rPr>
      </w:pPr>
    </w:p>
    <w:p>
      <w:pPr>
        <w:ind w:left="7640"/>
        <w:spacing w:after="0"/>
        <w:rPr>
          <w:sz w:val="20"/>
          <w:szCs w:val="20"/>
          <w:color w:val="auto"/>
        </w:rPr>
      </w:pPr>
      <w:r>
        <w:rPr>
          <w:rFonts w:ascii="Arial" w:cs="Arial" w:eastAsia="Arial" w:hAnsi="Arial"/>
          <w:sz w:val="14"/>
          <w:szCs w:val="14"/>
          <w:b w:val="1"/>
          <w:bCs w:val="1"/>
          <w:color w:val="auto"/>
        </w:rPr>
        <w:t>For the Years Ended December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3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Income Statement Location</w:t>
            </w:r>
          </w:p>
        </w:tc>
        <w:tc>
          <w:tcPr>
            <w:tcW w:w="600" w:type="dxa"/>
            <w:vAlign w:val="bottom"/>
            <w:tcBorders>
              <w:bottom w:val="single" w:sz="8" w:color="auto"/>
            </w:tcBorders>
          </w:tcPr>
          <w:p>
            <w:pPr>
              <w:spacing w:after="0"/>
              <w:rPr>
                <w:sz w:val="22"/>
                <w:szCs w:val="22"/>
                <w:color w:val="auto"/>
              </w:rPr>
            </w:pPr>
          </w:p>
        </w:tc>
        <w:tc>
          <w:tcPr>
            <w:tcW w:w="420" w:type="dxa"/>
            <w:vAlign w:val="bottom"/>
            <w:tcBorders>
              <w:top w:val="single" w:sz="8" w:color="auto"/>
              <w:bottom w:val="single" w:sz="8" w:color="auto"/>
            </w:tcBorders>
            <w:shd w:val="clear" w:color="auto" w:fill="DDDDDD"/>
          </w:tcPr>
          <w:p>
            <w:pPr>
              <w:spacing w:after="0"/>
              <w:rPr>
                <w:sz w:val="22"/>
                <w:szCs w:val="22"/>
                <w:color w:val="auto"/>
              </w:rPr>
            </w:pPr>
          </w:p>
        </w:tc>
        <w:tc>
          <w:tcPr>
            <w:tcW w:w="1200" w:type="dxa"/>
            <w:vAlign w:val="bottom"/>
            <w:tcBorders>
              <w:top w:val="single" w:sz="8" w:color="auto"/>
              <w:bottom w:val="single" w:sz="8" w:color="auto"/>
            </w:tcBorders>
            <w:shd w:val="clear" w:color="auto" w:fill="DDDDDD"/>
          </w:tcPr>
          <w:p>
            <w:pPr>
              <w:jc w:val="right"/>
              <w:ind w:right="517"/>
              <w:spacing w:after="0"/>
              <w:rPr>
                <w:sz w:val="20"/>
                <w:szCs w:val="20"/>
                <w:color w:val="auto"/>
              </w:rPr>
            </w:pPr>
            <w:r>
              <w:rPr>
                <w:rFonts w:ascii="Arial" w:cs="Arial" w:eastAsia="Arial" w:hAnsi="Arial"/>
                <w:sz w:val="14"/>
                <w:szCs w:val="14"/>
                <w:b w:val="1"/>
                <w:bCs w:val="1"/>
                <w:color w:val="2573BA"/>
              </w:rPr>
              <w:t>2017</w:t>
            </w:r>
          </w:p>
        </w:tc>
        <w:tc>
          <w:tcPr>
            <w:tcW w:w="120" w:type="dxa"/>
            <w:vAlign w:val="bottom"/>
            <w:tcBorders>
              <w:top w:val="single" w:sz="8" w:color="auto"/>
              <w:bottom w:val="single" w:sz="8" w:color="auto"/>
            </w:tcBorders>
            <w:shd w:val="clear" w:color="auto" w:fill="DDDDDD"/>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2015</w:t>
            </w:r>
          </w:p>
        </w:tc>
      </w:tr>
      <w:tr>
        <w:trPr>
          <w:trHeight w:val="215"/>
        </w:trPr>
        <w:tc>
          <w:tcPr>
            <w:tcW w:w="3160" w:type="dxa"/>
            <w:vAlign w:val="bottom"/>
          </w:tcPr>
          <w:p>
            <w:pPr>
              <w:ind w:left="20"/>
              <w:spacing w:after="0"/>
              <w:rPr>
                <w:sz w:val="20"/>
                <w:szCs w:val="20"/>
                <w:color w:val="auto"/>
              </w:rPr>
            </w:pPr>
            <w:r>
              <w:rPr>
                <w:rFonts w:ascii="Arial" w:cs="Arial" w:eastAsia="Arial" w:hAnsi="Arial"/>
                <w:sz w:val="17"/>
                <w:szCs w:val="17"/>
                <w:color w:val="auto"/>
              </w:rPr>
              <w:t>Gains (losses) on securities available for</w:t>
            </w:r>
          </w:p>
        </w:tc>
        <w:tc>
          <w:tcPr>
            <w:tcW w:w="2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shd w:val="clear" w:color="auto" w:fill="DDDDDD"/>
          </w:tcPr>
          <w:p>
            <w:pPr>
              <w:spacing w:after="0"/>
              <w:rPr>
                <w:sz w:val="18"/>
                <w:szCs w:val="18"/>
                <w:color w:val="auto"/>
              </w:rPr>
            </w:pPr>
          </w:p>
        </w:tc>
        <w:tc>
          <w:tcPr>
            <w:tcW w:w="12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3160" w:type="dxa"/>
            <w:vAlign w:val="bottom"/>
          </w:tcPr>
          <w:p>
            <w:pPr>
              <w:ind w:left="20"/>
              <w:spacing w:after="0"/>
              <w:rPr>
                <w:sz w:val="20"/>
                <w:szCs w:val="20"/>
                <w:color w:val="auto"/>
              </w:rPr>
            </w:pPr>
            <w:r>
              <w:rPr>
                <w:rFonts w:ascii="Arial" w:cs="Arial" w:eastAsia="Arial" w:hAnsi="Arial"/>
                <w:sz w:val="17"/>
                <w:szCs w:val="17"/>
                <w:color w:val="auto"/>
              </w:rPr>
              <w:t>sale</w:t>
            </w:r>
          </w:p>
        </w:tc>
        <w:tc>
          <w:tcPr>
            <w:tcW w:w="2320" w:type="dxa"/>
            <w:vAlign w:val="bottom"/>
          </w:tcPr>
          <w:p>
            <w:pPr>
              <w:ind w:left="60"/>
              <w:spacing w:after="0"/>
              <w:rPr>
                <w:sz w:val="20"/>
                <w:szCs w:val="20"/>
                <w:color w:val="auto"/>
              </w:rPr>
            </w:pPr>
            <w:r>
              <w:rPr>
                <w:rFonts w:ascii="Arial" w:cs="Arial" w:eastAsia="Arial" w:hAnsi="Arial"/>
                <w:sz w:val="17"/>
                <w:szCs w:val="17"/>
                <w:color w:val="auto"/>
              </w:rPr>
              <w:t>Other income (expense)</w:t>
            </w:r>
          </w:p>
        </w:tc>
        <w:tc>
          <w:tcPr>
            <w:tcW w:w="600" w:type="dxa"/>
            <w:vAlign w:val="bottom"/>
          </w:tcPr>
          <w:p>
            <w:pPr>
              <w:spacing w:after="0"/>
              <w:rPr>
                <w:sz w:val="19"/>
                <w:szCs w:val="19"/>
                <w:color w:val="auto"/>
              </w:rPr>
            </w:pPr>
          </w:p>
        </w:tc>
        <w:tc>
          <w:tcPr>
            <w:tcW w:w="420" w:type="dxa"/>
            <w:vAlign w:val="bottom"/>
            <w:shd w:val="clear" w:color="auto" w:fill="DDDDDD"/>
          </w:tcPr>
          <w:p>
            <w:pPr>
              <w:jc w:val="right"/>
              <w:ind w:right="215"/>
              <w:spacing w:after="0"/>
              <w:rPr>
                <w:sz w:val="20"/>
                <w:szCs w:val="20"/>
                <w:color w:val="auto"/>
              </w:rPr>
            </w:pPr>
            <w:r>
              <w:rPr>
                <w:rFonts w:ascii="Arial" w:cs="Arial" w:eastAsia="Arial" w:hAnsi="Arial"/>
                <w:sz w:val="17"/>
                <w:szCs w:val="17"/>
                <w:color w:val="2573BA"/>
              </w:rPr>
              <w:t>$</w:t>
            </w:r>
          </w:p>
        </w:tc>
        <w:tc>
          <w:tcPr>
            <w:tcW w:w="1320" w:type="dxa"/>
            <w:vAlign w:val="bottom"/>
            <w:gridSpan w:val="2"/>
            <w:shd w:val="clear" w:color="auto" w:fill="DDDDDD"/>
          </w:tcPr>
          <w:p>
            <w:pPr>
              <w:jc w:val="right"/>
              <w:ind w:right="60"/>
              <w:spacing w:after="0"/>
              <w:rPr>
                <w:sz w:val="20"/>
                <w:szCs w:val="20"/>
                <w:color w:val="auto"/>
              </w:rPr>
            </w:pPr>
            <w:r>
              <w:rPr>
                <w:rFonts w:ascii="Arial" w:cs="Arial" w:eastAsia="Arial" w:hAnsi="Arial"/>
                <w:sz w:val="17"/>
                <w:szCs w:val="17"/>
                <w:color w:val="2573BA"/>
              </w:rPr>
              <w:t>(19.5)</w:t>
            </w:r>
          </w:p>
        </w:tc>
        <w:tc>
          <w:tcPr>
            <w:tcW w:w="500" w:type="dxa"/>
            <w:vAlign w:val="bottom"/>
            <w:gridSpan w:val="2"/>
          </w:tcPr>
          <w:p>
            <w:pPr>
              <w:jc w:val="right"/>
              <w:ind w:right="195"/>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(0.9)</w:t>
            </w:r>
          </w:p>
        </w:tc>
        <w:tc>
          <w:tcPr>
            <w:tcW w:w="100" w:type="dxa"/>
            <w:vAlign w:val="bottom"/>
          </w:tcPr>
          <w:p>
            <w:pPr>
              <w:spacing w:after="0"/>
              <w:rPr>
                <w:sz w:val="19"/>
                <w:szCs w:val="19"/>
                <w:color w:val="auto"/>
              </w:rPr>
            </w:pP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49"/>
        </w:trPr>
        <w:tc>
          <w:tcPr>
            <w:tcW w:w="3160" w:type="dxa"/>
            <w:vAlign w:val="bottom"/>
          </w:tcPr>
          <w:p>
            <w:pPr>
              <w:spacing w:after="0"/>
              <w:rPr>
                <w:sz w:val="21"/>
                <w:szCs w:val="21"/>
                <w:color w:val="auto"/>
              </w:rPr>
            </w:pPr>
          </w:p>
        </w:tc>
        <w:tc>
          <w:tcPr>
            <w:tcW w:w="2320" w:type="dxa"/>
            <w:vAlign w:val="bottom"/>
          </w:tcPr>
          <w:p>
            <w:pPr>
              <w:ind w:left="60"/>
              <w:spacing w:after="0"/>
              <w:rPr>
                <w:sz w:val="20"/>
                <w:szCs w:val="20"/>
                <w:color w:val="auto"/>
              </w:rPr>
            </w:pPr>
            <w:r>
              <w:rPr>
                <w:rFonts w:ascii="Arial" w:cs="Arial" w:eastAsia="Arial" w:hAnsi="Arial"/>
                <w:sz w:val="17"/>
                <w:szCs w:val="17"/>
                <w:color w:val="auto"/>
              </w:rPr>
              <w:t>Income tax benefit (expense)</w:t>
            </w: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2573BA"/>
              </w:rPr>
              <w:t>6.8</w:t>
            </w:r>
          </w:p>
        </w:tc>
        <w:tc>
          <w:tcPr>
            <w:tcW w:w="120" w:type="dxa"/>
            <w:vAlign w:val="bottom"/>
            <w:shd w:val="clear" w:color="auto" w:fill="DDDDDD"/>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0.7</w:t>
            </w:r>
          </w:p>
        </w:tc>
      </w:tr>
      <w:tr>
        <w:trPr>
          <w:trHeight w:val="570"/>
        </w:trPr>
        <w:tc>
          <w:tcPr>
            <w:tcW w:w="3160" w:type="dxa"/>
            <w:vAlign w:val="bottom"/>
          </w:tcPr>
          <w:p>
            <w:pPr>
              <w:ind w:left="20"/>
              <w:spacing w:after="0"/>
              <w:rPr>
                <w:sz w:val="20"/>
                <w:szCs w:val="20"/>
                <w:color w:val="auto"/>
              </w:rPr>
            </w:pPr>
            <w:r>
              <w:rPr>
                <w:rFonts w:ascii="Arial" w:cs="Arial" w:eastAsia="Arial" w:hAnsi="Arial"/>
                <w:sz w:val="17"/>
                <w:szCs w:val="17"/>
                <w:color w:val="auto"/>
              </w:rPr>
              <w:t>Gains (losses) on cash flow hedges</w:t>
            </w:r>
          </w:p>
        </w:tc>
        <w:tc>
          <w:tcPr>
            <w:tcW w:w="2320" w:type="dxa"/>
            <w:vAlign w:val="bottom"/>
          </w:tcPr>
          <w:p>
            <w:pPr>
              <w:ind w:left="60"/>
              <w:spacing w:after="0"/>
              <w:rPr>
                <w:sz w:val="20"/>
                <w:szCs w:val="20"/>
                <w:color w:val="auto"/>
              </w:rPr>
            </w:pPr>
            <w:r>
              <w:rPr>
                <w:rFonts w:ascii="Arial" w:cs="Arial" w:eastAsia="Arial" w:hAnsi="Arial"/>
                <w:sz w:val="17"/>
                <w:szCs w:val="17"/>
                <w:color w:val="auto"/>
              </w:rPr>
              <w:t>Revenues</w:t>
            </w:r>
          </w:p>
        </w:tc>
        <w:tc>
          <w:tcPr>
            <w:tcW w:w="600" w:type="dxa"/>
            <w:vAlign w:val="bottom"/>
          </w:tcPr>
          <w:p>
            <w:pPr>
              <w:spacing w:after="0"/>
              <w:rPr>
                <w:sz w:val="24"/>
                <w:szCs w:val="24"/>
                <w:color w:val="auto"/>
              </w:rPr>
            </w:pPr>
          </w:p>
        </w:tc>
        <w:tc>
          <w:tcPr>
            <w:tcW w:w="420" w:type="dxa"/>
            <w:vAlign w:val="bottom"/>
            <w:shd w:val="clear" w:color="auto" w:fill="DDDDDD"/>
          </w:tcPr>
          <w:p>
            <w:pPr>
              <w:spacing w:after="0"/>
              <w:rPr>
                <w:sz w:val="24"/>
                <w:szCs w:val="24"/>
                <w:color w:val="auto"/>
              </w:rPr>
            </w:pPr>
          </w:p>
        </w:tc>
        <w:tc>
          <w:tcPr>
            <w:tcW w:w="1320" w:type="dxa"/>
            <w:vAlign w:val="bottom"/>
            <w:gridSpan w:val="2"/>
            <w:shd w:val="clear" w:color="auto" w:fill="DDDDDD"/>
          </w:tcPr>
          <w:p>
            <w:pPr>
              <w:jc w:val="right"/>
              <w:ind w:right="60"/>
              <w:spacing w:after="0"/>
              <w:rPr>
                <w:sz w:val="20"/>
                <w:szCs w:val="20"/>
                <w:color w:val="auto"/>
              </w:rPr>
            </w:pPr>
            <w:r>
              <w:rPr>
                <w:rFonts w:ascii="Arial" w:cs="Arial" w:eastAsia="Arial" w:hAnsi="Arial"/>
                <w:sz w:val="17"/>
                <w:szCs w:val="17"/>
                <w:color w:val="2573BA"/>
              </w:rPr>
              <w:t>(32.5)</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ind w:right="17"/>
              <w:spacing w:after="0"/>
              <w:rPr>
                <w:sz w:val="20"/>
                <w:szCs w:val="20"/>
                <w:color w:val="auto"/>
              </w:rPr>
            </w:pPr>
            <w:r>
              <w:rPr>
                <w:rFonts w:ascii="Arial" w:cs="Arial" w:eastAsia="Arial" w:hAnsi="Arial"/>
                <w:sz w:val="17"/>
                <w:szCs w:val="17"/>
                <w:color w:val="auto"/>
              </w:rPr>
              <w:t>5.3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173.2</w:t>
            </w:r>
          </w:p>
        </w:tc>
      </w:tr>
      <w:tr>
        <w:trPr>
          <w:trHeight w:val="242"/>
        </w:trPr>
        <w:tc>
          <w:tcPr>
            <w:tcW w:w="3160" w:type="dxa"/>
            <w:vAlign w:val="bottom"/>
          </w:tcPr>
          <w:p>
            <w:pPr>
              <w:spacing w:after="0"/>
              <w:rPr>
                <w:sz w:val="21"/>
                <w:szCs w:val="21"/>
                <w:color w:val="auto"/>
              </w:rPr>
            </w:pPr>
          </w:p>
        </w:tc>
        <w:tc>
          <w:tcPr>
            <w:tcW w:w="2320" w:type="dxa"/>
            <w:vAlign w:val="bottom"/>
          </w:tcPr>
          <w:p>
            <w:pPr>
              <w:ind w:left="60"/>
              <w:spacing w:after="0"/>
              <w:rPr>
                <w:sz w:val="20"/>
                <w:szCs w:val="20"/>
                <w:color w:val="auto"/>
              </w:rPr>
            </w:pPr>
            <w:r>
              <w:rPr>
                <w:rFonts w:ascii="Arial" w:cs="Arial" w:eastAsia="Arial" w:hAnsi="Arial"/>
                <w:sz w:val="17"/>
                <w:szCs w:val="17"/>
                <w:color w:val="auto"/>
              </w:rPr>
              <w:t>Operating expenses</w:t>
            </w: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2573BA"/>
              </w:rPr>
              <w:t>0.6</w:t>
            </w:r>
          </w:p>
        </w:tc>
        <w:tc>
          <w:tcPr>
            <w:tcW w:w="120" w:type="dxa"/>
            <w:vAlign w:val="bottom"/>
            <w:shd w:val="clear" w:color="auto" w:fill="DDDDDD"/>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w:t>
            </w:r>
          </w:p>
        </w:tc>
      </w:tr>
      <w:tr>
        <w:trPr>
          <w:trHeight w:val="256"/>
        </w:trPr>
        <w:tc>
          <w:tcPr>
            <w:tcW w:w="3160" w:type="dxa"/>
            <w:vAlign w:val="bottom"/>
          </w:tcPr>
          <w:p>
            <w:pPr>
              <w:spacing w:after="0"/>
              <w:rPr>
                <w:sz w:val="22"/>
                <w:szCs w:val="22"/>
                <w:color w:val="auto"/>
              </w:rPr>
            </w:pPr>
          </w:p>
        </w:tc>
        <w:tc>
          <w:tcPr>
            <w:tcW w:w="2320" w:type="dxa"/>
            <w:vAlign w:val="bottom"/>
          </w:tcPr>
          <w:p>
            <w:pPr>
              <w:ind w:left="60"/>
              <w:spacing w:after="0"/>
              <w:rPr>
                <w:sz w:val="20"/>
                <w:szCs w:val="20"/>
                <w:color w:val="auto"/>
              </w:rPr>
            </w:pPr>
            <w:r>
              <w:rPr>
                <w:rFonts w:ascii="Arial" w:cs="Arial" w:eastAsia="Arial" w:hAnsi="Arial"/>
                <w:sz w:val="17"/>
                <w:szCs w:val="17"/>
                <w:color w:val="auto"/>
              </w:rPr>
              <w:t>Other income (expense)</w:t>
            </w: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2573BA"/>
              </w:rPr>
              <w:t>0.3</w:t>
            </w:r>
          </w:p>
        </w:tc>
        <w:tc>
          <w:tcPr>
            <w:tcW w:w="120" w:type="dxa"/>
            <w:vAlign w:val="bottom"/>
            <w:shd w:val="clear" w:color="auto" w:fill="DDDDDD"/>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17"/>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(0.1)</w:t>
            </w:r>
          </w:p>
        </w:tc>
      </w:tr>
      <w:tr>
        <w:trPr>
          <w:trHeight w:val="263"/>
        </w:trPr>
        <w:tc>
          <w:tcPr>
            <w:tcW w:w="3160" w:type="dxa"/>
            <w:vAlign w:val="bottom"/>
          </w:tcPr>
          <w:p>
            <w:pPr>
              <w:spacing w:after="0"/>
              <w:rPr>
                <w:sz w:val="22"/>
                <w:szCs w:val="22"/>
                <w:color w:val="auto"/>
              </w:rPr>
            </w:pPr>
          </w:p>
        </w:tc>
        <w:tc>
          <w:tcPr>
            <w:tcW w:w="2320" w:type="dxa"/>
            <w:vAlign w:val="bottom"/>
          </w:tcPr>
          <w:p>
            <w:pPr>
              <w:ind w:left="60"/>
              <w:spacing w:after="0"/>
              <w:rPr>
                <w:sz w:val="20"/>
                <w:szCs w:val="20"/>
                <w:color w:val="auto"/>
              </w:rPr>
            </w:pPr>
            <w:r>
              <w:rPr>
                <w:rFonts w:ascii="Arial" w:cs="Arial" w:eastAsia="Arial" w:hAnsi="Arial"/>
                <w:sz w:val="17"/>
                <w:szCs w:val="17"/>
                <w:color w:val="auto"/>
              </w:rPr>
              <w:t>Income tax benefit (expense)</w:t>
            </w: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2573BA"/>
              </w:rPr>
              <w:t>0.1</w:t>
            </w:r>
          </w:p>
        </w:tc>
        <w:tc>
          <w:tcPr>
            <w:tcW w:w="120" w:type="dxa"/>
            <w:vAlign w:val="bottom"/>
            <w:shd w:val="clear" w:color="auto" w:fill="DDDDDD"/>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(0.8)</w:t>
            </w:r>
          </w:p>
        </w:tc>
      </w:tr>
      <w:tr>
        <w:trPr>
          <w:trHeight w:val="314"/>
        </w:trPr>
        <w:tc>
          <w:tcPr>
            <w:tcW w:w="3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Borders>
              <w:bottom w:val="single" w:sz="8" w:color="auto"/>
            </w:tcBorders>
            <w:shd w:val="clear" w:color="auto" w:fill="DDDDDD"/>
          </w:tcPr>
          <w:p>
            <w:pPr>
              <w:spacing w:after="0"/>
              <w:rPr>
                <w:sz w:val="24"/>
                <w:szCs w:val="24"/>
                <w:color w:val="auto"/>
              </w:rPr>
            </w:pPr>
          </w:p>
        </w:tc>
        <w:tc>
          <w:tcPr>
            <w:tcW w:w="1320" w:type="dxa"/>
            <w:vAlign w:val="bottom"/>
            <w:tcBorders>
              <w:bottom w:val="single" w:sz="8" w:color="auto"/>
            </w:tcBorders>
            <w:gridSpan w:val="2"/>
            <w:shd w:val="clear" w:color="auto" w:fill="DDDDDD"/>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36"/>
        </w:trPr>
        <w:tc>
          <w:tcPr>
            <w:tcW w:w="3160" w:type="dxa"/>
            <w:vAlign w:val="bottom"/>
          </w:tcPr>
          <w:p>
            <w:pPr>
              <w:ind w:left="20"/>
              <w:spacing w:after="0"/>
              <w:rPr>
                <w:sz w:val="20"/>
                <w:szCs w:val="20"/>
                <w:color w:val="auto"/>
              </w:rPr>
            </w:pPr>
            <w:r>
              <w:rPr>
                <w:rFonts w:ascii="Arial" w:cs="Arial" w:eastAsia="Arial" w:hAnsi="Arial"/>
                <w:sz w:val="17"/>
                <w:szCs w:val="17"/>
                <w:color w:val="auto"/>
              </w:rPr>
              <w:t>Total reclassifications, net of tax</w:t>
            </w:r>
          </w:p>
        </w:tc>
        <w:tc>
          <w:tcPr>
            <w:tcW w:w="2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Borders>
              <w:bottom w:val="single" w:sz="8" w:color="auto"/>
            </w:tcBorders>
            <w:shd w:val="clear" w:color="auto" w:fill="DDDDDD"/>
          </w:tcPr>
          <w:p>
            <w:pPr>
              <w:jc w:val="right"/>
              <w:ind w:right="215"/>
              <w:spacing w:after="0"/>
              <w:rPr>
                <w:sz w:val="20"/>
                <w:szCs w:val="20"/>
                <w:color w:val="auto"/>
              </w:rPr>
            </w:pPr>
            <w:r>
              <w:rPr>
                <w:rFonts w:ascii="Arial" w:cs="Arial" w:eastAsia="Arial" w:hAnsi="Arial"/>
                <w:sz w:val="17"/>
                <w:szCs w:val="17"/>
                <w:color w:val="2573BA"/>
              </w:rPr>
              <w:t>$</w:t>
            </w:r>
          </w:p>
        </w:tc>
        <w:tc>
          <w:tcPr>
            <w:tcW w:w="1320" w:type="dxa"/>
            <w:vAlign w:val="bottom"/>
            <w:tcBorders>
              <w:bottom w:val="single" w:sz="8" w:color="auto"/>
            </w:tcBorders>
            <w:gridSpan w:val="2"/>
            <w:shd w:val="clear" w:color="auto" w:fill="DDDDDD"/>
          </w:tcPr>
          <w:p>
            <w:pPr>
              <w:jc w:val="right"/>
              <w:ind w:right="60"/>
              <w:spacing w:after="0"/>
              <w:rPr>
                <w:sz w:val="20"/>
                <w:szCs w:val="20"/>
                <w:color w:val="auto"/>
              </w:rPr>
            </w:pPr>
            <w:r>
              <w:rPr>
                <w:rFonts w:ascii="Arial" w:cs="Arial" w:eastAsia="Arial" w:hAnsi="Arial"/>
                <w:sz w:val="17"/>
                <w:szCs w:val="17"/>
                <w:color w:val="2573BA"/>
              </w:rPr>
              <w:t>(44.2)</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171.0</w:t>
            </w:r>
          </w:p>
        </w:tc>
      </w:tr>
      <w:tr>
        <w:trPr>
          <w:trHeight w:val="20"/>
        </w:trPr>
        <w:tc>
          <w:tcPr>
            <w:tcW w:w="3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413"/>
        </w:trPr>
        <w:tc>
          <w:tcPr>
            <w:tcW w:w="3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20" w:type="dxa"/>
            <w:vAlign w:val="bottom"/>
            <w:gridSpan w:val="2"/>
          </w:tcPr>
          <w:p>
            <w:pPr>
              <w:jc w:val="right"/>
              <w:ind w:right="495"/>
              <w:spacing w:after="0"/>
              <w:rPr>
                <w:sz w:val="20"/>
                <w:szCs w:val="20"/>
                <w:color w:val="auto"/>
              </w:rPr>
            </w:pPr>
            <w:r>
              <w:rPr>
                <w:rFonts w:ascii="Arial" w:cs="Arial" w:eastAsia="Arial" w:hAnsi="Arial"/>
                <w:sz w:val="17"/>
                <w:szCs w:val="17"/>
                <w:color w:val="auto"/>
              </w:rPr>
              <w:t>F- 42</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3856355</wp:posOffset>
            </wp:positionH>
            <wp:positionV relativeFrom="paragraph">
              <wp:posOffset>-1950085</wp:posOffset>
            </wp:positionV>
            <wp:extent cx="1032510" cy="4470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8">
                      <a:extLst>
                        <a:ext uri="{28A0092B-C50C-407E-A947-70E740481C1C}"/>
                      </a:extLst>
                    </a:blip>
                    <a:srcRect/>
                    <a:stretch>
                      <a:fillRect/>
                    </a:stretch>
                  </pic:blipFill>
                  <pic:spPr bwMode="auto">
                    <a:xfrm>
                      <a:off x="0" y="0"/>
                      <a:ext cx="1032510" cy="447040"/>
                    </a:xfrm>
                    <a:prstGeom prst="rect">
                      <a:avLst/>
                    </a:prstGeom>
                    <a:noFill/>
                  </pic:spPr>
                </pic:pic>
              </a:graphicData>
            </a:graphic>
          </wp:anchor>
        </w:drawing>
        <w:drawing>
          <wp:anchor simplePos="0" relativeHeight="251657728" behindDoc="1" locked="0" layoutInCell="0" allowOverlap="1">
            <wp:simplePos x="0" y="0"/>
            <wp:positionH relativeFrom="column">
              <wp:posOffset>3856355</wp:posOffset>
            </wp:positionH>
            <wp:positionV relativeFrom="paragraph">
              <wp:posOffset>-1308100</wp:posOffset>
            </wp:positionV>
            <wp:extent cx="1032510" cy="650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9">
                      <a:extLst>
                        <a:ext uri="{28A0092B-C50C-407E-A947-70E740481C1C}"/>
                      </a:extLst>
                    </a:blip>
                    <a:srcRect/>
                    <a:stretch>
                      <a:fillRect/>
                    </a:stretch>
                  </pic:blipFill>
                  <pic:spPr bwMode="auto">
                    <a:xfrm>
                      <a:off x="0" y="0"/>
                      <a:ext cx="1032510" cy="650240"/>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144" w:name="page145"/>
    <w:bookmarkEnd w:id="1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2" w:lineRule="exact"/>
        <w:rPr>
          <w:sz w:val="20"/>
          <w:szCs w:val="20"/>
          <w:color w:val="auto"/>
        </w:rPr>
      </w:pPr>
    </w:p>
    <w:p>
      <w:pPr>
        <w:ind w:left="620" w:hanging="618"/>
        <w:spacing w:after="0"/>
        <w:tabs>
          <w:tab w:leader="none" w:pos="620" w:val="left"/>
        </w:tabs>
        <w:numPr>
          <w:ilvl w:val="0"/>
          <w:numId w:val="110"/>
        </w:numPr>
        <w:rPr>
          <w:rFonts w:ascii="Arial" w:cs="Arial" w:eastAsia="Arial" w:hAnsi="Arial"/>
          <w:sz w:val="20"/>
          <w:szCs w:val="20"/>
          <w:b w:val="1"/>
          <w:bCs w:val="1"/>
          <w:color w:val="578196"/>
        </w:rPr>
      </w:pPr>
      <w:r>
        <w:rPr>
          <w:rFonts w:ascii="Arial" w:cs="Arial" w:eastAsia="Arial" w:hAnsi="Arial"/>
          <w:sz w:val="20"/>
          <w:szCs w:val="20"/>
          <w:b w:val="1"/>
          <w:bCs w:val="1"/>
          <w:color w:val="578196"/>
        </w:rPr>
        <w:t>Earnings per Share</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Basic and diluted earnings per share are calculated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6"/>
          </w:tcPr>
          <w:p>
            <w:pPr>
              <w:jc w:val="right"/>
              <w:ind w:right="175"/>
              <w:spacing w:after="0"/>
              <w:rPr>
                <w:sz w:val="20"/>
                <w:szCs w:val="20"/>
                <w:color w:val="auto"/>
              </w:rPr>
            </w:pPr>
            <w:r>
              <w:rPr>
                <w:rFonts w:ascii="Arial" w:cs="Arial" w:eastAsia="Arial" w:hAnsi="Arial"/>
                <w:sz w:val="14"/>
                <w:szCs w:val="14"/>
                <w:b w:val="1"/>
                <w:bCs w:val="1"/>
                <w:color w:val="auto"/>
              </w:rPr>
              <w:t>For the Years Ended December 31,</w:t>
            </w:r>
          </w:p>
        </w:tc>
        <w:tc>
          <w:tcPr>
            <w:tcW w:w="1280" w:type="dxa"/>
            <w:vAlign w:val="bottom"/>
            <w:tcBorders>
              <w:bottom w:val="single" w:sz="8" w:color="auto"/>
            </w:tcBorders>
          </w:tcPr>
          <w:p>
            <w:pPr>
              <w:spacing w:after="0"/>
              <w:rPr>
                <w:sz w:val="16"/>
                <w:szCs w:val="16"/>
                <w:color w:val="auto"/>
              </w:rPr>
            </w:pPr>
          </w:p>
        </w:tc>
      </w:tr>
      <w:tr>
        <w:trPr>
          <w:trHeight w:val="249"/>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Borders>
              <w:bottom w:val="single" w:sz="8" w:color="auto"/>
            </w:tcBorders>
            <w:shd w:val="clear" w:color="auto" w:fill="DDDDDD"/>
          </w:tcPr>
          <w:p>
            <w:pPr>
              <w:spacing w:after="0"/>
              <w:rPr>
                <w:sz w:val="21"/>
                <w:szCs w:val="21"/>
                <w:color w:val="auto"/>
              </w:rPr>
            </w:pPr>
          </w:p>
        </w:tc>
        <w:tc>
          <w:tcPr>
            <w:tcW w:w="1320" w:type="dxa"/>
            <w:vAlign w:val="bottom"/>
            <w:tcBorders>
              <w:bottom w:val="single" w:sz="8" w:color="auto"/>
            </w:tcBorders>
            <w:shd w:val="clear" w:color="auto" w:fill="DDDDDD"/>
          </w:tcPr>
          <w:p>
            <w:pPr>
              <w:jc w:val="right"/>
              <w:ind w:right="638"/>
              <w:spacing w:after="0"/>
              <w:rPr>
                <w:sz w:val="20"/>
                <w:szCs w:val="20"/>
                <w:color w:val="auto"/>
              </w:rPr>
            </w:pPr>
            <w:r>
              <w:rPr>
                <w:rFonts w:ascii="Arial" w:cs="Arial" w:eastAsia="Arial" w:hAnsi="Arial"/>
                <w:sz w:val="14"/>
                <w:szCs w:val="14"/>
                <w:b w:val="1"/>
                <w:bCs w:val="1"/>
                <w:color w:val="2573BA"/>
              </w:rPr>
              <w:t>2017</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2015</w:t>
            </w:r>
          </w:p>
        </w:tc>
      </w:tr>
      <w:tr>
        <w:trPr>
          <w:trHeight w:val="228"/>
        </w:trPr>
        <w:tc>
          <w:tcPr>
            <w:tcW w:w="6040" w:type="dxa"/>
            <w:vAlign w:val="bottom"/>
          </w:tcPr>
          <w:p>
            <w:pPr>
              <w:ind w:left="20"/>
              <w:spacing w:after="0"/>
              <w:rPr>
                <w:sz w:val="20"/>
                <w:szCs w:val="20"/>
                <w:color w:val="auto"/>
              </w:rPr>
            </w:pPr>
            <w:r>
              <w:rPr>
                <w:rFonts w:ascii="Arial" w:cs="Arial" w:eastAsia="Arial" w:hAnsi="Arial"/>
                <w:sz w:val="17"/>
                <w:szCs w:val="17"/>
                <w:i w:val="1"/>
                <w:iCs w:val="1"/>
                <w:color w:val="auto"/>
              </w:rPr>
              <w:t>Numerator:</w:t>
            </w:r>
          </w:p>
        </w:tc>
        <w:tc>
          <w:tcPr>
            <w:tcW w:w="420" w:type="dxa"/>
            <w:vAlign w:val="bottom"/>
            <w:shd w:val="clear" w:color="auto" w:fill="DDDDDD"/>
          </w:tcPr>
          <w:p>
            <w:pPr>
              <w:spacing w:after="0"/>
              <w:rPr>
                <w:sz w:val="19"/>
                <w:szCs w:val="19"/>
                <w:color w:val="auto"/>
              </w:rPr>
            </w:pPr>
          </w:p>
        </w:tc>
        <w:tc>
          <w:tcPr>
            <w:tcW w:w="1320" w:type="dxa"/>
            <w:vAlign w:val="bottom"/>
            <w:shd w:val="clear" w:color="auto" w:fill="DDDDDD"/>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303"/>
        </w:trPr>
        <w:tc>
          <w:tcPr>
            <w:tcW w:w="6040" w:type="dxa"/>
            <w:vAlign w:val="bottom"/>
          </w:tcPr>
          <w:p>
            <w:pPr>
              <w:ind w:left="160"/>
              <w:spacing w:after="0"/>
              <w:rPr>
                <w:sz w:val="20"/>
                <w:szCs w:val="20"/>
                <w:color w:val="auto"/>
              </w:rPr>
            </w:pPr>
            <w:r>
              <w:rPr>
                <w:rFonts w:ascii="Arial" w:cs="Arial" w:eastAsia="Arial" w:hAnsi="Arial"/>
                <w:sz w:val="17"/>
                <w:szCs w:val="17"/>
                <w:color w:val="auto"/>
              </w:rPr>
              <w:t>Net income attributable to Biogen Inc.</w:t>
            </w:r>
          </w:p>
        </w:tc>
        <w:tc>
          <w:tcPr>
            <w:tcW w:w="420" w:type="dxa"/>
            <w:vAlign w:val="bottom"/>
            <w:shd w:val="clear" w:color="auto" w:fill="DDDDDD"/>
          </w:tcPr>
          <w:p>
            <w:pPr>
              <w:jc w:val="right"/>
              <w:ind w:right="215"/>
              <w:spacing w:after="0"/>
              <w:rPr>
                <w:sz w:val="20"/>
                <w:szCs w:val="20"/>
                <w:color w:val="auto"/>
              </w:rPr>
            </w:pPr>
            <w:r>
              <w:rPr>
                <w:rFonts w:ascii="Arial" w:cs="Arial" w:eastAsia="Arial" w:hAnsi="Arial"/>
                <w:sz w:val="17"/>
                <w:szCs w:val="17"/>
                <w:color w:val="2573BA"/>
              </w:rPr>
              <w:t>$</w:t>
            </w:r>
          </w:p>
        </w:tc>
        <w:tc>
          <w:tcPr>
            <w:tcW w:w="132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2,539.1</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7"/>
              <w:spacing w:after="0"/>
              <w:rPr>
                <w:sz w:val="20"/>
                <w:szCs w:val="20"/>
                <w:color w:val="auto"/>
              </w:rPr>
            </w:pPr>
            <w:r>
              <w:rPr>
                <w:rFonts w:ascii="Arial" w:cs="Arial" w:eastAsia="Arial" w:hAnsi="Arial"/>
                <w:sz w:val="17"/>
                <w:szCs w:val="17"/>
                <w:color w:val="auto"/>
              </w:rPr>
              <w:t>3,702.8</w:t>
            </w:r>
          </w:p>
        </w:tc>
        <w:tc>
          <w:tcPr>
            <w:tcW w:w="100" w:type="dxa"/>
            <w:vAlign w:val="bottom"/>
          </w:tcPr>
          <w:p>
            <w:pPr>
              <w:spacing w:after="0"/>
              <w:rPr>
                <w:sz w:val="24"/>
                <w:szCs w:val="24"/>
                <w:color w:val="auto"/>
              </w:rPr>
            </w:pP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3,547.0</w:t>
            </w:r>
          </w:p>
        </w:tc>
      </w:tr>
      <w:tr>
        <w:trPr>
          <w:trHeight w:val="189"/>
        </w:trPr>
        <w:tc>
          <w:tcPr>
            <w:tcW w:w="6040" w:type="dxa"/>
            <w:vAlign w:val="bottom"/>
          </w:tcPr>
          <w:p>
            <w:pPr>
              <w:ind w:left="20"/>
              <w:spacing w:after="0" w:line="189" w:lineRule="exact"/>
              <w:rPr>
                <w:sz w:val="20"/>
                <w:szCs w:val="20"/>
                <w:color w:val="auto"/>
              </w:rPr>
            </w:pPr>
            <w:r>
              <w:rPr>
                <w:rFonts w:ascii="Arial" w:cs="Arial" w:eastAsia="Arial" w:hAnsi="Arial"/>
                <w:sz w:val="17"/>
                <w:szCs w:val="17"/>
                <w:i w:val="1"/>
                <w:iCs w:val="1"/>
                <w:color w:val="auto"/>
              </w:rPr>
              <w:t>Denominator:</w:t>
            </w:r>
          </w:p>
        </w:tc>
        <w:tc>
          <w:tcPr>
            <w:tcW w:w="420" w:type="dxa"/>
            <w:vAlign w:val="bottom"/>
            <w:tcBorders>
              <w:top w:val="single" w:sz="8" w:color="auto"/>
            </w:tcBorders>
            <w:shd w:val="clear" w:color="auto" w:fill="DDDDDD"/>
          </w:tcPr>
          <w:p>
            <w:pPr>
              <w:spacing w:after="0"/>
              <w:rPr>
                <w:sz w:val="16"/>
                <w:szCs w:val="16"/>
                <w:color w:val="auto"/>
              </w:rPr>
            </w:pPr>
          </w:p>
        </w:tc>
        <w:tc>
          <w:tcPr>
            <w:tcW w:w="1320" w:type="dxa"/>
            <w:vAlign w:val="bottom"/>
            <w:tcBorders>
              <w:top w:val="single" w:sz="8" w:color="auto"/>
            </w:tcBorders>
            <w:shd w:val="clear" w:color="auto" w:fill="DDDDDD"/>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r>
      <w:tr>
        <w:trPr>
          <w:trHeight w:val="295"/>
        </w:trPr>
        <w:tc>
          <w:tcPr>
            <w:tcW w:w="6040" w:type="dxa"/>
            <w:vAlign w:val="bottom"/>
          </w:tcPr>
          <w:p>
            <w:pPr>
              <w:ind w:left="160"/>
              <w:spacing w:after="0"/>
              <w:rPr>
                <w:sz w:val="20"/>
                <w:szCs w:val="20"/>
                <w:color w:val="auto"/>
              </w:rPr>
            </w:pPr>
            <w:r>
              <w:rPr>
                <w:rFonts w:ascii="Arial" w:cs="Arial" w:eastAsia="Arial" w:hAnsi="Arial"/>
                <w:sz w:val="17"/>
                <w:szCs w:val="17"/>
                <w:color w:val="auto"/>
              </w:rPr>
              <w:t>Weighted average number of common shares outstanding</w:t>
            </w:r>
          </w:p>
        </w:tc>
        <w:tc>
          <w:tcPr>
            <w:tcW w:w="420" w:type="dxa"/>
            <w:vAlign w:val="bottom"/>
            <w:shd w:val="clear" w:color="auto" w:fill="DDDDDD"/>
          </w:tcPr>
          <w:p>
            <w:pPr>
              <w:spacing w:after="0"/>
              <w:rPr>
                <w:sz w:val="24"/>
                <w:szCs w:val="24"/>
                <w:color w:val="auto"/>
              </w:rPr>
            </w:pPr>
          </w:p>
        </w:tc>
        <w:tc>
          <w:tcPr>
            <w:tcW w:w="132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212.6</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ind w:right="17"/>
              <w:spacing w:after="0"/>
              <w:rPr>
                <w:sz w:val="20"/>
                <w:szCs w:val="20"/>
                <w:color w:val="auto"/>
              </w:rPr>
            </w:pPr>
            <w:r>
              <w:rPr>
                <w:rFonts w:ascii="Arial" w:cs="Arial" w:eastAsia="Arial" w:hAnsi="Arial"/>
                <w:sz w:val="17"/>
                <w:szCs w:val="17"/>
                <w:color w:val="auto"/>
              </w:rPr>
              <w:t>218.4</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230.7</w:t>
            </w:r>
          </w:p>
        </w:tc>
      </w:tr>
      <w:tr>
        <w:trPr>
          <w:trHeight w:val="243"/>
        </w:trPr>
        <w:tc>
          <w:tcPr>
            <w:tcW w:w="6040" w:type="dxa"/>
            <w:vAlign w:val="bottom"/>
          </w:tcPr>
          <w:p>
            <w:pPr>
              <w:ind w:left="20"/>
              <w:spacing w:after="0"/>
              <w:rPr>
                <w:sz w:val="20"/>
                <w:szCs w:val="20"/>
                <w:color w:val="auto"/>
              </w:rPr>
            </w:pPr>
            <w:r>
              <w:rPr>
                <w:rFonts w:ascii="Arial" w:cs="Arial" w:eastAsia="Arial" w:hAnsi="Arial"/>
                <w:sz w:val="17"/>
                <w:szCs w:val="17"/>
                <w:color w:val="auto"/>
              </w:rPr>
              <w:t>Effect of dilutive securities:</w:t>
            </w:r>
          </w:p>
        </w:tc>
        <w:tc>
          <w:tcPr>
            <w:tcW w:w="420" w:type="dxa"/>
            <w:vAlign w:val="bottom"/>
            <w:shd w:val="clear" w:color="auto" w:fill="DDDDDD"/>
          </w:tcPr>
          <w:p>
            <w:pPr>
              <w:spacing w:after="0"/>
              <w:rPr>
                <w:sz w:val="21"/>
                <w:szCs w:val="21"/>
                <w:color w:val="auto"/>
              </w:rPr>
            </w:pPr>
          </w:p>
        </w:tc>
        <w:tc>
          <w:tcPr>
            <w:tcW w:w="1320" w:type="dxa"/>
            <w:vAlign w:val="bottom"/>
            <w:shd w:val="clear" w:color="auto" w:fill="DDDDDD"/>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9"/>
        </w:trPr>
        <w:tc>
          <w:tcPr>
            <w:tcW w:w="6040" w:type="dxa"/>
            <w:vAlign w:val="bottom"/>
          </w:tcPr>
          <w:p>
            <w:pPr>
              <w:ind w:left="160"/>
              <w:spacing w:after="0"/>
              <w:rPr>
                <w:sz w:val="20"/>
                <w:szCs w:val="20"/>
                <w:color w:val="auto"/>
              </w:rPr>
            </w:pPr>
            <w:r>
              <w:rPr>
                <w:rFonts w:ascii="Arial" w:cs="Arial" w:eastAsia="Arial" w:hAnsi="Arial"/>
                <w:sz w:val="17"/>
                <w:szCs w:val="17"/>
                <w:color w:val="auto"/>
              </w:rPr>
              <w:t>Stock options and employee stock purchase plan</w:t>
            </w:r>
          </w:p>
        </w:tc>
        <w:tc>
          <w:tcPr>
            <w:tcW w:w="420" w:type="dxa"/>
            <w:vAlign w:val="bottom"/>
            <w:shd w:val="clear" w:color="auto" w:fill="DDDDDD"/>
          </w:tcPr>
          <w:p>
            <w:pPr>
              <w:spacing w:after="0"/>
              <w:rPr>
                <w:sz w:val="23"/>
                <w:szCs w:val="23"/>
                <w:color w:val="auto"/>
              </w:rPr>
            </w:pPr>
          </w:p>
        </w:tc>
        <w:tc>
          <w:tcPr>
            <w:tcW w:w="132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0.1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ind w:right="17"/>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0.1</w:t>
            </w:r>
          </w:p>
        </w:tc>
      </w:tr>
      <w:tr>
        <w:trPr>
          <w:trHeight w:val="256"/>
        </w:trPr>
        <w:tc>
          <w:tcPr>
            <w:tcW w:w="6040" w:type="dxa"/>
            <w:vAlign w:val="bottom"/>
          </w:tcPr>
          <w:p>
            <w:pPr>
              <w:ind w:left="160"/>
              <w:spacing w:after="0"/>
              <w:rPr>
                <w:sz w:val="20"/>
                <w:szCs w:val="20"/>
                <w:color w:val="auto"/>
              </w:rPr>
            </w:pPr>
            <w:r>
              <w:rPr>
                <w:rFonts w:ascii="Arial" w:cs="Arial" w:eastAsia="Arial" w:hAnsi="Arial"/>
                <w:sz w:val="17"/>
                <w:szCs w:val="17"/>
                <w:color w:val="auto"/>
              </w:rPr>
              <w:t>Time-vested restricted stock units</w:t>
            </w:r>
          </w:p>
        </w:tc>
        <w:tc>
          <w:tcPr>
            <w:tcW w:w="420" w:type="dxa"/>
            <w:vAlign w:val="bottom"/>
            <w:shd w:val="clear" w:color="auto" w:fill="DDDDDD"/>
          </w:tcPr>
          <w:p>
            <w:pPr>
              <w:spacing w:after="0"/>
              <w:rPr>
                <w:sz w:val="22"/>
                <w:szCs w:val="22"/>
                <w:color w:val="auto"/>
              </w:rPr>
            </w:pPr>
          </w:p>
        </w:tc>
        <w:tc>
          <w:tcPr>
            <w:tcW w:w="132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0.2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17"/>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0.3</w:t>
            </w:r>
          </w:p>
        </w:tc>
      </w:tr>
      <w:tr>
        <w:trPr>
          <w:trHeight w:val="263"/>
        </w:trPr>
        <w:tc>
          <w:tcPr>
            <w:tcW w:w="6040" w:type="dxa"/>
            <w:vAlign w:val="bottom"/>
          </w:tcPr>
          <w:p>
            <w:pPr>
              <w:ind w:left="160"/>
              <w:spacing w:after="0"/>
              <w:rPr>
                <w:sz w:val="20"/>
                <w:szCs w:val="20"/>
                <w:color w:val="auto"/>
              </w:rPr>
            </w:pPr>
            <w:r>
              <w:rPr>
                <w:rFonts w:ascii="Arial" w:cs="Arial" w:eastAsia="Arial" w:hAnsi="Arial"/>
                <w:sz w:val="17"/>
                <w:szCs w:val="17"/>
                <w:color w:val="auto"/>
              </w:rPr>
              <w:t>Market stock units</w:t>
            </w:r>
          </w:p>
        </w:tc>
        <w:tc>
          <w:tcPr>
            <w:tcW w:w="420" w:type="dxa"/>
            <w:vAlign w:val="bottom"/>
            <w:tcBorders>
              <w:bottom w:val="single" w:sz="8" w:color="auto"/>
            </w:tcBorders>
            <w:shd w:val="clear" w:color="auto" w:fill="DDDDDD"/>
          </w:tcPr>
          <w:p>
            <w:pPr>
              <w:spacing w:after="0"/>
              <w:rPr>
                <w:sz w:val="22"/>
                <w:szCs w:val="22"/>
                <w:color w:val="auto"/>
              </w:rPr>
            </w:pPr>
          </w:p>
        </w:tc>
        <w:tc>
          <w:tcPr>
            <w:tcW w:w="1320" w:type="dxa"/>
            <w:vAlign w:val="bottom"/>
            <w:tcBorders>
              <w:bottom w:val="single" w:sz="8" w:color="auto"/>
            </w:tcBorders>
            <w:shd w:val="clear" w:color="auto" w:fill="DDDDDD"/>
          </w:tcPr>
          <w:p>
            <w:pPr>
              <w:jc w:val="right"/>
              <w:ind w:right="18"/>
              <w:spacing w:after="0"/>
              <w:rPr>
                <w:sz w:val="20"/>
                <w:szCs w:val="20"/>
                <w:color w:val="auto"/>
              </w:rPr>
            </w:pPr>
            <w:r>
              <w:rPr>
                <w:rFonts w:ascii="Arial" w:cs="Arial" w:eastAsia="Arial" w:hAnsi="Arial"/>
                <w:sz w:val="17"/>
                <w:szCs w:val="17"/>
                <w:color w:val="2573BA"/>
              </w:rPr>
              <w:t>0.1</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0.1</w:t>
            </w:r>
          </w:p>
        </w:tc>
      </w:tr>
      <w:tr>
        <w:trPr>
          <w:trHeight w:val="236"/>
        </w:trPr>
        <w:tc>
          <w:tcPr>
            <w:tcW w:w="6040" w:type="dxa"/>
            <w:vAlign w:val="bottom"/>
          </w:tcPr>
          <w:p>
            <w:pPr>
              <w:ind w:left="20"/>
              <w:spacing w:after="0"/>
              <w:rPr>
                <w:sz w:val="20"/>
                <w:szCs w:val="20"/>
                <w:color w:val="auto"/>
              </w:rPr>
            </w:pPr>
            <w:r>
              <w:rPr>
                <w:rFonts w:ascii="Arial" w:cs="Arial" w:eastAsia="Arial" w:hAnsi="Arial"/>
                <w:sz w:val="17"/>
                <w:szCs w:val="17"/>
                <w:color w:val="auto"/>
              </w:rPr>
              <w:t>Dilutive potential common shares</w:t>
            </w:r>
          </w:p>
        </w:tc>
        <w:tc>
          <w:tcPr>
            <w:tcW w:w="420" w:type="dxa"/>
            <w:vAlign w:val="bottom"/>
            <w:tcBorders>
              <w:bottom w:val="single" w:sz="8" w:color="auto"/>
            </w:tcBorders>
            <w:shd w:val="clear" w:color="auto" w:fill="DDDDDD"/>
          </w:tcPr>
          <w:p>
            <w:pPr>
              <w:spacing w:after="0"/>
              <w:rPr>
                <w:sz w:val="20"/>
                <w:szCs w:val="20"/>
                <w:color w:val="auto"/>
              </w:rPr>
            </w:pPr>
          </w:p>
        </w:tc>
        <w:tc>
          <w:tcPr>
            <w:tcW w:w="1320" w:type="dxa"/>
            <w:vAlign w:val="bottom"/>
            <w:tcBorders>
              <w:bottom w:val="single" w:sz="8" w:color="auto"/>
            </w:tcBorders>
            <w:shd w:val="clear" w:color="auto" w:fill="DDDDDD"/>
          </w:tcPr>
          <w:p>
            <w:pPr>
              <w:jc w:val="right"/>
              <w:ind w:right="18"/>
              <w:spacing w:after="0"/>
              <w:rPr>
                <w:sz w:val="20"/>
                <w:szCs w:val="20"/>
                <w:color w:val="auto"/>
              </w:rPr>
            </w:pPr>
            <w:r>
              <w:rPr>
                <w:rFonts w:ascii="Arial" w:cs="Arial" w:eastAsia="Arial" w:hAnsi="Arial"/>
                <w:sz w:val="17"/>
                <w:szCs w:val="17"/>
                <w:color w:val="2573BA"/>
              </w:rPr>
              <w:t>0.4</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0.5</w:t>
            </w:r>
          </w:p>
        </w:tc>
      </w:tr>
      <w:tr>
        <w:trPr>
          <w:trHeight w:val="236"/>
        </w:trPr>
        <w:tc>
          <w:tcPr>
            <w:tcW w:w="6040" w:type="dxa"/>
            <w:vAlign w:val="bottom"/>
          </w:tcPr>
          <w:p>
            <w:pPr>
              <w:ind w:left="360"/>
              <w:spacing w:after="0"/>
              <w:rPr>
                <w:sz w:val="20"/>
                <w:szCs w:val="20"/>
                <w:color w:val="auto"/>
              </w:rPr>
            </w:pPr>
            <w:r>
              <w:rPr>
                <w:rFonts w:ascii="Arial" w:cs="Arial" w:eastAsia="Arial" w:hAnsi="Arial"/>
                <w:sz w:val="17"/>
                <w:szCs w:val="17"/>
                <w:color w:val="auto"/>
              </w:rPr>
              <w:t>Shares used in calculating diluted earnings per share</w:t>
            </w:r>
          </w:p>
        </w:tc>
        <w:tc>
          <w:tcPr>
            <w:tcW w:w="420" w:type="dxa"/>
            <w:vAlign w:val="bottom"/>
            <w:tcBorders>
              <w:bottom w:val="single" w:sz="8" w:color="auto"/>
            </w:tcBorders>
            <w:shd w:val="clear" w:color="auto" w:fill="DDDDDD"/>
          </w:tcPr>
          <w:p>
            <w:pPr>
              <w:spacing w:after="0"/>
              <w:rPr>
                <w:sz w:val="20"/>
                <w:szCs w:val="20"/>
                <w:color w:val="auto"/>
              </w:rPr>
            </w:pPr>
          </w:p>
        </w:tc>
        <w:tc>
          <w:tcPr>
            <w:tcW w:w="1320" w:type="dxa"/>
            <w:vAlign w:val="bottom"/>
            <w:tcBorders>
              <w:bottom w:val="single" w:sz="8" w:color="auto"/>
            </w:tcBorders>
            <w:shd w:val="clear" w:color="auto" w:fill="DDDDDD"/>
          </w:tcPr>
          <w:p>
            <w:pPr>
              <w:jc w:val="right"/>
              <w:ind w:right="18"/>
              <w:spacing w:after="0"/>
              <w:rPr>
                <w:sz w:val="20"/>
                <w:szCs w:val="20"/>
                <w:color w:val="auto"/>
              </w:rPr>
            </w:pPr>
            <w:r>
              <w:rPr>
                <w:rFonts w:ascii="Arial" w:cs="Arial" w:eastAsia="Arial" w:hAnsi="Arial"/>
                <w:sz w:val="17"/>
                <w:szCs w:val="17"/>
                <w:color w:val="2573BA"/>
              </w:rPr>
              <w:t>213.0</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218.8</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231.2</w:t>
            </w:r>
          </w:p>
        </w:tc>
      </w:tr>
      <w:tr>
        <w:trPr>
          <w:trHeight w:val="20"/>
        </w:trPr>
        <w:tc>
          <w:tcPr>
            <w:tcW w:w="6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Amounts excluded from the calculation of net income per diluted share because their effects were anti-dilutive were insignificant.</w:t>
      </w:r>
    </w:p>
    <w:p>
      <w:pPr>
        <w:spacing w:after="0" w:line="163" w:lineRule="exact"/>
        <w:rPr>
          <w:sz w:val="20"/>
          <w:szCs w:val="20"/>
          <w:color w:val="auto"/>
        </w:rPr>
      </w:pPr>
    </w:p>
    <w:p>
      <w:pPr>
        <w:ind w:right="140" w:firstLine="410"/>
        <w:spacing w:after="0" w:line="262" w:lineRule="auto"/>
        <w:rPr>
          <w:sz w:val="20"/>
          <w:szCs w:val="20"/>
          <w:color w:val="auto"/>
        </w:rPr>
      </w:pPr>
      <w:r>
        <w:rPr>
          <w:rFonts w:ascii="Arial" w:cs="Arial" w:eastAsia="Arial" w:hAnsi="Arial"/>
          <w:sz w:val="17"/>
          <w:szCs w:val="17"/>
          <w:color w:val="auto"/>
        </w:rPr>
        <w:t>Earnings per share for the years ended December 31, 2017, 2016 and 2015 reflects, on a weighted average basis, the repurchase of 3.7 million shares, 0.7 million shares and 4.6 million shares, respectively, of our common stock under our share repurchase authorizations.</w:t>
      </w:r>
    </w:p>
    <w:p>
      <w:pPr>
        <w:spacing w:after="0" w:line="137" w:lineRule="exact"/>
        <w:rPr>
          <w:sz w:val="20"/>
          <w:szCs w:val="20"/>
          <w:color w:val="auto"/>
        </w:rPr>
      </w:pPr>
    </w:p>
    <w:p>
      <w:pPr>
        <w:ind w:right="560" w:firstLine="410"/>
        <w:spacing w:after="0" w:line="262" w:lineRule="auto"/>
        <w:rPr>
          <w:sz w:val="20"/>
          <w:szCs w:val="20"/>
          <w:color w:val="auto"/>
        </w:rPr>
      </w:pPr>
      <w:r>
        <w:rPr>
          <w:rFonts w:ascii="Arial" w:cs="Arial" w:eastAsia="Arial" w:hAnsi="Arial"/>
          <w:sz w:val="17"/>
          <w:szCs w:val="17"/>
          <w:color w:val="auto"/>
        </w:rPr>
        <w:t>The adjustments related to the spin-off of our hemophilia business did not have a material impact on the potentially dilutive securities to be considered in the calculation of diluted earnings per share of common stock.</w:t>
      </w:r>
    </w:p>
    <w:p>
      <w:pPr>
        <w:spacing w:after="0" w:line="118" w:lineRule="exact"/>
        <w:rPr>
          <w:sz w:val="20"/>
          <w:szCs w:val="20"/>
          <w:color w:val="auto"/>
        </w:rPr>
      </w:pPr>
    </w:p>
    <w:p>
      <w:pPr>
        <w:ind w:left="580" w:hanging="578"/>
        <w:spacing w:after="0"/>
        <w:tabs>
          <w:tab w:leader="none" w:pos="580" w:val="left"/>
        </w:tabs>
        <w:numPr>
          <w:ilvl w:val="0"/>
          <w:numId w:val="111"/>
        </w:numPr>
        <w:rPr>
          <w:rFonts w:ascii="Arial" w:cs="Arial" w:eastAsia="Arial" w:hAnsi="Arial"/>
          <w:sz w:val="20"/>
          <w:szCs w:val="20"/>
          <w:b w:val="1"/>
          <w:bCs w:val="1"/>
          <w:color w:val="578196"/>
        </w:rPr>
      </w:pPr>
      <w:r>
        <w:rPr>
          <w:rFonts w:ascii="Arial" w:cs="Arial" w:eastAsia="Arial" w:hAnsi="Arial"/>
          <w:sz w:val="20"/>
          <w:szCs w:val="20"/>
          <w:b w:val="1"/>
          <w:bCs w:val="1"/>
          <w:color w:val="578196"/>
        </w:rPr>
        <w:t>Share-based Payments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Share-based Compensation Expense</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share-based compensation expense included in our consolidated statements of income: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6"/>
          </w:tcPr>
          <w:p>
            <w:pPr>
              <w:jc w:val="right"/>
              <w:ind w:right="115"/>
              <w:spacing w:after="0"/>
              <w:rPr>
                <w:sz w:val="20"/>
                <w:szCs w:val="20"/>
                <w:color w:val="auto"/>
              </w:rPr>
            </w:pPr>
            <w:r>
              <w:rPr>
                <w:rFonts w:ascii="Arial" w:cs="Arial" w:eastAsia="Arial" w:hAnsi="Arial"/>
                <w:sz w:val="14"/>
                <w:szCs w:val="14"/>
                <w:b w:val="1"/>
                <w:bCs w:val="1"/>
                <w:color w:val="auto"/>
              </w:rPr>
              <w:t>For the Years Ended December 31,</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bottom w:val="single" w:sz="8" w:color="auto"/>
            </w:tcBorders>
            <w:shd w:val="clear" w:color="auto" w:fill="DDDDDD"/>
          </w:tcPr>
          <w:p>
            <w:pPr>
              <w:spacing w:after="0"/>
              <w:rPr>
                <w:sz w:val="21"/>
                <w:szCs w:val="21"/>
                <w:color w:val="auto"/>
              </w:rPr>
            </w:pPr>
          </w:p>
        </w:tc>
        <w:tc>
          <w:tcPr>
            <w:tcW w:w="1240" w:type="dxa"/>
            <w:vAlign w:val="bottom"/>
            <w:tcBorders>
              <w:bottom w:val="single" w:sz="8" w:color="auto"/>
            </w:tcBorders>
            <w:shd w:val="clear" w:color="auto" w:fill="DDDDDD"/>
          </w:tcPr>
          <w:p>
            <w:pPr>
              <w:jc w:val="right"/>
              <w:ind w:right="578"/>
              <w:spacing w:after="0"/>
              <w:rPr>
                <w:sz w:val="20"/>
                <w:szCs w:val="20"/>
                <w:color w:val="auto"/>
              </w:rPr>
            </w:pPr>
            <w:r>
              <w:rPr>
                <w:rFonts w:ascii="Arial" w:cs="Arial" w:eastAsia="Arial" w:hAnsi="Arial"/>
                <w:sz w:val="14"/>
                <w:szCs w:val="14"/>
                <w:b w:val="1"/>
                <w:bCs w:val="1"/>
                <w:color w:val="2573BA"/>
              </w:rPr>
              <w:t>2017</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42"/>
        </w:trPr>
        <w:tc>
          <w:tcPr>
            <w:tcW w:w="6280" w:type="dxa"/>
            <w:vAlign w:val="bottom"/>
          </w:tcPr>
          <w:p>
            <w:pPr>
              <w:ind w:left="20"/>
              <w:spacing w:after="0"/>
              <w:rPr>
                <w:sz w:val="20"/>
                <w:szCs w:val="20"/>
                <w:color w:val="auto"/>
              </w:rPr>
            </w:pPr>
            <w:r>
              <w:rPr>
                <w:rFonts w:ascii="Arial" w:cs="Arial" w:eastAsia="Arial" w:hAnsi="Arial"/>
                <w:sz w:val="17"/>
                <w:szCs w:val="17"/>
                <w:color w:val="auto"/>
              </w:rPr>
              <w:t>Research and development</w:t>
            </w:r>
          </w:p>
        </w:tc>
        <w:tc>
          <w:tcPr>
            <w:tcW w:w="380" w:type="dxa"/>
            <w:vAlign w:val="bottom"/>
            <w:shd w:val="clear" w:color="auto" w:fill="DDDDDD"/>
          </w:tcPr>
          <w:p>
            <w:pPr>
              <w:jc w:val="right"/>
              <w:ind w:right="175"/>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38"/>
              <w:spacing w:after="0"/>
              <w:rPr>
                <w:sz w:val="20"/>
                <w:szCs w:val="20"/>
                <w:color w:val="auto"/>
              </w:rPr>
            </w:pPr>
            <w:r>
              <w:rPr>
                <w:rFonts w:ascii="Arial" w:cs="Arial" w:eastAsia="Arial" w:hAnsi="Arial"/>
                <w:sz w:val="17"/>
                <w:szCs w:val="17"/>
                <w:color w:val="2573BA"/>
              </w:rPr>
              <w:t>74.0</w:t>
            </w:r>
          </w:p>
        </w:tc>
        <w:tc>
          <w:tcPr>
            <w:tcW w:w="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84.5</w:t>
            </w:r>
          </w:p>
        </w:tc>
        <w:tc>
          <w:tcPr>
            <w:tcW w:w="100" w:type="dxa"/>
            <w:vAlign w:val="bottom"/>
          </w:tcPr>
          <w:p>
            <w:pPr>
              <w:spacing w:after="0"/>
              <w:rPr>
                <w:sz w:val="21"/>
                <w:szCs w:val="21"/>
                <w:color w:val="auto"/>
              </w:rPr>
            </w:pPr>
          </w:p>
        </w:tc>
        <w:tc>
          <w:tcPr>
            <w:tcW w:w="480" w:type="dxa"/>
            <w:vAlign w:val="bottom"/>
          </w:tcPr>
          <w:p>
            <w:pPr>
              <w:jc w:val="right"/>
              <w:ind w:right="27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88.6</w:t>
            </w:r>
          </w:p>
        </w:tc>
        <w:tc>
          <w:tcPr>
            <w:tcW w:w="0" w:type="dxa"/>
            <w:vAlign w:val="bottom"/>
          </w:tcPr>
          <w:p>
            <w:pPr>
              <w:spacing w:after="0"/>
              <w:rPr>
                <w:sz w:val="1"/>
                <w:szCs w:val="1"/>
                <w:color w:val="auto"/>
              </w:rPr>
            </w:pPr>
          </w:p>
        </w:tc>
      </w:tr>
      <w:tr>
        <w:trPr>
          <w:trHeight w:val="242"/>
        </w:trPr>
        <w:tc>
          <w:tcPr>
            <w:tcW w:w="6280" w:type="dxa"/>
            <w:vAlign w:val="bottom"/>
          </w:tcPr>
          <w:p>
            <w:pPr>
              <w:ind w:left="20"/>
              <w:spacing w:after="0"/>
              <w:rPr>
                <w:sz w:val="20"/>
                <w:szCs w:val="20"/>
                <w:color w:val="auto"/>
              </w:rPr>
            </w:pPr>
            <w:r>
              <w:rPr>
                <w:rFonts w:ascii="Arial" w:cs="Arial" w:eastAsia="Arial" w:hAnsi="Arial"/>
                <w:sz w:val="17"/>
                <w:szCs w:val="17"/>
                <w:color w:val="auto"/>
              </w:rPr>
              <w:t>Selling, general and administrative</w:t>
            </w:r>
          </w:p>
        </w:tc>
        <w:tc>
          <w:tcPr>
            <w:tcW w:w="380" w:type="dxa"/>
            <w:vAlign w:val="bottom"/>
          </w:tcPr>
          <w:p>
            <w:pPr>
              <w:spacing w:after="0"/>
              <w:rPr>
                <w:sz w:val="21"/>
                <w:szCs w:val="21"/>
                <w:color w:val="auto"/>
              </w:rPr>
            </w:pPr>
          </w:p>
        </w:tc>
        <w:tc>
          <w:tcPr>
            <w:tcW w:w="1240" w:type="dxa"/>
            <w:vAlign w:val="bottom"/>
          </w:tcPr>
          <w:p>
            <w:pPr>
              <w:jc w:val="right"/>
              <w:ind w:right="38"/>
              <w:spacing w:after="0"/>
              <w:rPr>
                <w:sz w:val="20"/>
                <w:szCs w:val="20"/>
                <w:color w:val="auto"/>
              </w:rPr>
            </w:pPr>
            <w:r>
              <w:rPr>
                <w:rFonts w:ascii="Arial" w:cs="Arial" w:eastAsia="Arial" w:hAnsi="Arial"/>
                <w:sz w:val="17"/>
                <w:szCs w:val="17"/>
                <w:color w:val="2573BA"/>
              </w:rPr>
              <w:t>95.7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121.7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127.3</w:t>
            </w:r>
          </w:p>
        </w:tc>
        <w:tc>
          <w:tcPr>
            <w:tcW w:w="0" w:type="dxa"/>
            <w:vAlign w:val="bottom"/>
          </w:tcPr>
          <w:p>
            <w:pPr>
              <w:spacing w:after="0"/>
              <w:rPr>
                <w:sz w:val="1"/>
                <w:szCs w:val="1"/>
                <w:color w:val="auto"/>
              </w:rPr>
            </w:pPr>
          </w:p>
        </w:tc>
      </w:tr>
      <w:tr>
        <w:trPr>
          <w:trHeight w:val="263"/>
        </w:trPr>
        <w:tc>
          <w:tcPr>
            <w:tcW w:w="6280" w:type="dxa"/>
            <w:vAlign w:val="bottom"/>
          </w:tcPr>
          <w:p>
            <w:pPr>
              <w:ind w:left="20"/>
              <w:spacing w:after="0"/>
              <w:rPr>
                <w:sz w:val="20"/>
                <w:szCs w:val="20"/>
                <w:color w:val="auto"/>
              </w:rPr>
            </w:pPr>
            <w:r>
              <w:rPr>
                <w:rFonts w:ascii="Arial" w:cs="Arial" w:eastAsia="Arial" w:hAnsi="Arial"/>
                <w:sz w:val="17"/>
                <w:szCs w:val="17"/>
                <w:color w:val="auto"/>
              </w:rPr>
              <w:t>Restructuring charges</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2573BA"/>
              </w:rPr>
              <w:t>—</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29"/>
        </w:trPr>
        <w:tc>
          <w:tcPr>
            <w:tcW w:w="6280" w:type="dxa"/>
            <w:vAlign w:val="bottom"/>
          </w:tcPr>
          <w:p>
            <w:pPr>
              <w:ind w:left="160"/>
              <w:spacing w:after="0"/>
              <w:rPr>
                <w:sz w:val="20"/>
                <w:szCs w:val="20"/>
                <w:color w:val="auto"/>
              </w:rPr>
            </w:pPr>
            <w:r>
              <w:rPr>
                <w:rFonts w:ascii="Arial" w:cs="Arial" w:eastAsia="Arial" w:hAnsi="Arial"/>
                <w:sz w:val="17"/>
                <w:szCs w:val="17"/>
                <w:color w:val="auto"/>
              </w:rPr>
              <w:t>Subtotal</w:t>
            </w:r>
          </w:p>
        </w:tc>
        <w:tc>
          <w:tcPr>
            <w:tcW w:w="380" w:type="dxa"/>
            <w:vAlign w:val="bottom"/>
          </w:tcPr>
          <w:p>
            <w:pPr>
              <w:spacing w:after="0"/>
              <w:rPr>
                <w:sz w:val="19"/>
                <w:szCs w:val="19"/>
                <w:color w:val="auto"/>
              </w:rPr>
            </w:pPr>
          </w:p>
        </w:tc>
        <w:tc>
          <w:tcPr>
            <w:tcW w:w="1240" w:type="dxa"/>
            <w:vAlign w:val="bottom"/>
          </w:tcPr>
          <w:p>
            <w:pPr>
              <w:jc w:val="right"/>
              <w:ind w:right="38"/>
              <w:spacing w:after="0"/>
              <w:rPr>
                <w:sz w:val="20"/>
                <w:szCs w:val="20"/>
                <w:color w:val="auto"/>
              </w:rPr>
            </w:pPr>
            <w:r>
              <w:rPr>
                <w:rFonts w:ascii="Arial" w:cs="Arial" w:eastAsia="Arial" w:hAnsi="Arial"/>
                <w:sz w:val="17"/>
                <w:szCs w:val="17"/>
                <w:color w:val="2573BA"/>
              </w:rPr>
              <w:t>169.7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204.4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207.3</w:t>
            </w:r>
          </w:p>
        </w:tc>
        <w:tc>
          <w:tcPr>
            <w:tcW w:w="0" w:type="dxa"/>
            <w:vAlign w:val="bottom"/>
          </w:tcPr>
          <w:p>
            <w:pPr>
              <w:spacing w:after="0"/>
              <w:rPr>
                <w:sz w:val="1"/>
                <w:szCs w:val="1"/>
                <w:color w:val="auto"/>
              </w:rPr>
            </w:pPr>
          </w:p>
        </w:tc>
      </w:tr>
      <w:tr>
        <w:trPr>
          <w:trHeight w:val="263"/>
        </w:trPr>
        <w:tc>
          <w:tcPr>
            <w:tcW w:w="6280" w:type="dxa"/>
            <w:vAlign w:val="bottom"/>
          </w:tcPr>
          <w:p>
            <w:pPr>
              <w:ind w:left="20"/>
              <w:spacing w:after="0"/>
              <w:rPr>
                <w:sz w:val="20"/>
                <w:szCs w:val="20"/>
                <w:color w:val="auto"/>
              </w:rPr>
            </w:pPr>
            <w:r>
              <w:rPr>
                <w:rFonts w:ascii="Arial" w:cs="Arial" w:eastAsia="Arial" w:hAnsi="Arial"/>
                <w:sz w:val="17"/>
                <w:szCs w:val="17"/>
                <w:color w:val="auto"/>
              </w:rPr>
              <w:t>Capitalized share-based compensation costs</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(9.6)</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229"/>
        </w:trPr>
        <w:tc>
          <w:tcPr>
            <w:tcW w:w="6280" w:type="dxa"/>
            <w:vAlign w:val="bottom"/>
          </w:tcPr>
          <w:p>
            <w:pPr>
              <w:ind w:left="160"/>
              <w:spacing w:after="0"/>
              <w:rPr>
                <w:sz w:val="20"/>
                <w:szCs w:val="20"/>
                <w:color w:val="auto"/>
              </w:rPr>
            </w:pPr>
            <w:r>
              <w:rPr>
                <w:rFonts w:ascii="Arial" w:cs="Arial" w:eastAsia="Arial" w:hAnsi="Arial"/>
                <w:sz w:val="17"/>
                <w:szCs w:val="17"/>
                <w:color w:val="auto"/>
              </w:rPr>
              <w:t>Share-based compensation expense included in total cost and expenses</w:t>
            </w:r>
          </w:p>
        </w:tc>
        <w:tc>
          <w:tcPr>
            <w:tcW w:w="380" w:type="dxa"/>
            <w:vAlign w:val="bottom"/>
          </w:tcPr>
          <w:p>
            <w:pPr>
              <w:spacing w:after="0"/>
              <w:rPr>
                <w:sz w:val="19"/>
                <w:szCs w:val="19"/>
                <w:color w:val="auto"/>
              </w:rPr>
            </w:pPr>
          </w:p>
        </w:tc>
        <w:tc>
          <w:tcPr>
            <w:tcW w:w="1240" w:type="dxa"/>
            <w:vAlign w:val="bottom"/>
          </w:tcPr>
          <w:p>
            <w:pPr>
              <w:jc w:val="right"/>
              <w:ind w:right="38"/>
              <w:spacing w:after="0"/>
              <w:rPr>
                <w:sz w:val="20"/>
                <w:szCs w:val="20"/>
                <w:color w:val="auto"/>
              </w:rPr>
            </w:pPr>
            <w:r>
              <w:rPr>
                <w:rFonts w:ascii="Arial" w:cs="Arial" w:eastAsia="Arial" w:hAnsi="Arial"/>
                <w:sz w:val="17"/>
                <w:szCs w:val="17"/>
                <w:color w:val="2573BA"/>
              </w:rPr>
              <w:t>160.1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189.8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196.3</w:t>
            </w:r>
          </w:p>
        </w:tc>
        <w:tc>
          <w:tcPr>
            <w:tcW w:w="0" w:type="dxa"/>
            <w:vAlign w:val="bottom"/>
          </w:tcPr>
          <w:p>
            <w:pPr>
              <w:spacing w:after="0"/>
              <w:rPr>
                <w:sz w:val="1"/>
                <w:szCs w:val="1"/>
                <w:color w:val="auto"/>
              </w:rPr>
            </w:pPr>
          </w:p>
        </w:tc>
      </w:tr>
      <w:tr>
        <w:trPr>
          <w:trHeight w:val="263"/>
        </w:trPr>
        <w:tc>
          <w:tcPr>
            <w:tcW w:w="6280" w:type="dxa"/>
            <w:vAlign w:val="bottom"/>
          </w:tcPr>
          <w:p>
            <w:pPr>
              <w:ind w:left="20"/>
              <w:spacing w:after="0"/>
              <w:rPr>
                <w:sz w:val="20"/>
                <w:szCs w:val="20"/>
                <w:color w:val="auto"/>
              </w:rPr>
            </w:pPr>
            <w:r>
              <w:rPr>
                <w:rFonts w:ascii="Arial" w:cs="Arial" w:eastAsia="Arial" w:hAnsi="Arial"/>
                <w:sz w:val="17"/>
                <w:szCs w:val="17"/>
                <w:color w:val="auto"/>
              </w:rPr>
              <w:t>Income tax effect</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(42.8)</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(54.0)</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(55.8)</w:t>
            </w:r>
          </w:p>
        </w:tc>
        <w:tc>
          <w:tcPr>
            <w:tcW w:w="0" w:type="dxa"/>
            <w:vAlign w:val="bottom"/>
          </w:tcPr>
          <w:p>
            <w:pPr>
              <w:spacing w:after="0"/>
              <w:rPr>
                <w:sz w:val="1"/>
                <w:szCs w:val="1"/>
                <w:color w:val="auto"/>
              </w:rPr>
            </w:pPr>
          </w:p>
        </w:tc>
      </w:tr>
      <w:tr>
        <w:trPr>
          <w:trHeight w:val="204"/>
        </w:trPr>
        <w:tc>
          <w:tcPr>
            <w:tcW w:w="6280" w:type="dxa"/>
            <w:vAlign w:val="bottom"/>
          </w:tcPr>
          <w:p>
            <w:pPr>
              <w:ind w:left="160"/>
              <w:spacing w:after="0"/>
              <w:rPr>
                <w:sz w:val="20"/>
                <w:szCs w:val="20"/>
                <w:color w:val="auto"/>
              </w:rPr>
            </w:pPr>
            <w:r>
              <w:rPr>
                <w:rFonts w:ascii="Arial" w:cs="Arial" w:eastAsia="Arial" w:hAnsi="Arial"/>
                <w:sz w:val="17"/>
                <w:szCs w:val="17"/>
                <w:color w:val="auto"/>
              </w:rPr>
              <w:t>Share-based compensation expense included in net income attributable to</w:t>
            </w:r>
          </w:p>
        </w:tc>
        <w:tc>
          <w:tcPr>
            <w:tcW w:w="380" w:type="dxa"/>
            <w:vAlign w:val="bottom"/>
            <w:vMerge w:val="restart"/>
          </w:tcPr>
          <w:p>
            <w:pPr>
              <w:jc w:val="right"/>
              <w:ind w:right="175"/>
              <w:spacing w:after="0"/>
              <w:rPr>
                <w:sz w:val="20"/>
                <w:szCs w:val="20"/>
                <w:color w:val="auto"/>
              </w:rPr>
            </w:pPr>
            <w:r>
              <w:rPr>
                <w:rFonts w:ascii="Arial" w:cs="Arial" w:eastAsia="Arial" w:hAnsi="Arial"/>
                <w:sz w:val="17"/>
                <w:szCs w:val="17"/>
                <w:color w:val="2573BA"/>
              </w:rPr>
              <w:t>$</w:t>
            </w:r>
          </w:p>
        </w:tc>
        <w:tc>
          <w:tcPr>
            <w:tcW w:w="1240" w:type="dxa"/>
            <w:vAlign w:val="bottom"/>
            <w:vMerge w:val="restart"/>
          </w:tcPr>
          <w:p>
            <w:pPr>
              <w:jc w:val="right"/>
              <w:ind w:right="38"/>
              <w:spacing w:after="0"/>
              <w:rPr>
                <w:sz w:val="20"/>
                <w:szCs w:val="20"/>
                <w:color w:val="auto"/>
              </w:rPr>
            </w:pPr>
            <w:r>
              <w:rPr>
                <w:rFonts w:ascii="Arial" w:cs="Arial" w:eastAsia="Arial" w:hAnsi="Arial"/>
                <w:sz w:val="17"/>
                <w:szCs w:val="17"/>
                <w:color w:val="2573BA"/>
              </w:rPr>
              <w:t>117.3</w:t>
            </w:r>
          </w:p>
        </w:tc>
        <w:tc>
          <w:tcPr>
            <w:tcW w:w="480" w:type="dxa"/>
            <w:vAlign w:val="bottom"/>
            <w:gridSpan w:val="2"/>
            <w:vMerge w:val="restart"/>
          </w:tcPr>
          <w:p>
            <w:pPr>
              <w:jc w:val="right"/>
              <w:ind w:right="260"/>
              <w:spacing w:after="0"/>
              <w:rPr>
                <w:sz w:val="20"/>
                <w:szCs w:val="20"/>
                <w:color w:val="auto"/>
              </w:rPr>
            </w:pPr>
            <w:r>
              <w:rPr>
                <w:rFonts w:ascii="Arial" w:cs="Arial" w:eastAsia="Arial" w:hAnsi="Arial"/>
                <w:sz w:val="17"/>
                <w:szCs w:val="17"/>
                <w:color w:val="auto"/>
              </w:rPr>
              <w:t>$</w:t>
            </w:r>
          </w:p>
        </w:tc>
        <w:tc>
          <w:tcPr>
            <w:tcW w:w="1220" w:type="dxa"/>
            <w:vAlign w:val="bottom"/>
            <w:vMerge w:val="restart"/>
          </w:tcPr>
          <w:p>
            <w:pPr>
              <w:jc w:val="right"/>
              <w:ind w:right="17"/>
              <w:spacing w:after="0"/>
              <w:rPr>
                <w:sz w:val="20"/>
                <w:szCs w:val="20"/>
                <w:color w:val="auto"/>
              </w:rPr>
            </w:pPr>
            <w:r>
              <w:rPr>
                <w:rFonts w:ascii="Arial" w:cs="Arial" w:eastAsia="Arial" w:hAnsi="Arial"/>
                <w:sz w:val="17"/>
                <w:szCs w:val="17"/>
                <w:color w:val="auto"/>
              </w:rPr>
              <w:t>135.8</w:t>
            </w:r>
          </w:p>
        </w:tc>
        <w:tc>
          <w:tcPr>
            <w:tcW w:w="100" w:type="dxa"/>
            <w:vAlign w:val="bottom"/>
          </w:tcPr>
          <w:p>
            <w:pPr>
              <w:spacing w:after="0"/>
              <w:rPr>
                <w:sz w:val="17"/>
                <w:szCs w:val="17"/>
                <w:color w:val="auto"/>
              </w:rPr>
            </w:pPr>
          </w:p>
        </w:tc>
        <w:tc>
          <w:tcPr>
            <w:tcW w:w="480" w:type="dxa"/>
            <w:vAlign w:val="bottom"/>
            <w:vMerge w:val="restart"/>
          </w:tcPr>
          <w:p>
            <w:pPr>
              <w:jc w:val="right"/>
              <w:ind w:right="275"/>
              <w:spacing w:after="0"/>
              <w:rPr>
                <w:sz w:val="20"/>
                <w:szCs w:val="20"/>
                <w:color w:val="auto"/>
              </w:rPr>
            </w:pPr>
            <w:r>
              <w:rPr>
                <w:rFonts w:ascii="Arial" w:cs="Arial" w:eastAsia="Arial" w:hAnsi="Arial"/>
                <w:sz w:val="17"/>
                <w:szCs w:val="17"/>
                <w:color w:val="auto"/>
              </w:rPr>
              <w:t>$</w:t>
            </w:r>
          </w:p>
        </w:tc>
        <w:tc>
          <w:tcPr>
            <w:tcW w:w="1220" w:type="dxa"/>
            <w:vAlign w:val="bottom"/>
            <w:vMerge w:val="restart"/>
          </w:tcPr>
          <w:p>
            <w:pPr>
              <w:jc w:val="right"/>
              <w:ind w:right="17"/>
              <w:spacing w:after="0"/>
              <w:rPr>
                <w:sz w:val="20"/>
                <w:szCs w:val="20"/>
                <w:color w:val="auto"/>
              </w:rPr>
            </w:pPr>
            <w:r>
              <w:rPr>
                <w:rFonts w:ascii="Arial" w:cs="Arial" w:eastAsia="Arial" w:hAnsi="Arial"/>
                <w:sz w:val="17"/>
                <w:szCs w:val="17"/>
                <w:color w:val="auto"/>
              </w:rPr>
              <w:t>140.5</w:t>
            </w:r>
          </w:p>
        </w:tc>
        <w:tc>
          <w:tcPr>
            <w:tcW w:w="0" w:type="dxa"/>
            <w:vAlign w:val="bottom"/>
          </w:tcPr>
          <w:p>
            <w:pPr>
              <w:spacing w:after="0"/>
              <w:rPr>
                <w:sz w:val="1"/>
                <w:szCs w:val="1"/>
                <w:color w:val="auto"/>
              </w:rPr>
            </w:pPr>
          </w:p>
        </w:tc>
      </w:tr>
      <w:tr>
        <w:trPr>
          <w:trHeight w:val="204"/>
        </w:trPr>
        <w:tc>
          <w:tcPr>
            <w:tcW w:w="6280" w:type="dxa"/>
            <w:vAlign w:val="bottom"/>
          </w:tcPr>
          <w:p>
            <w:pPr>
              <w:ind w:left="160"/>
              <w:spacing w:after="0"/>
              <w:rPr>
                <w:sz w:val="20"/>
                <w:szCs w:val="20"/>
                <w:color w:val="auto"/>
              </w:rPr>
            </w:pPr>
            <w:r>
              <w:rPr>
                <w:rFonts w:ascii="Arial" w:cs="Arial" w:eastAsia="Arial" w:hAnsi="Arial"/>
                <w:sz w:val="17"/>
                <w:szCs w:val="17"/>
                <w:color w:val="auto"/>
              </w:rPr>
              <w:t>Biogen Inc.</w:t>
            </w:r>
          </w:p>
        </w:tc>
        <w:tc>
          <w:tcPr>
            <w:tcW w:w="380" w:type="dxa"/>
            <w:vAlign w:val="bottom"/>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ind w:left="5520"/>
              <w:spacing w:after="0"/>
              <w:rPr>
                <w:sz w:val="20"/>
                <w:szCs w:val="20"/>
                <w:color w:val="auto"/>
              </w:rPr>
            </w:pPr>
            <w:r>
              <w:rPr>
                <w:rFonts w:ascii="Arial" w:cs="Arial" w:eastAsia="Arial" w:hAnsi="Arial"/>
                <w:sz w:val="17"/>
                <w:szCs w:val="17"/>
                <w:color w:val="auto"/>
              </w:rPr>
              <w:t>F- 43</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62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3985895</wp:posOffset>
            </wp:positionH>
            <wp:positionV relativeFrom="paragraph">
              <wp:posOffset>-1706245</wp:posOffset>
            </wp:positionV>
            <wp:extent cx="1032510" cy="14147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0">
                      <a:extLst>
                        <a:ext uri="{28A0092B-C50C-407E-A947-70E740481C1C}"/>
                      </a:extLst>
                    </a:blip>
                    <a:srcRect/>
                    <a:stretch>
                      <a:fillRect/>
                    </a:stretch>
                  </pic:blipFill>
                  <pic:spPr bwMode="auto">
                    <a:xfrm>
                      <a:off x="0" y="0"/>
                      <a:ext cx="1032510" cy="1414780"/>
                    </a:xfrm>
                    <a:prstGeom prst="rect">
                      <a:avLst/>
                    </a:prstGeom>
                    <a:noFill/>
                  </pic:spPr>
                </pic:pic>
              </a:graphicData>
            </a:graphic>
          </wp:anchor>
        </w:drawing>
      </w:r>
    </w:p>
    <w:p>
      <w:pPr>
        <w:sectPr>
          <w:pgSz w:w="11900" w:h="16838" w:orient="portrait"/>
          <w:cols w:equalWidth="0" w:num="1">
            <w:col w:w="11400"/>
          </w:cols>
          <w:pgMar w:left="240" w:top="139" w:right="259" w:bottom="1440" w:gutter="0" w:footer="0" w:header="0"/>
        </w:sectPr>
      </w:pPr>
    </w:p>
    <w:bookmarkStart w:id="145" w:name="page146"/>
    <w:bookmarkEnd w:id="1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9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share-based compensation expense associated with each of our share-based compensation programs: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6"/>
          </w:tcPr>
          <w:p>
            <w:pPr>
              <w:jc w:val="right"/>
              <w:ind w:right="115"/>
              <w:spacing w:after="0"/>
              <w:rPr>
                <w:sz w:val="20"/>
                <w:szCs w:val="20"/>
                <w:color w:val="auto"/>
              </w:rPr>
            </w:pPr>
            <w:r>
              <w:rPr>
                <w:rFonts w:ascii="Arial" w:cs="Arial" w:eastAsia="Arial" w:hAnsi="Arial"/>
                <w:sz w:val="14"/>
                <w:szCs w:val="14"/>
                <w:b w:val="1"/>
                <w:bCs w:val="1"/>
                <w:color w:val="auto"/>
              </w:rPr>
              <w:t>For the Years Ended December 31,</w:t>
            </w:r>
          </w:p>
        </w:tc>
        <w:tc>
          <w:tcPr>
            <w:tcW w:w="1220" w:type="dxa"/>
            <w:vAlign w:val="bottom"/>
            <w:tcBorders>
              <w:bottom w:val="single" w:sz="8" w:color="auto"/>
            </w:tcBorders>
          </w:tcPr>
          <w:p>
            <w:pPr>
              <w:spacing w:after="0"/>
              <w:rPr>
                <w:sz w:val="16"/>
                <w:szCs w:val="16"/>
                <w:color w:val="auto"/>
              </w:rPr>
            </w:pPr>
          </w:p>
        </w:tc>
      </w:tr>
      <w:tr>
        <w:trPr>
          <w:trHeight w:val="249"/>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bottom w:val="single" w:sz="8" w:color="auto"/>
            </w:tcBorders>
            <w:shd w:val="clear" w:color="auto" w:fill="DDDDDD"/>
          </w:tcPr>
          <w:p>
            <w:pPr>
              <w:spacing w:after="0"/>
              <w:rPr>
                <w:sz w:val="21"/>
                <w:szCs w:val="21"/>
                <w:color w:val="auto"/>
              </w:rPr>
            </w:pPr>
          </w:p>
        </w:tc>
        <w:tc>
          <w:tcPr>
            <w:tcW w:w="1240" w:type="dxa"/>
            <w:vAlign w:val="bottom"/>
            <w:tcBorders>
              <w:bottom w:val="single" w:sz="8" w:color="auto"/>
            </w:tcBorders>
            <w:shd w:val="clear" w:color="auto" w:fill="DDDDDD"/>
          </w:tcPr>
          <w:p>
            <w:pPr>
              <w:jc w:val="right"/>
              <w:ind w:right="578"/>
              <w:spacing w:after="0"/>
              <w:rPr>
                <w:sz w:val="20"/>
                <w:szCs w:val="20"/>
                <w:color w:val="auto"/>
              </w:rPr>
            </w:pPr>
            <w:r>
              <w:rPr>
                <w:rFonts w:ascii="Arial" w:cs="Arial" w:eastAsia="Arial" w:hAnsi="Arial"/>
                <w:sz w:val="14"/>
                <w:szCs w:val="14"/>
                <w:b w:val="1"/>
                <w:bCs w:val="1"/>
                <w:color w:val="2573BA"/>
              </w:rPr>
              <w:t>2017</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2015</w:t>
            </w:r>
          </w:p>
        </w:tc>
      </w:tr>
      <w:tr>
        <w:trPr>
          <w:trHeight w:val="242"/>
        </w:trPr>
        <w:tc>
          <w:tcPr>
            <w:tcW w:w="6280" w:type="dxa"/>
            <w:vAlign w:val="bottom"/>
          </w:tcPr>
          <w:p>
            <w:pPr>
              <w:ind w:left="20"/>
              <w:spacing w:after="0"/>
              <w:rPr>
                <w:sz w:val="20"/>
                <w:szCs w:val="20"/>
                <w:color w:val="auto"/>
              </w:rPr>
            </w:pPr>
            <w:r>
              <w:rPr>
                <w:rFonts w:ascii="Arial" w:cs="Arial" w:eastAsia="Arial" w:hAnsi="Arial"/>
                <w:sz w:val="17"/>
                <w:szCs w:val="17"/>
                <w:color w:val="auto"/>
              </w:rPr>
              <w:t>Market stock units</w:t>
            </w:r>
          </w:p>
        </w:tc>
        <w:tc>
          <w:tcPr>
            <w:tcW w:w="380" w:type="dxa"/>
            <w:vAlign w:val="bottom"/>
            <w:shd w:val="clear" w:color="auto" w:fill="DDDDDD"/>
          </w:tcPr>
          <w:p>
            <w:pPr>
              <w:jc w:val="right"/>
              <w:ind w:right="175"/>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38"/>
              <w:spacing w:after="0"/>
              <w:rPr>
                <w:sz w:val="20"/>
                <w:szCs w:val="20"/>
                <w:color w:val="auto"/>
              </w:rPr>
            </w:pPr>
            <w:r>
              <w:rPr>
                <w:rFonts w:ascii="Arial" w:cs="Arial" w:eastAsia="Arial" w:hAnsi="Arial"/>
                <w:sz w:val="17"/>
                <w:szCs w:val="17"/>
                <w:color w:val="2573BA"/>
              </w:rPr>
              <w:t>22.4</w:t>
            </w:r>
          </w:p>
        </w:tc>
        <w:tc>
          <w:tcPr>
            <w:tcW w:w="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38.4</w:t>
            </w:r>
          </w:p>
        </w:tc>
        <w:tc>
          <w:tcPr>
            <w:tcW w:w="100" w:type="dxa"/>
            <w:vAlign w:val="bottom"/>
          </w:tcPr>
          <w:p>
            <w:pPr>
              <w:spacing w:after="0"/>
              <w:rPr>
                <w:sz w:val="21"/>
                <w:szCs w:val="21"/>
                <w:color w:val="auto"/>
              </w:rPr>
            </w:pPr>
          </w:p>
        </w:tc>
        <w:tc>
          <w:tcPr>
            <w:tcW w:w="480" w:type="dxa"/>
            <w:vAlign w:val="bottom"/>
          </w:tcPr>
          <w:p>
            <w:pPr>
              <w:jc w:val="right"/>
              <w:ind w:right="27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38.1</w:t>
            </w:r>
          </w:p>
        </w:tc>
      </w:tr>
      <w:tr>
        <w:trPr>
          <w:trHeight w:val="242"/>
        </w:trPr>
        <w:tc>
          <w:tcPr>
            <w:tcW w:w="6280" w:type="dxa"/>
            <w:vAlign w:val="bottom"/>
          </w:tcPr>
          <w:p>
            <w:pPr>
              <w:ind w:left="20"/>
              <w:spacing w:after="0"/>
              <w:rPr>
                <w:sz w:val="20"/>
                <w:szCs w:val="20"/>
                <w:color w:val="auto"/>
              </w:rPr>
            </w:pPr>
            <w:r>
              <w:rPr>
                <w:rFonts w:ascii="Arial" w:cs="Arial" w:eastAsia="Arial" w:hAnsi="Arial"/>
                <w:sz w:val="17"/>
                <w:szCs w:val="17"/>
                <w:color w:val="auto"/>
              </w:rPr>
              <w:t>Time-vested restricted stock units</w:t>
            </w:r>
          </w:p>
        </w:tc>
        <w:tc>
          <w:tcPr>
            <w:tcW w:w="380" w:type="dxa"/>
            <w:vAlign w:val="bottom"/>
          </w:tcPr>
          <w:p>
            <w:pPr>
              <w:spacing w:after="0"/>
              <w:rPr>
                <w:sz w:val="21"/>
                <w:szCs w:val="21"/>
                <w:color w:val="auto"/>
              </w:rPr>
            </w:pPr>
          </w:p>
        </w:tc>
        <w:tc>
          <w:tcPr>
            <w:tcW w:w="1240" w:type="dxa"/>
            <w:vAlign w:val="bottom"/>
          </w:tcPr>
          <w:p>
            <w:pPr>
              <w:jc w:val="right"/>
              <w:ind w:right="38"/>
              <w:spacing w:after="0"/>
              <w:rPr>
                <w:sz w:val="20"/>
                <w:szCs w:val="20"/>
                <w:color w:val="auto"/>
              </w:rPr>
            </w:pPr>
            <w:r>
              <w:rPr>
                <w:rFonts w:ascii="Arial" w:cs="Arial" w:eastAsia="Arial" w:hAnsi="Arial"/>
                <w:sz w:val="17"/>
                <w:szCs w:val="17"/>
                <w:color w:val="2573BA"/>
              </w:rPr>
              <w:t>107.3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120.0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119.0</w:t>
            </w:r>
          </w:p>
        </w:tc>
      </w:tr>
      <w:tr>
        <w:trPr>
          <w:trHeight w:val="256"/>
        </w:trPr>
        <w:tc>
          <w:tcPr>
            <w:tcW w:w="6280" w:type="dxa"/>
            <w:vAlign w:val="bottom"/>
          </w:tcPr>
          <w:p>
            <w:pPr>
              <w:ind w:left="20"/>
              <w:spacing w:after="0"/>
              <w:rPr>
                <w:sz w:val="20"/>
                <w:szCs w:val="20"/>
                <w:color w:val="auto"/>
              </w:rPr>
            </w:pPr>
            <w:r>
              <w:rPr>
                <w:rFonts w:ascii="Arial" w:cs="Arial" w:eastAsia="Arial" w:hAnsi="Arial"/>
                <w:sz w:val="17"/>
                <w:szCs w:val="17"/>
                <w:color w:val="auto"/>
              </w:rPr>
              <w:t>Cash settled performance units</w:t>
            </w:r>
          </w:p>
        </w:tc>
        <w:tc>
          <w:tcPr>
            <w:tcW w:w="380" w:type="dxa"/>
            <w:vAlign w:val="bottom"/>
          </w:tcPr>
          <w:p>
            <w:pPr>
              <w:spacing w:after="0"/>
              <w:rPr>
                <w:sz w:val="22"/>
                <w:szCs w:val="22"/>
                <w:color w:val="auto"/>
              </w:rPr>
            </w:pPr>
          </w:p>
        </w:tc>
        <w:tc>
          <w:tcPr>
            <w:tcW w:w="1240" w:type="dxa"/>
            <w:vAlign w:val="bottom"/>
          </w:tcPr>
          <w:p>
            <w:pPr>
              <w:jc w:val="right"/>
              <w:ind w:right="38"/>
              <w:spacing w:after="0"/>
              <w:rPr>
                <w:sz w:val="20"/>
                <w:szCs w:val="20"/>
                <w:color w:val="auto"/>
              </w:rPr>
            </w:pPr>
            <w:r>
              <w:rPr>
                <w:rFonts w:ascii="Arial" w:cs="Arial" w:eastAsia="Arial" w:hAnsi="Arial"/>
                <w:sz w:val="17"/>
                <w:szCs w:val="17"/>
                <w:color w:val="2573BA"/>
              </w:rPr>
              <w:t>18.4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16.3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22.4</w:t>
            </w:r>
          </w:p>
        </w:tc>
      </w:tr>
      <w:tr>
        <w:trPr>
          <w:trHeight w:val="256"/>
        </w:trPr>
        <w:tc>
          <w:tcPr>
            <w:tcW w:w="6280" w:type="dxa"/>
            <w:vAlign w:val="bottom"/>
          </w:tcPr>
          <w:p>
            <w:pPr>
              <w:ind w:left="20"/>
              <w:spacing w:after="0"/>
              <w:rPr>
                <w:sz w:val="20"/>
                <w:szCs w:val="20"/>
                <w:color w:val="auto"/>
              </w:rPr>
            </w:pPr>
            <w:r>
              <w:rPr>
                <w:rFonts w:ascii="Arial" w:cs="Arial" w:eastAsia="Arial" w:hAnsi="Arial"/>
                <w:sz w:val="17"/>
                <w:szCs w:val="17"/>
                <w:color w:val="auto"/>
              </w:rPr>
              <w:t>Performance units</w:t>
            </w:r>
          </w:p>
        </w:tc>
        <w:tc>
          <w:tcPr>
            <w:tcW w:w="380" w:type="dxa"/>
            <w:vAlign w:val="bottom"/>
          </w:tcPr>
          <w:p>
            <w:pPr>
              <w:spacing w:after="0"/>
              <w:rPr>
                <w:sz w:val="22"/>
                <w:szCs w:val="22"/>
                <w:color w:val="auto"/>
              </w:rPr>
            </w:pPr>
          </w:p>
        </w:tc>
        <w:tc>
          <w:tcPr>
            <w:tcW w:w="1240" w:type="dxa"/>
            <w:vAlign w:val="bottom"/>
          </w:tcPr>
          <w:p>
            <w:pPr>
              <w:jc w:val="right"/>
              <w:ind w:right="38"/>
              <w:spacing w:after="0"/>
              <w:rPr>
                <w:sz w:val="20"/>
                <w:szCs w:val="20"/>
                <w:color w:val="auto"/>
              </w:rPr>
            </w:pPr>
            <w:r>
              <w:rPr>
                <w:rFonts w:ascii="Arial" w:cs="Arial" w:eastAsia="Arial" w:hAnsi="Arial"/>
                <w:sz w:val="17"/>
                <w:szCs w:val="17"/>
                <w:color w:val="2573BA"/>
              </w:rPr>
              <w:t>12.3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18.6</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13.9</w:t>
            </w:r>
          </w:p>
        </w:tc>
      </w:tr>
      <w:tr>
        <w:trPr>
          <w:trHeight w:val="263"/>
        </w:trPr>
        <w:tc>
          <w:tcPr>
            <w:tcW w:w="6280" w:type="dxa"/>
            <w:vAlign w:val="bottom"/>
          </w:tcPr>
          <w:p>
            <w:pPr>
              <w:ind w:left="20"/>
              <w:spacing w:after="0"/>
              <w:rPr>
                <w:sz w:val="20"/>
                <w:szCs w:val="20"/>
                <w:color w:val="auto"/>
              </w:rPr>
            </w:pPr>
            <w:r>
              <w:rPr>
                <w:rFonts w:ascii="Arial" w:cs="Arial" w:eastAsia="Arial" w:hAnsi="Arial"/>
                <w:sz w:val="17"/>
                <w:szCs w:val="17"/>
                <w:color w:val="auto"/>
              </w:rPr>
              <w:t>Employee stock purchase plan</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2573BA"/>
              </w:rPr>
              <w:t>9.3</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11.1</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13.9</w:t>
            </w:r>
          </w:p>
        </w:tc>
      </w:tr>
      <w:tr>
        <w:trPr>
          <w:trHeight w:val="229"/>
        </w:trPr>
        <w:tc>
          <w:tcPr>
            <w:tcW w:w="6280" w:type="dxa"/>
            <w:vAlign w:val="bottom"/>
          </w:tcPr>
          <w:p>
            <w:pPr>
              <w:ind w:left="160"/>
              <w:spacing w:after="0"/>
              <w:rPr>
                <w:sz w:val="20"/>
                <w:szCs w:val="20"/>
                <w:color w:val="auto"/>
              </w:rPr>
            </w:pPr>
            <w:r>
              <w:rPr>
                <w:rFonts w:ascii="Arial" w:cs="Arial" w:eastAsia="Arial" w:hAnsi="Arial"/>
                <w:sz w:val="17"/>
                <w:szCs w:val="17"/>
                <w:color w:val="auto"/>
              </w:rPr>
              <w:t>Subtotal</w:t>
            </w:r>
          </w:p>
        </w:tc>
        <w:tc>
          <w:tcPr>
            <w:tcW w:w="380" w:type="dxa"/>
            <w:vAlign w:val="bottom"/>
          </w:tcPr>
          <w:p>
            <w:pPr>
              <w:spacing w:after="0"/>
              <w:rPr>
                <w:sz w:val="19"/>
                <w:szCs w:val="19"/>
                <w:color w:val="auto"/>
              </w:rPr>
            </w:pPr>
          </w:p>
        </w:tc>
        <w:tc>
          <w:tcPr>
            <w:tcW w:w="1240" w:type="dxa"/>
            <w:vAlign w:val="bottom"/>
          </w:tcPr>
          <w:p>
            <w:pPr>
              <w:jc w:val="right"/>
              <w:ind w:right="38"/>
              <w:spacing w:after="0"/>
              <w:rPr>
                <w:sz w:val="20"/>
                <w:szCs w:val="20"/>
                <w:color w:val="auto"/>
              </w:rPr>
            </w:pPr>
            <w:r>
              <w:rPr>
                <w:rFonts w:ascii="Arial" w:cs="Arial" w:eastAsia="Arial" w:hAnsi="Arial"/>
                <w:sz w:val="17"/>
                <w:szCs w:val="17"/>
                <w:color w:val="2573BA"/>
              </w:rPr>
              <w:t>169.7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204.4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207.3</w:t>
            </w:r>
          </w:p>
        </w:tc>
      </w:tr>
      <w:tr>
        <w:trPr>
          <w:trHeight w:val="263"/>
        </w:trPr>
        <w:tc>
          <w:tcPr>
            <w:tcW w:w="6280" w:type="dxa"/>
            <w:vAlign w:val="bottom"/>
          </w:tcPr>
          <w:p>
            <w:pPr>
              <w:ind w:left="20"/>
              <w:spacing w:after="0"/>
              <w:rPr>
                <w:sz w:val="20"/>
                <w:szCs w:val="20"/>
                <w:color w:val="auto"/>
              </w:rPr>
            </w:pPr>
            <w:r>
              <w:rPr>
                <w:rFonts w:ascii="Arial" w:cs="Arial" w:eastAsia="Arial" w:hAnsi="Arial"/>
                <w:sz w:val="17"/>
                <w:szCs w:val="17"/>
                <w:color w:val="auto"/>
              </w:rPr>
              <w:t>Capitalized share-based compensation costs</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(9.6)</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w:t>
            </w:r>
          </w:p>
        </w:tc>
      </w:tr>
      <w:tr>
        <w:trPr>
          <w:trHeight w:val="236"/>
        </w:trPr>
        <w:tc>
          <w:tcPr>
            <w:tcW w:w="6280" w:type="dxa"/>
            <w:vAlign w:val="bottom"/>
          </w:tcPr>
          <w:p>
            <w:pPr>
              <w:ind w:left="160"/>
              <w:spacing w:after="0"/>
              <w:rPr>
                <w:sz w:val="20"/>
                <w:szCs w:val="20"/>
                <w:color w:val="auto"/>
              </w:rPr>
            </w:pPr>
            <w:r>
              <w:rPr>
                <w:rFonts w:ascii="Arial" w:cs="Arial" w:eastAsia="Arial" w:hAnsi="Arial"/>
                <w:sz w:val="17"/>
                <w:szCs w:val="17"/>
                <w:color w:val="auto"/>
              </w:rPr>
              <w:t>Share-based compensation expense included in total cost and expenses</w:t>
            </w:r>
          </w:p>
        </w:tc>
        <w:tc>
          <w:tcPr>
            <w:tcW w:w="380" w:type="dxa"/>
            <w:vAlign w:val="bottom"/>
          </w:tcPr>
          <w:p>
            <w:pPr>
              <w:jc w:val="right"/>
              <w:ind w:right="175"/>
              <w:spacing w:after="0"/>
              <w:rPr>
                <w:sz w:val="20"/>
                <w:szCs w:val="20"/>
                <w:color w:val="auto"/>
              </w:rPr>
            </w:pPr>
            <w:r>
              <w:rPr>
                <w:rFonts w:ascii="Arial" w:cs="Arial" w:eastAsia="Arial" w:hAnsi="Arial"/>
                <w:sz w:val="17"/>
                <w:szCs w:val="17"/>
                <w:color w:val="2573BA"/>
              </w:rPr>
              <w:t>$</w:t>
            </w:r>
          </w:p>
        </w:tc>
        <w:tc>
          <w:tcPr>
            <w:tcW w:w="1240" w:type="dxa"/>
            <w:vAlign w:val="bottom"/>
          </w:tcPr>
          <w:p>
            <w:pPr>
              <w:jc w:val="right"/>
              <w:ind w:right="38"/>
              <w:spacing w:after="0"/>
              <w:rPr>
                <w:sz w:val="20"/>
                <w:szCs w:val="20"/>
                <w:color w:val="auto"/>
              </w:rPr>
            </w:pPr>
            <w:r>
              <w:rPr>
                <w:rFonts w:ascii="Arial" w:cs="Arial" w:eastAsia="Arial" w:hAnsi="Arial"/>
                <w:sz w:val="17"/>
                <w:szCs w:val="17"/>
                <w:color w:val="2573BA"/>
              </w:rPr>
              <w:t>160.1</w:t>
            </w:r>
          </w:p>
        </w:tc>
        <w:tc>
          <w:tcPr>
            <w:tcW w:w="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189.8</w:t>
            </w:r>
          </w:p>
        </w:tc>
        <w:tc>
          <w:tcPr>
            <w:tcW w:w="100" w:type="dxa"/>
            <w:vAlign w:val="bottom"/>
          </w:tcPr>
          <w:p>
            <w:pPr>
              <w:spacing w:after="0"/>
              <w:rPr>
                <w:sz w:val="20"/>
                <w:szCs w:val="20"/>
                <w:color w:val="auto"/>
              </w:rPr>
            </w:pPr>
          </w:p>
        </w:tc>
        <w:tc>
          <w:tcPr>
            <w:tcW w:w="480" w:type="dxa"/>
            <w:vAlign w:val="bottom"/>
          </w:tcPr>
          <w:p>
            <w:pPr>
              <w:jc w:val="right"/>
              <w:ind w:right="27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196.3</w:t>
            </w:r>
          </w:p>
        </w:tc>
      </w:tr>
      <w:tr>
        <w:trPr>
          <w:trHeight w:val="20"/>
        </w:trPr>
        <w:tc>
          <w:tcPr>
            <w:tcW w:w="6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3985895</wp:posOffset>
            </wp:positionH>
            <wp:positionV relativeFrom="paragraph">
              <wp:posOffset>-1324610</wp:posOffset>
            </wp:positionV>
            <wp:extent cx="1032510" cy="13093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1">
                      <a:extLst>
                        <a:ext uri="{28A0092B-C50C-407E-A947-70E740481C1C}"/>
                      </a:extLst>
                    </a:blip>
                    <a:srcRect/>
                    <a:stretch>
                      <a:fillRect/>
                    </a:stretch>
                  </pic:blipFill>
                  <pic:spPr bwMode="auto">
                    <a:xfrm>
                      <a:off x="0" y="0"/>
                      <a:ext cx="1032510" cy="1309370"/>
                    </a:xfrm>
                    <a:prstGeom prst="rect">
                      <a:avLst/>
                    </a:prstGeom>
                    <a:noFill/>
                  </pic:spPr>
                </pic:pic>
              </a:graphicData>
            </a:graphic>
          </wp:anchor>
        </w:drawing>
      </w:r>
    </w:p>
    <w:p>
      <w:pPr>
        <w:spacing w:after="0" w:line="133" w:lineRule="exact"/>
        <w:rPr>
          <w:sz w:val="20"/>
          <w:szCs w:val="20"/>
          <w:color w:val="auto"/>
        </w:rPr>
      </w:pPr>
    </w:p>
    <w:p>
      <w:pPr>
        <w:ind w:right="260" w:firstLine="410"/>
        <w:spacing w:after="0" w:line="262" w:lineRule="auto"/>
        <w:rPr>
          <w:sz w:val="20"/>
          <w:szCs w:val="20"/>
          <w:color w:val="auto"/>
        </w:rPr>
      </w:pPr>
      <w:r>
        <w:rPr>
          <w:rFonts w:ascii="Arial" w:cs="Arial" w:eastAsia="Arial" w:hAnsi="Arial"/>
          <w:sz w:val="17"/>
          <w:szCs w:val="17"/>
          <w:color w:val="auto"/>
        </w:rPr>
        <w:t>As of December 31, 2017, unrecognized compensation cost related to unvested share-based compensation was approximately $168.0 million, net of estimated forfeitures. We expect to recognize the cost of these unvested awards over a weighted-average period of 1.9 years.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Spin-off Related Equity Adjustments</w:t>
      </w:r>
    </w:p>
    <w:p>
      <w:pPr>
        <w:spacing w:after="0" w:line="106" w:lineRule="exact"/>
        <w:rPr>
          <w:sz w:val="20"/>
          <w:szCs w:val="20"/>
          <w:color w:val="auto"/>
        </w:rPr>
      </w:pPr>
    </w:p>
    <w:p>
      <w:pPr>
        <w:ind w:right="100" w:firstLine="410"/>
        <w:spacing w:after="0" w:line="253" w:lineRule="auto"/>
        <w:rPr>
          <w:sz w:val="20"/>
          <w:szCs w:val="20"/>
          <w:color w:val="auto"/>
        </w:rPr>
      </w:pPr>
      <w:r>
        <w:rPr>
          <w:rFonts w:ascii="Arial" w:cs="Arial" w:eastAsia="Arial" w:hAnsi="Arial"/>
          <w:sz w:val="17"/>
          <w:szCs w:val="17"/>
          <w:color w:val="auto"/>
        </w:rPr>
        <w:t>Pursuant to an employee matters agreement entered into in connection with the spin-off of our hemophilia business and the provisions of our existing share-based compensation arrangements, we made certain adjustments to the number and terms of our outstanding stock options, RSUs, CSPUs and other share-based awards to preserve the intrinsic value of the awards immediately before and after the spin-off. For purposes of the vesting of these equity awards, continued employment or service with Biogen or with Bioverativ was treated as continued employment for purposes of both Biogen’s and Bioverativ’s equity awards with the outstanding awards continuing to vest over their respective original vesting periods. Outstanding unvested awards for employees transferring to Bioverativ were converted to unvested Bioverativ awards.</w:t>
      </w:r>
    </w:p>
    <w:p>
      <w:pPr>
        <w:spacing w:after="0" w:line="147" w:lineRule="exact"/>
        <w:rPr>
          <w:sz w:val="20"/>
          <w:szCs w:val="20"/>
          <w:color w:val="auto"/>
        </w:rPr>
      </w:pPr>
    </w:p>
    <w:p>
      <w:pPr>
        <w:ind w:right="60" w:firstLine="410"/>
        <w:spacing w:after="0" w:line="254" w:lineRule="auto"/>
        <w:rPr>
          <w:sz w:val="20"/>
          <w:szCs w:val="20"/>
          <w:color w:val="auto"/>
        </w:rPr>
      </w:pPr>
      <w:r>
        <w:rPr>
          <w:rFonts w:ascii="Arial" w:cs="Arial" w:eastAsia="Arial" w:hAnsi="Arial"/>
          <w:sz w:val="17"/>
          <w:szCs w:val="17"/>
          <w:color w:val="auto"/>
        </w:rPr>
        <w:t>Adjustments to the number of our share-based compensation awards were made using an adjustment ratio based upon the weighted-average closing price of our common stock for the 10 calendar days prior to the effective date of the spin-off and the volume-weighted average prices for the 10 calendar days of our common stock following the effective date of the spin-off. For stock options, the exercise prices of the awards were modified to maintain the pre-spin intrinsic value of the awards in relation to the post-spin stock price of Biogen. The difference between the fair value of the awards based upon the adjustment ratio and the opening price on the distribution date was not material.</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Share-Based Compensation Plans</w:t>
      </w:r>
    </w:p>
    <w:p>
      <w:pPr>
        <w:spacing w:after="0" w:line="106" w:lineRule="exact"/>
        <w:rPr>
          <w:sz w:val="20"/>
          <w:szCs w:val="20"/>
          <w:color w:val="auto"/>
        </w:rPr>
      </w:pPr>
    </w:p>
    <w:p>
      <w:pPr>
        <w:ind w:right="180" w:firstLine="410"/>
        <w:spacing w:after="0" w:line="257" w:lineRule="auto"/>
        <w:rPr>
          <w:sz w:val="20"/>
          <w:szCs w:val="20"/>
          <w:color w:val="auto"/>
        </w:rPr>
      </w:pPr>
      <w:r>
        <w:rPr>
          <w:rFonts w:ascii="Arial" w:cs="Arial" w:eastAsia="Arial" w:hAnsi="Arial"/>
          <w:sz w:val="17"/>
          <w:szCs w:val="17"/>
          <w:color w:val="auto"/>
        </w:rPr>
        <w:t>We have three share-based compensation plans pursuant to which awards are currently being made: (i) the Biogen Inc. 2006 Non-Employee Directors Equity Plan (2006 Directors Plan); (ii) the Biogen Inc. 2017 Omnibus Equity Plan (2017 Omnibus Equity Plan); and (iii) the Biogen Inc. 2015 Employee Stock Purchase Plan (2015 ESPP).</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Directors Plan</w:t>
      </w:r>
    </w:p>
    <w:p>
      <w:pPr>
        <w:spacing w:after="0" w:line="104"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In May 2006 our shareholders approved the 2006 Directors Plan for share-based awards to our directors. Awards granted from the 2006 Directors Plan may include stock options, shares of restricted stock, RSUs, stock appreciation rights and other awards in such amounts and with such terms and conditions as may be determined by a committee of our Board of Directors, subject to the provisions of the plan. We have reserved a total of 1.6 million shares of common stock for issuance under the 2006 Directors Plan. The 2006 Directors Plan provides that awards other than stock options and stock appreciation rights will be counted against the total number of shares reserved under the plan in a 1.5-to-1 ratio. In June 2015 our shareholders approved an amendment to extend the term of the 2006 Directors Plan until June 2025.</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F- 44</w:t>
      </w:r>
    </w:p>
    <w:p>
      <w:pPr>
        <w:sectPr>
          <w:pgSz w:w="11900" w:h="16838" w:orient="portrait"/>
          <w:cols w:equalWidth="0" w:num="1">
            <w:col w:w="11420"/>
          </w:cols>
          <w:pgMar w:left="240" w:top="139" w:right="239" w:bottom="1440" w:gutter="0" w:footer="0" w:header="0"/>
        </w:sectPr>
      </w:pPr>
    </w:p>
    <w:bookmarkStart w:id="146" w:name="page147"/>
    <w:bookmarkEnd w:id="1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Omnibus Plan</w:t>
      </w:r>
    </w:p>
    <w:p>
      <w:pPr>
        <w:spacing w:after="0" w:line="104"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In June 2017 our shareholders approved the 2017 Omnibus Equity Plan for share-based awards to our employees. Awards granted from the 2017 Omnibus Equity Plan may include stock options, shares of restricted stock, RSUs, performance shares, stock appreciation rights and other awards in such amounts and with such terms and conditions as may be determined by a committee of our Board of Directors, subject to the provisions of the plan. Shares of common stock available for grant under the 2017 Omnibus Equity Plan consist of 8.0 million shares reserved for this purpose, plus shares of common stock that remained available for grant under our 2008 Omnibus Equity Plan as of June 7, 2017 or that could again become available for grant if outstanding awards under the 2008 Omnibus Equity Plan as of June 7, 2017 are cancelled, surrendered or terminated in whole or in part. The 2017 Omnibus Equity Plan provides that awards other than stock options and stock appreciation rights will be counted against the total number of shares available under the plan in a 1.5-to-1 ratio.</w:t>
      </w:r>
    </w:p>
    <w:p>
      <w:pPr>
        <w:spacing w:after="0" w:line="144" w:lineRule="exact"/>
        <w:rPr>
          <w:sz w:val="20"/>
          <w:szCs w:val="20"/>
          <w:color w:val="auto"/>
        </w:rPr>
      </w:pPr>
    </w:p>
    <w:p>
      <w:pPr>
        <w:jc w:val="both"/>
        <w:ind w:right="100" w:firstLine="410"/>
        <w:spacing w:after="0" w:line="257" w:lineRule="auto"/>
        <w:rPr>
          <w:sz w:val="20"/>
          <w:szCs w:val="20"/>
          <w:color w:val="auto"/>
        </w:rPr>
      </w:pPr>
      <w:r>
        <w:rPr>
          <w:rFonts w:ascii="Arial" w:cs="Arial" w:eastAsia="Arial" w:hAnsi="Arial"/>
          <w:sz w:val="17"/>
          <w:szCs w:val="17"/>
          <w:color w:val="auto"/>
        </w:rPr>
        <w:t>We have not made any awards pursuant to the 2008 Omnibus Equity Plan since our shareholders approved the 2017 Omnibus Equity Plan, and do not intend to make any awards pursuant to the 2008 Omnibus Equity Plan in the future, except that unused shares under the 2008 Omnibus Equity Plan have been carried over for use under the 2017 Omnibus Equity Plan.</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Stock Options</w:t>
      </w:r>
    </w:p>
    <w:p>
      <w:pPr>
        <w:spacing w:after="0" w:line="106"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We currently do not grant stock options to our employees or directors. Outstanding stock options previously granted to our employees and directors generally have a ten-year term and vest over a period of between one and four years, provided the individual continues to serve at Biogen through the vesting dates. Options granted under all plans are exercisable at a price per share not less than the fair market value of the underlying common stock on the date of grant. The estimated fair value of options, including the effect of estimated forfeitures, is recognized over the options’ vesting periods. The fair value of the stock options granted in 2010 was estimated as of the date of grant using a Black-Scholes option valuation model. There were no grants of stock options made in 2017, 2016 and 2015. As of December 31, 2017, all outstanding options were exercisable.</w:t>
      </w:r>
    </w:p>
    <w:p>
      <w:pPr>
        <w:spacing w:after="0" w:line="147"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The expected life of options granted is derived using assumed exercise rates based on historical exercise patterns and represents the period of time that options granted are expected to be outstanding. Expected stock price volatility is based upon implied volatility for our exchange-traded options and other factors, including historical volatility. After assessing all available information on either historical volatility, implied volatility or both, we have concluded that a combination of both historical and implied volatility provides the best estimate of expected volatility. The risk-free interest rate used is determined by the market yield curve based upon risk-free interest rates established by the Federal Reserve, or non-coupon bonds that have maturities equal to the expected term. The dividend yield of zero is based upon the fact that we have not historically granted cash dividends, and do not expect to issue dividends in the foreseeable future. Stock options granted prior to January 1, 2006 were valued based on the grant date fair value of those awards, using the Black-Scholes option pricing model, as previously calculated for pro-forma disclosures.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our stock option activity:</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ind w:right="41"/>
              <w:spacing w:after="0"/>
              <w:rPr>
                <w:sz w:val="20"/>
                <w:szCs w:val="20"/>
                <w:color w:val="auto"/>
              </w:rPr>
            </w:pPr>
            <w:r>
              <w:rPr>
                <w:rFonts w:ascii="Arial" w:cs="Arial" w:eastAsia="Arial" w:hAnsi="Arial"/>
                <w:sz w:val="14"/>
                <w:szCs w:val="14"/>
                <w:b w:val="1"/>
                <w:bCs w:val="1"/>
                <w:color w:val="auto"/>
                <w:w w:val="98"/>
              </w:rPr>
              <w:t>Weighted</w:t>
            </w:r>
          </w:p>
        </w:tc>
      </w:tr>
      <w:tr>
        <w:trPr>
          <w:trHeight w:val="154"/>
        </w:trPr>
        <w:tc>
          <w:tcPr>
            <w:tcW w:w="76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jc w:val="center"/>
              <w:ind w:right="41"/>
              <w:spacing w:after="0" w:line="154" w:lineRule="exact"/>
              <w:rPr>
                <w:sz w:val="20"/>
                <w:szCs w:val="20"/>
                <w:color w:val="auto"/>
              </w:rPr>
            </w:pPr>
            <w:r>
              <w:rPr>
                <w:rFonts w:ascii="Arial" w:cs="Arial" w:eastAsia="Arial" w:hAnsi="Arial"/>
                <w:sz w:val="14"/>
                <w:szCs w:val="14"/>
                <w:b w:val="1"/>
                <w:bCs w:val="1"/>
                <w:color w:val="auto"/>
                <w:w w:val="97"/>
              </w:rPr>
              <w:t>Average</w:t>
            </w:r>
          </w:p>
        </w:tc>
      </w:tr>
      <w:tr>
        <w:trPr>
          <w:trHeight w:val="154"/>
        </w:trPr>
        <w:tc>
          <w:tcPr>
            <w:tcW w:w="76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jc w:val="center"/>
              <w:ind w:right="21"/>
              <w:spacing w:after="0" w:line="154" w:lineRule="exact"/>
              <w:rPr>
                <w:sz w:val="20"/>
                <w:szCs w:val="20"/>
                <w:color w:val="auto"/>
              </w:rPr>
            </w:pPr>
            <w:r>
              <w:rPr>
                <w:rFonts w:ascii="Arial" w:cs="Arial" w:eastAsia="Arial" w:hAnsi="Arial"/>
                <w:sz w:val="14"/>
                <w:szCs w:val="14"/>
                <w:b w:val="1"/>
                <w:bCs w:val="1"/>
                <w:color w:val="auto"/>
                <w:w w:val="97"/>
              </w:rPr>
              <w:t>Exercise</w:t>
            </w:r>
          </w:p>
        </w:tc>
      </w:tr>
      <w:tr>
        <w:trPr>
          <w:trHeight w:val="184"/>
        </w:trPr>
        <w:tc>
          <w:tcPr>
            <w:tcW w:w="7620" w:type="dxa"/>
            <w:vAlign w:val="bottom"/>
          </w:tcPr>
          <w:p>
            <w:pPr>
              <w:spacing w:after="0"/>
              <w:rPr>
                <w:sz w:val="15"/>
                <w:szCs w:val="15"/>
                <w:color w:val="auto"/>
              </w:rPr>
            </w:pPr>
          </w:p>
        </w:tc>
        <w:tc>
          <w:tcPr>
            <w:tcW w:w="18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DDDDDD"/>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9"/>
              </w:rPr>
              <w:t>Price</w:t>
            </w:r>
          </w:p>
        </w:tc>
      </w:tr>
      <w:tr>
        <w:trPr>
          <w:trHeight w:val="229"/>
        </w:trPr>
        <w:tc>
          <w:tcPr>
            <w:tcW w:w="7620" w:type="dxa"/>
            <w:vAlign w:val="bottom"/>
          </w:tcPr>
          <w:p>
            <w:pPr>
              <w:spacing w:after="0"/>
              <w:rPr>
                <w:sz w:val="20"/>
                <w:szCs w:val="20"/>
                <w:color w:val="auto"/>
              </w:rPr>
            </w:pPr>
            <w:r>
              <w:rPr>
                <w:rFonts w:ascii="Arial" w:cs="Arial" w:eastAsia="Arial" w:hAnsi="Arial"/>
                <w:sz w:val="17"/>
                <w:szCs w:val="17"/>
                <w:color w:val="auto"/>
              </w:rPr>
              <w:t>Outstanding at December 31, 2016</w:t>
            </w:r>
          </w:p>
        </w:tc>
        <w:tc>
          <w:tcPr>
            <w:tcW w:w="184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66,000</w:t>
            </w:r>
          </w:p>
        </w:tc>
        <w:tc>
          <w:tcPr>
            <w:tcW w:w="220" w:type="dxa"/>
            <w:vAlign w:val="bottom"/>
            <w:gridSpan w:val="2"/>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700" w:type="dxa"/>
            <w:vAlign w:val="bottom"/>
            <w:shd w:val="clear" w:color="auto" w:fill="DDDDDD"/>
          </w:tcPr>
          <w:p>
            <w:pPr>
              <w:jc w:val="right"/>
              <w:ind w:right="21"/>
              <w:spacing w:after="0"/>
              <w:rPr>
                <w:sz w:val="20"/>
                <w:szCs w:val="20"/>
                <w:color w:val="auto"/>
              </w:rPr>
            </w:pPr>
            <w:r>
              <w:rPr>
                <w:rFonts w:ascii="Arial" w:cs="Arial" w:eastAsia="Arial" w:hAnsi="Arial"/>
                <w:sz w:val="17"/>
                <w:szCs w:val="17"/>
                <w:color w:val="2573BA"/>
              </w:rPr>
              <w:t>54.06</w:t>
            </w:r>
          </w:p>
        </w:tc>
      </w:tr>
      <w:tr>
        <w:trPr>
          <w:trHeight w:val="256"/>
        </w:trPr>
        <w:tc>
          <w:tcPr>
            <w:tcW w:w="7620" w:type="dxa"/>
            <w:vAlign w:val="bottom"/>
          </w:tcPr>
          <w:p>
            <w:pPr>
              <w:ind w:left="140"/>
              <w:spacing w:after="0"/>
              <w:rPr>
                <w:sz w:val="20"/>
                <w:szCs w:val="20"/>
                <w:color w:val="auto"/>
              </w:rPr>
            </w:pPr>
            <w:r>
              <w:rPr>
                <w:rFonts w:ascii="Arial" w:cs="Arial" w:eastAsia="Arial" w:hAnsi="Arial"/>
                <w:sz w:val="17"/>
                <w:szCs w:val="17"/>
                <w:color w:val="auto"/>
              </w:rPr>
              <w:t>Hemophilia spin-off adjustment</w:t>
            </w:r>
          </w:p>
        </w:tc>
        <w:tc>
          <w:tcPr>
            <w:tcW w:w="184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w:t>
            </w:r>
          </w:p>
        </w:tc>
        <w:tc>
          <w:tcPr>
            <w:tcW w:w="220" w:type="dxa"/>
            <w:vAlign w:val="bottom"/>
            <w:gridSpan w:val="2"/>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700" w:type="dxa"/>
            <w:vAlign w:val="bottom"/>
            <w:shd w:val="clear" w:color="auto" w:fill="DDDDDD"/>
          </w:tcPr>
          <w:p>
            <w:pPr>
              <w:jc w:val="right"/>
              <w:ind w:right="21"/>
              <w:spacing w:after="0"/>
              <w:rPr>
                <w:sz w:val="20"/>
                <w:szCs w:val="20"/>
                <w:color w:val="auto"/>
              </w:rPr>
            </w:pPr>
            <w:r>
              <w:rPr>
                <w:rFonts w:ascii="Arial" w:cs="Arial" w:eastAsia="Arial" w:hAnsi="Arial"/>
                <w:sz w:val="17"/>
                <w:szCs w:val="17"/>
                <w:color w:val="2573BA"/>
              </w:rPr>
              <w:t>—</w:t>
            </w:r>
          </w:p>
        </w:tc>
      </w:tr>
      <w:tr>
        <w:trPr>
          <w:trHeight w:val="256"/>
        </w:trPr>
        <w:tc>
          <w:tcPr>
            <w:tcW w:w="7620" w:type="dxa"/>
            <w:vAlign w:val="bottom"/>
          </w:tcPr>
          <w:p>
            <w:pPr>
              <w:ind w:left="140"/>
              <w:spacing w:after="0"/>
              <w:rPr>
                <w:sz w:val="20"/>
                <w:szCs w:val="20"/>
                <w:color w:val="auto"/>
              </w:rPr>
            </w:pPr>
            <w:r>
              <w:rPr>
                <w:rFonts w:ascii="Arial" w:cs="Arial" w:eastAsia="Arial" w:hAnsi="Arial"/>
                <w:sz w:val="17"/>
                <w:szCs w:val="17"/>
                <w:color w:val="auto"/>
              </w:rPr>
              <w:t>Granted</w:t>
            </w:r>
          </w:p>
        </w:tc>
        <w:tc>
          <w:tcPr>
            <w:tcW w:w="184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w:t>
            </w:r>
          </w:p>
        </w:tc>
        <w:tc>
          <w:tcPr>
            <w:tcW w:w="100" w:type="dxa"/>
            <w:vAlign w:val="bottom"/>
            <w:shd w:val="clear" w:color="auto" w:fill="DDDDDD"/>
          </w:tcPr>
          <w:p>
            <w:pPr>
              <w:spacing w:after="0"/>
              <w:rPr>
                <w:sz w:val="22"/>
                <w:szCs w:val="22"/>
                <w:color w:val="auto"/>
              </w:rPr>
            </w:pPr>
          </w:p>
        </w:tc>
        <w:tc>
          <w:tcPr>
            <w:tcW w:w="1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700" w:type="dxa"/>
            <w:vAlign w:val="bottom"/>
            <w:shd w:val="clear" w:color="auto" w:fill="DDDDDD"/>
          </w:tcPr>
          <w:p>
            <w:pPr>
              <w:jc w:val="right"/>
              <w:ind w:right="21"/>
              <w:spacing w:after="0"/>
              <w:rPr>
                <w:sz w:val="20"/>
                <w:szCs w:val="20"/>
                <w:color w:val="auto"/>
              </w:rPr>
            </w:pPr>
            <w:r>
              <w:rPr>
                <w:rFonts w:ascii="Arial" w:cs="Arial" w:eastAsia="Arial" w:hAnsi="Arial"/>
                <w:sz w:val="17"/>
                <w:szCs w:val="17"/>
                <w:color w:val="2573BA"/>
              </w:rPr>
              <w:t>—</w:t>
            </w:r>
          </w:p>
        </w:tc>
      </w:tr>
      <w:tr>
        <w:trPr>
          <w:trHeight w:val="256"/>
        </w:trPr>
        <w:tc>
          <w:tcPr>
            <w:tcW w:w="7620" w:type="dxa"/>
            <w:vAlign w:val="bottom"/>
          </w:tcPr>
          <w:p>
            <w:pPr>
              <w:ind w:left="140"/>
              <w:spacing w:after="0"/>
              <w:rPr>
                <w:sz w:val="20"/>
                <w:szCs w:val="20"/>
                <w:color w:val="auto"/>
              </w:rPr>
            </w:pPr>
            <w:r>
              <w:rPr>
                <w:rFonts w:ascii="Arial" w:cs="Arial" w:eastAsia="Arial" w:hAnsi="Arial"/>
                <w:sz w:val="17"/>
                <w:szCs w:val="17"/>
                <w:color w:val="auto"/>
              </w:rPr>
              <w:t>Exercised</w:t>
            </w:r>
          </w:p>
        </w:tc>
        <w:tc>
          <w:tcPr>
            <w:tcW w:w="184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(14,000)</w:t>
            </w:r>
          </w:p>
        </w:tc>
        <w:tc>
          <w:tcPr>
            <w:tcW w:w="100" w:type="dxa"/>
            <w:vAlign w:val="bottom"/>
            <w:shd w:val="clear" w:color="auto" w:fill="DDDDDD"/>
          </w:tcPr>
          <w:p>
            <w:pPr>
              <w:spacing w:after="0"/>
              <w:rPr>
                <w:sz w:val="22"/>
                <w:szCs w:val="22"/>
                <w:color w:val="auto"/>
              </w:rPr>
            </w:pPr>
          </w:p>
        </w:tc>
        <w:tc>
          <w:tcPr>
            <w:tcW w:w="1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700" w:type="dxa"/>
            <w:vAlign w:val="bottom"/>
            <w:shd w:val="clear" w:color="auto" w:fill="DDDDDD"/>
          </w:tcPr>
          <w:p>
            <w:pPr>
              <w:jc w:val="right"/>
              <w:ind w:right="21"/>
              <w:spacing w:after="0"/>
              <w:rPr>
                <w:sz w:val="20"/>
                <w:szCs w:val="20"/>
                <w:color w:val="auto"/>
              </w:rPr>
            </w:pPr>
            <w:r>
              <w:rPr>
                <w:rFonts w:ascii="Arial" w:cs="Arial" w:eastAsia="Arial" w:hAnsi="Arial"/>
                <w:sz w:val="17"/>
                <w:szCs w:val="17"/>
                <w:color w:val="2573BA"/>
              </w:rPr>
              <w:t>50.89</w:t>
            </w:r>
          </w:p>
        </w:tc>
      </w:tr>
      <w:tr>
        <w:trPr>
          <w:trHeight w:val="263"/>
        </w:trPr>
        <w:tc>
          <w:tcPr>
            <w:tcW w:w="7620" w:type="dxa"/>
            <w:vAlign w:val="bottom"/>
          </w:tcPr>
          <w:p>
            <w:pPr>
              <w:ind w:left="140"/>
              <w:spacing w:after="0"/>
              <w:rPr>
                <w:sz w:val="20"/>
                <w:szCs w:val="20"/>
                <w:color w:val="auto"/>
              </w:rPr>
            </w:pPr>
            <w:r>
              <w:rPr>
                <w:rFonts w:ascii="Arial" w:cs="Arial" w:eastAsia="Arial" w:hAnsi="Arial"/>
                <w:sz w:val="17"/>
                <w:szCs w:val="17"/>
                <w:color w:val="auto"/>
              </w:rPr>
              <w:t>Cancelled</w:t>
            </w:r>
          </w:p>
        </w:tc>
        <w:tc>
          <w:tcPr>
            <w:tcW w:w="1840" w:type="dxa"/>
            <w:vAlign w:val="bottom"/>
            <w:tcBorders>
              <w:bottom w:val="single" w:sz="8" w:color="auto"/>
            </w:tcBorders>
            <w:shd w:val="clear" w:color="auto" w:fill="DDDDDD"/>
          </w:tcPr>
          <w:p>
            <w:pPr>
              <w:jc w:val="right"/>
              <w:ind w:right="37"/>
              <w:spacing w:after="0"/>
              <w:rPr>
                <w:sz w:val="20"/>
                <w:szCs w:val="20"/>
                <w:color w:val="auto"/>
              </w:rPr>
            </w:pPr>
            <w:r>
              <w:rPr>
                <w:rFonts w:ascii="Arial" w:cs="Arial" w:eastAsia="Arial" w:hAnsi="Arial"/>
                <w:sz w:val="17"/>
                <w:szCs w:val="17"/>
                <w:color w:val="2573BA"/>
              </w:rPr>
              <w:t>(10,000)</w:t>
            </w:r>
          </w:p>
        </w:tc>
        <w:tc>
          <w:tcPr>
            <w:tcW w:w="100" w:type="dxa"/>
            <w:vAlign w:val="bottom"/>
            <w:tcBorders>
              <w:bottom w:val="single" w:sz="8" w:color="DDDDDD"/>
            </w:tcBorders>
            <w:shd w:val="clear" w:color="auto" w:fill="DDDDDD"/>
          </w:tcPr>
          <w:p>
            <w:pPr>
              <w:spacing w:after="0"/>
              <w:rPr>
                <w:sz w:val="22"/>
                <w:szCs w:val="22"/>
                <w:color w:val="auto"/>
              </w:rPr>
            </w:pPr>
          </w:p>
        </w:tc>
        <w:tc>
          <w:tcPr>
            <w:tcW w:w="1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700" w:type="dxa"/>
            <w:vAlign w:val="bottom"/>
            <w:tcBorders>
              <w:bottom w:val="single" w:sz="8" w:color="DDDDDD"/>
            </w:tcBorders>
            <w:shd w:val="clear" w:color="auto" w:fill="DDDDDD"/>
          </w:tcPr>
          <w:p>
            <w:pPr>
              <w:jc w:val="right"/>
              <w:ind w:right="21"/>
              <w:spacing w:after="0"/>
              <w:rPr>
                <w:sz w:val="20"/>
                <w:szCs w:val="20"/>
                <w:color w:val="auto"/>
              </w:rPr>
            </w:pPr>
            <w:r>
              <w:rPr>
                <w:rFonts w:ascii="Arial" w:cs="Arial" w:eastAsia="Arial" w:hAnsi="Arial"/>
                <w:sz w:val="17"/>
                <w:szCs w:val="17"/>
                <w:color w:val="2573BA"/>
              </w:rPr>
              <w:t>55.11</w:t>
            </w:r>
          </w:p>
        </w:tc>
      </w:tr>
      <w:tr>
        <w:trPr>
          <w:trHeight w:val="243"/>
        </w:trPr>
        <w:tc>
          <w:tcPr>
            <w:tcW w:w="7620" w:type="dxa"/>
            <w:vAlign w:val="bottom"/>
          </w:tcPr>
          <w:p>
            <w:pPr>
              <w:spacing w:after="0"/>
              <w:rPr>
                <w:sz w:val="20"/>
                <w:szCs w:val="20"/>
                <w:color w:val="auto"/>
              </w:rPr>
            </w:pPr>
            <w:r>
              <w:rPr>
                <w:rFonts w:ascii="Arial" w:cs="Arial" w:eastAsia="Arial" w:hAnsi="Arial"/>
                <w:sz w:val="17"/>
                <w:szCs w:val="17"/>
                <w:color w:val="auto"/>
              </w:rPr>
              <w:t>Outstanding at December 31, 2017</w:t>
            </w:r>
          </w:p>
        </w:tc>
        <w:tc>
          <w:tcPr>
            <w:tcW w:w="1840" w:type="dxa"/>
            <w:vAlign w:val="bottom"/>
            <w:tcBorders>
              <w:bottom w:val="single" w:sz="8" w:color="auto"/>
            </w:tcBorders>
            <w:shd w:val="clear" w:color="auto" w:fill="DDDDDD"/>
          </w:tcPr>
          <w:p>
            <w:pPr>
              <w:jc w:val="right"/>
              <w:ind w:right="37"/>
              <w:spacing w:after="0"/>
              <w:rPr>
                <w:sz w:val="20"/>
                <w:szCs w:val="20"/>
                <w:color w:val="auto"/>
              </w:rPr>
            </w:pPr>
            <w:r>
              <w:rPr>
                <w:rFonts w:ascii="Arial" w:cs="Arial" w:eastAsia="Arial" w:hAnsi="Arial"/>
                <w:sz w:val="17"/>
                <w:szCs w:val="17"/>
                <w:color w:val="2573BA"/>
              </w:rPr>
              <w:t>42,000</w:t>
            </w:r>
          </w:p>
        </w:tc>
        <w:tc>
          <w:tcPr>
            <w:tcW w:w="100" w:type="dxa"/>
            <w:vAlign w:val="bottom"/>
            <w:tcBorders>
              <w:bottom w:val="single" w:sz="8" w:color="DDDDDD"/>
            </w:tcBorders>
            <w:shd w:val="clear" w:color="auto" w:fill="DDDDDD"/>
          </w:tcPr>
          <w:p>
            <w:pPr>
              <w:spacing w:after="0"/>
              <w:rPr>
                <w:sz w:val="21"/>
                <w:szCs w:val="21"/>
                <w:color w:val="auto"/>
              </w:rPr>
            </w:pPr>
          </w:p>
        </w:tc>
        <w:tc>
          <w:tcPr>
            <w:tcW w:w="1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700" w:type="dxa"/>
            <w:vAlign w:val="bottom"/>
            <w:tcBorders>
              <w:bottom w:val="single" w:sz="8" w:color="DDDDDD"/>
            </w:tcBorders>
            <w:shd w:val="clear" w:color="auto" w:fill="DDDDDD"/>
          </w:tcPr>
          <w:p>
            <w:pPr>
              <w:jc w:val="right"/>
              <w:ind w:right="21"/>
              <w:spacing w:after="0"/>
              <w:rPr>
                <w:sz w:val="20"/>
                <w:szCs w:val="20"/>
                <w:color w:val="auto"/>
              </w:rPr>
            </w:pPr>
            <w:r>
              <w:rPr>
                <w:rFonts w:ascii="Arial" w:cs="Arial" w:eastAsia="Arial" w:hAnsi="Arial"/>
                <w:sz w:val="17"/>
                <w:szCs w:val="17"/>
                <w:color w:val="2573BA"/>
              </w:rPr>
              <w:t>53.83</w:t>
            </w:r>
          </w:p>
        </w:tc>
      </w:tr>
      <w:tr>
        <w:trPr>
          <w:trHeight w:val="20"/>
        </w:trPr>
        <w:tc>
          <w:tcPr>
            <w:tcW w:w="76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53" w:lineRule="exact"/>
        <w:rPr>
          <w:sz w:val="20"/>
          <w:szCs w:val="20"/>
          <w:color w:val="auto"/>
        </w:rPr>
      </w:pPr>
    </w:p>
    <w:p>
      <w:pPr>
        <w:ind w:right="140" w:firstLine="410"/>
        <w:spacing w:after="0" w:line="257" w:lineRule="auto"/>
        <w:rPr>
          <w:sz w:val="20"/>
          <w:szCs w:val="20"/>
          <w:color w:val="auto"/>
        </w:rPr>
      </w:pPr>
      <w:r>
        <w:rPr>
          <w:rFonts w:ascii="Arial" w:cs="Arial" w:eastAsia="Arial" w:hAnsi="Arial"/>
          <w:sz w:val="17"/>
          <w:szCs w:val="17"/>
          <w:color w:val="auto"/>
        </w:rPr>
        <w:t>The total intrinsic values of options exercised in 2017, 2016 and 2015 totaled $3.4 million, $10.4 million and $38.0 million, respectively. The aggregate intrinsic values of options outstanding as of December 31, 2017 totaled $11.1 million. The weighted average remaining contractual term for options outstanding as of December 31, 2017 was 1.3 years.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F- 45</w:t>
      </w:r>
    </w:p>
    <w:p>
      <w:pPr>
        <w:sectPr>
          <w:pgSz w:w="11900" w:h="16838" w:orient="portrait"/>
          <w:cols w:equalWidth="0" w:num="1">
            <w:col w:w="11420"/>
          </w:cols>
          <w:pgMar w:left="240" w:top="139" w:right="239" w:bottom="1440" w:gutter="0" w:footer="0" w:header="0"/>
        </w:sectPr>
      </w:pPr>
    </w:p>
    <w:bookmarkStart w:id="147" w:name="page148"/>
    <w:bookmarkEnd w:id="1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9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amount of tax benefit realized for stock options and cash received from the exercise of stock options: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4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right"/>
              <w:ind w:right="175"/>
              <w:spacing w:after="0"/>
              <w:rPr>
                <w:sz w:val="20"/>
                <w:szCs w:val="20"/>
                <w:color w:val="auto"/>
              </w:rPr>
            </w:pPr>
            <w:r>
              <w:rPr>
                <w:rFonts w:ascii="Arial" w:cs="Arial" w:eastAsia="Arial" w:hAnsi="Arial"/>
                <w:sz w:val="14"/>
                <w:szCs w:val="14"/>
                <w:b w:val="1"/>
                <w:bCs w:val="1"/>
                <w:color w:val="auto"/>
              </w:rPr>
              <w:t>For the Years Ended December 31,</w:t>
            </w:r>
          </w:p>
        </w:tc>
        <w:tc>
          <w:tcPr>
            <w:tcW w:w="1280" w:type="dxa"/>
            <w:vAlign w:val="bottom"/>
            <w:tcBorders>
              <w:bottom w:val="single" w:sz="8" w:color="auto"/>
            </w:tcBorders>
          </w:tcPr>
          <w:p>
            <w:pPr>
              <w:spacing w:after="0"/>
              <w:rPr>
                <w:sz w:val="16"/>
                <w:szCs w:val="16"/>
                <w:color w:val="auto"/>
              </w:rPr>
            </w:pPr>
          </w:p>
        </w:tc>
      </w:tr>
      <w:tr>
        <w:trPr>
          <w:trHeight w:val="249"/>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Borders>
              <w:bottom w:val="single" w:sz="8" w:color="auto"/>
            </w:tcBorders>
            <w:shd w:val="clear" w:color="auto" w:fill="DDDDDD"/>
          </w:tcPr>
          <w:p>
            <w:pPr>
              <w:jc w:val="right"/>
              <w:ind w:right="120"/>
              <w:spacing w:after="0"/>
              <w:rPr>
                <w:sz w:val="20"/>
                <w:szCs w:val="20"/>
                <w:color w:val="auto"/>
              </w:rPr>
            </w:pPr>
            <w:r>
              <w:rPr>
                <w:rFonts w:ascii="Arial" w:cs="Arial" w:eastAsia="Arial" w:hAnsi="Arial"/>
                <w:sz w:val="14"/>
                <w:szCs w:val="14"/>
                <w:b w:val="1"/>
                <w:bCs w:val="1"/>
                <w:color w:val="2573BA"/>
              </w:rPr>
              <w:t>2017</w:t>
            </w:r>
          </w:p>
        </w:tc>
        <w:tc>
          <w:tcPr>
            <w:tcW w:w="520" w:type="dxa"/>
            <w:vAlign w:val="bottom"/>
            <w:tcBorders>
              <w:bottom w:val="single" w:sz="8" w:color="auto"/>
            </w:tcBorders>
            <w:shd w:val="clear" w:color="auto" w:fill="DDDDDD"/>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2015</w:t>
            </w:r>
          </w:p>
        </w:tc>
      </w:tr>
      <w:tr>
        <w:trPr>
          <w:trHeight w:val="228"/>
        </w:trPr>
        <w:tc>
          <w:tcPr>
            <w:tcW w:w="6040" w:type="dxa"/>
            <w:vAlign w:val="bottom"/>
          </w:tcPr>
          <w:p>
            <w:pPr>
              <w:ind w:left="20"/>
              <w:spacing w:after="0"/>
              <w:rPr>
                <w:sz w:val="20"/>
                <w:szCs w:val="20"/>
                <w:color w:val="auto"/>
              </w:rPr>
            </w:pPr>
            <w:r>
              <w:rPr>
                <w:rFonts w:ascii="Arial" w:cs="Arial" w:eastAsia="Arial" w:hAnsi="Arial"/>
                <w:sz w:val="17"/>
                <w:szCs w:val="17"/>
                <w:color w:val="auto"/>
              </w:rPr>
              <w:t>Tax benefit realized for stock options</w:t>
            </w:r>
          </w:p>
        </w:tc>
        <w:tc>
          <w:tcPr>
            <w:tcW w:w="1220" w:type="dxa"/>
            <w:vAlign w:val="bottom"/>
            <w:shd w:val="clear" w:color="auto" w:fill="DDDDDD"/>
          </w:tcPr>
          <w:p>
            <w:pPr>
              <w:jc w:val="right"/>
              <w:ind w:right="1020"/>
              <w:spacing w:after="0"/>
              <w:rPr>
                <w:sz w:val="20"/>
                <w:szCs w:val="20"/>
                <w:color w:val="auto"/>
              </w:rPr>
            </w:pPr>
            <w:r>
              <w:rPr>
                <w:rFonts w:ascii="Arial" w:cs="Arial" w:eastAsia="Arial" w:hAnsi="Arial"/>
                <w:sz w:val="17"/>
                <w:szCs w:val="17"/>
                <w:color w:val="2573BA"/>
              </w:rPr>
              <w:t>$</w:t>
            </w:r>
          </w:p>
        </w:tc>
        <w:tc>
          <w:tcPr>
            <w:tcW w:w="52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3.4</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20"/>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9"/>
                <w:szCs w:val="19"/>
                <w:color w:val="auto"/>
              </w:rPr>
            </w:pP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20"/>
              <w:spacing w:after="0"/>
              <w:rPr>
                <w:sz w:val="20"/>
                <w:szCs w:val="20"/>
                <w:color w:val="auto"/>
              </w:rPr>
            </w:pPr>
            <w:r>
              <w:rPr>
                <w:rFonts w:ascii="Arial" w:cs="Arial" w:eastAsia="Arial" w:hAnsi="Arial"/>
                <w:sz w:val="17"/>
                <w:szCs w:val="17"/>
                <w:color w:val="auto"/>
              </w:rPr>
              <w:t>11.9</w:t>
            </w:r>
          </w:p>
        </w:tc>
      </w:tr>
      <w:tr>
        <w:trPr>
          <w:trHeight w:val="270"/>
        </w:trPr>
        <w:tc>
          <w:tcPr>
            <w:tcW w:w="6040" w:type="dxa"/>
            <w:vAlign w:val="bottom"/>
          </w:tcPr>
          <w:p>
            <w:pPr>
              <w:ind w:left="20"/>
              <w:spacing w:after="0"/>
              <w:rPr>
                <w:sz w:val="20"/>
                <w:szCs w:val="20"/>
                <w:color w:val="auto"/>
              </w:rPr>
            </w:pPr>
            <w:r>
              <w:rPr>
                <w:rFonts w:ascii="Arial" w:cs="Arial" w:eastAsia="Arial" w:hAnsi="Arial"/>
                <w:sz w:val="17"/>
                <w:szCs w:val="17"/>
                <w:color w:val="auto"/>
              </w:rPr>
              <w:t>Cash received from the exercise of stock options</w:t>
            </w:r>
          </w:p>
        </w:tc>
        <w:tc>
          <w:tcPr>
            <w:tcW w:w="1220" w:type="dxa"/>
            <w:vAlign w:val="bottom"/>
            <w:shd w:val="clear" w:color="auto" w:fill="DDDDDD"/>
          </w:tcPr>
          <w:p>
            <w:pPr>
              <w:jc w:val="right"/>
              <w:ind w:right="1020"/>
              <w:spacing w:after="0"/>
              <w:rPr>
                <w:sz w:val="20"/>
                <w:szCs w:val="20"/>
                <w:color w:val="auto"/>
              </w:rPr>
            </w:pPr>
            <w:r>
              <w:rPr>
                <w:rFonts w:ascii="Arial" w:cs="Arial" w:eastAsia="Arial" w:hAnsi="Arial"/>
                <w:sz w:val="17"/>
                <w:szCs w:val="17"/>
                <w:color w:val="2573BA"/>
              </w:rPr>
              <w:t>$</w:t>
            </w:r>
          </w:p>
        </w:tc>
        <w:tc>
          <w:tcPr>
            <w:tcW w:w="52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0.7</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20"/>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23"/>
                <w:szCs w:val="23"/>
                <w:color w:val="auto"/>
              </w:rPr>
            </w:pP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20"/>
              <w:spacing w:after="0"/>
              <w:rPr>
                <w:sz w:val="20"/>
                <w:szCs w:val="20"/>
                <w:color w:val="auto"/>
              </w:rPr>
            </w:pPr>
            <w:r>
              <w:rPr>
                <w:rFonts w:ascii="Arial" w:cs="Arial" w:eastAsia="Arial" w:hAnsi="Arial"/>
                <w:sz w:val="17"/>
                <w:szCs w:val="17"/>
                <w:color w:val="auto"/>
              </w:rPr>
              <w:t>6.3</w:t>
            </w:r>
          </w:p>
        </w:tc>
      </w:tr>
    </w:tbl>
    <w:p>
      <w:pPr>
        <w:spacing w:after="0" w:line="13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Market Stock Units (MSUs)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MSUs awarded to employees prior to 2014 vested in four equal annual increments beginning on the first anniversary of the grant date.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Participants may ultimately earn between 0% and 150% of the target number of units granted based on actual stock performance.</w:t>
      </w:r>
    </w:p>
    <w:p>
      <w:pPr>
        <w:spacing w:after="0" w:line="163" w:lineRule="exact"/>
        <w:rPr>
          <w:sz w:val="20"/>
          <w:szCs w:val="20"/>
          <w:color w:val="auto"/>
        </w:rPr>
      </w:pPr>
    </w:p>
    <w:p>
      <w:pPr>
        <w:ind w:right="280" w:firstLine="410"/>
        <w:spacing w:after="0" w:line="262" w:lineRule="auto"/>
        <w:rPr>
          <w:sz w:val="20"/>
          <w:szCs w:val="20"/>
          <w:color w:val="auto"/>
        </w:rPr>
      </w:pPr>
      <w:r>
        <w:rPr>
          <w:rFonts w:ascii="Arial" w:cs="Arial" w:eastAsia="Arial" w:hAnsi="Arial"/>
          <w:sz w:val="17"/>
          <w:szCs w:val="17"/>
          <w:color w:val="auto"/>
        </w:rPr>
        <w:t>MSUs awarded to employees in 2014 and thereafter vest in three equal annual increments beginning on the first anniversary of the grant date, and participants may ultimately earn between 0% and 200% of the target number of units granted based on actual stock performance.</w:t>
      </w:r>
    </w:p>
    <w:p>
      <w:pPr>
        <w:spacing w:after="0" w:line="137" w:lineRule="exact"/>
        <w:rPr>
          <w:sz w:val="20"/>
          <w:szCs w:val="20"/>
          <w:color w:val="auto"/>
        </w:rPr>
      </w:pPr>
    </w:p>
    <w:p>
      <w:pPr>
        <w:ind w:right="160" w:firstLine="410"/>
        <w:spacing w:after="0" w:line="254" w:lineRule="auto"/>
        <w:rPr>
          <w:sz w:val="20"/>
          <w:szCs w:val="20"/>
          <w:color w:val="auto"/>
        </w:rPr>
      </w:pPr>
      <w:r>
        <w:rPr>
          <w:rFonts w:ascii="Arial" w:cs="Arial" w:eastAsia="Arial" w:hAnsi="Arial"/>
          <w:sz w:val="17"/>
          <w:szCs w:val="17"/>
          <w:color w:val="auto"/>
        </w:rPr>
        <w:t>The vesting of these awards is subject to the respective employee’s continued employment. The number of MSUs granted represents the target number of units that are eligible to be earned based on the attainment of certain market-based criteria involving our stock price. The number of MSUs earned is calculated at each annual anniversary from the date of grant over the respective vesting periods, resulting in multiple performance periods. Accordingly, additional MSUs may be issued or currently outstanding MSUs may be cancelled upon final determination of the number of awards earned. Compensation expense, including the effect of forfeitures, is recognized over the applicable service period.</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our MSU activity:</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ind w:right="41"/>
              <w:spacing w:after="0"/>
              <w:rPr>
                <w:sz w:val="20"/>
                <w:szCs w:val="20"/>
                <w:color w:val="auto"/>
              </w:rPr>
            </w:pPr>
            <w:r>
              <w:rPr>
                <w:rFonts w:ascii="Arial" w:cs="Arial" w:eastAsia="Arial" w:hAnsi="Arial"/>
                <w:sz w:val="14"/>
                <w:szCs w:val="14"/>
                <w:b w:val="1"/>
                <w:bCs w:val="1"/>
                <w:color w:val="auto"/>
                <w:w w:val="98"/>
              </w:rPr>
              <w:t>Weighted</w:t>
            </w:r>
          </w:p>
        </w:tc>
      </w:tr>
      <w:tr>
        <w:trPr>
          <w:trHeight w:val="154"/>
        </w:trPr>
        <w:tc>
          <w:tcPr>
            <w:tcW w:w="76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jc w:val="center"/>
              <w:ind w:right="41"/>
              <w:spacing w:after="0" w:line="154" w:lineRule="exact"/>
              <w:rPr>
                <w:sz w:val="20"/>
                <w:szCs w:val="20"/>
                <w:color w:val="auto"/>
              </w:rPr>
            </w:pPr>
            <w:r>
              <w:rPr>
                <w:rFonts w:ascii="Arial" w:cs="Arial" w:eastAsia="Arial" w:hAnsi="Arial"/>
                <w:sz w:val="14"/>
                <w:szCs w:val="14"/>
                <w:b w:val="1"/>
                <w:bCs w:val="1"/>
                <w:color w:val="auto"/>
                <w:w w:val="97"/>
              </w:rPr>
              <w:t>Average</w:t>
            </w:r>
          </w:p>
        </w:tc>
      </w:tr>
      <w:tr>
        <w:trPr>
          <w:trHeight w:val="154"/>
        </w:trPr>
        <w:tc>
          <w:tcPr>
            <w:tcW w:w="76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jc w:val="center"/>
              <w:ind w:right="41"/>
              <w:spacing w:after="0" w:line="154" w:lineRule="exact"/>
              <w:rPr>
                <w:sz w:val="20"/>
                <w:szCs w:val="20"/>
                <w:color w:val="auto"/>
              </w:rPr>
            </w:pPr>
            <w:r>
              <w:rPr>
                <w:rFonts w:ascii="Arial" w:cs="Arial" w:eastAsia="Arial" w:hAnsi="Arial"/>
                <w:sz w:val="14"/>
                <w:szCs w:val="14"/>
                <w:b w:val="1"/>
                <w:bCs w:val="1"/>
                <w:color w:val="auto"/>
                <w:w w:val="97"/>
              </w:rPr>
              <w:t>Grant Date</w:t>
            </w:r>
          </w:p>
        </w:tc>
      </w:tr>
      <w:tr>
        <w:trPr>
          <w:trHeight w:val="184"/>
        </w:trPr>
        <w:tc>
          <w:tcPr>
            <w:tcW w:w="7620" w:type="dxa"/>
            <w:vAlign w:val="bottom"/>
          </w:tcPr>
          <w:p>
            <w:pPr>
              <w:spacing w:after="0"/>
              <w:rPr>
                <w:sz w:val="15"/>
                <w:szCs w:val="15"/>
                <w:color w:val="auto"/>
              </w:rPr>
            </w:pPr>
          </w:p>
        </w:tc>
        <w:tc>
          <w:tcPr>
            <w:tcW w:w="18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DDDDDD"/>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8"/>
              </w:rPr>
              <w:t>Fair Value</w:t>
            </w:r>
          </w:p>
        </w:tc>
      </w:tr>
      <w:tr>
        <w:trPr>
          <w:trHeight w:val="229"/>
        </w:trPr>
        <w:tc>
          <w:tcPr>
            <w:tcW w:w="7620" w:type="dxa"/>
            <w:vAlign w:val="bottom"/>
          </w:tcPr>
          <w:p>
            <w:pPr>
              <w:spacing w:after="0"/>
              <w:rPr>
                <w:sz w:val="20"/>
                <w:szCs w:val="20"/>
                <w:color w:val="auto"/>
              </w:rPr>
            </w:pPr>
            <w:r>
              <w:rPr>
                <w:rFonts w:ascii="Arial" w:cs="Arial" w:eastAsia="Arial" w:hAnsi="Arial"/>
                <w:sz w:val="17"/>
                <w:szCs w:val="17"/>
                <w:color w:val="auto"/>
              </w:rPr>
              <w:t>Unvested at December 31, 2016</w:t>
            </w:r>
          </w:p>
        </w:tc>
        <w:tc>
          <w:tcPr>
            <w:tcW w:w="184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230,000</w:t>
            </w:r>
          </w:p>
        </w:tc>
        <w:tc>
          <w:tcPr>
            <w:tcW w:w="220" w:type="dxa"/>
            <w:vAlign w:val="bottom"/>
            <w:gridSpan w:val="2"/>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700" w:type="dxa"/>
            <w:vAlign w:val="bottom"/>
            <w:shd w:val="clear" w:color="auto" w:fill="DDDDDD"/>
          </w:tcPr>
          <w:p>
            <w:pPr>
              <w:jc w:val="right"/>
              <w:ind w:right="21"/>
              <w:spacing w:after="0"/>
              <w:rPr>
                <w:sz w:val="20"/>
                <w:szCs w:val="20"/>
                <w:color w:val="auto"/>
              </w:rPr>
            </w:pPr>
            <w:r>
              <w:rPr>
                <w:rFonts w:ascii="Arial" w:cs="Arial" w:eastAsia="Arial" w:hAnsi="Arial"/>
                <w:sz w:val="17"/>
                <w:szCs w:val="17"/>
                <w:color w:val="2573BA"/>
              </w:rPr>
              <w:t>355.60</w:t>
            </w:r>
          </w:p>
        </w:tc>
      </w:tr>
      <w:tr>
        <w:trPr>
          <w:trHeight w:val="256"/>
        </w:trPr>
        <w:tc>
          <w:tcPr>
            <w:tcW w:w="7620" w:type="dxa"/>
            <w:vAlign w:val="bottom"/>
          </w:tcPr>
          <w:p>
            <w:pPr>
              <w:ind w:left="140"/>
              <w:spacing w:after="0"/>
              <w:rPr>
                <w:sz w:val="20"/>
                <w:szCs w:val="20"/>
                <w:color w:val="auto"/>
              </w:rPr>
            </w:pPr>
            <w:r>
              <w:rPr>
                <w:rFonts w:ascii="Arial" w:cs="Arial" w:eastAsia="Arial" w:hAnsi="Arial"/>
                <w:sz w:val="17"/>
                <w:szCs w:val="17"/>
                <w:color w:val="auto"/>
              </w:rPr>
              <w:t>Hemophilia spin-off adjustment</w:t>
            </w:r>
          </w:p>
        </w:tc>
        <w:tc>
          <w:tcPr>
            <w:tcW w:w="184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4,000</w:t>
            </w:r>
          </w:p>
        </w:tc>
        <w:tc>
          <w:tcPr>
            <w:tcW w:w="220" w:type="dxa"/>
            <w:vAlign w:val="bottom"/>
            <w:gridSpan w:val="2"/>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700" w:type="dxa"/>
            <w:vAlign w:val="bottom"/>
            <w:shd w:val="clear" w:color="auto" w:fill="DDDDDD"/>
          </w:tcPr>
          <w:p>
            <w:pPr>
              <w:jc w:val="right"/>
              <w:ind w:right="21"/>
              <w:spacing w:after="0"/>
              <w:rPr>
                <w:sz w:val="20"/>
                <w:szCs w:val="20"/>
                <w:color w:val="auto"/>
              </w:rPr>
            </w:pPr>
            <w:r>
              <w:rPr>
                <w:rFonts w:ascii="Arial" w:cs="Arial" w:eastAsia="Arial" w:hAnsi="Arial"/>
                <w:sz w:val="17"/>
                <w:szCs w:val="17"/>
                <w:color w:val="2573BA"/>
              </w:rPr>
              <w:t>—</w:t>
            </w:r>
          </w:p>
        </w:tc>
      </w:tr>
      <w:tr>
        <w:trPr>
          <w:trHeight w:val="256"/>
        </w:trPr>
        <w:tc>
          <w:tcPr>
            <w:tcW w:w="7620" w:type="dxa"/>
            <w:vAlign w:val="bottom"/>
          </w:tcPr>
          <w:p>
            <w:pPr>
              <w:ind w:left="140"/>
              <w:spacing w:after="0"/>
              <w:rPr>
                <w:sz w:val="20"/>
                <w:szCs w:val="20"/>
                <w:color w:val="auto"/>
              </w:rPr>
            </w:pPr>
            <w:r>
              <w:rPr>
                <w:rFonts w:ascii="Arial" w:cs="Arial" w:eastAsia="Arial" w:hAnsi="Arial"/>
                <w:sz w:val="17"/>
                <w:szCs w:val="17"/>
                <w:color w:val="auto"/>
              </w:rPr>
              <w:t>Granted (a)</w:t>
            </w:r>
          </w:p>
        </w:tc>
        <w:tc>
          <w:tcPr>
            <w:tcW w:w="184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94,000</w:t>
            </w:r>
          </w:p>
        </w:tc>
        <w:tc>
          <w:tcPr>
            <w:tcW w:w="100" w:type="dxa"/>
            <w:vAlign w:val="bottom"/>
            <w:shd w:val="clear" w:color="auto" w:fill="DDDDDD"/>
          </w:tcPr>
          <w:p>
            <w:pPr>
              <w:spacing w:after="0"/>
              <w:rPr>
                <w:sz w:val="22"/>
                <w:szCs w:val="22"/>
                <w:color w:val="auto"/>
              </w:rPr>
            </w:pPr>
          </w:p>
        </w:tc>
        <w:tc>
          <w:tcPr>
            <w:tcW w:w="1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700" w:type="dxa"/>
            <w:vAlign w:val="bottom"/>
            <w:shd w:val="clear" w:color="auto" w:fill="DDDDDD"/>
          </w:tcPr>
          <w:p>
            <w:pPr>
              <w:jc w:val="right"/>
              <w:ind w:right="21"/>
              <w:spacing w:after="0"/>
              <w:rPr>
                <w:sz w:val="20"/>
                <w:szCs w:val="20"/>
                <w:color w:val="auto"/>
              </w:rPr>
            </w:pPr>
            <w:r>
              <w:rPr>
                <w:rFonts w:ascii="Arial" w:cs="Arial" w:eastAsia="Arial" w:hAnsi="Arial"/>
                <w:sz w:val="17"/>
                <w:szCs w:val="17"/>
                <w:color w:val="2573BA"/>
              </w:rPr>
              <w:t>382.59</w:t>
            </w:r>
          </w:p>
        </w:tc>
      </w:tr>
      <w:tr>
        <w:trPr>
          <w:trHeight w:val="256"/>
        </w:trPr>
        <w:tc>
          <w:tcPr>
            <w:tcW w:w="7620" w:type="dxa"/>
            <w:vAlign w:val="bottom"/>
          </w:tcPr>
          <w:p>
            <w:pPr>
              <w:ind w:left="140"/>
              <w:spacing w:after="0"/>
              <w:rPr>
                <w:sz w:val="20"/>
                <w:szCs w:val="20"/>
                <w:color w:val="auto"/>
              </w:rPr>
            </w:pPr>
            <w:r>
              <w:rPr>
                <w:rFonts w:ascii="Arial" w:cs="Arial" w:eastAsia="Arial" w:hAnsi="Arial"/>
                <w:sz w:val="17"/>
                <w:szCs w:val="17"/>
                <w:color w:val="auto"/>
              </w:rPr>
              <w:t>Vested</w:t>
            </w:r>
          </w:p>
        </w:tc>
        <w:tc>
          <w:tcPr>
            <w:tcW w:w="184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(112,000)</w:t>
            </w:r>
          </w:p>
        </w:tc>
        <w:tc>
          <w:tcPr>
            <w:tcW w:w="100" w:type="dxa"/>
            <w:vAlign w:val="bottom"/>
            <w:shd w:val="clear" w:color="auto" w:fill="DDDDDD"/>
          </w:tcPr>
          <w:p>
            <w:pPr>
              <w:spacing w:after="0"/>
              <w:rPr>
                <w:sz w:val="22"/>
                <w:szCs w:val="22"/>
                <w:color w:val="auto"/>
              </w:rPr>
            </w:pPr>
          </w:p>
        </w:tc>
        <w:tc>
          <w:tcPr>
            <w:tcW w:w="1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700" w:type="dxa"/>
            <w:vAlign w:val="bottom"/>
            <w:shd w:val="clear" w:color="auto" w:fill="DDDDDD"/>
          </w:tcPr>
          <w:p>
            <w:pPr>
              <w:jc w:val="right"/>
              <w:ind w:right="21"/>
              <w:spacing w:after="0"/>
              <w:rPr>
                <w:sz w:val="20"/>
                <w:szCs w:val="20"/>
                <w:color w:val="auto"/>
              </w:rPr>
            </w:pPr>
            <w:r>
              <w:rPr>
                <w:rFonts w:ascii="Arial" w:cs="Arial" w:eastAsia="Arial" w:hAnsi="Arial"/>
                <w:sz w:val="17"/>
                <w:szCs w:val="17"/>
                <w:color w:val="2573BA"/>
              </w:rPr>
              <w:t>311.17</w:t>
            </w:r>
          </w:p>
        </w:tc>
      </w:tr>
      <w:tr>
        <w:trPr>
          <w:trHeight w:val="263"/>
        </w:trPr>
        <w:tc>
          <w:tcPr>
            <w:tcW w:w="7620" w:type="dxa"/>
            <w:vAlign w:val="bottom"/>
          </w:tcPr>
          <w:p>
            <w:pPr>
              <w:ind w:left="140"/>
              <w:spacing w:after="0"/>
              <w:rPr>
                <w:sz w:val="20"/>
                <w:szCs w:val="20"/>
                <w:color w:val="auto"/>
              </w:rPr>
            </w:pPr>
            <w:r>
              <w:rPr>
                <w:rFonts w:ascii="Arial" w:cs="Arial" w:eastAsia="Arial" w:hAnsi="Arial"/>
                <w:sz w:val="17"/>
                <w:szCs w:val="17"/>
                <w:color w:val="auto"/>
              </w:rPr>
              <w:t>Forfeited</w:t>
            </w:r>
          </w:p>
        </w:tc>
        <w:tc>
          <w:tcPr>
            <w:tcW w:w="1840" w:type="dxa"/>
            <w:vAlign w:val="bottom"/>
            <w:tcBorders>
              <w:bottom w:val="single" w:sz="8" w:color="auto"/>
            </w:tcBorders>
            <w:shd w:val="clear" w:color="auto" w:fill="DDDDDD"/>
          </w:tcPr>
          <w:p>
            <w:pPr>
              <w:jc w:val="right"/>
              <w:ind w:right="37"/>
              <w:spacing w:after="0"/>
              <w:rPr>
                <w:sz w:val="20"/>
                <w:szCs w:val="20"/>
                <w:color w:val="auto"/>
              </w:rPr>
            </w:pPr>
            <w:r>
              <w:rPr>
                <w:rFonts w:ascii="Arial" w:cs="Arial" w:eastAsia="Arial" w:hAnsi="Arial"/>
                <w:sz w:val="17"/>
                <w:szCs w:val="17"/>
                <w:color w:val="2573BA"/>
              </w:rPr>
              <w:t>(45,000)</w:t>
            </w:r>
          </w:p>
        </w:tc>
        <w:tc>
          <w:tcPr>
            <w:tcW w:w="100" w:type="dxa"/>
            <w:vAlign w:val="bottom"/>
            <w:tcBorders>
              <w:bottom w:val="single" w:sz="8" w:color="DDDDDD"/>
            </w:tcBorders>
            <w:shd w:val="clear" w:color="auto" w:fill="DDDDDD"/>
          </w:tcPr>
          <w:p>
            <w:pPr>
              <w:spacing w:after="0"/>
              <w:rPr>
                <w:sz w:val="22"/>
                <w:szCs w:val="22"/>
                <w:color w:val="auto"/>
              </w:rPr>
            </w:pPr>
          </w:p>
        </w:tc>
        <w:tc>
          <w:tcPr>
            <w:tcW w:w="1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700" w:type="dxa"/>
            <w:vAlign w:val="bottom"/>
            <w:tcBorders>
              <w:bottom w:val="single" w:sz="8" w:color="DDDDDD"/>
            </w:tcBorders>
            <w:shd w:val="clear" w:color="auto" w:fill="DDDDDD"/>
          </w:tcPr>
          <w:p>
            <w:pPr>
              <w:jc w:val="right"/>
              <w:ind w:right="21"/>
              <w:spacing w:after="0"/>
              <w:rPr>
                <w:sz w:val="20"/>
                <w:szCs w:val="20"/>
                <w:color w:val="auto"/>
              </w:rPr>
            </w:pPr>
            <w:r>
              <w:rPr>
                <w:rFonts w:ascii="Arial" w:cs="Arial" w:eastAsia="Arial" w:hAnsi="Arial"/>
                <w:sz w:val="17"/>
                <w:szCs w:val="17"/>
                <w:color w:val="2573BA"/>
              </w:rPr>
              <w:t>372.35</w:t>
            </w:r>
          </w:p>
        </w:tc>
      </w:tr>
      <w:tr>
        <w:trPr>
          <w:trHeight w:val="243"/>
        </w:trPr>
        <w:tc>
          <w:tcPr>
            <w:tcW w:w="7620" w:type="dxa"/>
            <w:vAlign w:val="bottom"/>
          </w:tcPr>
          <w:p>
            <w:pPr>
              <w:spacing w:after="0"/>
              <w:rPr>
                <w:sz w:val="20"/>
                <w:szCs w:val="20"/>
                <w:color w:val="auto"/>
              </w:rPr>
            </w:pPr>
            <w:r>
              <w:rPr>
                <w:rFonts w:ascii="Arial" w:cs="Arial" w:eastAsia="Arial" w:hAnsi="Arial"/>
                <w:sz w:val="17"/>
                <w:szCs w:val="17"/>
                <w:color w:val="auto"/>
              </w:rPr>
              <w:t>Unvested at December 31, 2017</w:t>
            </w:r>
          </w:p>
        </w:tc>
        <w:tc>
          <w:tcPr>
            <w:tcW w:w="1840" w:type="dxa"/>
            <w:vAlign w:val="bottom"/>
            <w:tcBorders>
              <w:bottom w:val="single" w:sz="8" w:color="auto"/>
            </w:tcBorders>
            <w:shd w:val="clear" w:color="auto" w:fill="DDDDDD"/>
          </w:tcPr>
          <w:p>
            <w:pPr>
              <w:jc w:val="right"/>
              <w:ind w:right="37"/>
              <w:spacing w:after="0"/>
              <w:rPr>
                <w:sz w:val="20"/>
                <w:szCs w:val="20"/>
                <w:color w:val="auto"/>
              </w:rPr>
            </w:pPr>
            <w:r>
              <w:rPr>
                <w:rFonts w:ascii="Arial" w:cs="Arial" w:eastAsia="Arial" w:hAnsi="Arial"/>
                <w:sz w:val="17"/>
                <w:szCs w:val="17"/>
                <w:color w:val="2573BA"/>
              </w:rPr>
              <w:t>171,000</w:t>
            </w:r>
          </w:p>
        </w:tc>
        <w:tc>
          <w:tcPr>
            <w:tcW w:w="100" w:type="dxa"/>
            <w:vAlign w:val="bottom"/>
            <w:tcBorders>
              <w:bottom w:val="single" w:sz="8" w:color="DDDDDD"/>
            </w:tcBorders>
            <w:shd w:val="clear" w:color="auto" w:fill="DDDDDD"/>
          </w:tcPr>
          <w:p>
            <w:pPr>
              <w:spacing w:after="0"/>
              <w:rPr>
                <w:sz w:val="21"/>
                <w:szCs w:val="21"/>
                <w:color w:val="auto"/>
              </w:rPr>
            </w:pPr>
          </w:p>
        </w:tc>
        <w:tc>
          <w:tcPr>
            <w:tcW w:w="1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700" w:type="dxa"/>
            <w:vAlign w:val="bottom"/>
            <w:tcBorders>
              <w:bottom w:val="single" w:sz="8" w:color="DDDDDD"/>
            </w:tcBorders>
            <w:shd w:val="clear" w:color="auto" w:fill="DDDDDD"/>
          </w:tcPr>
          <w:p>
            <w:pPr>
              <w:jc w:val="right"/>
              <w:ind w:right="21"/>
              <w:spacing w:after="0"/>
              <w:rPr>
                <w:sz w:val="20"/>
                <w:szCs w:val="20"/>
                <w:color w:val="auto"/>
              </w:rPr>
            </w:pPr>
            <w:r>
              <w:rPr>
                <w:rFonts w:ascii="Arial" w:cs="Arial" w:eastAsia="Arial" w:hAnsi="Arial"/>
                <w:sz w:val="17"/>
                <w:szCs w:val="17"/>
                <w:color w:val="2573BA"/>
              </w:rPr>
              <w:t>370.83</w:t>
            </w:r>
          </w:p>
        </w:tc>
      </w:tr>
      <w:tr>
        <w:trPr>
          <w:trHeight w:val="20"/>
        </w:trPr>
        <w:tc>
          <w:tcPr>
            <w:tcW w:w="76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58" w:lineRule="exact"/>
        <w:rPr>
          <w:sz w:val="20"/>
          <w:szCs w:val="20"/>
          <w:color w:val="auto"/>
        </w:rPr>
      </w:pPr>
    </w:p>
    <w:p>
      <w:pPr>
        <w:ind w:left="380" w:right="100" w:hanging="301"/>
        <w:spacing w:after="0" w:line="282" w:lineRule="auto"/>
        <w:tabs>
          <w:tab w:leader="none" w:pos="380" w:val="left"/>
        </w:tabs>
        <w:numPr>
          <w:ilvl w:val="0"/>
          <w:numId w:val="112"/>
        </w:numPr>
        <w:rPr>
          <w:rFonts w:ascii="Arial" w:cs="Arial" w:eastAsia="Arial" w:hAnsi="Arial"/>
          <w:sz w:val="17"/>
          <w:szCs w:val="17"/>
          <w:color w:val="auto"/>
        </w:rPr>
      </w:pPr>
      <w:r>
        <w:rPr>
          <w:rFonts w:ascii="Arial" w:cs="Arial" w:eastAsia="Arial" w:hAnsi="Arial"/>
          <w:sz w:val="15"/>
          <w:szCs w:val="15"/>
          <w:color w:val="auto"/>
        </w:rPr>
        <w:t>MSUs granted in 2017 include approximately 9,000 MSUs issued in 2017 based upon the attainment of performance criteria set for 2013, in relation to awards granted in that year. MSUs granted during 2017 also include awards granted in conjunction with our annual awards made in February 2017 and MSUs granted in conjunction with the hiring of employees. These grants reflect the target number of shares eligible to be earned at the time of grant. MSUs granted in 2017 reflect an adjustment based upon the final performance multiplier in relation to shares granted in 2016, 2015 and 2014.</w:t>
      </w:r>
    </w:p>
    <w:p>
      <w:pPr>
        <w:spacing w:after="0" w:line="130" w:lineRule="exact"/>
        <w:rPr>
          <w:sz w:val="20"/>
          <w:szCs w:val="20"/>
          <w:color w:val="auto"/>
        </w:rPr>
      </w:pPr>
    </w:p>
    <w:p>
      <w:pPr>
        <w:ind w:right="280" w:firstLine="410"/>
        <w:spacing w:after="0" w:line="255" w:lineRule="auto"/>
        <w:rPr>
          <w:sz w:val="20"/>
          <w:szCs w:val="20"/>
          <w:color w:val="auto"/>
        </w:rPr>
      </w:pPr>
      <w:r>
        <w:rPr>
          <w:rFonts w:ascii="Arial" w:cs="Arial" w:eastAsia="Arial" w:hAnsi="Arial"/>
          <w:sz w:val="17"/>
          <w:szCs w:val="17"/>
          <w:color w:val="auto"/>
        </w:rPr>
        <w:t>We value grants of MSUs using a lattice model with a Monte Carlo simulation. This valuation methodology utilizes several key assumptions, including the 60 calendar day average closing stock price on grant date for MSUs awarded prior to 2014, the 30 calendar day average closing stock price on the date of grant for MSUs awarded in 2014 and thereafter, expected volatility of our stock price, risk-free rates of return and expected dividend yield.</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assumptions used in our valuation are summarized as follows: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7"/>
              </w:rPr>
              <w:t>For the Years Ended December 31,</w:t>
            </w:r>
          </w:p>
        </w:tc>
        <w:tc>
          <w:tcPr>
            <w:tcW w:w="9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47"/>
        </w:trPr>
        <w:tc>
          <w:tcPr>
            <w:tcW w:w="5020" w:type="dxa"/>
            <w:vAlign w:val="bottom"/>
          </w:tcPr>
          <w:p>
            <w:pPr>
              <w:spacing w:after="0"/>
              <w:rPr>
                <w:sz w:val="21"/>
                <w:szCs w:val="21"/>
                <w:color w:val="auto"/>
              </w:rPr>
            </w:pPr>
          </w:p>
        </w:tc>
        <w:tc>
          <w:tcPr>
            <w:tcW w:w="2060" w:type="dxa"/>
            <w:vAlign w:val="bottom"/>
            <w:tcBorders>
              <w:bottom w:val="single" w:sz="8" w:color="auto"/>
            </w:tcBorders>
            <w:gridSpan w:val="2"/>
            <w:shd w:val="clear" w:color="auto" w:fill="DDDDDD"/>
          </w:tcPr>
          <w:p>
            <w:pPr>
              <w:jc w:val="center"/>
              <w:spacing w:after="0"/>
              <w:rPr>
                <w:sz w:val="20"/>
                <w:szCs w:val="20"/>
                <w:color w:val="auto"/>
              </w:rPr>
            </w:pPr>
            <w:r>
              <w:rPr>
                <w:rFonts w:ascii="Arial" w:cs="Arial" w:eastAsia="Arial" w:hAnsi="Arial"/>
                <w:sz w:val="14"/>
                <w:szCs w:val="14"/>
                <w:b w:val="1"/>
                <w:bCs w:val="1"/>
                <w:color w:val="2573BA"/>
                <w:w w:val="96"/>
              </w:rPr>
              <w:t>2017</w:t>
            </w:r>
          </w:p>
        </w:tc>
        <w:tc>
          <w:tcPr>
            <w:tcW w:w="120" w:type="dxa"/>
            <w:vAlign w:val="bottom"/>
          </w:tcPr>
          <w:p>
            <w:pPr>
              <w:spacing w:after="0"/>
              <w:rPr>
                <w:sz w:val="21"/>
                <w:szCs w:val="21"/>
                <w:color w:val="auto"/>
              </w:rPr>
            </w:pPr>
          </w:p>
        </w:tc>
        <w:tc>
          <w:tcPr>
            <w:tcW w:w="2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21"/>
                <w:szCs w:val="21"/>
                <w:color w:val="auto"/>
              </w:rPr>
            </w:pPr>
          </w:p>
        </w:tc>
        <w:tc>
          <w:tcPr>
            <w:tcW w:w="2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2015</w:t>
            </w:r>
          </w:p>
        </w:tc>
      </w:tr>
      <w:tr>
        <w:trPr>
          <w:trHeight w:val="229"/>
        </w:trPr>
        <w:tc>
          <w:tcPr>
            <w:tcW w:w="502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2060" w:type="dxa"/>
            <w:vAlign w:val="bottom"/>
            <w:gridSpan w:val="2"/>
            <w:shd w:val="clear" w:color="auto" w:fill="DDDDDD"/>
          </w:tcPr>
          <w:p>
            <w:pPr>
              <w:jc w:val="center"/>
              <w:spacing w:after="0"/>
              <w:rPr>
                <w:sz w:val="20"/>
                <w:szCs w:val="20"/>
                <w:color w:val="auto"/>
              </w:rPr>
            </w:pPr>
            <w:r>
              <w:rPr>
                <w:rFonts w:ascii="Arial" w:cs="Arial" w:eastAsia="Arial" w:hAnsi="Arial"/>
                <w:sz w:val="17"/>
                <w:szCs w:val="17"/>
                <w:color w:val="2573BA"/>
                <w:w w:val="99"/>
              </w:rPr>
              <w:t>—%</w:t>
            </w:r>
          </w:p>
        </w:tc>
        <w:tc>
          <w:tcPr>
            <w:tcW w:w="120" w:type="dxa"/>
            <w:vAlign w:val="bottom"/>
          </w:tcPr>
          <w:p>
            <w:pPr>
              <w:spacing w:after="0"/>
              <w:rPr>
                <w:sz w:val="19"/>
                <w:szCs w:val="19"/>
                <w:color w:val="auto"/>
              </w:rPr>
            </w:pPr>
          </w:p>
        </w:tc>
        <w:tc>
          <w:tcPr>
            <w:tcW w:w="2160" w:type="dxa"/>
            <w:vAlign w:val="bottom"/>
            <w:gridSpan w:val="3"/>
          </w:tcPr>
          <w:p>
            <w:pPr>
              <w:jc w:val="center"/>
              <w:ind w:right="120"/>
              <w:spacing w:after="0"/>
              <w:rPr>
                <w:sz w:val="20"/>
                <w:szCs w:val="20"/>
                <w:color w:val="auto"/>
              </w:rPr>
            </w:pPr>
            <w:r>
              <w:rPr>
                <w:rFonts w:ascii="Arial" w:cs="Arial" w:eastAsia="Arial" w:hAnsi="Arial"/>
                <w:sz w:val="17"/>
                <w:szCs w:val="17"/>
                <w:color w:val="auto"/>
                <w:w w:val="99"/>
              </w:rPr>
              <w:t>—%</w:t>
            </w:r>
          </w:p>
        </w:tc>
        <w:tc>
          <w:tcPr>
            <w:tcW w:w="2040" w:type="dxa"/>
            <w:vAlign w:val="bottom"/>
            <w:gridSpan w:val="2"/>
          </w:tcPr>
          <w:p>
            <w:pPr>
              <w:jc w:val="center"/>
              <w:spacing w:after="0"/>
              <w:rPr>
                <w:sz w:val="20"/>
                <w:szCs w:val="20"/>
                <w:color w:val="auto"/>
              </w:rPr>
            </w:pPr>
            <w:r>
              <w:rPr>
                <w:rFonts w:ascii="Arial" w:cs="Arial" w:eastAsia="Arial" w:hAnsi="Arial"/>
                <w:sz w:val="17"/>
                <w:szCs w:val="17"/>
                <w:color w:val="auto"/>
                <w:w w:val="99"/>
              </w:rPr>
              <w:t>—%</w:t>
            </w:r>
          </w:p>
        </w:tc>
      </w:tr>
      <w:tr>
        <w:trPr>
          <w:trHeight w:val="256"/>
        </w:trPr>
        <w:tc>
          <w:tcPr>
            <w:tcW w:w="5020" w:type="dxa"/>
            <w:vAlign w:val="bottom"/>
          </w:tcPr>
          <w:p>
            <w:pPr>
              <w:spacing w:after="0"/>
              <w:rPr>
                <w:sz w:val="20"/>
                <w:szCs w:val="20"/>
                <w:color w:val="auto"/>
              </w:rPr>
            </w:pPr>
            <w:r>
              <w:rPr>
                <w:rFonts w:ascii="Arial" w:cs="Arial" w:eastAsia="Arial" w:hAnsi="Arial"/>
                <w:sz w:val="17"/>
                <w:szCs w:val="17"/>
                <w:color w:val="auto"/>
              </w:rPr>
              <w:t>Range of expected stock price volatility</w:t>
            </w:r>
          </w:p>
        </w:tc>
        <w:tc>
          <w:tcPr>
            <w:tcW w:w="98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33.0%</w:t>
            </w:r>
          </w:p>
        </w:tc>
        <w:tc>
          <w:tcPr>
            <w:tcW w:w="108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- 35.6%</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38.2%</w:t>
            </w:r>
          </w:p>
        </w:tc>
        <w:tc>
          <w:tcPr>
            <w:tcW w:w="1080" w:type="dxa"/>
            <w:vAlign w:val="bottom"/>
          </w:tcPr>
          <w:p>
            <w:pPr>
              <w:ind w:left="20"/>
              <w:spacing w:after="0"/>
              <w:rPr>
                <w:sz w:val="20"/>
                <w:szCs w:val="20"/>
                <w:color w:val="auto"/>
              </w:rPr>
            </w:pPr>
            <w:r>
              <w:rPr>
                <w:rFonts w:ascii="Arial" w:cs="Arial" w:eastAsia="Arial" w:hAnsi="Arial"/>
                <w:sz w:val="17"/>
                <w:szCs w:val="17"/>
                <w:color w:val="auto"/>
              </w:rPr>
              <w:t>- 40.7%</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31.0%</w:t>
            </w:r>
          </w:p>
        </w:tc>
        <w:tc>
          <w:tcPr>
            <w:tcW w:w="1080" w:type="dxa"/>
            <w:vAlign w:val="bottom"/>
          </w:tcPr>
          <w:p>
            <w:pPr>
              <w:ind w:left="40"/>
              <w:spacing w:after="0"/>
              <w:rPr>
                <w:sz w:val="20"/>
                <w:szCs w:val="20"/>
                <w:color w:val="auto"/>
              </w:rPr>
            </w:pPr>
            <w:r>
              <w:rPr>
                <w:rFonts w:ascii="Arial" w:cs="Arial" w:eastAsia="Arial" w:hAnsi="Arial"/>
                <w:sz w:val="17"/>
                <w:szCs w:val="17"/>
                <w:color w:val="auto"/>
              </w:rPr>
              <w:t>- 33.2%</w:t>
            </w:r>
          </w:p>
        </w:tc>
      </w:tr>
      <w:tr>
        <w:trPr>
          <w:trHeight w:val="256"/>
        </w:trPr>
        <w:tc>
          <w:tcPr>
            <w:tcW w:w="5020" w:type="dxa"/>
            <w:vAlign w:val="bottom"/>
          </w:tcPr>
          <w:p>
            <w:pPr>
              <w:spacing w:after="0"/>
              <w:rPr>
                <w:sz w:val="20"/>
                <w:szCs w:val="20"/>
                <w:color w:val="auto"/>
              </w:rPr>
            </w:pPr>
            <w:r>
              <w:rPr>
                <w:rFonts w:ascii="Arial" w:cs="Arial" w:eastAsia="Arial" w:hAnsi="Arial"/>
                <w:sz w:val="17"/>
                <w:szCs w:val="17"/>
                <w:color w:val="auto"/>
              </w:rPr>
              <w:t>Range of risk-free interest rates</w:t>
            </w:r>
          </w:p>
        </w:tc>
        <w:tc>
          <w:tcPr>
            <w:tcW w:w="98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0.9%</w:t>
            </w:r>
          </w:p>
        </w:tc>
        <w:tc>
          <w:tcPr>
            <w:tcW w:w="108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- 1.6%</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0.6%</w:t>
            </w:r>
          </w:p>
        </w:tc>
        <w:tc>
          <w:tcPr>
            <w:tcW w:w="1080" w:type="dxa"/>
            <w:vAlign w:val="bottom"/>
          </w:tcPr>
          <w:p>
            <w:pPr>
              <w:ind w:left="20"/>
              <w:spacing w:after="0"/>
              <w:rPr>
                <w:sz w:val="20"/>
                <w:szCs w:val="20"/>
                <w:color w:val="auto"/>
              </w:rPr>
            </w:pPr>
            <w:r>
              <w:rPr>
                <w:rFonts w:ascii="Arial" w:cs="Arial" w:eastAsia="Arial" w:hAnsi="Arial"/>
                <w:sz w:val="17"/>
                <w:szCs w:val="17"/>
                <w:color w:val="auto"/>
              </w:rPr>
              <w:t>- 0.9%</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0.2%</w:t>
            </w:r>
          </w:p>
        </w:tc>
        <w:tc>
          <w:tcPr>
            <w:tcW w:w="1080" w:type="dxa"/>
            <w:vAlign w:val="bottom"/>
          </w:tcPr>
          <w:p>
            <w:pPr>
              <w:ind w:left="40"/>
              <w:spacing w:after="0"/>
              <w:rPr>
                <w:sz w:val="20"/>
                <w:szCs w:val="20"/>
                <w:color w:val="auto"/>
              </w:rPr>
            </w:pPr>
            <w:r>
              <w:rPr>
                <w:rFonts w:ascii="Arial" w:cs="Arial" w:eastAsia="Arial" w:hAnsi="Arial"/>
                <w:sz w:val="17"/>
                <w:szCs w:val="17"/>
                <w:color w:val="auto"/>
              </w:rPr>
              <w:t>- 1.0%</w:t>
            </w:r>
          </w:p>
        </w:tc>
      </w:tr>
      <w:tr>
        <w:trPr>
          <w:trHeight w:val="256"/>
        </w:trPr>
        <w:tc>
          <w:tcPr>
            <w:tcW w:w="5020" w:type="dxa"/>
            <w:vAlign w:val="bottom"/>
          </w:tcPr>
          <w:p>
            <w:pPr>
              <w:spacing w:after="0"/>
              <w:rPr>
                <w:sz w:val="20"/>
                <w:szCs w:val="20"/>
                <w:color w:val="auto"/>
              </w:rPr>
            </w:pPr>
            <w:r>
              <w:rPr>
                <w:rFonts w:ascii="Arial" w:cs="Arial" w:eastAsia="Arial" w:hAnsi="Arial"/>
                <w:sz w:val="17"/>
                <w:szCs w:val="17"/>
                <w:color w:val="auto"/>
              </w:rPr>
              <w:t>30 calendar day average stock price on grant date</w:t>
            </w:r>
          </w:p>
        </w:tc>
        <w:tc>
          <w:tcPr>
            <w:tcW w:w="98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$263.18</w:t>
            </w:r>
          </w:p>
        </w:tc>
        <w:tc>
          <w:tcPr>
            <w:tcW w:w="108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 $267.88</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$260.67</w:t>
            </w:r>
          </w:p>
        </w:tc>
        <w:tc>
          <w:tcPr>
            <w:tcW w:w="1080" w:type="dxa"/>
            <w:vAlign w:val="bottom"/>
          </w:tcPr>
          <w:p>
            <w:pPr>
              <w:ind w:left="20"/>
              <w:spacing w:after="0"/>
              <w:rPr>
                <w:sz w:val="20"/>
                <w:szCs w:val="20"/>
                <w:color w:val="auto"/>
              </w:rPr>
            </w:pPr>
            <w:r>
              <w:rPr>
                <w:rFonts w:ascii="Arial" w:cs="Arial" w:eastAsia="Arial" w:hAnsi="Arial"/>
                <w:sz w:val="17"/>
                <w:szCs w:val="17"/>
                <w:color w:val="auto"/>
              </w:rPr>
              <w:t>- $304.86</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$277.35</w:t>
            </w:r>
          </w:p>
        </w:tc>
        <w:tc>
          <w:tcPr>
            <w:tcW w:w="1080" w:type="dxa"/>
            <w:vAlign w:val="bottom"/>
          </w:tcPr>
          <w:p>
            <w:pPr>
              <w:ind w:left="40"/>
              <w:spacing w:after="0"/>
              <w:rPr>
                <w:sz w:val="20"/>
                <w:szCs w:val="20"/>
                <w:color w:val="auto"/>
              </w:rPr>
            </w:pPr>
            <w:r>
              <w:rPr>
                <w:rFonts w:ascii="Arial" w:cs="Arial" w:eastAsia="Arial" w:hAnsi="Arial"/>
                <w:sz w:val="17"/>
                <w:szCs w:val="17"/>
                <w:color w:val="auto"/>
              </w:rPr>
              <w:t>- $426.27</w:t>
            </w:r>
          </w:p>
        </w:tc>
      </w:tr>
      <w:tr>
        <w:trPr>
          <w:trHeight w:val="270"/>
        </w:trPr>
        <w:tc>
          <w:tcPr>
            <w:tcW w:w="5020" w:type="dxa"/>
            <w:vAlign w:val="bottom"/>
          </w:tcPr>
          <w:p>
            <w:pPr>
              <w:spacing w:after="0"/>
              <w:rPr>
                <w:sz w:val="20"/>
                <w:szCs w:val="20"/>
                <w:color w:val="auto"/>
              </w:rPr>
            </w:pPr>
            <w:r>
              <w:rPr>
                <w:rFonts w:ascii="Arial" w:cs="Arial" w:eastAsia="Arial" w:hAnsi="Arial"/>
                <w:sz w:val="17"/>
                <w:szCs w:val="17"/>
                <w:color w:val="auto"/>
              </w:rPr>
              <w:t>Weighted-average per share grant date fair value</w:t>
            </w:r>
          </w:p>
        </w:tc>
        <w:tc>
          <w:tcPr>
            <w:tcW w:w="2060" w:type="dxa"/>
            <w:vAlign w:val="bottom"/>
            <w:gridSpan w:val="2"/>
            <w:shd w:val="clear" w:color="auto" w:fill="DDDDDD"/>
          </w:tcPr>
          <w:p>
            <w:pPr>
              <w:jc w:val="center"/>
              <w:spacing w:after="0"/>
              <w:rPr>
                <w:sz w:val="20"/>
                <w:szCs w:val="20"/>
                <w:color w:val="auto"/>
              </w:rPr>
            </w:pPr>
            <w:r>
              <w:rPr>
                <w:rFonts w:ascii="Arial" w:cs="Arial" w:eastAsia="Arial" w:hAnsi="Arial"/>
                <w:sz w:val="17"/>
                <w:szCs w:val="17"/>
                <w:color w:val="2573BA"/>
              </w:rPr>
              <w:t>$382.59</w:t>
            </w:r>
          </w:p>
        </w:tc>
        <w:tc>
          <w:tcPr>
            <w:tcW w:w="2180" w:type="dxa"/>
            <w:vAlign w:val="bottom"/>
            <w:gridSpan w:val="3"/>
          </w:tcPr>
          <w:p>
            <w:pPr>
              <w:jc w:val="center"/>
              <w:ind w:left="38"/>
              <w:spacing w:after="0"/>
              <w:rPr>
                <w:sz w:val="20"/>
                <w:szCs w:val="20"/>
                <w:color w:val="auto"/>
              </w:rPr>
            </w:pPr>
            <w:r>
              <w:rPr>
                <w:rFonts w:ascii="Arial" w:cs="Arial" w:eastAsia="Arial" w:hAnsi="Arial"/>
                <w:sz w:val="17"/>
                <w:szCs w:val="17"/>
                <w:color w:val="auto"/>
              </w:rPr>
              <w:t>$328.03</w:t>
            </w:r>
          </w:p>
        </w:tc>
        <w:tc>
          <w:tcPr>
            <w:tcW w:w="100" w:type="dxa"/>
            <w:vAlign w:val="bottom"/>
          </w:tcPr>
          <w:p>
            <w:pPr>
              <w:spacing w:after="0"/>
              <w:rPr>
                <w:sz w:val="23"/>
                <w:szCs w:val="23"/>
                <w:color w:val="auto"/>
              </w:rPr>
            </w:pPr>
          </w:p>
        </w:tc>
        <w:tc>
          <w:tcPr>
            <w:tcW w:w="2040" w:type="dxa"/>
            <w:vAlign w:val="bottom"/>
            <w:gridSpan w:val="2"/>
          </w:tcPr>
          <w:p>
            <w:pPr>
              <w:jc w:val="center"/>
              <w:spacing w:after="0"/>
              <w:rPr>
                <w:sz w:val="20"/>
                <w:szCs w:val="20"/>
                <w:color w:val="auto"/>
              </w:rPr>
            </w:pPr>
            <w:r>
              <w:rPr>
                <w:rFonts w:ascii="Arial" w:cs="Arial" w:eastAsia="Arial" w:hAnsi="Arial"/>
                <w:sz w:val="17"/>
                <w:szCs w:val="17"/>
                <w:color w:val="auto"/>
                <w:w w:val="97"/>
              </w:rPr>
              <w:t>$493.43</w:t>
            </w:r>
          </w:p>
        </w:tc>
      </w:tr>
      <w:tr>
        <w:trPr>
          <w:trHeight w:val="434"/>
        </w:trPr>
        <w:tc>
          <w:tcPr>
            <w:tcW w:w="5020" w:type="dxa"/>
            <w:vAlign w:val="bottom"/>
          </w:tcPr>
          <w:p>
            <w:pPr>
              <w:spacing w:after="0"/>
              <w:rPr>
                <w:sz w:val="24"/>
                <w:szCs w:val="24"/>
                <w:color w:val="auto"/>
              </w:rPr>
            </w:pPr>
          </w:p>
        </w:tc>
        <w:tc>
          <w:tcPr>
            <w:tcW w:w="980" w:type="dxa"/>
            <w:vAlign w:val="bottom"/>
          </w:tcPr>
          <w:p>
            <w:pPr>
              <w:jc w:val="right"/>
              <w:ind w:right="17"/>
              <w:spacing w:after="0"/>
              <w:rPr>
                <w:sz w:val="20"/>
                <w:szCs w:val="20"/>
                <w:color w:val="auto"/>
              </w:rPr>
            </w:pPr>
            <w:r>
              <w:rPr>
                <w:rFonts w:ascii="Arial" w:cs="Arial" w:eastAsia="Arial" w:hAnsi="Arial"/>
                <w:sz w:val="17"/>
                <w:szCs w:val="17"/>
                <w:color w:val="auto"/>
              </w:rPr>
              <w:t>F- 46</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39" w:right="239" w:bottom="1440" w:gutter="0" w:footer="0" w:header="0"/>
        </w:sectPr>
      </w:pPr>
    </w:p>
    <w:bookmarkStart w:id="148" w:name="page149"/>
    <w:bookmarkEnd w:id="1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9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fair values of MSUs vested in 2017, 2016 and 2015 totaled $31.4 million, $39.3 million and $109.0 million, respectively.</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Cash Settled Performance Units (CSPUs)</w:t>
      </w:r>
    </w:p>
    <w:p>
      <w:pPr>
        <w:spacing w:after="0" w:line="106" w:lineRule="exact"/>
        <w:rPr>
          <w:sz w:val="20"/>
          <w:szCs w:val="20"/>
          <w:color w:val="auto"/>
        </w:rPr>
      </w:pPr>
    </w:p>
    <w:p>
      <w:pPr>
        <w:ind w:right="20" w:firstLine="410"/>
        <w:spacing w:after="0" w:line="252" w:lineRule="auto"/>
        <w:rPr>
          <w:sz w:val="20"/>
          <w:szCs w:val="20"/>
          <w:color w:val="auto"/>
        </w:rPr>
      </w:pPr>
      <w:r>
        <w:rPr>
          <w:rFonts w:ascii="Arial" w:cs="Arial" w:eastAsia="Arial" w:hAnsi="Arial"/>
          <w:sz w:val="17"/>
          <w:szCs w:val="17"/>
          <w:color w:val="auto"/>
        </w:rPr>
        <w:t>CSPUs awarded to employees vest in three equal annual increments beginning on the first anniversary of the grant date. The vesting of these awards is subject to the respective employee’s continued employment with such awards settled in cash. The number of CSPUs granted represents the target number of units that are eligible to be earned based on the attainment of certain performance measures established at the beginning of the performance period, which ends on December 31 of each year. Participants may ultimately earn between 0% and 200% of the target number of units granted based on the degree of actual performance metric achievement. Accordingly, additional CSPUs may be issued or currently outstanding CSPUs may be cancelled upon final determination of the number of units earned. CSPUs awarded prior to 2014 are settled in cash based on the 60 calendar day average closing stock price through each vesting date once the actual vested and earned number of units is known. CSPUs awarded in 2014 and thereafter will be settled in cash based on the 30 calendar day average closing stock price through each vesting date, once the actual vested and earned number of units is known. Since no shares are issued, these awards do not dilute equity. Compensation expense, including the effect of forfeitures, is recognized over the applicable service period.</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our CSPU activity:</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340" w:type="dxa"/>
            <w:vAlign w:val="bottom"/>
          </w:tcPr>
          <w:p>
            <w:pPr>
              <w:spacing w:after="0"/>
              <w:rPr>
                <w:sz w:val="15"/>
                <w:szCs w:val="15"/>
                <w:color w:val="auto"/>
              </w:rPr>
            </w:pPr>
          </w:p>
        </w:tc>
        <w:tc>
          <w:tcPr>
            <w:tcW w:w="2040" w:type="dxa"/>
            <w:vAlign w:val="bottom"/>
            <w:tcBorders>
              <w:bottom w:val="single" w:sz="8" w:color="auto"/>
            </w:tcBorders>
          </w:tcPr>
          <w:p>
            <w:pPr>
              <w:jc w:val="right"/>
              <w:ind w:right="717"/>
              <w:spacing w:after="0"/>
              <w:rPr>
                <w:sz w:val="20"/>
                <w:szCs w:val="20"/>
                <w:color w:val="auto"/>
              </w:rPr>
            </w:pPr>
            <w:r>
              <w:rPr>
                <w:rFonts w:ascii="Arial" w:cs="Arial" w:eastAsia="Arial" w:hAnsi="Arial"/>
                <w:sz w:val="14"/>
                <w:szCs w:val="14"/>
                <w:b w:val="1"/>
                <w:bCs w:val="1"/>
                <w:color w:val="auto"/>
              </w:rPr>
              <w:t>Shares</w:t>
            </w:r>
          </w:p>
        </w:tc>
      </w:tr>
      <w:tr>
        <w:trPr>
          <w:trHeight w:val="229"/>
        </w:trPr>
        <w:tc>
          <w:tcPr>
            <w:tcW w:w="9340" w:type="dxa"/>
            <w:vAlign w:val="bottom"/>
          </w:tcPr>
          <w:p>
            <w:pPr>
              <w:spacing w:after="0"/>
              <w:rPr>
                <w:sz w:val="20"/>
                <w:szCs w:val="20"/>
                <w:color w:val="auto"/>
              </w:rPr>
            </w:pPr>
            <w:r>
              <w:rPr>
                <w:rFonts w:ascii="Arial" w:cs="Arial" w:eastAsia="Arial" w:hAnsi="Arial"/>
                <w:sz w:val="17"/>
                <w:szCs w:val="17"/>
                <w:color w:val="auto"/>
              </w:rPr>
              <w:t>Unvested at December 31, 2016</w:t>
            </w:r>
          </w:p>
        </w:tc>
        <w:tc>
          <w:tcPr>
            <w:tcW w:w="20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122,000</w:t>
            </w:r>
          </w:p>
        </w:tc>
      </w:tr>
      <w:tr>
        <w:trPr>
          <w:trHeight w:val="243"/>
        </w:trPr>
        <w:tc>
          <w:tcPr>
            <w:tcW w:w="9340" w:type="dxa"/>
            <w:vAlign w:val="bottom"/>
          </w:tcPr>
          <w:p>
            <w:pPr>
              <w:ind w:left="140"/>
              <w:spacing w:after="0"/>
              <w:rPr>
                <w:sz w:val="20"/>
                <w:szCs w:val="20"/>
                <w:color w:val="auto"/>
              </w:rPr>
            </w:pPr>
            <w:r>
              <w:rPr>
                <w:rFonts w:ascii="Arial" w:cs="Arial" w:eastAsia="Arial" w:hAnsi="Arial"/>
                <w:sz w:val="17"/>
                <w:szCs w:val="17"/>
                <w:color w:val="auto"/>
              </w:rPr>
              <w:t>Hemophilia spin-off adjustment</w:t>
            </w:r>
          </w:p>
        </w:tc>
        <w:tc>
          <w:tcPr>
            <w:tcW w:w="20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3,000</w:t>
            </w:r>
          </w:p>
        </w:tc>
      </w:tr>
      <w:tr>
        <w:trPr>
          <w:trHeight w:val="243"/>
        </w:trPr>
        <w:tc>
          <w:tcPr>
            <w:tcW w:w="9340" w:type="dxa"/>
            <w:vAlign w:val="bottom"/>
          </w:tcPr>
          <w:p>
            <w:pPr>
              <w:ind w:left="140"/>
              <w:spacing w:after="0"/>
              <w:rPr>
                <w:sz w:val="20"/>
                <w:szCs w:val="20"/>
                <w:color w:val="auto"/>
              </w:rPr>
            </w:pPr>
            <w:r>
              <w:rPr>
                <w:rFonts w:ascii="Arial" w:cs="Arial" w:eastAsia="Arial" w:hAnsi="Arial"/>
                <w:sz w:val="17"/>
                <w:szCs w:val="17"/>
                <w:color w:val="auto"/>
              </w:rPr>
              <w:t>Granted (a)</w:t>
            </w:r>
          </w:p>
        </w:tc>
        <w:tc>
          <w:tcPr>
            <w:tcW w:w="20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83,000</w:t>
            </w:r>
          </w:p>
        </w:tc>
      </w:tr>
      <w:tr>
        <w:trPr>
          <w:trHeight w:val="243"/>
        </w:trPr>
        <w:tc>
          <w:tcPr>
            <w:tcW w:w="9340" w:type="dxa"/>
            <w:vAlign w:val="bottom"/>
          </w:tcPr>
          <w:p>
            <w:pPr>
              <w:ind w:left="140"/>
              <w:spacing w:after="0"/>
              <w:rPr>
                <w:sz w:val="20"/>
                <w:szCs w:val="20"/>
                <w:color w:val="auto"/>
              </w:rPr>
            </w:pPr>
            <w:r>
              <w:rPr>
                <w:rFonts w:ascii="Arial" w:cs="Arial" w:eastAsia="Arial" w:hAnsi="Arial"/>
                <w:sz w:val="17"/>
                <w:szCs w:val="17"/>
                <w:color w:val="auto"/>
              </w:rPr>
              <w:t>Vested</w:t>
            </w:r>
          </w:p>
        </w:tc>
        <w:tc>
          <w:tcPr>
            <w:tcW w:w="20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(69,000)</w:t>
            </w:r>
          </w:p>
        </w:tc>
      </w:tr>
      <w:tr>
        <w:trPr>
          <w:trHeight w:val="250"/>
        </w:trPr>
        <w:tc>
          <w:tcPr>
            <w:tcW w:w="9340" w:type="dxa"/>
            <w:vAlign w:val="bottom"/>
          </w:tcPr>
          <w:p>
            <w:pPr>
              <w:ind w:left="140"/>
              <w:spacing w:after="0"/>
              <w:rPr>
                <w:sz w:val="20"/>
                <w:szCs w:val="20"/>
                <w:color w:val="auto"/>
              </w:rPr>
            </w:pPr>
            <w:r>
              <w:rPr>
                <w:rFonts w:ascii="Arial" w:cs="Arial" w:eastAsia="Arial" w:hAnsi="Arial"/>
                <w:sz w:val="17"/>
                <w:szCs w:val="17"/>
                <w:color w:val="auto"/>
              </w:rPr>
              <w:t>Forfeited</w:t>
            </w:r>
          </w:p>
        </w:tc>
        <w:tc>
          <w:tcPr>
            <w:tcW w:w="2040" w:type="dxa"/>
            <w:vAlign w:val="bottom"/>
            <w:tcBorders>
              <w:bottom w:val="single" w:sz="8" w:color="auto"/>
            </w:tcBorders>
            <w:shd w:val="clear" w:color="auto" w:fill="DDDDDD"/>
          </w:tcPr>
          <w:p>
            <w:pPr>
              <w:jc w:val="right"/>
              <w:ind w:right="17"/>
              <w:spacing w:after="0"/>
              <w:rPr>
                <w:sz w:val="20"/>
                <w:szCs w:val="20"/>
                <w:color w:val="auto"/>
              </w:rPr>
            </w:pPr>
            <w:r>
              <w:rPr>
                <w:rFonts w:ascii="Arial" w:cs="Arial" w:eastAsia="Arial" w:hAnsi="Arial"/>
                <w:sz w:val="17"/>
                <w:szCs w:val="17"/>
                <w:color w:val="2573BA"/>
              </w:rPr>
              <w:t>(34,000)</w:t>
            </w:r>
          </w:p>
        </w:tc>
      </w:tr>
      <w:tr>
        <w:trPr>
          <w:trHeight w:val="236"/>
        </w:trPr>
        <w:tc>
          <w:tcPr>
            <w:tcW w:w="9340" w:type="dxa"/>
            <w:vAlign w:val="bottom"/>
          </w:tcPr>
          <w:p>
            <w:pPr>
              <w:spacing w:after="0"/>
              <w:rPr>
                <w:sz w:val="20"/>
                <w:szCs w:val="20"/>
                <w:color w:val="auto"/>
              </w:rPr>
            </w:pPr>
            <w:r>
              <w:rPr>
                <w:rFonts w:ascii="Arial" w:cs="Arial" w:eastAsia="Arial" w:hAnsi="Arial"/>
                <w:sz w:val="17"/>
                <w:szCs w:val="17"/>
                <w:color w:val="auto"/>
              </w:rPr>
              <w:t>Unvested at December 31, 2017</w:t>
            </w:r>
          </w:p>
        </w:tc>
        <w:tc>
          <w:tcPr>
            <w:tcW w:w="2040" w:type="dxa"/>
            <w:vAlign w:val="bottom"/>
            <w:tcBorders>
              <w:bottom w:val="single" w:sz="8" w:color="auto"/>
            </w:tcBorders>
            <w:shd w:val="clear" w:color="auto" w:fill="DDDDDD"/>
          </w:tcPr>
          <w:p>
            <w:pPr>
              <w:jc w:val="right"/>
              <w:ind w:right="17"/>
              <w:spacing w:after="0"/>
              <w:rPr>
                <w:sz w:val="20"/>
                <w:szCs w:val="20"/>
                <w:color w:val="auto"/>
              </w:rPr>
            </w:pPr>
            <w:r>
              <w:rPr>
                <w:rFonts w:ascii="Arial" w:cs="Arial" w:eastAsia="Arial" w:hAnsi="Arial"/>
                <w:sz w:val="17"/>
                <w:szCs w:val="17"/>
                <w:color w:val="2573BA"/>
              </w:rPr>
              <w:t>105,000</w:t>
            </w:r>
          </w:p>
        </w:tc>
      </w:tr>
      <w:tr>
        <w:trPr>
          <w:trHeight w:val="20"/>
        </w:trPr>
        <w:tc>
          <w:tcPr>
            <w:tcW w:w="934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jc w:val="both"/>
        <w:ind w:left="380" w:hanging="301"/>
        <w:spacing w:after="0" w:line="275" w:lineRule="auto"/>
        <w:tabs>
          <w:tab w:leader="none" w:pos="380" w:val="left"/>
        </w:tabs>
        <w:numPr>
          <w:ilvl w:val="0"/>
          <w:numId w:val="113"/>
        </w:numPr>
        <w:rPr>
          <w:rFonts w:ascii="Arial" w:cs="Arial" w:eastAsia="Arial" w:hAnsi="Arial"/>
          <w:sz w:val="17"/>
          <w:szCs w:val="17"/>
          <w:color w:val="auto"/>
        </w:rPr>
      </w:pPr>
      <w:r>
        <w:rPr>
          <w:rFonts w:ascii="Arial" w:cs="Arial" w:eastAsia="Arial" w:hAnsi="Arial"/>
          <w:sz w:val="15"/>
          <w:szCs w:val="15"/>
          <w:color w:val="auto"/>
        </w:rPr>
        <w:t>CSPUs granted in 2017 include awards granted in conjunction with our annual awards made in February 2017 and CSPUs granted in conjunction with the hiring of employees. These grants reflect the target number of shares eligible to be earned at the time of grant. CSPUs granted in 2017 also include CSPUs issued in 2017 based upon the attainment of performance criteria set for 2016 in relation to shares granted in 2016.</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cash paid in settlement of CSPUs vested in 2017, 2016 and 2015 totaled $16.6 million, $31.9 million and $79.8 million, respectively.</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Performance-vested Restricted Stock Units (PUs)</w:t>
      </w:r>
    </w:p>
    <w:p>
      <w:pPr>
        <w:spacing w:after="0" w:line="106" w:lineRule="exact"/>
        <w:rPr>
          <w:sz w:val="20"/>
          <w:szCs w:val="20"/>
          <w:color w:val="auto"/>
        </w:rPr>
      </w:pPr>
    </w:p>
    <w:p>
      <w:pPr>
        <w:ind w:right="20" w:firstLine="384"/>
        <w:spacing w:after="0" w:line="252" w:lineRule="auto"/>
        <w:rPr>
          <w:sz w:val="20"/>
          <w:szCs w:val="20"/>
          <w:color w:val="auto"/>
        </w:rPr>
      </w:pPr>
      <w:r>
        <w:rPr>
          <w:rFonts w:ascii="Arial" w:cs="Arial" w:eastAsia="Arial" w:hAnsi="Arial"/>
          <w:sz w:val="17"/>
          <w:szCs w:val="17"/>
          <w:color w:val="auto"/>
        </w:rPr>
        <w:t>PUs are granted to certain employees in the form of RSUs that may be settled in cash or shares of our common stock at the sole discretion of the Compensation and Management Development Committee of our Board of Directors. These awards are structured and accounted for the same way as the CSPUs, and vest in three equal annual increments beginning on the first anniversary of the grant date. The number of PUs granted represents the target number of units that are eligible to be earned based on the attainment of certain performance measures established at the beginning of the performance period, which ends on December 31 of each year. Participants may ultimately earn between 0% and 200% of the target number of units granted based on the degree of actual performance metric achievement. Accordingly, additional PUs may be issued or currently outstanding PUs may be cancelled upon final determination of the number of units earned. PUs settling in cash are based on the 30 calendar day average closing stock price through each vesting date once the actual vested and earned number of units is known. Compensation expense, including the effect of forfeitures, is recognized over the applicable service period.</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F- 47</w:t>
      </w:r>
    </w:p>
    <w:p>
      <w:pPr>
        <w:sectPr>
          <w:pgSz w:w="11900" w:h="16838" w:orient="portrait"/>
          <w:cols w:equalWidth="0" w:num="1">
            <w:col w:w="11420"/>
          </w:cols>
          <w:pgMar w:left="240" w:top="139" w:right="239" w:bottom="1440" w:gutter="0" w:footer="0" w:header="0"/>
        </w:sectPr>
      </w:pPr>
    </w:p>
    <w:bookmarkStart w:id="149" w:name="page150"/>
    <w:bookmarkEnd w:id="1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9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our PU activity:</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340" w:type="dxa"/>
            <w:vAlign w:val="bottom"/>
          </w:tcPr>
          <w:p>
            <w:pPr>
              <w:spacing w:after="0"/>
              <w:rPr>
                <w:sz w:val="15"/>
                <w:szCs w:val="15"/>
                <w:color w:val="auto"/>
              </w:rPr>
            </w:pPr>
          </w:p>
        </w:tc>
        <w:tc>
          <w:tcPr>
            <w:tcW w:w="2040" w:type="dxa"/>
            <w:vAlign w:val="bottom"/>
            <w:tcBorders>
              <w:bottom w:val="single" w:sz="8" w:color="auto"/>
            </w:tcBorders>
          </w:tcPr>
          <w:p>
            <w:pPr>
              <w:jc w:val="right"/>
              <w:ind w:right="717"/>
              <w:spacing w:after="0"/>
              <w:rPr>
                <w:sz w:val="20"/>
                <w:szCs w:val="20"/>
                <w:color w:val="auto"/>
              </w:rPr>
            </w:pPr>
            <w:r>
              <w:rPr>
                <w:rFonts w:ascii="Arial" w:cs="Arial" w:eastAsia="Arial" w:hAnsi="Arial"/>
                <w:sz w:val="14"/>
                <w:szCs w:val="14"/>
                <w:b w:val="1"/>
                <w:bCs w:val="1"/>
                <w:color w:val="auto"/>
              </w:rPr>
              <w:t>Shares</w:t>
            </w:r>
          </w:p>
        </w:tc>
      </w:tr>
      <w:tr>
        <w:trPr>
          <w:trHeight w:val="229"/>
        </w:trPr>
        <w:tc>
          <w:tcPr>
            <w:tcW w:w="9340" w:type="dxa"/>
            <w:vAlign w:val="bottom"/>
          </w:tcPr>
          <w:p>
            <w:pPr>
              <w:spacing w:after="0"/>
              <w:rPr>
                <w:sz w:val="20"/>
                <w:szCs w:val="20"/>
                <w:color w:val="auto"/>
              </w:rPr>
            </w:pPr>
            <w:r>
              <w:rPr>
                <w:rFonts w:ascii="Arial" w:cs="Arial" w:eastAsia="Arial" w:hAnsi="Arial"/>
                <w:sz w:val="17"/>
                <w:szCs w:val="17"/>
                <w:color w:val="auto"/>
              </w:rPr>
              <w:t>Unvested at December 31, 2016</w:t>
            </w:r>
          </w:p>
        </w:tc>
        <w:tc>
          <w:tcPr>
            <w:tcW w:w="20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110,000</w:t>
            </w:r>
          </w:p>
        </w:tc>
      </w:tr>
      <w:tr>
        <w:trPr>
          <w:trHeight w:val="243"/>
        </w:trPr>
        <w:tc>
          <w:tcPr>
            <w:tcW w:w="9340" w:type="dxa"/>
            <w:vAlign w:val="bottom"/>
          </w:tcPr>
          <w:p>
            <w:pPr>
              <w:ind w:left="140"/>
              <w:spacing w:after="0"/>
              <w:rPr>
                <w:sz w:val="20"/>
                <w:szCs w:val="20"/>
                <w:color w:val="auto"/>
              </w:rPr>
            </w:pPr>
            <w:r>
              <w:rPr>
                <w:rFonts w:ascii="Arial" w:cs="Arial" w:eastAsia="Arial" w:hAnsi="Arial"/>
                <w:sz w:val="17"/>
                <w:szCs w:val="17"/>
                <w:color w:val="auto"/>
              </w:rPr>
              <w:t>Hemophilia spin-off adjustment</w:t>
            </w:r>
          </w:p>
        </w:tc>
        <w:tc>
          <w:tcPr>
            <w:tcW w:w="20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3,000</w:t>
            </w:r>
          </w:p>
        </w:tc>
      </w:tr>
      <w:tr>
        <w:trPr>
          <w:trHeight w:val="243"/>
        </w:trPr>
        <w:tc>
          <w:tcPr>
            <w:tcW w:w="9340" w:type="dxa"/>
            <w:vAlign w:val="bottom"/>
          </w:tcPr>
          <w:p>
            <w:pPr>
              <w:ind w:left="140"/>
              <w:spacing w:after="0"/>
              <w:rPr>
                <w:sz w:val="20"/>
                <w:szCs w:val="20"/>
                <w:color w:val="auto"/>
              </w:rPr>
            </w:pPr>
            <w:r>
              <w:rPr>
                <w:rFonts w:ascii="Arial" w:cs="Arial" w:eastAsia="Arial" w:hAnsi="Arial"/>
                <w:sz w:val="17"/>
                <w:szCs w:val="17"/>
                <w:color w:val="auto"/>
              </w:rPr>
              <w:t>Granted (a)</w:t>
            </w:r>
          </w:p>
        </w:tc>
        <w:tc>
          <w:tcPr>
            <w:tcW w:w="20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40,000</w:t>
            </w:r>
          </w:p>
        </w:tc>
      </w:tr>
      <w:tr>
        <w:trPr>
          <w:trHeight w:val="243"/>
        </w:trPr>
        <w:tc>
          <w:tcPr>
            <w:tcW w:w="9340" w:type="dxa"/>
            <w:vAlign w:val="bottom"/>
          </w:tcPr>
          <w:p>
            <w:pPr>
              <w:ind w:left="140"/>
              <w:spacing w:after="0"/>
              <w:rPr>
                <w:sz w:val="20"/>
                <w:szCs w:val="20"/>
                <w:color w:val="auto"/>
              </w:rPr>
            </w:pPr>
            <w:r>
              <w:rPr>
                <w:rFonts w:ascii="Arial" w:cs="Arial" w:eastAsia="Arial" w:hAnsi="Arial"/>
                <w:sz w:val="17"/>
                <w:szCs w:val="17"/>
                <w:color w:val="auto"/>
              </w:rPr>
              <w:t>Vested</w:t>
            </w:r>
          </w:p>
        </w:tc>
        <w:tc>
          <w:tcPr>
            <w:tcW w:w="20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(43,000)</w:t>
            </w:r>
          </w:p>
        </w:tc>
      </w:tr>
      <w:tr>
        <w:trPr>
          <w:trHeight w:val="250"/>
        </w:trPr>
        <w:tc>
          <w:tcPr>
            <w:tcW w:w="9340" w:type="dxa"/>
            <w:vAlign w:val="bottom"/>
          </w:tcPr>
          <w:p>
            <w:pPr>
              <w:ind w:left="140"/>
              <w:spacing w:after="0"/>
              <w:rPr>
                <w:sz w:val="20"/>
                <w:szCs w:val="20"/>
                <w:color w:val="auto"/>
              </w:rPr>
            </w:pPr>
            <w:r>
              <w:rPr>
                <w:rFonts w:ascii="Arial" w:cs="Arial" w:eastAsia="Arial" w:hAnsi="Arial"/>
                <w:sz w:val="17"/>
                <w:szCs w:val="17"/>
                <w:color w:val="auto"/>
              </w:rPr>
              <w:t>Forfeited</w:t>
            </w:r>
          </w:p>
        </w:tc>
        <w:tc>
          <w:tcPr>
            <w:tcW w:w="2040" w:type="dxa"/>
            <w:vAlign w:val="bottom"/>
            <w:tcBorders>
              <w:bottom w:val="single" w:sz="8" w:color="auto"/>
            </w:tcBorders>
            <w:shd w:val="clear" w:color="auto" w:fill="DDDDDD"/>
          </w:tcPr>
          <w:p>
            <w:pPr>
              <w:jc w:val="right"/>
              <w:ind w:right="17"/>
              <w:spacing w:after="0"/>
              <w:rPr>
                <w:sz w:val="20"/>
                <w:szCs w:val="20"/>
                <w:color w:val="auto"/>
              </w:rPr>
            </w:pPr>
            <w:r>
              <w:rPr>
                <w:rFonts w:ascii="Arial" w:cs="Arial" w:eastAsia="Arial" w:hAnsi="Arial"/>
                <w:sz w:val="17"/>
                <w:szCs w:val="17"/>
                <w:color w:val="2573BA"/>
              </w:rPr>
              <w:t>(19,000)</w:t>
            </w:r>
          </w:p>
        </w:tc>
      </w:tr>
      <w:tr>
        <w:trPr>
          <w:trHeight w:val="236"/>
        </w:trPr>
        <w:tc>
          <w:tcPr>
            <w:tcW w:w="9340" w:type="dxa"/>
            <w:vAlign w:val="bottom"/>
          </w:tcPr>
          <w:p>
            <w:pPr>
              <w:spacing w:after="0"/>
              <w:rPr>
                <w:sz w:val="20"/>
                <w:szCs w:val="20"/>
                <w:color w:val="auto"/>
              </w:rPr>
            </w:pPr>
            <w:r>
              <w:rPr>
                <w:rFonts w:ascii="Arial" w:cs="Arial" w:eastAsia="Arial" w:hAnsi="Arial"/>
                <w:sz w:val="17"/>
                <w:szCs w:val="17"/>
                <w:color w:val="auto"/>
              </w:rPr>
              <w:t>Unvested at December 31, 2017</w:t>
            </w:r>
          </w:p>
        </w:tc>
        <w:tc>
          <w:tcPr>
            <w:tcW w:w="2040" w:type="dxa"/>
            <w:vAlign w:val="bottom"/>
            <w:tcBorders>
              <w:bottom w:val="single" w:sz="8" w:color="auto"/>
            </w:tcBorders>
            <w:shd w:val="clear" w:color="auto" w:fill="DDDDDD"/>
          </w:tcPr>
          <w:p>
            <w:pPr>
              <w:jc w:val="right"/>
              <w:ind w:right="17"/>
              <w:spacing w:after="0"/>
              <w:rPr>
                <w:sz w:val="20"/>
                <w:szCs w:val="20"/>
                <w:color w:val="auto"/>
              </w:rPr>
            </w:pPr>
            <w:r>
              <w:rPr>
                <w:rFonts w:ascii="Arial" w:cs="Arial" w:eastAsia="Arial" w:hAnsi="Arial"/>
                <w:sz w:val="17"/>
                <w:szCs w:val="17"/>
                <w:color w:val="2573BA"/>
              </w:rPr>
              <w:t>91,000</w:t>
            </w:r>
          </w:p>
        </w:tc>
      </w:tr>
      <w:tr>
        <w:trPr>
          <w:trHeight w:val="20"/>
        </w:trPr>
        <w:tc>
          <w:tcPr>
            <w:tcW w:w="934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left="380" w:right="400" w:hanging="301"/>
        <w:spacing w:after="0" w:line="266" w:lineRule="auto"/>
        <w:tabs>
          <w:tab w:leader="none" w:pos="38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PUs granted in 2017 include awards granted in conjunction with our annual awards made in February 2017 and PUs granted in conjunction with the hiring of employees. These grants reflect the target number of shares eligible to be earned at the time of grant.</w:t>
      </w:r>
    </w:p>
    <w:p>
      <w:pPr>
        <w:spacing w:after="0" w:line="127" w:lineRule="exact"/>
        <w:rPr>
          <w:sz w:val="20"/>
          <w:szCs w:val="20"/>
          <w:color w:val="auto"/>
        </w:rPr>
      </w:pPr>
    </w:p>
    <w:p>
      <w:pPr>
        <w:ind w:right="100" w:firstLine="410"/>
        <w:spacing w:after="0" w:line="262" w:lineRule="auto"/>
        <w:rPr>
          <w:sz w:val="20"/>
          <w:szCs w:val="20"/>
          <w:color w:val="auto"/>
        </w:rPr>
      </w:pPr>
      <w:r>
        <w:rPr>
          <w:rFonts w:ascii="Arial" w:cs="Arial" w:eastAsia="Arial" w:hAnsi="Arial"/>
          <w:sz w:val="17"/>
          <w:szCs w:val="17"/>
          <w:color w:val="auto"/>
        </w:rPr>
        <w:t>During 2015 32,000 PUs were converted to share settlements, of which approximately 11,000 shares were vested and issued. All other PUs that vested in 2015 were settled in cash totaling $12.4 million.</w:t>
      </w:r>
    </w:p>
    <w:p>
      <w:pPr>
        <w:spacing w:after="0" w:line="13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All PUs that vested in 2017 and 2016 were settled in cash totaling $11.5 million and $8.1 million, respectively.</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Time-Vested Restricted Stock Units (RSUs)</w:t>
      </w:r>
    </w:p>
    <w:p>
      <w:pPr>
        <w:spacing w:after="0" w:line="106"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RSUs awarded to employees generally vest no sooner than one-third per year over three years on the anniversary of the date of grant, or upon the third anniversary of the date of the grant, provided the employee remains continuously employed with us, except as otherwise provided in the plan. Shares of our common stock will be delivered to the employee upon vesting, subject to payment of applicable withholding taxes. RSUs awarded to directors for service on our Board of Directors vest on the first anniversary of the date of grant, provided in each case that the director continues to serve on our Board of Directors through the vesting date. Shares of our common stock will be delivered to the director upon vesting and are not subject to any withholding taxes. The fair value of all RSUs is based on the market value of our stock on the date of grant. Compensation expense, including the effect of forfeitures, is recognized over the applicable service period.</w:t>
      </w:r>
    </w:p>
    <w:p>
      <w:pPr>
        <w:spacing w:after="0" w:line="14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our RSU activity:</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ind w:right="41"/>
              <w:spacing w:after="0"/>
              <w:rPr>
                <w:sz w:val="20"/>
                <w:szCs w:val="20"/>
                <w:color w:val="auto"/>
              </w:rPr>
            </w:pPr>
            <w:r>
              <w:rPr>
                <w:rFonts w:ascii="Arial" w:cs="Arial" w:eastAsia="Arial" w:hAnsi="Arial"/>
                <w:sz w:val="14"/>
                <w:szCs w:val="14"/>
                <w:b w:val="1"/>
                <w:bCs w:val="1"/>
                <w:color w:val="auto"/>
                <w:w w:val="98"/>
              </w:rPr>
              <w:t>Weighted</w:t>
            </w:r>
          </w:p>
        </w:tc>
      </w:tr>
      <w:tr>
        <w:trPr>
          <w:trHeight w:val="154"/>
        </w:trPr>
        <w:tc>
          <w:tcPr>
            <w:tcW w:w="76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jc w:val="center"/>
              <w:ind w:right="41"/>
              <w:spacing w:after="0" w:line="154" w:lineRule="exact"/>
              <w:rPr>
                <w:sz w:val="20"/>
                <w:szCs w:val="20"/>
                <w:color w:val="auto"/>
              </w:rPr>
            </w:pPr>
            <w:r>
              <w:rPr>
                <w:rFonts w:ascii="Arial" w:cs="Arial" w:eastAsia="Arial" w:hAnsi="Arial"/>
                <w:sz w:val="14"/>
                <w:szCs w:val="14"/>
                <w:b w:val="1"/>
                <w:bCs w:val="1"/>
                <w:color w:val="auto"/>
                <w:w w:val="97"/>
              </w:rPr>
              <w:t>Average</w:t>
            </w:r>
          </w:p>
        </w:tc>
      </w:tr>
      <w:tr>
        <w:trPr>
          <w:trHeight w:val="154"/>
        </w:trPr>
        <w:tc>
          <w:tcPr>
            <w:tcW w:w="76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jc w:val="center"/>
              <w:ind w:right="41"/>
              <w:spacing w:after="0" w:line="154" w:lineRule="exact"/>
              <w:rPr>
                <w:sz w:val="20"/>
                <w:szCs w:val="20"/>
                <w:color w:val="auto"/>
              </w:rPr>
            </w:pPr>
            <w:r>
              <w:rPr>
                <w:rFonts w:ascii="Arial" w:cs="Arial" w:eastAsia="Arial" w:hAnsi="Arial"/>
                <w:sz w:val="14"/>
                <w:szCs w:val="14"/>
                <w:b w:val="1"/>
                <w:bCs w:val="1"/>
                <w:color w:val="auto"/>
                <w:w w:val="97"/>
              </w:rPr>
              <w:t>Grant Date</w:t>
            </w:r>
          </w:p>
        </w:tc>
      </w:tr>
      <w:tr>
        <w:trPr>
          <w:trHeight w:val="184"/>
        </w:trPr>
        <w:tc>
          <w:tcPr>
            <w:tcW w:w="7620" w:type="dxa"/>
            <w:vAlign w:val="bottom"/>
          </w:tcPr>
          <w:p>
            <w:pPr>
              <w:spacing w:after="0"/>
              <w:rPr>
                <w:sz w:val="15"/>
                <w:szCs w:val="15"/>
                <w:color w:val="auto"/>
              </w:rPr>
            </w:pPr>
          </w:p>
        </w:tc>
        <w:tc>
          <w:tcPr>
            <w:tcW w:w="18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DDDDDD"/>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8"/>
              </w:rPr>
              <w:t>Fair Value</w:t>
            </w:r>
          </w:p>
        </w:tc>
      </w:tr>
      <w:tr>
        <w:trPr>
          <w:trHeight w:val="229"/>
        </w:trPr>
        <w:tc>
          <w:tcPr>
            <w:tcW w:w="7620" w:type="dxa"/>
            <w:vAlign w:val="bottom"/>
          </w:tcPr>
          <w:p>
            <w:pPr>
              <w:spacing w:after="0"/>
              <w:rPr>
                <w:sz w:val="20"/>
                <w:szCs w:val="20"/>
                <w:color w:val="auto"/>
              </w:rPr>
            </w:pPr>
            <w:r>
              <w:rPr>
                <w:rFonts w:ascii="Arial" w:cs="Arial" w:eastAsia="Arial" w:hAnsi="Arial"/>
                <w:sz w:val="17"/>
                <w:szCs w:val="17"/>
                <w:color w:val="auto"/>
              </w:rPr>
              <w:t>Unvested at December 31, 2016</w:t>
            </w:r>
          </w:p>
        </w:tc>
        <w:tc>
          <w:tcPr>
            <w:tcW w:w="184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888,000</w:t>
            </w:r>
          </w:p>
        </w:tc>
        <w:tc>
          <w:tcPr>
            <w:tcW w:w="220" w:type="dxa"/>
            <w:vAlign w:val="bottom"/>
            <w:gridSpan w:val="2"/>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700" w:type="dxa"/>
            <w:vAlign w:val="bottom"/>
            <w:shd w:val="clear" w:color="auto" w:fill="DDDDDD"/>
          </w:tcPr>
          <w:p>
            <w:pPr>
              <w:jc w:val="right"/>
              <w:ind w:right="21"/>
              <w:spacing w:after="0"/>
              <w:rPr>
                <w:sz w:val="20"/>
                <w:szCs w:val="20"/>
                <w:color w:val="auto"/>
              </w:rPr>
            </w:pPr>
            <w:r>
              <w:rPr>
                <w:rFonts w:ascii="Arial" w:cs="Arial" w:eastAsia="Arial" w:hAnsi="Arial"/>
                <w:sz w:val="17"/>
                <w:szCs w:val="17"/>
                <w:color w:val="2573BA"/>
              </w:rPr>
              <w:t>303.49</w:t>
            </w:r>
          </w:p>
        </w:tc>
      </w:tr>
      <w:tr>
        <w:trPr>
          <w:trHeight w:val="256"/>
        </w:trPr>
        <w:tc>
          <w:tcPr>
            <w:tcW w:w="7620" w:type="dxa"/>
            <w:vAlign w:val="bottom"/>
          </w:tcPr>
          <w:p>
            <w:pPr>
              <w:ind w:left="140"/>
              <w:spacing w:after="0"/>
              <w:rPr>
                <w:sz w:val="20"/>
                <w:szCs w:val="20"/>
                <w:color w:val="auto"/>
              </w:rPr>
            </w:pPr>
            <w:r>
              <w:rPr>
                <w:rFonts w:ascii="Arial" w:cs="Arial" w:eastAsia="Arial" w:hAnsi="Arial"/>
                <w:sz w:val="17"/>
                <w:szCs w:val="17"/>
                <w:color w:val="auto"/>
              </w:rPr>
              <w:t>Hemophilia spin-off adjustment</w:t>
            </w:r>
          </w:p>
        </w:tc>
        <w:tc>
          <w:tcPr>
            <w:tcW w:w="184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12,000</w:t>
            </w:r>
          </w:p>
        </w:tc>
        <w:tc>
          <w:tcPr>
            <w:tcW w:w="220" w:type="dxa"/>
            <w:vAlign w:val="bottom"/>
            <w:gridSpan w:val="2"/>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700" w:type="dxa"/>
            <w:vAlign w:val="bottom"/>
            <w:shd w:val="clear" w:color="auto" w:fill="DDDDDD"/>
          </w:tcPr>
          <w:p>
            <w:pPr>
              <w:jc w:val="right"/>
              <w:ind w:right="21"/>
              <w:spacing w:after="0"/>
              <w:rPr>
                <w:sz w:val="20"/>
                <w:szCs w:val="20"/>
                <w:color w:val="auto"/>
              </w:rPr>
            </w:pPr>
            <w:r>
              <w:rPr>
                <w:rFonts w:ascii="Arial" w:cs="Arial" w:eastAsia="Arial" w:hAnsi="Arial"/>
                <w:sz w:val="17"/>
                <w:szCs w:val="17"/>
                <w:color w:val="2573BA"/>
              </w:rPr>
              <w:t>—</w:t>
            </w:r>
          </w:p>
        </w:tc>
      </w:tr>
      <w:tr>
        <w:trPr>
          <w:trHeight w:val="256"/>
        </w:trPr>
        <w:tc>
          <w:tcPr>
            <w:tcW w:w="7620" w:type="dxa"/>
            <w:vAlign w:val="bottom"/>
          </w:tcPr>
          <w:p>
            <w:pPr>
              <w:ind w:left="140"/>
              <w:spacing w:after="0"/>
              <w:rPr>
                <w:sz w:val="20"/>
                <w:szCs w:val="20"/>
                <w:color w:val="auto"/>
              </w:rPr>
            </w:pPr>
            <w:r>
              <w:rPr>
                <w:rFonts w:ascii="Arial" w:cs="Arial" w:eastAsia="Arial" w:hAnsi="Arial"/>
                <w:sz w:val="17"/>
                <w:szCs w:val="17"/>
                <w:color w:val="auto"/>
              </w:rPr>
              <w:t>Granted (a)</w:t>
            </w:r>
          </w:p>
        </w:tc>
        <w:tc>
          <w:tcPr>
            <w:tcW w:w="184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464,000</w:t>
            </w:r>
          </w:p>
        </w:tc>
        <w:tc>
          <w:tcPr>
            <w:tcW w:w="100" w:type="dxa"/>
            <w:vAlign w:val="bottom"/>
            <w:shd w:val="clear" w:color="auto" w:fill="DDDDDD"/>
          </w:tcPr>
          <w:p>
            <w:pPr>
              <w:spacing w:after="0"/>
              <w:rPr>
                <w:sz w:val="22"/>
                <w:szCs w:val="22"/>
                <w:color w:val="auto"/>
              </w:rPr>
            </w:pPr>
          </w:p>
        </w:tc>
        <w:tc>
          <w:tcPr>
            <w:tcW w:w="1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700" w:type="dxa"/>
            <w:vAlign w:val="bottom"/>
            <w:shd w:val="clear" w:color="auto" w:fill="DDDDDD"/>
          </w:tcPr>
          <w:p>
            <w:pPr>
              <w:jc w:val="right"/>
              <w:ind w:right="21"/>
              <w:spacing w:after="0"/>
              <w:rPr>
                <w:sz w:val="20"/>
                <w:szCs w:val="20"/>
                <w:color w:val="auto"/>
              </w:rPr>
            </w:pPr>
            <w:r>
              <w:rPr>
                <w:rFonts w:ascii="Arial" w:cs="Arial" w:eastAsia="Arial" w:hAnsi="Arial"/>
                <w:sz w:val="17"/>
                <w:szCs w:val="17"/>
                <w:color w:val="2573BA"/>
              </w:rPr>
              <w:t>293.41</w:t>
            </w:r>
          </w:p>
        </w:tc>
      </w:tr>
      <w:tr>
        <w:trPr>
          <w:trHeight w:val="256"/>
        </w:trPr>
        <w:tc>
          <w:tcPr>
            <w:tcW w:w="7620" w:type="dxa"/>
            <w:vAlign w:val="bottom"/>
          </w:tcPr>
          <w:p>
            <w:pPr>
              <w:ind w:left="140"/>
              <w:spacing w:after="0"/>
              <w:rPr>
                <w:sz w:val="20"/>
                <w:szCs w:val="20"/>
                <w:color w:val="auto"/>
              </w:rPr>
            </w:pPr>
            <w:r>
              <w:rPr>
                <w:rFonts w:ascii="Arial" w:cs="Arial" w:eastAsia="Arial" w:hAnsi="Arial"/>
                <w:sz w:val="17"/>
                <w:szCs w:val="17"/>
                <w:color w:val="auto"/>
              </w:rPr>
              <w:t>Vested</w:t>
            </w:r>
          </w:p>
        </w:tc>
        <w:tc>
          <w:tcPr>
            <w:tcW w:w="184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(350,000)</w:t>
            </w:r>
          </w:p>
        </w:tc>
        <w:tc>
          <w:tcPr>
            <w:tcW w:w="100" w:type="dxa"/>
            <w:vAlign w:val="bottom"/>
            <w:shd w:val="clear" w:color="auto" w:fill="DDDDDD"/>
          </w:tcPr>
          <w:p>
            <w:pPr>
              <w:spacing w:after="0"/>
              <w:rPr>
                <w:sz w:val="22"/>
                <w:szCs w:val="22"/>
                <w:color w:val="auto"/>
              </w:rPr>
            </w:pPr>
          </w:p>
        </w:tc>
        <w:tc>
          <w:tcPr>
            <w:tcW w:w="1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700" w:type="dxa"/>
            <w:vAlign w:val="bottom"/>
            <w:shd w:val="clear" w:color="auto" w:fill="DDDDDD"/>
          </w:tcPr>
          <w:p>
            <w:pPr>
              <w:jc w:val="right"/>
              <w:ind w:right="21"/>
              <w:spacing w:after="0"/>
              <w:rPr>
                <w:sz w:val="20"/>
                <w:szCs w:val="20"/>
                <w:color w:val="auto"/>
              </w:rPr>
            </w:pPr>
            <w:r>
              <w:rPr>
                <w:rFonts w:ascii="Arial" w:cs="Arial" w:eastAsia="Arial" w:hAnsi="Arial"/>
                <w:sz w:val="17"/>
                <w:szCs w:val="17"/>
                <w:color w:val="2573BA"/>
              </w:rPr>
              <w:t>308.04</w:t>
            </w:r>
          </w:p>
        </w:tc>
      </w:tr>
      <w:tr>
        <w:trPr>
          <w:trHeight w:val="263"/>
        </w:trPr>
        <w:tc>
          <w:tcPr>
            <w:tcW w:w="7620" w:type="dxa"/>
            <w:vAlign w:val="bottom"/>
          </w:tcPr>
          <w:p>
            <w:pPr>
              <w:ind w:left="140"/>
              <w:spacing w:after="0"/>
              <w:rPr>
                <w:sz w:val="20"/>
                <w:szCs w:val="20"/>
                <w:color w:val="auto"/>
              </w:rPr>
            </w:pPr>
            <w:r>
              <w:rPr>
                <w:rFonts w:ascii="Arial" w:cs="Arial" w:eastAsia="Arial" w:hAnsi="Arial"/>
                <w:sz w:val="17"/>
                <w:szCs w:val="17"/>
                <w:color w:val="auto"/>
              </w:rPr>
              <w:t>Forfeited</w:t>
            </w:r>
          </w:p>
        </w:tc>
        <w:tc>
          <w:tcPr>
            <w:tcW w:w="1840" w:type="dxa"/>
            <w:vAlign w:val="bottom"/>
            <w:tcBorders>
              <w:bottom w:val="single" w:sz="8" w:color="auto"/>
            </w:tcBorders>
            <w:shd w:val="clear" w:color="auto" w:fill="DDDDDD"/>
          </w:tcPr>
          <w:p>
            <w:pPr>
              <w:jc w:val="right"/>
              <w:ind w:right="37"/>
              <w:spacing w:after="0"/>
              <w:rPr>
                <w:sz w:val="20"/>
                <w:szCs w:val="20"/>
                <w:color w:val="auto"/>
              </w:rPr>
            </w:pPr>
            <w:r>
              <w:rPr>
                <w:rFonts w:ascii="Arial" w:cs="Arial" w:eastAsia="Arial" w:hAnsi="Arial"/>
                <w:sz w:val="17"/>
                <w:szCs w:val="17"/>
                <w:color w:val="2573BA"/>
              </w:rPr>
              <w:t>(182,000)</w:t>
            </w:r>
          </w:p>
        </w:tc>
        <w:tc>
          <w:tcPr>
            <w:tcW w:w="100" w:type="dxa"/>
            <w:vAlign w:val="bottom"/>
            <w:tcBorders>
              <w:bottom w:val="single" w:sz="8" w:color="DDDDDD"/>
            </w:tcBorders>
            <w:shd w:val="clear" w:color="auto" w:fill="DDDDDD"/>
          </w:tcPr>
          <w:p>
            <w:pPr>
              <w:spacing w:after="0"/>
              <w:rPr>
                <w:sz w:val="22"/>
                <w:szCs w:val="22"/>
                <w:color w:val="auto"/>
              </w:rPr>
            </w:pPr>
          </w:p>
        </w:tc>
        <w:tc>
          <w:tcPr>
            <w:tcW w:w="1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700" w:type="dxa"/>
            <w:vAlign w:val="bottom"/>
            <w:tcBorders>
              <w:bottom w:val="single" w:sz="8" w:color="DDDDDD"/>
            </w:tcBorders>
            <w:shd w:val="clear" w:color="auto" w:fill="DDDDDD"/>
          </w:tcPr>
          <w:p>
            <w:pPr>
              <w:jc w:val="right"/>
              <w:ind w:right="21"/>
              <w:spacing w:after="0"/>
              <w:rPr>
                <w:sz w:val="20"/>
                <w:szCs w:val="20"/>
                <w:color w:val="auto"/>
              </w:rPr>
            </w:pPr>
            <w:r>
              <w:rPr>
                <w:rFonts w:ascii="Arial" w:cs="Arial" w:eastAsia="Arial" w:hAnsi="Arial"/>
                <w:sz w:val="17"/>
                <w:szCs w:val="17"/>
                <w:color w:val="2573BA"/>
              </w:rPr>
              <w:t>292.57</w:t>
            </w:r>
          </w:p>
        </w:tc>
      </w:tr>
      <w:tr>
        <w:trPr>
          <w:trHeight w:val="243"/>
        </w:trPr>
        <w:tc>
          <w:tcPr>
            <w:tcW w:w="7620" w:type="dxa"/>
            <w:vAlign w:val="bottom"/>
          </w:tcPr>
          <w:p>
            <w:pPr>
              <w:spacing w:after="0"/>
              <w:rPr>
                <w:sz w:val="20"/>
                <w:szCs w:val="20"/>
                <w:color w:val="auto"/>
              </w:rPr>
            </w:pPr>
            <w:r>
              <w:rPr>
                <w:rFonts w:ascii="Arial" w:cs="Arial" w:eastAsia="Arial" w:hAnsi="Arial"/>
                <w:sz w:val="17"/>
                <w:szCs w:val="17"/>
                <w:color w:val="auto"/>
              </w:rPr>
              <w:t>Unvested at December 31, 2017</w:t>
            </w:r>
          </w:p>
        </w:tc>
        <w:tc>
          <w:tcPr>
            <w:tcW w:w="1840" w:type="dxa"/>
            <w:vAlign w:val="bottom"/>
            <w:tcBorders>
              <w:bottom w:val="single" w:sz="8" w:color="auto"/>
            </w:tcBorders>
            <w:shd w:val="clear" w:color="auto" w:fill="DDDDDD"/>
          </w:tcPr>
          <w:p>
            <w:pPr>
              <w:jc w:val="right"/>
              <w:ind w:right="37"/>
              <w:spacing w:after="0"/>
              <w:rPr>
                <w:sz w:val="20"/>
                <w:szCs w:val="20"/>
                <w:color w:val="auto"/>
              </w:rPr>
            </w:pPr>
            <w:r>
              <w:rPr>
                <w:rFonts w:ascii="Arial" w:cs="Arial" w:eastAsia="Arial" w:hAnsi="Arial"/>
                <w:sz w:val="17"/>
                <w:szCs w:val="17"/>
                <w:color w:val="2573BA"/>
              </w:rPr>
              <w:t>832,000</w:t>
            </w:r>
          </w:p>
        </w:tc>
        <w:tc>
          <w:tcPr>
            <w:tcW w:w="100" w:type="dxa"/>
            <w:vAlign w:val="bottom"/>
            <w:tcBorders>
              <w:bottom w:val="single" w:sz="8" w:color="DDDDDD"/>
            </w:tcBorders>
            <w:shd w:val="clear" w:color="auto" w:fill="DDDDDD"/>
          </w:tcPr>
          <w:p>
            <w:pPr>
              <w:spacing w:after="0"/>
              <w:rPr>
                <w:sz w:val="21"/>
                <w:szCs w:val="21"/>
                <w:color w:val="auto"/>
              </w:rPr>
            </w:pPr>
          </w:p>
        </w:tc>
        <w:tc>
          <w:tcPr>
            <w:tcW w:w="1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700" w:type="dxa"/>
            <w:vAlign w:val="bottom"/>
            <w:tcBorders>
              <w:bottom w:val="single" w:sz="8" w:color="DDDDDD"/>
            </w:tcBorders>
            <w:shd w:val="clear" w:color="auto" w:fill="DDDDDD"/>
          </w:tcPr>
          <w:p>
            <w:pPr>
              <w:jc w:val="right"/>
              <w:ind w:right="21"/>
              <w:spacing w:after="0"/>
              <w:rPr>
                <w:sz w:val="20"/>
                <w:szCs w:val="20"/>
                <w:color w:val="auto"/>
              </w:rPr>
            </w:pPr>
            <w:r>
              <w:rPr>
                <w:rFonts w:ascii="Arial" w:cs="Arial" w:eastAsia="Arial" w:hAnsi="Arial"/>
                <w:sz w:val="17"/>
                <w:szCs w:val="17"/>
                <w:color w:val="2573BA"/>
              </w:rPr>
              <w:t>291.85</w:t>
            </w:r>
          </w:p>
        </w:tc>
      </w:tr>
      <w:tr>
        <w:trPr>
          <w:trHeight w:val="20"/>
        </w:trPr>
        <w:tc>
          <w:tcPr>
            <w:tcW w:w="76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68" w:lineRule="exact"/>
        <w:rPr>
          <w:sz w:val="20"/>
          <w:szCs w:val="20"/>
          <w:color w:val="auto"/>
        </w:rPr>
      </w:pPr>
    </w:p>
    <w:p>
      <w:pPr>
        <w:ind w:left="380" w:right="120" w:hanging="301"/>
        <w:spacing w:after="0" w:line="270" w:lineRule="auto"/>
        <w:tabs>
          <w:tab w:leader="none" w:pos="380" w:val="left"/>
        </w:tabs>
        <w:numPr>
          <w:ilvl w:val="0"/>
          <w:numId w:val="115"/>
        </w:numPr>
        <w:rPr>
          <w:rFonts w:ascii="Arial" w:cs="Arial" w:eastAsia="Arial" w:hAnsi="Arial"/>
          <w:sz w:val="17"/>
          <w:szCs w:val="17"/>
          <w:color w:val="auto"/>
        </w:rPr>
      </w:pPr>
      <w:r>
        <w:rPr>
          <w:rFonts w:ascii="Arial" w:cs="Arial" w:eastAsia="Arial" w:hAnsi="Arial"/>
          <w:sz w:val="15"/>
          <w:szCs w:val="15"/>
          <w:color w:val="auto"/>
        </w:rPr>
        <w:t>RSUs granted in 2017 primarily represent RSUs granted in conjunction with our annual awards made in February 2017 and awards made in conjunction with the hiring of new employees. RSUs granted in 2017 also include approximately 11,000 RSUs granted to our Board of Directors.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RSUs granted in 2016 and 2015 had weighted average grant date fair values of $268.52 and $388.88, respectively.</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fair values of RSUs vested in 2017, 2016 and 2015 totaled $100.0 million, $104.6 million and $239.7 million, respectively.</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F- 48</w:t>
      </w:r>
    </w:p>
    <w:p>
      <w:pPr>
        <w:sectPr>
          <w:pgSz w:w="11900" w:h="16838" w:orient="portrait"/>
          <w:cols w:equalWidth="0" w:num="1">
            <w:col w:w="11400"/>
          </w:cols>
          <w:pgMar w:left="240" w:top="139" w:right="259" w:bottom="1440" w:gutter="0" w:footer="0" w:header="0"/>
        </w:sectPr>
      </w:pPr>
    </w:p>
    <w:bookmarkStart w:id="150" w:name="page151"/>
    <w:bookmarkEnd w:id="1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Employee Stock Purchase Plan (ESPP)</w:t>
      </w:r>
    </w:p>
    <w:p>
      <w:pPr>
        <w:spacing w:after="0" w:line="106" w:lineRule="exact"/>
        <w:rPr>
          <w:sz w:val="20"/>
          <w:szCs w:val="20"/>
          <w:color w:val="auto"/>
        </w:rPr>
      </w:pPr>
    </w:p>
    <w:p>
      <w:pPr>
        <w:ind w:right="40" w:firstLine="410"/>
        <w:spacing w:after="0" w:line="257" w:lineRule="auto"/>
        <w:rPr>
          <w:sz w:val="20"/>
          <w:szCs w:val="20"/>
          <w:color w:val="auto"/>
        </w:rPr>
      </w:pPr>
      <w:r>
        <w:rPr>
          <w:rFonts w:ascii="Arial" w:cs="Arial" w:eastAsia="Arial" w:hAnsi="Arial"/>
          <w:sz w:val="17"/>
          <w:szCs w:val="17"/>
          <w:color w:val="auto"/>
        </w:rPr>
        <w:t>In June 2015 our shareholders approved the 2015 ESPP. The 2015 ESPP, which became effective on July 1, 2015, replaced the Biogen Idec Inc. 1995 ESPP (1995 ESPP), which expired on June 30, 2015. The maximum aggregate number of shares of our common stock that may be purchased under the 2015 ESPP is 6.2 million.</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our ESPP activity: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940" w:type="dxa"/>
            <w:vAlign w:val="bottom"/>
            <w:tcBorders>
              <w:bottom w:val="single" w:sz="8" w:color="auto"/>
            </w:tcBorders>
            <w:gridSpan w:val="6"/>
          </w:tcPr>
          <w:p>
            <w:pPr>
              <w:jc w:val="right"/>
              <w:ind w:right="175"/>
              <w:spacing w:after="0"/>
              <w:rPr>
                <w:sz w:val="20"/>
                <w:szCs w:val="20"/>
                <w:color w:val="auto"/>
              </w:rPr>
            </w:pPr>
            <w:r>
              <w:rPr>
                <w:rFonts w:ascii="Arial" w:cs="Arial" w:eastAsia="Arial" w:hAnsi="Arial"/>
                <w:sz w:val="14"/>
                <w:szCs w:val="14"/>
                <w:b w:val="1"/>
                <w:bCs w:val="1"/>
                <w:color w:val="auto"/>
              </w:rPr>
              <w:t>For the Years Ended December 31,</w:t>
            </w:r>
          </w:p>
        </w:tc>
        <w:tc>
          <w:tcPr>
            <w:tcW w:w="1280" w:type="dxa"/>
            <w:vAlign w:val="bottom"/>
            <w:tcBorders>
              <w:bottom w:val="single" w:sz="8" w:color="auto"/>
            </w:tcBorders>
          </w:tcPr>
          <w:p>
            <w:pPr>
              <w:spacing w:after="0"/>
              <w:rPr>
                <w:sz w:val="16"/>
                <w:szCs w:val="16"/>
                <w:color w:val="auto"/>
              </w:rPr>
            </w:pPr>
          </w:p>
        </w:tc>
      </w:tr>
      <w:tr>
        <w:trPr>
          <w:trHeight w:val="249"/>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share amounts)</w:t>
            </w:r>
          </w:p>
        </w:tc>
        <w:tc>
          <w:tcPr>
            <w:tcW w:w="140" w:type="dxa"/>
            <w:vAlign w:val="bottom"/>
            <w:tcBorders>
              <w:bottom w:val="single" w:sz="8" w:color="auto"/>
            </w:tcBorders>
            <w:shd w:val="clear" w:color="auto" w:fill="DDDDDD"/>
          </w:tcPr>
          <w:p>
            <w:pPr>
              <w:spacing w:after="0"/>
              <w:rPr>
                <w:sz w:val="21"/>
                <w:szCs w:val="21"/>
                <w:color w:val="auto"/>
              </w:rPr>
            </w:pPr>
          </w:p>
        </w:tc>
        <w:tc>
          <w:tcPr>
            <w:tcW w:w="1600" w:type="dxa"/>
            <w:vAlign w:val="bottom"/>
            <w:tcBorders>
              <w:bottom w:val="single" w:sz="8" w:color="auto"/>
            </w:tcBorders>
            <w:shd w:val="clear" w:color="auto" w:fill="DDDDDD"/>
          </w:tcPr>
          <w:p>
            <w:pPr>
              <w:jc w:val="right"/>
              <w:ind w:right="640"/>
              <w:spacing w:after="0"/>
              <w:rPr>
                <w:sz w:val="20"/>
                <w:szCs w:val="20"/>
                <w:color w:val="auto"/>
              </w:rPr>
            </w:pPr>
            <w:r>
              <w:rPr>
                <w:rFonts w:ascii="Arial" w:cs="Arial" w:eastAsia="Arial" w:hAnsi="Arial"/>
                <w:sz w:val="14"/>
                <w:szCs w:val="14"/>
                <w:b w:val="1"/>
                <w:bCs w:val="1"/>
                <w:color w:val="2573BA"/>
              </w:rPr>
              <w:t>2017</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61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618"/>
              <w:spacing w:after="0"/>
              <w:rPr>
                <w:sz w:val="20"/>
                <w:szCs w:val="20"/>
                <w:color w:val="auto"/>
              </w:rPr>
            </w:pPr>
            <w:r>
              <w:rPr>
                <w:rFonts w:ascii="Arial" w:cs="Arial" w:eastAsia="Arial" w:hAnsi="Arial"/>
                <w:sz w:val="14"/>
                <w:szCs w:val="14"/>
                <w:b w:val="1"/>
                <w:bCs w:val="1"/>
                <w:color w:val="auto"/>
              </w:rPr>
              <w:t>2015</w:t>
            </w:r>
          </w:p>
        </w:tc>
      </w:tr>
      <w:tr>
        <w:trPr>
          <w:trHeight w:val="228"/>
        </w:trPr>
        <w:tc>
          <w:tcPr>
            <w:tcW w:w="6040" w:type="dxa"/>
            <w:vAlign w:val="bottom"/>
          </w:tcPr>
          <w:p>
            <w:pPr>
              <w:ind w:left="20"/>
              <w:spacing w:after="0"/>
              <w:rPr>
                <w:sz w:val="20"/>
                <w:szCs w:val="20"/>
                <w:color w:val="auto"/>
              </w:rPr>
            </w:pPr>
            <w:r>
              <w:rPr>
                <w:rFonts w:ascii="Arial" w:cs="Arial" w:eastAsia="Arial" w:hAnsi="Arial"/>
                <w:sz w:val="17"/>
                <w:szCs w:val="17"/>
                <w:color w:val="auto"/>
              </w:rPr>
              <w:t>Shares issued under the 2015 ESPP</w:t>
            </w:r>
          </w:p>
        </w:tc>
        <w:tc>
          <w:tcPr>
            <w:tcW w:w="140" w:type="dxa"/>
            <w:vAlign w:val="bottom"/>
            <w:shd w:val="clear" w:color="auto" w:fill="DDDDDD"/>
          </w:tcPr>
          <w:p>
            <w:pPr>
              <w:spacing w:after="0"/>
              <w:rPr>
                <w:sz w:val="19"/>
                <w:szCs w:val="19"/>
                <w:color w:val="auto"/>
              </w:rPr>
            </w:pPr>
          </w:p>
        </w:tc>
        <w:tc>
          <w:tcPr>
            <w:tcW w:w="160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167,000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190,000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ind w:right="18"/>
              <w:spacing w:after="0"/>
              <w:rPr>
                <w:sz w:val="20"/>
                <w:szCs w:val="20"/>
                <w:color w:val="auto"/>
              </w:rPr>
            </w:pPr>
            <w:r>
              <w:rPr>
                <w:rFonts w:ascii="Arial" w:cs="Arial" w:eastAsia="Arial" w:hAnsi="Arial"/>
                <w:sz w:val="17"/>
                <w:szCs w:val="17"/>
                <w:color w:val="auto"/>
              </w:rPr>
              <w:t>78,000</w:t>
            </w:r>
          </w:p>
        </w:tc>
      </w:tr>
      <w:tr>
        <w:trPr>
          <w:trHeight w:val="256"/>
        </w:trPr>
        <w:tc>
          <w:tcPr>
            <w:tcW w:w="6040" w:type="dxa"/>
            <w:vAlign w:val="bottom"/>
          </w:tcPr>
          <w:p>
            <w:pPr>
              <w:ind w:left="20"/>
              <w:spacing w:after="0"/>
              <w:rPr>
                <w:sz w:val="20"/>
                <w:szCs w:val="20"/>
                <w:color w:val="auto"/>
              </w:rPr>
            </w:pPr>
            <w:r>
              <w:rPr>
                <w:rFonts w:ascii="Arial" w:cs="Arial" w:eastAsia="Arial" w:hAnsi="Arial"/>
                <w:sz w:val="17"/>
                <w:szCs w:val="17"/>
                <w:color w:val="auto"/>
              </w:rPr>
              <w:t>Shares issued under the 1995 ESPP</w:t>
            </w:r>
          </w:p>
        </w:tc>
        <w:tc>
          <w:tcPr>
            <w:tcW w:w="140" w:type="dxa"/>
            <w:vAlign w:val="bottom"/>
            <w:shd w:val="clear" w:color="auto" w:fill="DDDDDD"/>
          </w:tcPr>
          <w:p>
            <w:pPr>
              <w:spacing w:after="0"/>
              <w:rPr>
                <w:sz w:val="22"/>
                <w:szCs w:val="22"/>
                <w:color w:val="auto"/>
              </w:rPr>
            </w:pPr>
          </w:p>
        </w:tc>
        <w:tc>
          <w:tcPr>
            <w:tcW w:w="160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2"/>
                <w:szCs w:val="22"/>
                <w:color w:val="auto"/>
              </w:rPr>
            </w:pPr>
          </w:p>
        </w:tc>
        <w:tc>
          <w:tcPr>
            <w:tcW w:w="1280" w:type="dxa"/>
            <w:vAlign w:val="bottom"/>
          </w:tcPr>
          <w:p>
            <w:pPr>
              <w:jc w:val="right"/>
              <w:ind w:right="18"/>
              <w:spacing w:after="0"/>
              <w:rPr>
                <w:sz w:val="20"/>
                <w:szCs w:val="20"/>
                <w:color w:val="auto"/>
              </w:rPr>
            </w:pPr>
            <w:r>
              <w:rPr>
                <w:rFonts w:ascii="Arial" w:cs="Arial" w:eastAsia="Arial" w:hAnsi="Arial"/>
                <w:sz w:val="17"/>
                <w:szCs w:val="17"/>
                <w:color w:val="auto"/>
              </w:rPr>
              <w:t>98,000</w:t>
            </w:r>
          </w:p>
        </w:tc>
      </w:tr>
      <w:tr>
        <w:trPr>
          <w:trHeight w:val="256"/>
        </w:trPr>
        <w:tc>
          <w:tcPr>
            <w:tcW w:w="6040" w:type="dxa"/>
            <w:vAlign w:val="bottom"/>
          </w:tcPr>
          <w:p>
            <w:pPr>
              <w:ind w:left="20"/>
              <w:spacing w:after="0"/>
              <w:rPr>
                <w:sz w:val="20"/>
                <w:szCs w:val="20"/>
                <w:color w:val="auto"/>
              </w:rPr>
            </w:pPr>
            <w:r>
              <w:rPr>
                <w:rFonts w:ascii="Arial" w:cs="Arial" w:eastAsia="Arial" w:hAnsi="Arial"/>
                <w:sz w:val="17"/>
                <w:szCs w:val="17"/>
                <w:color w:val="auto"/>
              </w:rPr>
              <w:t>Cash received under the 2015 ESPP</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60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39.8</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41.5</w:t>
            </w:r>
          </w:p>
        </w:tc>
        <w:tc>
          <w:tcPr>
            <w:tcW w:w="100" w:type="dxa"/>
            <w:vAlign w:val="bottom"/>
          </w:tcPr>
          <w:p>
            <w:pPr>
              <w:spacing w:after="0"/>
              <w:rPr>
                <w:sz w:val="22"/>
                <w:szCs w:val="22"/>
                <w:color w:val="auto"/>
              </w:rPr>
            </w:pP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8"/>
              <w:spacing w:after="0"/>
              <w:rPr>
                <w:sz w:val="20"/>
                <w:szCs w:val="20"/>
                <w:color w:val="auto"/>
              </w:rPr>
            </w:pPr>
            <w:r>
              <w:rPr>
                <w:rFonts w:ascii="Arial" w:cs="Arial" w:eastAsia="Arial" w:hAnsi="Arial"/>
                <w:sz w:val="17"/>
                <w:szCs w:val="17"/>
                <w:color w:val="auto"/>
              </w:rPr>
              <w:t>19.3</w:t>
            </w:r>
          </w:p>
        </w:tc>
      </w:tr>
      <w:tr>
        <w:trPr>
          <w:trHeight w:val="270"/>
        </w:trPr>
        <w:tc>
          <w:tcPr>
            <w:tcW w:w="6040" w:type="dxa"/>
            <w:vAlign w:val="bottom"/>
          </w:tcPr>
          <w:p>
            <w:pPr>
              <w:ind w:left="20"/>
              <w:spacing w:after="0"/>
              <w:rPr>
                <w:sz w:val="20"/>
                <w:szCs w:val="20"/>
                <w:color w:val="auto"/>
              </w:rPr>
            </w:pPr>
            <w:r>
              <w:rPr>
                <w:rFonts w:ascii="Arial" w:cs="Arial" w:eastAsia="Arial" w:hAnsi="Arial"/>
                <w:sz w:val="17"/>
                <w:szCs w:val="17"/>
                <w:color w:val="auto"/>
              </w:rPr>
              <w:t>Cash received under the 1995 ESPP</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60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8"/>
              <w:spacing w:after="0"/>
              <w:rPr>
                <w:sz w:val="20"/>
                <w:szCs w:val="20"/>
                <w:color w:val="auto"/>
              </w:rPr>
            </w:pPr>
            <w:r>
              <w:rPr>
                <w:rFonts w:ascii="Arial" w:cs="Arial" w:eastAsia="Arial" w:hAnsi="Arial"/>
                <w:sz w:val="17"/>
                <w:szCs w:val="17"/>
                <w:color w:val="auto"/>
              </w:rPr>
              <w:t>30.0</w:t>
            </w:r>
          </w:p>
        </w:tc>
      </w:tr>
    </w:tbl>
    <w:p>
      <w:pPr>
        <w:spacing w:after="0" w:line="134" w:lineRule="exact"/>
        <w:rPr>
          <w:sz w:val="20"/>
          <w:szCs w:val="20"/>
          <w:color w:val="auto"/>
        </w:rPr>
      </w:pPr>
    </w:p>
    <w:p>
      <w:pPr>
        <w:ind w:left="620" w:hanging="618"/>
        <w:spacing w:after="0"/>
        <w:tabs>
          <w:tab w:leader="none" w:pos="620" w:val="left"/>
        </w:tabs>
        <w:numPr>
          <w:ilvl w:val="0"/>
          <w:numId w:val="116"/>
        </w:numPr>
        <w:rPr>
          <w:rFonts w:ascii="Arial" w:cs="Arial" w:eastAsia="Arial" w:hAnsi="Arial"/>
          <w:sz w:val="20"/>
          <w:szCs w:val="20"/>
          <w:b w:val="1"/>
          <w:bCs w:val="1"/>
          <w:color w:val="578196"/>
        </w:rPr>
      </w:pPr>
      <w:r>
        <w:rPr>
          <w:rFonts w:ascii="Arial" w:cs="Arial" w:eastAsia="Arial" w:hAnsi="Arial"/>
          <w:sz w:val="20"/>
          <w:szCs w:val="20"/>
          <w:b w:val="1"/>
          <w:bCs w:val="1"/>
          <w:color w:val="578196"/>
        </w:rPr>
        <w:t>Income Taxes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Income Tax Expense</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Income before income tax provision and the income tax expense consist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6"/>
          </w:tcPr>
          <w:p>
            <w:pPr>
              <w:jc w:val="right"/>
              <w:ind w:right="175"/>
              <w:spacing w:after="0"/>
              <w:rPr>
                <w:sz w:val="20"/>
                <w:szCs w:val="20"/>
                <w:color w:val="auto"/>
              </w:rPr>
            </w:pPr>
            <w:r>
              <w:rPr>
                <w:rFonts w:ascii="Arial" w:cs="Arial" w:eastAsia="Arial" w:hAnsi="Arial"/>
                <w:sz w:val="14"/>
                <w:szCs w:val="14"/>
                <w:b w:val="1"/>
                <w:bCs w:val="1"/>
                <w:color w:val="auto"/>
              </w:rPr>
              <w:t>For the Years Ended December 31,</w:t>
            </w:r>
          </w:p>
        </w:tc>
        <w:tc>
          <w:tcPr>
            <w:tcW w:w="1280" w:type="dxa"/>
            <w:vAlign w:val="bottom"/>
            <w:tcBorders>
              <w:bottom w:val="single" w:sz="8" w:color="auto"/>
            </w:tcBorders>
          </w:tcPr>
          <w:p>
            <w:pPr>
              <w:spacing w:after="0"/>
              <w:rPr>
                <w:sz w:val="16"/>
                <w:szCs w:val="16"/>
                <w:color w:val="auto"/>
              </w:rPr>
            </w:pPr>
          </w:p>
        </w:tc>
      </w:tr>
      <w:tr>
        <w:trPr>
          <w:trHeight w:val="249"/>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Borders>
              <w:bottom w:val="single" w:sz="8" w:color="auto"/>
            </w:tcBorders>
            <w:shd w:val="clear" w:color="auto" w:fill="DDDDDD"/>
          </w:tcPr>
          <w:p>
            <w:pPr>
              <w:spacing w:after="0"/>
              <w:rPr>
                <w:sz w:val="21"/>
                <w:szCs w:val="21"/>
                <w:color w:val="auto"/>
              </w:rPr>
            </w:pPr>
          </w:p>
        </w:tc>
        <w:tc>
          <w:tcPr>
            <w:tcW w:w="1320" w:type="dxa"/>
            <w:vAlign w:val="bottom"/>
            <w:tcBorders>
              <w:bottom w:val="single" w:sz="8" w:color="auto"/>
            </w:tcBorders>
            <w:shd w:val="clear" w:color="auto" w:fill="DDDDDD"/>
          </w:tcPr>
          <w:p>
            <w:pPr>
              <w:jc w:val="right"/>
              <w:ind w:right="637"/>
              <w:spacing w:after="0"/>
              <w:rPr>
                <w:sz w:val="20"/>
                <w:szCs w:val="20"/>
                <w:color w:val="auto"/>
              </w:rPr>
            </w:pPr>
            <w:r>
              <w:rPr>
                <w:rFonts w:ascii="Arial" w:cs="Arial" w:eastAsia="Arial" w:hAnsi="Arial"/>
                <w:sz w:val="14"/>
                <w:szCs w:val="14"/>
                <w:b w:val="1"/>
                <w:bCs w:val="1"/>
                <w:color w:val="2573BA"/>
              </w:rPr>
              <w:t>2017</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2015</w:t>
            </w:r>
          </w:p>
        </w:tc>
      </w:tr>
      <w:tr>
        <w:trPr>
          <w:trHeight w:val="228"/>
        </w:trPr>
        <w:tc>
          <w:tcPr>
            <w:tcW w:w="6040" w:type="dxa"/>
            <w:vAlign w:val="bottom"/>
          </w:tcPr>
          <w:p>
            <w:pPr>
              <w:ind w:left="20"/>
              <w:spacing w:after="0"/>
              <w:rPr>
                <w:sz w:val="20"/>
                <w:szCs w:val="20"/>
                <w:color w:val="auto"/>
              </w:rPr>
            </w:pPr>
            <w:r>
              <w:rPr>
                <w:rFonts w:ascii="Arial" w:cs="Arial" w:eastAsia="Arial" w:hAnsi="Arial"/>
                <w:sz w:val="17"/>
                <w:szCs w:val="17"/>
                <w:i w:val="1"/>
                <w:iCs w:val="1"/>
                <w:color w:val="auto"/>
              </w:rPr>
              <w:t>Income before income taxes (benefit):</w:t>
            </w:r>
          </w:p>
        </w:tc>
        <w:tc>
          <w:tcPr>
            <w:tcW w:w="420" w:type="dxa"/>
            <w:vAlign w:val="bottom"/>
            <w:shd w:val="clear" w:color="auto" w:fill="DDDDDD"/>
          </w:tcPr>
          <w:p>
            <w:pPr>
              <w:spacing w:after="0"/>
              <w:rPr>
                <w:sz w:val="19"/>
                <w:szCs w:val="19"/>
                <w:color w:val="auto"/>
              </w:rPr>
            </w:pPr>
          </w:p>
        </w:tc>
        <w:tc>
          <w:tcPr>
            <w:tcW w:w="1320" w:type="dxa"/>
            <w:vAlign w:val="bottom"/>
            <w:shd w:val="clear" w:color="auto" w:fill="DDDDDD"/>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69"/>
        </w:trPr>
        <w:tc>
          <w:tcPr>
            <w:tcW w:w="6040" w:type="dxa"/>
            <w:vAlign w:val="bottom"/>
          </w:tcPr>
          <w:p>
            <w:pPr>
              <w:ind w:left="160"/>
              <w:spacing w:after="0"/>
              <w:rPr>
                <w:sz w:val="20"/>
                <w:szCs w:val="20"/>
                <w:color w:val="auto"/>
              </w:rPr>
            </w:pPr>
            <w:r>
              <w:rPr>
                <w:rFonts w:ascii="Arial" w:cs="Arial" w:eastAsia="Arial" w:hAnsi="Arial"/>
                <w:sz w:val="17"/>
                <w:szCs w:val="17"/>
                <w:color w:val="auto"/>
              </w:rPr>
              <w:t>Domestic</w:t>
            </w:r>
          </w:p>
        </w:tc>
        <w:tc>
          <w:tcPr>
            <w:tcW w:w="420" w:type="dxa"/>
            <w:vAlign w:val="bottom"/>
            <w:shd w:val="clear" w:color="auto" w:fill="DDDDDD"/>
          </w:tcPr>
          <w:p>
            <w:pPr>
              <w:jc w:val="right"/>
              <w:ind w:right="215"/>
              <w:spacing w:after="0"/>
              <w:rPr>
                <w:sz w:val="20"/>
                <w:szCs w:val="20"/>
                <w:color w:val="auto"/>
              </w:rPr>
            </w:pPr>
            <w:r>
              <w:rPr>
                <w:rFonts w:ascii="Arial" w:cs="Arial" w:eastAsia="Arial" w:hAnsi="Arial"/>
                <w:sz w:val="17"/>
                <w:szCs w:val="17"/>
                <w:color w:val="2573BA"/>
              </w:rPr>
              <w:t>$</w:t>
            </w:r>
          </w:p>
        </w:tc>
        <w:tc>
          <w:tcPr>
            <w:tcW w:w="132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3,540.4</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3,655.4</w:t>
            </w:r>
          </w:p>
        </w:tc>
        <w:tc>
          <w:tcPr>
            <w:tcW w:w="100" w:type="dxa"/>
            <w:vAlign w:val="bottom"/>
          </w:tcPr>
          <w:p>
            <w:pPr>
              <w:spacing w:after="0"/>
              <w:rPr>
                <w:sz w:val="23"/>
                <w:szCs w:val="23"/>
                <w:color w:val="auto"/>
              </w:rPr>
            </w:pP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6"/>
              <w:spacing w:after="0"/>
              <w:rPr>
                <w:sz w:val="20"/>
                <w:szCs w:val="20"/>
                <w:color w:val="auto"/>
              </w:rPr>
            </w:pPr>
            <w:r>
              <w:rPr>
                <w:rFonts w:ascii="Arial" w:cs="Arial" w:eastAsia="Arial" w:hAnsi="Arial"/>
                <w:sz w:val="17"/>
                <w:szCs w:val="17"/>
                <w:color w:val="auto"/>
              </w:rPr>
              <w:t>3,386.7</w:t>
            </w:r>
          </w:p>
        </w:tc>
      </w:tr>
      <w:tr>
        <w:trPr>
          <w:trHeight w:val="263"/>
        </w:trPr>
        <w:tc>
          <w:tcPr>
            <w:tcW w:w="6040" w:type="dxa"/>
            <w:vAlign w:val="bottom"/>
          </w:tcPr>
          <w:p>
            <w:pPr>
              <w:ind w:left="160"/>
              <w:spacing w:after="0"/>
              <w:rPr>
                <w:sz w:val="20"/>
                <w:szCs w:val="20"/>
                <w:color w:val="auto"/>
              </w:rPr>
            </w:pPr>
            <w:r>
              <w:rPr>
                <w:rFonts w:ascii="Arial" w:cs="Arial" w:eastAsia="Arial" w:hAnsi="Arial"/>
                <w:sz w:val="17"/>
                <w:szCs w:val="17"/>
                <w:color w:val="auto"/>
              </w:rPr>
              <w:t>Foreign</w:t>
            </w:r>
          </w:p>
        </w:tc>
        <w:tc>
          <w:tcPr>
            <w:tcW w:w="420" w:type="dxa"/>
            <w:vAlign w:val="bottom"/>
            <w:tcBorders>
              <w:bottom w:val="single" w:sz="8" w:color="auto"/>
            </w:tcBorders>
            <w:shd w:val="clear" w:color="auto" w:fill="DDDDDD"/>
          </w:tcPr>
          <w:p>
            <w:pPr>
              <w:spacing w:after="0"/>
              <w:rPr>
                <w:sz w:val="22"/>
                <w:szCs w:val="22"/>
                <w:color w:val="auto"/>
              </w:rPr>
            </w:pPr>
          </w:p>
        </w:tc>
        <w:tc>
          <w:tcPr>
            <w:tcW w:w="1320" w:type="dxa"/>
            <w:vAlign w:val="bottom"/>
            <w:tcBorders>
              <w:bottom w:val="single" w:sz="8" w:color="auto"/>
            </w:tcBorders>
            <w:shd w:val="clear" w:color="auto" w:fill="DDDDDD"/>
          </w:tcPr>
          <w:p>
            <w:pPr>
              <w:jc w:val="right"/>
              <w:ind w:right="17"/>
              <w:spacing w:after="0"/>
              <w:rPr>
                <w:sz w:val="20"/>
                <w:szCs w:val="20"/>
                <w:color w:val="auto"/>
              </w:rPr>
            </w:pPr>
            <w:r>
              <w:rPr>
                <w:rFonts w:ascii="Arial" w:cs="Arial" w:eastAsia="Arial" w:hAnsi="Arial"/>
                <w:sz w:val="17"/>
                <w:szCs w:val="17"/>
                <w:color w:val="2573BA"/>
              </w:rPr>
              <w:t>1,588.4</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1,277.6</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1,380.6</w:t>
            </w:r>
          </w:p>
        </w:tc>
      </w:tr>
      <w:tr>
        <w:trPr>
          <w:trHeight w:val="276"/>
        </w:trPr>
        <w:tc>
          <w:tcPr>
            <w:tcW w:w="6040" w:type="dxa"/>
            <w:vAlign w:val="bottom"/>
          </w:tcPr>
          <w:p>
            <w:pPr>
              <w:ind w:left="360"/>
              <w:spacing w:after="0"/>
              <w:rPr>
                <w:sz w:val="20"/>
                <w:szCs w:val="20"/>
                <w:color w:val="auto"/>
              </w:rPr>
            </w:pPr>
            <w:r>
              <w:rPr>
                <w:rFonts w:ascii="Arial" w:cs="Arial" w:eastAsia="Arial" w:hAnsi="Arial"/>
                <w:sz w:val="17"/>
                <w:szCs w:val="17"/>
                <w:color w:val="auto"/>
              </w:rPr>
              <w:t>Total</w:t>
            </w:r>
          </w:p>
        </w:tc>
        <w:tc>
          <w:tcPr>
            <w:tcW w:w="420" w:type="dxa"/>
            <w:vAlign w:val="bottom"/>
            <w:shd w:val="clear" w:color="auto" w:fill="DDDDDD"/>
          </w:tcPr>
          <w:p>
            <w:pPr>
              <w:jc w:val="right"/>
              <w:ind w:right="215"/>
              <w:spacing w:after="0"/>
              <w:rPr>
                <w:sz w:val="20"/>
                <w:szCs w:val="20"/>
                <w:color w:val="auto"/>
              </w:rPr>
            </w:pPr>
            <w:r>
              <w:rPr>
                <w:rFonts w:ascii="Arial" w:cs="Arial" w:eastAsia="Arial" w:hAnsi="Arial"/>
                <w:sz w:val="17"/>
                <w:szCs w:val="17"/>
                <w:color w:val="2573BA"/>
              </w:rPr>
              <w:t>$</w:t>
            </w:r>
          </w:p>
        </w:tc>
        <w:tc>
          <w:tcPr>
            <w:tcW w:w="132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5,128.8</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4,933.0</w:t>
            </w:r>
          </w:p>
        </w:tc>
        <w:tc>
          <w:tcPr>
            <w:tcW w:w="100" w:type="dxa"/>
            <w:vAlign w:val="bottom"/>
          </w:tcPr>
          <w:p>
            <w:pPr>
              <w:spacing w:after="0"/>
              <w:rPr>
                <w:sz w:val="24"/>
                <w:szCs w:val="24"/>
                <w:color w:val="auto"/>
              </w:rPr>
            </w:pP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6"/>
              <w:spacing w:after="0"/>
              <w:rPr>
                <w:sz w:val="20"/>
                <w:szCs w:val="20"/>
                <w:color w:val="auto"/>
              </w:rPr>
            </w:pPr>
            <w:r>
              <w:rPr>
                <w:rFonts w:ascii="Arial" w:cs="Arial" w:eastAsia="Arial" w:hAnsi="Arial"/>
                <w:sz w:val="17"/>
                <w:szCs w:val="17"/>
                <w:color w:val="auto"/>
              </w:rPr>
              <w:t>4,767.3</w:t>
            </w:r>
          </w:p>
        </w:tc>
      </w:tr>
      <w:tr>
        <w:trPr>
          <w:trHeight w:val="189"/>
        </w:trPr>
        <w:tc>
          <w:tcPr>
            <w:tcW w:w="6040" w:type="dxa"/>
            <w:vAlign w:val="bottom"/>
          </w:tcPr>
          <w:p>
            <w:pPr>
              <w:ind w:left="20"/>
              <w:spacing w:after="0" w:line="189" w:lineRule="exact"/>
              <w:rPr>
                <w:sz w:val="20"/>
                <w:szCs w:val="20"/>
                <w:color w:val="auto"/>
              </w:rPr>
            </w:pPr>
            <w:r>
              <w:rPr>
                <w:rFonts w:ascii="Arial" w:cs="Arial" w:eastAsia="Arial" w:hAnsi="Arial"/>
                <w:sz w:val="17"/>
                <w:szCs w:val="17"/>
                <w:i w:val="1"/>
                <w:iCs w:val="1"/>
                <w:color w:val="auto"/>
              </w:rPr>
              <w:t>Income tax expense (benefit):</w:t>
            </w:r>
          </w:p>
        </w:tc>
        <w:tc>
          <w:tcPr>
            <w:tcW w:w="420" w:type="dxa"/>
            <w:vAlign w:val="bottom"/>
            <w:tcBorders>
              <w:top w:val="single" w:sz="8" w:color="auto"/>
            </w:tcBorders>
            <w:shd w:val="clear" w:color="auto" w:fill="DDDDDD"/>
          </w:tcPr>
          <w:p>
            <w:pPr>
              <w:spacing w:after="0"/>
              <w:rPr>
                <w:sz w:val="16"/>
                <w:szCs w:val="16"/>
                <w:color w:val="auto"/>
              </w:rPr>
            </w:pPr>
          </w:p>
        </w:tc>
        <w:tc>
          <w:tcPr>
            <w:tcW w:w="1320" w:type="dxa"/>
            <w:vAlign w:val="bottom"/>
            <w:tcBorders>
              <w:top w:val="single" w:sz="8" w:color="auto"/>
            </w:tcBorders>
            <w:shd w:val="clear" w:color="auto" w:fill="DDDDDD"/>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r>
      <w:tr>
        <w:trPr>
          <w:trHeight w:val="282"/>
        </w:trPr>
        <w:tc>
          <w:tcPr>
            <w:tcW w:w="6040" w:type="dxa"/>
            <w:vAlign w:val="bottom"/>
          </w:tcPr>
          <w:p>
            <w:pPr>
              <w:ind w:left="20"/>
              <w:spacing w:after="0"/>
              <w:rPr>
                <w:sz w:val="20"/>
                <w:szCs w:val="20"/>
                <w:color w:val="auto"/>
              </w:rPr>
            </w:pPr>
            <w:r>
              <w:rPr>
                <w:rFonts w:ascii="Arial" w:cs="Arial" w:eastAsia="Arial" w:hAnsi="Arial"/>
                <w:sz w:val="17"/>
                <w:szCs w:val="17"/>
                <w:color w:val="auto"/>
              </w:rPr>
              <w:t>Current:</w:t>
            </w:r>
          </w:p>
        </w:tc>
        <w:tc>
          <w:tcPr>
            <w:tcW w:w="420" w:type="dxa"/>
            <w:vAlign w:val="bottom"/>
            <w:shd w:val="clear" w:color="auto" w:fill="DDDDDD"/>
          </w:tcPr>
          <w:p>
            <w:pPr>
              <w:spacing w:after="0"/>
              <w:rPr>
                <w:sz w:val="24"/>
                <w:szCs w:val="24"/>
                <w:color w:val="auto"/>
              </w:rPr>
            </w:pPr>
          </w:p>
        </w:tc>
        <w:tc>
          <w:tcPr>
            <w:tcW w:w="1320" w:type="dxa"/>
            <w:vAlign w:val="bottom"/>
            <w:shd w:val="clear" w:color="auto" w:fill="DDDDDD"/>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9"/>
        </w:trPr>
        <w:tc>
          <w:tcPr>
            <w:tcW w:w="6040" w:type="dxa"/>
            <w:vAlign w:val="bottom"/>
          </w:tcPr>
          <w:p>
            <w:pPr>
              <w:ind w:left="160"/>
              <w:spacing w:after="0"/>
              <w:rPr>
                <w:sz w:val="20"/>
                <w:szCs w:val="20"/>
                <w:color w:val="auto"/>
              </w:rPr>
            </w:pPr>
            <w:r>
              <w:rPr>
                <w:rFonts w:ascii="Arial" w:cs="Arial" w:eastAsia="Arial" w:hAnsi="Arial"/>
                <w:sz w:val="17"/>
                <w:szCs w:val="17"/>
                <w:color w:val="auto"/>
              </w:rPr>
              <w:t>Federal</w:t>
            </w:r>
          </w:p>
        </w:tc>
        <w:tc>
          <w:tcPr>
            <w:tcW w:w="420" w:type="dxa"/>
            <w:vAlign w:val="bottom"/>
            <w:shd w:val="clear" w:color="auto" w:fill="DDDDDD"/>
          </w:tcPr>
          <w:p>
            <w:pPr>
              <w:jc w:val="right"/>
              <w:ind w:right="215"/>
              <w:spacing w:after="0"/>
              <w:rPr>
                <w:sz w:val="20"/>
                <w:szCs w:val="20"/>
                <w:color w:val="auto"/>
              </w:rPr>
            </w:pPr>
            <w:r>
              <w:rPr>
                <w:rFonts w:ascii="Arial" w:cs="Arial" w:eastAsia="Arial" w:hAnsi="Arial"/>
                <w:sz w:val="17"/>
                <w:szCs w:val="17"/>
                <w:color w:val="2573BA"/>
              </w:rPr>
              <w:t>$</w:t>
            </w:r>
          </w:p>
        </w:tc>
        <w:tc>
          <w:tcPr>
            <w:tcW w:w="132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2,201.4</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1,304.3</w:t>
            </w:r>
          </w:p>
        </w:tc>
        <w:tc>
          <w:tcPr>
            <w:tcW w:w="100" w:type="dxa"/>
            <w:vAlign w:val="bottom"/>
          </w:tcPr>
          <w:p>
            <w:pPr>
              <w:spacing w:after="0"/>
              <w:rPr>
                <w:sz w:val="23"/>
                <w:szCs w:val="23"/>
                <w:color w:val="auto"/>
              </w:rPr>
            </w:pP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6"/>
              <w:spacing w:after="0"/>
              <w:rPr>
                <w:sz w:val="20"/>
                <w:szCs w:val="20"/>
                <w:color w:val="auto"/>
              </w:rPr>
            </w:pPr>
            <w:r>
              <w:rPr>
                <w:rFonts w:ascii="Arial" w:cs="Arial" w:eastAsia="Arial" w:hAnsi="Arial"/>
                <w:sz w:val="17"/>
                <w:szCs w:val="17"/>
                <w:color w:val="auto"/>
              </w:rPr>
              <w:t>1,214.1</w:t>
            </w:r>
          </w:p>
        </w:tc>
      </w:tr>
      <w:tr>
        <w:trPr>
          <w:trHeight w:val="256"/>
        </w:trPr>
        <w:tc>
          <w:tcPr>
            <w:tcW w:w="6040" w:type="dxa"/>
            <w:vAlign w:val="bottom"/>
          </w:tcPr>
          <w:p>
            <w:pPr>
              <w:ind w:left="160"/>
              <w:spacing w:after="0"/>
              <w:rPr>
                <w:sz w:val="20"/>
                <w:szCs w:val="20"/>
                <w:color w:val="auto"/>
              </w:rPr>
            </w:pPr>
            <w:r>
              <w:rPr>
                <w:rFonts w:ascii="Arial" w:cs="Arial" w:eastAsia="Arial" w:hAnsi="Arial"/>
                <w:sz w:val="17"/>
                <w:szCs w:val="17"/>
                <w:color w:val="auto"/>
              </w:rPr>
              <w:t>State</w:t>
            </w:r>
          </w:p>
        </w:tc>
        <w:tc>
          <w:tcPr>
            <w:tcW w:w="420" w:type="dxa"/>
            <w:vAlign w:val="bottom"/>
            <w:shd w:val="clear" w:color="auto" w:fill="DDDDDD"/>
          </w:tcPr>
          <w:p>
            <w:pPr>
              <w:spacing w:after="0"/>
              <w:rPr>
                <w:sz w:val="22"/>
                <w:szCs w:val="22"/>
                <w:color w:val="auto"/>
              </w:rPr>
            </w:pPr>
          </w:p>
        </w:tc>
        <w:tc>
          <w:tcPr>
            <w:tcW w:w="132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57.0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55.1</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jc w:val="right"/>
              <w:ind w:right="16"/>
              <w:spacing w:after="0"/>
              <w:rPr>
                <w:sz w:val="20"/>
                <w:szCs w:val="20"/>
                <w:color w:val="auto"/>
              </w:rPr>
            </w:pPr>
            <w:r>
              <w:rPr>
                <w:rFonts w:ascii="Arial" w:cs="Arial" w:eastAsia="Arial" w:hAnsi="Arial"/>
                <w:sz w:val="17"/>
                <w:szCs w:val="17"/>
                <w:color w:val="auto"/>
              </w:rPr>
              <w:t>38.6</w:t>
            </w:r>
          </w:p>
        </w:tc>
      </w:tr>
      <w:tr>
        <w:trPr>
          <w:trHeight w:val="263"/>
        </w:trPr>
        <w:tc>
          <w:tcPr>
            <w:tcW w:w="6040" w:type="dxa"/>
            <w:vAlign w:val="bottom"/>
          </w:tcPr>
          <w:p>
            <w:pPr>
              <w:ind w:left="160"/>
              <w:spacing w:after="0"/>
              <w:rPr>
                <w:sz w:val="20"/>
                <w:szCs w:val="20"/>
                <w:color w:val="auto"/>
              </w:rPr>
            </w:pPr>
            <w:r>
              <w:rPr>
                <w:rFonts w:ascii="Arial" w:cs="Arial" w:eastAsia="Arial" w:hAnsi="Arial"/>
                <w:sz w:val="17"/>
                <w:szCs w:val="17"/>
                <w:color w:val="auto"/>
              </w:rPr>
              <w:t>Foreign</w:t>
            </w:r>
          </w:p>
        </w:tc>
        <w:tc>
          <w:tcPr>
            <w:tcW w:w="420" w:type="dxa"/>
            <w:vAlign w:val="bottom"/>
            <w:tcBorders>
              <w:bottom w:val="single" w:sz="8" w:color="auto"/>
            </w:tcBorders>
            <w:shd w:val="clear" w:color="auto" w:fill="DDDDDD"/>
          </w:tcPr>
          <w:p>
            <w:pPr>
              <w:spacing w:after="0"/>
              <w:rPr>
                <w:sz w:val="22"/>
                <w:szCs w:val="22"/>
                <w:color w:val="auto"/>
              </w:rPr>
            </w:pPr>
          </w:p>
        </w:tc>
        <w:tc>
          <w:tcPr>
            <w:tcW w:w="1320" w:type="dxa"/>
            <w:vAlign w:val="bottom"/>
            <w:tcBorders>
              <w:bottom w:val="single" w:sz="8" w:color="auto"/>
            </w:tcBorders>
            <w:shd w:val="clear" w:color="auto" w:fill="DDDDDD"/>
          </w:tcPr>
          <w:p>
            <w:pPr>
              <w:jc w:val="right"/>
              <w:ind w:right="17"/>
              <w:spacing w:after="0"/>
              <w:rPr>
                <w:sz w:val="20"/>
                <w:szCs w:val="20"/>
                <w:color w:val="auto"/>
              </w:rPr>
            </w:pPr>
            <w:r>
              <w:rPr>
                <w:rFonts w:ascii="Arial" w:cs="Arial" w:eastAsia="Arial" w:hAnsi="Arial"/>
                <w:sz w:val="17"/>
                <w:szCs w:val="17"/>
                <w:color w:val="2573BA"/>
              </w:rPr>
              <w:t>108.6</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52.9</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54.5</w:t>
            </w:r>
          </w:p>
        </w:tc>
      </w:tr>
      <w:tr>
        <w:trPr>
          <w:trHeight w:val="236"/>
        </w:trPr>
        <w:tc>
          <w:tcPr>
            <w:tcW w:w="6040" w:type="dxa"/>
            <w:vAlign w:val="bottom"/>
          </w:tcPr>
          <w:p>
            <w:pPr>
              <w:ind w:left="360"/>
              <w:spacing w:after="0"/>
              <w:rPr>
                <w:sz w:val="20"/>
                <w:szCs w:val="20"/>
                <w:color w:val="auto"/>
              </w:rPr>
            </w:pPr>
            <w:r>
              <w:rPr>
                <w:rFonts w:ascii="Arial" w:cs="Arial" w:eastAsia="Arial" w:hAnsi="Arial"/>
                <w:sz w:val="17"/>
                <w:szCs w:val="17"/>
                <w:color w:val="auto"/>
              </w:rPr>
              <w:t>Total</w:t>
            </w:r>
          </w:p>
        </w:tc>
        <w:tc>
          <w:tcPr>
            <w:tcW w:w="420" w:type="dxa"/>
            <w:vAlign w:val="bottom"/>
            <w:tcBorders>
              <w:bottom w:val="single" w:sz="8" w:color="auto"/>
            </w:tcBorders>
            <w:shd w:val="clear" w:color="auto" w:fill="DDDDDD"/>
          </w:tcPr>
          <w:p>
            <w:pPr>
              <w:spacing w:after="0"/>
              <w:rPr>
                <w:sz w:val="20"/>
                <w:szCs w:val="20"/>
                <w:color w:val="auto"/>
              </w:rPr>
            </w:pPr>
          </w:p>
        </w:tc>
        <w:tc>
          <w:tcPr>
            <w:tcW w:w="1320" w:type="dxa"/>
            <w:vAlign w:val="bottom"/>
            <w:tcBorders>
              <w:bottom w:val="single" w:sz="8" w:color="auto"/>
            </w:tcBorders>
            <w:shd w:val="clear" w:color="auto" w:fill="DDDDDD"/>
          </w:tcPr>
          <w:p>
            <w:pPr>
              <w:jc w:val="right"/>
              <w:ind w:right="17"/>
              <w:spacing w:after="0"/>
              <w:rPr>
                <w:sz w:val="20"/>
                <w:szCs w:val="20"/>
                <w:color w:val="auto"/>
              </w:rPr>
            </w:pPr>
            <w:r>
              <w:rPr>
                <w:rFonts w:ascii="Arial" w:cs="Arial" w:eastAsia="Arial" w:hAnsi="Arial"/>
                <w:sz w:val="17"/>
                <w:szCs w:val="17"/>
                <w:color w:val="2573BA"/>
              </w:rPr>
              <w:t>2,367.0</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1,412.3</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1,307.2</w:t>
            </w:r>
          </w:p>
        </w:tc>
      </w:tr>
      <w:tr>
        <w:trPr>
          <w:trHeight w:val="216"/>
        </w:trPr>
        <w:tc>
          <w:tcPr>
            <w:tcW w:w="6040" w:type="dxa"/>
            <w:vAlign w:val="bottom"/>
          </w:tcPr>
          <w:p>
            <w:pPr>
              <w:ind w:left="20"/>
              <w:spacing w:after="0"/>
              <w:rPr>
                <w:sz w:val="20"/>
                <w:szCs w:val="20"/>
                <w:color w:val="auto"/>
              </w:rPr>
            </w:pPr>
            <w:r>
              <w:rPr>
                <w:rFonts w:ascii="Arial" w:cs="Arial" w:eastAsia="Arial" w:hAnsi="Arial"/>
                <w:sz w:val="17"/>
                <w:szCs w:val="17"/>
                <w:color w:val="auto"/>
              </w:rPr>
              <w:t>Deferred:</w:t>
            </w:r>
          </w:p>
        </w:tc>
        <w:tc>
          <w:tcPr>
            <w:tcW w:w="420" w:type="dxa"/>
            <w:vAlign w:val="bottom"/>
            <w:shd w:val="clear" w:color="auto" w:fill="DDDDDD"/>
          </w:tcPr>
          <w:p>
            <w:pPr>
              <w:spacing w:after="0"/>
              <w:rPr>
                <w:sz w:val="18"/>
                <w:szCs w:val="18"/>
                <w:color w:val="auto"/>
              </w:rPr>
            </w:pPr>
          </w:p>
        </w:tc>
        <w:tc>
          <w:tcPr>
            <w:tcW w:w="1320" w:type="dxa"/>
            <w:vAlign w:val="bottom"/>
            <w:shd w:val="clear" w:color="auto" w:fill="DDDDDD"/>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96"/>
        </w:trPr>
        <w:tc>
          <w:tcPr>
            <w:tcW w:w="6040" w:type="dxa"/>
            <w:vAlign w:val="bottom"/>
          </w:tcPr>
          <w:p>
            <w:pPr>
              <w:ind w:left="160"/>
              <w:spacing w:after="0"/>
              <w:rPr>
                <w:sz w:val="20"/>
                <w:szCs w:val="20"/>
                <w:color w:val="auto"/>
              </w:rPr>
            </w:pPr>
            <w:r>
              <w:rPr>
                <w:rFonts w:ascii="Arial" w:cs="Arial" w:eastAsia="Arial" w:hAnsi="Arial"/>
                <w:sz w:val="17"/>
                <w:szCs w:val="17"/>
                <w:color w:val="auto"/>
              </w:rPr>
              <w:t>Federal</w:t>
            </w:r>
          </w:p>
        </w:tc>
        <w:tc>
          <w:tcPr>
            <w:tcW w:w="420" w:type="dxa"/>
            <w:vAlign w:val="bottom"/>
            <w:shd w:val="clear" w:color="auto" w:fill="DDDDDD"/>
          </w:tcPr>
          <w:p>
            <w:pPr>
              <w:jc w:val="right"/>
              <w:ind w:right="215"/>
              <w:spacing w:after="0"/>
              <w:rPr>
                <w:sz w:val="20"/>
                <w:szCs w:val="20"/>
                <w:color w:val="auto"/>
              </w:rPr>
            </w:pPr>
            <w:r>
              <w:rPr>
                <w:rFonts w:ascii="Arial" w:cs="Arial" w:eastAsia="Arial" w:hAnsi="Arial"/>
                <w:sz w:val="17"/>
                <w:szCs w:val="17"/>
                <w:color w:val="2573BA"/>
              </w:rPr>
              <w:t>$</w:t>
            </w:r>
          </w:p>
        </w:tc>
        <w:tc>
          <w:tcPr>
            <w:tcW w:w="132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241.0</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(125.6)</w:t>
            </w:r>
          </w:p>
        </w:tc>
        <w:tc>
          <w:tcPr>
            <w:tcW w:w="100" w:type="dxa"/>
            <w:vAlign w:val="bottom"/>
          </w:tcPr>
          <w:p>
            <w:pPr>
              <w:spacing w:after="0"/>
              <w:rPr>
                <w:sz w:val="24"/>
                <w:szCs w:val="24"/>
                <w:color w:val="auto"/>
              </w:rPr>
            </w:pP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(129.6)</w:t>
            </w:r>
          </w:p>
        </w:tc>
      </w:tr>
      <w:tr>
        <w:trPr>
          <w:trHeight w:val="242"/>
        </w:trPr>
        <w:tc>
          <w:tcPr>
            <w:tcW w:w="6040" w:type="dxa"/>
            <w:vAlign w:val="bottom"/>
          </w:tcPr>
          <w:p>
            <w:pPr>
              <w:ind w:left="160"/>
              <w:spacing w:after="0"/>
              <w:rPr>
                <w:sz w:val="20"/>
                <w:szCs w:val="20"/>
                <w:color w:val="auto"/>
              </w:rPr>
            </w:pPr>
            <w:r>
              <w:rPr>
                <w:rFonts w:ascii="Arial" w:cs="Arial" w:eastAsia="Arial" w:hAnsi="Arial"/>
                <w:sz w:val="17"/>
                <w:szCs w:val="17"/>
                <w:color w:val="auto"/>
              </w:rPr>
              <w:t>State</w:t>
            </w:r>
          </w:p>
        </w:tc>
        <w:tc>
          <w:tcPr>
            <w:tcW w:w="42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7"/>
                <w:szCs w:val="17"/>
                <w:color w:val="2573BA"/>
              </w:rPr>
              <w:t>9.9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63"/>
        </w:trPr>
        <w:tc>
          <w:tcPr>
            <w:tcW w:w="6040" w:type="dxa"/>
            <w:vAlign w:val="bottom"/>
          </w:tcPr>
          <w:p>
            <w:pPr>
              <w:ind w:left="160"/>
              <w:spacing w:after="0"/>
              <w:rPr>
                <w:sz w:val="20"/>
                <w:szCs w:val="20"/>
                <w:color w:val="auto"/>
              </w:rPr>
            </w:pPr>
            <w:r>
              <w:rPr>
                <w:rFonts w:ascii="Arial" w:cs="Arial" w:eastAsia="Arial" w:hAnsi="Arial"/>
                <w:sz w:val="17"/>
                <w:szCs w:val="17"/>
                <w:color w:val="auto"/>
              </w:rPr>
              <w:t>Foreign</w:t>
            </w: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(159.2)</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(45.6)</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w:t>
            </w:r>
          </w:p>
        </w:tc>
      </w:tr>
      <w:tr>
        <w:trPr>
          <w:trHeight w:val="236"/>
        </w:trPr>
        <w:tc>
          <w:tcPr>
            <w:tcW w:w="6040" w:type="dxa"/>
            <w:vAlign w:val="bottom"/>
          </w:tcPr>
          <w:p>
            <w:pPr>
              <w:ind w:left="360"/>
              <w:spacing w:after="0"/>
              <w:rPr>
                <w:sz w:val="20"/>
                <w:szCs w:val="20"/>
                <w:color w:val="auto"/>
              </w:rPr>
            </w:pPr>
            <w:r>
              <w:rPr>
                <w:rFonts w:ascii="Arial" w:cs="Arial" w:eastAsia="Arial" w:hAnsi="Arial"/>
                <w:sz w:val="17"/>
                <w:szCs w:val="17"/>
                <w:color w:val="auto"/>
              </w:rPr>
              <w:t>Total</w:t>
            </w:r>
          </w:p>
        </w:tc>
        <w:tc>
          <w:tcPr>
            <w:tcW w:w="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2573BA"/>
              </w:rPr>
              <w:t>91.7</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(175.0)</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(145.6)</w:t>
            </w:r>
          </w:p>
        </w:tc>
      </w:tr>
      <w:tr>
        <w:trPr>
          <w:trHeight w:val="236"/>
        </w:trPr>
        <w:tc>
          <w:tcPr>
            <w:tcW w:w="6040" w:type="dxa"/>
            <w:vAlign w:val="bottom"/>
          </w:tcPr>
          <w:p>
            <w:pPr>
              <w:ind w:left="160"/>
              <w:spacing w:after="0"/>
              <w:rPr>
                <w:sz w:val="20"/>
                <w:szCs w:val="20"/>
                <w:color w:val="auto"/>
              </w:rPr>
            </w:pPr>
            <w:r>
              <w:rPr>
                <w:rFonts w:ascii="Arial" w:cs="Arial" w:eastAsia="Arial" w:hAnsi="Arial"/>
                <w:sz w:val="17"/>
                <w:szCs w:val="17"/>
                <w:color w:val="auto"/>
              </w:rPr>
              <w:t>Total income tax expense</w:t>
            </w:r>
          </w:p>
        </w:tc>
        <w:tc>
          <w:tcPr>
            <w:tcW w:w="420" w:type="dxa"/>
            <w:vAlign w:val="bottom"/>
          </w:tcPr>
          <w:p>
            <w:pPr>
              <w:jc w:val="right"/>
              <w:ind w:right="215"/>
              <w:spacing w:after="0"/>
              <w:rPr>
                <w:sz w:val="20"/>
                <w:szCs w:val="20"/>
                <w:color w:val="auto"/>
              </w:rPr>
            </w:pPr>
            <w:r>
              <w:rPr>
                <w:rFonts w:ascii="Arial" w:cs="Arial" w:eastAsia="Arial" w:hAnsi="Arial"/>
                <w:sz w:val="17"/>
                <w:szCs w:val="17"/>
                <w:color w:val="2573BA"/>
              </w:rPr>
              <w:t>$</w:t>
            </w:r>
          </w:p>
        </w:tc>
        <w:tc>
          <w:tcPr>
            <w:tcW w:w="1320" w:type="dxa"/>
            <w:vAlign w:val="bottom"/>
          </w:tcPr>
          <w:p>
            <w:pPr>
              <w:jc w:val="right"/>
              <w:ind w:right="17"/>
              <w:spacing w:after="0"/>
              <w:rPr>
                <w:sz w:val="20"/>
                <w:szCs w:val="20"/>
                <w:color w:val="auto"/>
              </w:rPr>
            </w:pPr>
            <w:r>
              <w:rPr>
                <w:rFonts w:ascii="Arial" w:cs="Arial" w:eastAsia="Arial" w:hAnsi="Arial"/>
                <w:sz w:val="17"/>
                <w:szCs w:val="17"/>
                <w:color w:val="2573BA"/>
              </w:rPr>
              <w:t>2,458.7</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1,237.3</w:t>
            </w:r>
          </w:p>
        </w:tc>
        <w:tc>
          <w:tcPr>
            <w:tcW w:w="100" w:type="dxa"/>
            <w:vAlign w:val="bottom"/>
          </w:tcPr>
          <w:p>
            <w:pPr>
              <w:spacing w:after="0"/>
              <w:rPr>
                <w:sz w:val="20"/>
                <w:szCs w:val="20"/>
                <w:color w:val="auto"/>
              </w:rPr>
            </w:pP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6"/>
              <w:spacing w:after="0"/>
              <w:rPr>
                <w:sz w:val="20"/>
                <w:szCs w:val="20"/>
                <w:color w:val="auto"/>
              </w:rPr>
            </w:pPr>
            <w:r>
              <w:rPr>
                <w:rFonts w:ascii="Arial" w:cs="Arial" w:eastAsia="Arial" w:hAnsi="Arial"/>
                <w:sz w:val="17"/>
                <w:szCs w:val="17"/>
                <w:color w:val="auto"/>
              </w:rPr>
              <w:t>1,161.6</w:t>
            </w:r>
          </w:p>
        </w:tc>
      </w:tr>
      <w:tr>
        <w:trPr>
          <w:trHeight w:val="20"/>
        </w:trPr>
        <w:tc>
          <w:tcPr>
            <w:tcW w:w="60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3839845</wp:posOffset>
            </wp:positionH>
            <wp:positionV relativeFrom="paragraph">
              <wp:posOffset>-836930</wp:posOffset>
            </wp:positionV>
            <wp:extent cx="1106170" cy="8210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2">
                      <a:extLst>
                        <a:ext uri="{28A0092B-C50C-407E-A947-70E740481C1C}"/>
                      </a:extLst>
                    </a:blip>
                    <a:srcRect/>
                    <a:stretch>
                      <a:fillRect/>
                    </a:stretch>
                  </pic:blipFill>
                  <pic:spPr bwMode="auto">
                    <a:xfrm>
                      <a:off x="0" y="0"/>
                      <a:ext cx="1106170" cy="821055"/>
                    </a:xfrm>
                    <a:prstGeom prst="rect">
                      <a:avLst/>
                    </a:prstGeom>
                    <a:noFill/>
                  </pic:spPr>
                </pic:pic>
              </a:graphicData>
            </a:graphic>
          </wp:anchor>
        </w:drawing>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Tax Reform</w:t>
      </w:r>
    </w:p>
    <w:p>
      <w:pPr>
        <w:spacing w:after="0" w:line="104" w:lineRule="exact"/>
        <w:rPr>
          <w:sz w:val="20"/>
          <w:szCs w:val="20"/>
          <w:color w:val="auto"/>
        </w:rPr>
      </w:pPr>
    </w:p>
    <w:p>
      <w:pPr>
        <w:ind w:firstLine="384"/>
        <w:spacing w:after="0" w:line="253" w:lineRule="auto"/>
        <w:rPr>
          <w:sz w:val="20"/>
          <w:szCs w:val="20"/>
          <w:color w:val="auto"/>
        </w:rPr>
      </w:pPr>
      <w:r>
        <w:rPr>
          <w:rFonts w:ascii="Arial" w:cs="Arial" w:eastAsia="Arial" w:hAnsi="Arial"/>
          <w:sz w:val="17"/>
          <w:szCs w:val="17"/>
          <w:color w:val="auto"/>
        </w:rPr>
        <w:t>The 2017 Tax Act, which was signed into law on December 22, 2017, has resulted in significant changes to the U.S. corporate income tax system. These changes include a federal statutory rate reduction from 35% to 21%, the elimination or reduction of certain domestic deductions and credits and limitations on the deductibility of interest expense and executive compensation. The 2017 Tax Act also transitions international taxation from a worldwide system to a modified territorial system and includes base erosion prevention measures on non-U.S. earnings, which has the effect of subjecting certain earnings of our foreign subsidiaries to U.S. taxation as global intangible low-taxed income (GILTI). These changes are effective beginning in 2018.</w:t>
      </w:r>
    </w:p>
    <w:p>
      <w:pPr>
        <w:spacing w:after="0" w:line="147" w:lineRule="exact"/>
        <w:rPr>
          <w:sz w:val="20"/>
          <w:szCs w:val="20"/>
          <w:color w:val="auto"/>
        </w:rPr>
      </w:pPr>
    </w:p>
    <w:p>
      <w:pPr>
        <w:ind w:right="260" w:firstLine="384"/>
        <w:spacing w:after="0" w:line="262" w:lineRule="auto"/>
        <w:rPr>
          <w:sz w:val="20"/>
          <w:szCs w:val="20"/>
          <w:color w:val="auto"/>
        </w:rPr>
      </w:pPr>
      <w:r>
        <w:rPr>
          <w:rFonts w:ascii="Arial" w:cs="Arial" w:eastAsia="Arial" w:hAnsi="Arial"/>
          <w:sz w:val="17"/>
          <w:szCs w:val="17"/>
          <w:color w:val="auto"/>
        </w:rPr>
        <w:t>The 2017 Tax Act also includes a one-time mandatory deemed repatriation tax on accumulated foreign subsidiaries' previously untaxed foreign earnings (the Transition Toll Tax).</w:t>
      </w:r>
    </w:p>
    <w:p>
      <w:pPr>
        <w:spacing w:after="0" w:line="137" w:lineRule="exact"/>
        <w:rPr>
          <w:sz w:val="20"/>
          <w:szCs w:val="20"/>
          <w:color w:val="auto"/>
        </w:rPr>
      </w:pPr>
    </w:p>
    <w:p>
      <w:pPr>
        <w:ind w:right="600" w:firstLine="384"/>
        <w:spacing w:after="0" w:line="262" w:lineRule="auto"/>
        <w:rPr>
          <w:sz w:val="20"/>
          <w:szCs w:val="20"/>
          <w:color w:val="auto"/>
        </w:rPr>
      </w:pPr>
      <w:r>
        <w:rPr>
          <w:rFonts w:ascii="Arial" w:cs="Arial" w:eastAsia="Arial" w:hAnsi="Arial"/>
          <w:sz w:val="17"/>
          <w:szCs w:val="17"/>
          <w:color w:val="auto"/>
        </w:rPr>
        <w:t>Changes in tax rates and tax laws are accounted for in the period of enactment. Therefore, during the year ended December 31, 2017, we recorded a charge totaling $1,173.6 million related to our current estimate of the provisions of the 2017 Tax Act.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F- 49</w:t>
      </w:r>
    </w:p>
    <w:p>
      <w:pPr>
        <w:sectPr>
          <w:pgSz w:w="11900" w:h="16838" w:orient="portrait"/>
          <w:cols w:equalWidth="0" w:num="1">
            <w:col w:w="11400"/>
          </w:cols>
          <w:pgMar w:left="240" w:top="139" w:right="259" w:bottom="1440" w:gutter="0" w:footer="0" w:header="0"/>
        </w:sectPr>
      </w:pPr>
    </w:p>
    <w:bookmarkStart w:id="151" w:name="page152"/>
    <w:bookmarkEnd w:id="1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3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Transition Toll Tax</w:t>
      </w:r>
    </w:p>
    <w:p>
      <w:pPr>
        <w:spacing w:after="0" w:line="104" w:lineRule="exact"/>
        <w:rPr>
          <w:sz w:val="20"/>
          <w:szCs w:val="20"/>
          <w:color w:val="auto"/>
        </w:rPr>
      </w:pPr>
    </w:p>
    <w:p>
      <w:pPr>
        <w:ind w:right="20" w:firstLine="384"/>
        <w:spacing w:after="0" w:line="255" w:lineRule="auto"/>
        <w:rPr>
          <w:sz w:val="20"/>
          <w:szCs w:val="20"/>
          <w:color w:val="auto"/>
        </w:rPr>
      </w:pPr>
      <w:r>
        <w:rPr>
          <w:rFonts w:ascii="Arial" w:cs="Arial" w:eastAsia="Arial" w:hAnsi="Arial"/>
          <w:sz w:val="17"/>
          <w:szCs w:val="17"/>
          <w:color w:val="auto"/>
        </w:rPr>
        <w:t>The 2017 Tax Act eliminates the deferral of U.S. income tax on the historical unrepatriated earnings by imposing the Transition Toll Tax, which is a one-time mandatory deemed repatriation tax on undistributed foreign earnings. The Transition Toll Tax is assessed on the U.S. shareholder's share of the foreign corporation's accumulated foreign earnings that have not previously been taxed. Earnings in the form of cash and cash equivalents will be taxed at a rate of 15.5% and all other earnings will be taxed at a rate of 8.0%.</w:t>
      </w:r>
    </w:p>
    <w:p>
      <w:pPr>
        <w:spacing w:after="0" w:line="143" w:lineRule="exact"/>
        <w:rPr>
          <w:sz w:val="20"/>
          <w:szCs w:val="20"/>
          <w:color w:val="auto"/>
        </w:rPr>
      </w:pPr>
    </w:p>
    <w:p>
      <w:pPr>
        <w:ind w:right="20" w:firstLine="384"/>
        <w:spacing w:after="0" w:line="262" w:lineRule="auto"/>
        <w:rPr>
          <w:sz w:val="20"/>
          <w:szCs w:val="20"/>
          <w:color w:val="auto"/>
        </w:rPr>
      </w:pPr>
      <w:r>
        <w:rPr>
          <w:rFonts w:ascii="Arial" w:cs="Arial" w:eastAsia="Arial" w:hAnsi="Arial"/>
          <w:sz w:val="17"/>
          <w:szCs w:val="17"/>
          <w:color w:val="auto"/>
        </w:rPr>
        <w:t>As of December 31, 2017, we have accrued income tax liabilities of $989.6 million under the Transition Toll Tax, of which $78.3 million is expected to be paid within one year. The Transition Toll Tax will be paid over an eight-year period, starting in 2018, and will not accrue interest.</w:t>
      </w:r>
    </w:p>
    <w:p>
      <w:pPr>
        <w:spacing w:after="0" w:line="137" w:lineRule="exact"/>
        <w:rPr>
          <w:sz w:val="20"/>
          <w:szCs w:val="20"/>
          <w:color w:val="auto"/>
        </w:rPr>
      </w:pPr>
    </w:p>
    <w:p>
      <w:pPr>
        <w:ind w:right="500" w:firstLine="384"/>
        <w:spacing w:after="0" w:line="262" w:lineRule="auto"/>
        <w:rPr>
          <w:sz w:val="20"/>
          <w:szCs w:val="20"/>
          <w:color w:val="auto"/>
        </w:rPr>
      </w:pPr>
      <w:r>
        <w:rPr>
          <w:rFonts w:ascii="Arial" w:cs="Arial" w:eastAsia="Arial" w:hAnsi="Arial"/>
          <w:sz w:val="17"/>
          <w:szCs w:val="17"/>
          <w:color w:val="auto"/>
        </w:rPr>
        <w:t>At December 31, 2017, we considered none of our earnings to be permanently reinvested outside the U.S. and have therefore recorded tax liabilities associated with an estimate of the total withholding taxes that may be a result of our repatriation of earnings.</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Effect on Deferred Tax Assets and Liabilities and other Adjustments</w:t>
      </w:r>
    </w:p>
    <w:p>
      <w:pPr>
        <w:spacing w:after="0" w:line="104" w:lineRule="exact"/>
        <w:rPr>
          <w:sz w:val="20"/>
          <w:szCs w:val="20"/>
          <w:color w:val="auto"/>
        </w:rPr>
      </w:pPr>
    </w:p>
    <w:p>
      <w:pPr>
        <w:ind w:right="140" w:firstLine="384"/>
        <w:spacing w:after="0" w:line="262" w:lineRule="auto"/>
        <w:rPr>
          <w:sz w:val="20"/>
          <w:szCs w:val="20"/>
          <w:color w:val="auto"/>
        </w:rPr>
      </w:pPr>
      <w:r>
        <w:rPr>
          <w:rFonts w:ascii="Arial" w:cs="Arial" w:eastAsia="Arial" w:hAnsi="Arial"/>
          <w:sz w:val="17"/>
          <w:szCs w:val="17"/>
          <w:color w:val="auto"/>
        </w:rPr>
        <w:t>Our deferred tax assets and liabilities are measured at the enacted tax rate expected to apply when these temporary differences are expected to be realized or settled.</w:t>
      </w:r>
    </w:p>
    <w:p>
      <w:pPr>
        <w:spacing w:after="0" w:line="60" w:lineRule="exact"/>
        <w:rPr>
          <w:sz w:val="20"/>
          <w:szCs w:val="20"/>
          <w:color w:val="auto"/>
        </w:rPr>
      </w:pPr>
    </w:p>
    <w:p>
      <w:pPr>
        <w:ind w:firstLine="384"/>
        <w:spacing w:after="0" w:line="257" w:lineRule="auto"/>
        <w:rPr>
          <w:sz w:val="20"/>
          <w:szCs w:val="20"/>
          <w:color w:val="auto"/>
        </w:rPr>
      </w:pPr>
      <w:r>
        <w:rPr>
          <w:rFonts w:ascii="Arial" w:cs="Arial" w:eastAsia="Arial" w:hAnsi="Arial"/>
          <w:sz w:val="17"/>
          <w:szCs w:val="17"/>
          <w:color w:val="auto"/>
        </w:rPr>
        <w:t>As our deferred tax assets exceed the balance of our deferred tax liabilities at the date of enactment, we have recorded a tax expense of $184.0 million, reflecting the decrease in the U.S. corporate income tax rate and other changes to U.S. tax law. It is our current policy to not recognize deferred taxes for basis differences expected to reverse as GILTI is incurred and instead to account for any taxes assessed as period costs.</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Status of our Assessment</w:t>
      </w:r>
    </w:p>
    <w:p>
      <w:pPr>
        <w:spacing w:after="0" w:line="104" w:lineRule="exact"/>
        <w:rPr>
          <w:sz w:val="20"/>
          <w:szCs w:val="20"/>
          <w:color w:val="auto"/>
        </w:rPr>
      </w:pPr>
    </w:p>
    <w:p>
      <w:pPr>
        <w:ind w:right="120" w:firstLine="384"/>
        <w:spacing w:after="0" w:line="255" w:lineRule="auto"/>
        <w:rPr>
          <w:sz w:val="20"/>
          <w:szCs w:val="20"/>
          <w:color w:val="auto"/>
        </w:rPr>
      </w:pPr>
      <w:r>
        <w:rPr>
          <w:rFonts w:ascii="Arial" w:cs="Arial" w:eastAsia="Arial" w:hAnsi="Arial"/>
          <w:sz w:val="17"/>
          <w:szCs w:val="17"/>
          <w:color w:val="auto"/>
        </w:rPr>
        <w:t>Our preliminary estimate of the Transition Toll Tax and the remeasurement of our deferred tax assets and liabilities is subject to the finalization of management’s analysis related to certain matters, such as developing interpretations of the provisions of the 2017 Tax Act, changes to certain estimates and amounts related to the earnings and profits of certain subsidiaries and the filing of our tax returns. U.S. Treasury regulations, administrative interpretations or court decisions interpreting the 2017 Tax Act may require further adjustments and changes in our estimates.</w:t>
      </w:r>
    </w:p>
    <w:p>
      <w:pPr>
        <w:spacing w:after="0" w:line="66" w:lineRule="exact"/>
        <w:rPr>
          <w:sz w:val="20"/>
          <w:szCs w:val="20"/>
          <w:color w:val="auto"/>
        </w:rPr>
      </w:pPr>
    </w:p>
    <w:p>
      <w:pPr>
        <w:ind w:right="440" w:firstLine="384"/>
        <w:spacing w:after="0" w:line="262" w:lineRule="auto"/>
        <w:rPr>
          <w:sz w:val="20"/>
          <w:szCs w:val="20"/>
          <w:color w:val="auto"/>
        </w:rPr>
      </w:pPr>
      <w:r>
        <w:rPr>
          <w:rFonts w:ascii="Arial" w:cs="Arial" w:eastAsia="Arial" w:hAnsi="Arial"/>
          <w:sz w:val="17"/>
          <w:szCs w:val="17"/>
          <w:color w:val="auto"/>
        </w:rPr>
        <w:t>The final determination of the Transition Toll Tax and the remeasurement of our deferred assets and liabilities will be completed as additional information becomes available, but no later than one year from the enactment of the 2017 Tax Act.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Article 20 Procedure of ZINBRYTA</w:t>
      </w:r>
    </w:p>
    <w:p>
      <w:pPr>
        <w:spacing w:after="0" w:line="106" w:lineRule="exact"/>
        <w:rPr>
          <w:sz w:val="20"/>
          <w:szCs w:val="20"/>
          <w:color w:val="auto"/>
        </w:rPr>
      </w:pPr>
    </w:p>
    <w:p>
      <w:pPr>
        <w:ind w:right="80" w:firstLine="384"/>
        <w:spacing w:after="0" w:line="255" w:lineRule="auto"/>
        <w:rPr>
          <w:sz w:val="20"/>
          <w:szCs w:val="20"/>
          <w:color w:val="auto"/>
        </w:rPr>
      </w:pPr>
      <w:r>
        <w:rPr>
          <w:rFonts w:ascii="Arial" w:cs="Arial" w:eastAsia="Arial" w:hAnsi="Arial"/>
          <w:sz w:val="17"/>
          <w:szCs w:val="17"/>
          <w:color w:val="auto"/>
        </w:rPr>
        <w:t xml:space="preserve">As a result of the Article 20 Procedure of ZINBRYTA, we have recognized a net impairment charge on certain tax assets reflected within income tax expense of $48.8 million. This charge reflects the write off of $142.6 million related to prepaid taxes, which was partially offset by the recognition of an unrecorded deferred tax benefit of $93.8 million. For additional information on the Article 20 Procedure of ZINBRYTA and resulting impairment of ZINBRYTA related assets, please read Note 20, </w:t>
      </w:r>
      <w:r>
        <w:rPr>
          <w:rFonts w:ascii="Arial" w:cs="Arial" w:eastAsia="Arial" w:hAnsi="Arial"/>
          <w:sz w:val="17"/>
          <w:szCs w:val="17"/>
          <w:i w:val="1"/>
          <w:iCs w:val="1"/>
          <w:color w:val="auto"/>
        </w:rPr>
        <w:t>Collaborative and Other Relationships,</w:t>
      </w:r>
      <w:r>
        <w:rPr>
          <w:rFonts w:ascii="Arial" w:cs="Arial" w:eastAsia="Arial" w:hAnsi="Arial"/>
          <w:sz w:val="17"/>
          <w:szCs w:val="17"/>
          <w:color w:val="auto"/>
        </w:rPr>
        <w:t xml:space="preserve"> to these consolidated financial statements.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F- 50</w:t>
      </w:r>
    </w:p>
    <w:p>
      <w:pPr>
        <w:sectPr>
          <w:pgSz w:w="11900" w:h="16838" w:orient="portrait"/>
          <w:cols w:equalWidth="0" w:num="1">
            <w:col w:w="11400"/>
          </w:cols>
          <w:pgMar w:left="240" w:top="139" w:right="259" w:bottom="1440" w:gutter="0" w:footer="0" w:header="0"/>
        </w:sectPr>
      </w:pPr>
    </w:p>
    <w:bookmarkStart w:id="152" w:name="page153"/>
    <w:bookmarkEnd w:id="1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Deferred Tax Assets and Liabilities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Significant components of our deferred tax assets and liabilities are summarized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6"/>
                <w:szCs w:val="16"/>
                <w:color w:val="auto"/>
              </w:rPr>
            </w:pPr>
          </w:p>
        </w:tc>
      </w:tr>
      <w:tr>
        <w:trPr>
          <w:trHeight w:val="249"/>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bottom w:val="single" w:sz="8" w:color="auto"/>
            </w:tcBorders>
            <w:shd w:val="clear" w:color="auto" w:fill="DDDDDD"/>
          </w:tcPr>
          <w:p>
            <w:pPr>
              <w:spacing w:after="0"/>
              <w:rPr>
                <w:sz w:val="21"/>
                <w:szCs w:val="21"/>
                <w:color w:val="auto"/>
              </w:rPr>
            </w:pPr>
          </w:p>
        </w:tc>
        <w:tc>
          <w:tcPr>
            <w:tcW w:w="1400" w:type="dxa"/>
            <w:vAlign w:val="bottom"/>
            <w:tcBorders>
              <w:bottom w:val="single" w:sz="8" w:color="auto"/>
            </w:tcBorders>
            <w:shd w:val="clear" w:color="auto" w:fill="DDDDDD"/>
          </w:tcPr>
          <w:p>
            <w:pPr>
              <w:jc w:val="right"/>
              <w:ind w:right="677"/>
              <w:spacing w:after="0"/>
              <w:rPr>
                <w:sz w:val="20"/>
                <w:szCs w:val="20"/>
                <w:color w:val="auto"/>
              </w:rPr>
            </w:pPr>
            <w:r>
              <w:rPr>
                <w:rFonts w:ascii="Arial" w:cs="Arial" w:eastAsia="Arial" w:hAnsi="Arial"/>
                <w:sz w:val="14"/>
                <w:szCs w:val="14"/>
                <w:b w:val="1"/>
                <w:bCs w:val="1"/>
                <w:color w:val="2573BA"/>
              </w:rPr>
              <w:t>2017</w:t>
            </w:r>
          </w:p>
        </w:tc>
        <w:tc>
          <w:tcPr>
            <w:tcW w:w="10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2016</w:t>
            </w:r>
          </w:p>
        </w:tc>
      </w:tr>
      <w:tr>
        <w:trPr>
          <w:trHeight w:val="228"/>
        </w:trPr>
        <w:tc>
          <w:tcPr>
            <w:tcW w:w="7640" w:type="dxa"/>
            <w:vAlign w:val="bottom"/>
          </w:tcPr>
          <w:p>
            <w:pPr>
              <w:ind w:left="20"/>
              <w:spacing w:after="0"/>
              <w:rPr>
                <w:sz w:val="20"/>
                <w:szCs w:val="20"/>
                <w:color w:val="auto"/>
              </w:rPr>
            </w:pPr>
            <w:r>
              <w:rPr>
                <w:rFonts w:ascii="Arial" w:cs="Arial" w:eastAsia="Arial" w:hAnsi="Arial"/>
                <w:sz w:val="17"/>
                <w:szCs w:val="17"/>
                <w:i w:val="1"/>
                <w:iCs w:val="1"/>
                <w:color w:val="auto"/>
              </w:rPr>
              <w:t>Deferred tax assets:</w:t>
            </w:r>
          </w:p>
        </w:tc>
        <w:tc>
          <w:tcPr>
            <w:tcW w:w="440" w:type="dxa"/>
            <w:vAlign w:val="bottom"/>
            <w:shd w:val="clear" w:color="auto" w:fill="DDDDDD"/>
          </w:tcPr>
          <w:p>
            <w:pPr>
              <w:spacing w:after="0"/>
              <w:rPr>
                <w:sz w:val="19"/>
                <w:szCs w:val="19"/>
                <w:color w:val="auto"/>
              </w:rPr>
            </w:pPr>
          </w:p>
        </w:tc>
        <w:tc>
          <w:tcPr>
            <w:tcW w:w="1400" w:type="dxa"/>
            <w:vAlign w:val="bottom"/>
            <w:shd w:val="clear" w:color="auto" w:fill="DDDDDD"/>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83"/>
        </w:trPr>
        <w:tc>
          <w:tcPr>
            <w:tcW w:w="7640" w:type="dxa"/>
            <w:vAlign w:val="bottom"/>
          </w:tcPr>
          <w:p>
            <w:pPr>
              <w:ind w:left="160"/>
              <w:spacing w:after="0"/>
              <w:rPr>
                <w:sz w:val="20"/>
                <w:szCs w:val="20"/>
                <w:color w:val="auto"/>
              </w:rPr>
            </w:pPr>
            <w:r>
              <w:rPr>
                <w:rFonts w:ascii="Arial" w:cs="Arial" w:eastAsia="Arial" w:hAnsi="Arial"/>
                <w:sz w:val="17"/>
                <w:szCs w:val="17"/>
                <w:color w:val="auto"/>
              </w:rPr>
              <w:t>Tax credits</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60.0</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201.1</w:t>
            </w:r>
          </w:p>
        </w:tc>
      </w:tr>
      <w:tr>
        <w:trPr>
          <w:trHeight w:val="242"/>
        </w:trPr>
        <w:tc>
          <w:tcPr>
            <w:tcW w:w="7640" w:type="dxa"/>
            <w:vAlign w:val="bottom"/>
          </w:tcPr>
          <w:p>
            <w:pPr>
              <w:ind w:left="160"/>
              <w:spacing w:after="0"/>
              <w:rPr>
                <w:sz w:val="20"/>
                <w:szCs w:val="20"/>
                <w:color w:val="auto"/>
              </w:rPr>
            </w:pPr>
            <w:r>
              <w:rPr>
                <w:rFonts w:ascii="Arial" w:cs="Arial" w:eastAsia="Arial" w:hAnsi="Arial"/>
                <w:sz w:val="17"/>
                <w:szCs w:val="17"/>
                <w:color w:val="auto"/>
              </w:rPr>
              <w:t>Inventory, other reserves and accruals</w:t>
            </w:r>
          </w:p>
        </w:tc>
        <w:tc>
          <w:tcPr>
            <w:tcW w:w="440" w:type="dxa"/>
            <w:vAlign w:val="bottom"/>
          </w:tcPr>
          <w:p>
            <w:pPr>
              <w:spacing w:after="0"/>
              <w:rPr>
                <w:sz w:val="21"/>
                <w:szCs w:val="21"/>
                <w:color w:val="auto"/>
              </w:rPr>
            </w:pPr>
          </w:p>
        </w:tc>
        <w:tc>
          <w:tcPr>
            <w:tcW w:w="1400" w:type="dxa"/>
            <w:vAlign w:val="bottom"/>
          </w:tcPr>
          <w:p>
            <w:pPr>
              <w:jc w:val="right"/>
              <w:ind w:right="17"/>
              <w:spacing w:after="0"/>
              <w:rPr>
                <w:sz w:val="20"/>
                <w:szCs w:val="20"/>
                <w:color w:val="auto"/>
              </w:rPr>
            </w:pPr>
            <w:r>
              <w:rPr>
                <w:rFonts w:ascii="Arial" w:cs="Arial" w:eastAsia="Arial" w:hAnsi="Arial"/>
                <w:sz w:val="17"/>
                <w:szCs w:val="17"/>
                <w:color w:val="2573BA"/>
              </w:rPr>
              <w:t>147.8</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250.6</w:t>
            </w:r>
          </w:p>
        </w:tc>
      </w:tr>
      <w:tr>
        <w:trPr>
          <w:trHeight w:val="256"/>
        </w:trPr>
        <w:tc>
          <w:tcPr>
            <w:tcW w:w="7640" w:type="dxa"/>
            <w:vAlign w:val="bottom"/>
          </w:tcPr>
          <w:p>
            <w:pPr>
              <w:ind w:left="160"/>
              <w:spacing w:after="0"/>
              <w:rPr>
                <w:sz w:val="20"/>
                <w:szCs w:val="20"/>
                <w:color w:val="auto"/>
              </w:rPr>
            </w:pPr>
            <w:r>
              <w:rPr>
                <w:rFonts w:ascii="Arial" w:cs="Arial" w:eastAsia="Arial" w:hAnsi="Arial"/>
                <w:sz w:val="17"/>
                <w:szCs w:val="17"/>
                <w:color w:val="auto"/>
              </w:rPr>
              <w:t>Intangibles, net</w:t>
            </w:r>
          </w:p>
        </w:tc>
        <w:tc>
          <w:tcPr>
            <w:tcW w:w="440" w:type="dxa"/>
            <w:vAlign w:val="bottom"/>
          </w:tcPr>
          <w:p>
            <w:pPr>
              <w:spacing w:after="0"/>
              <w:rPr>
                <w:sz w:val="22"/>
                <w:szCs w:val="22"/>
                <w:color w:val="auto"/>
              </w:rPr>
            </w:pPr>
          </w:p>
        </w:tc>
        <w:tc>
          <w:tcPr>
            <w:tcW w:w="1400" w:type="dxa"/>
            <w:vAlign w:val="bottom"/>
          </w:tcPr>
          <w:p>
            <w:pPr>
              <w:jc w:val="right"/>
              <w:ind w:right="17"/>
              <w:spacing w:after="0"/>
              <w:rPr>
                <w:sz w:val="20"/>
                <w:szCs w:val="20"/>
                <w:color w:val="auto"/>
              </w:rPr>
            </w:pPr>
            <w:r>
              <w:rPr>
                <w:rFonts w:ascii="Arial" w:cs="Arial" w:eastAsia="Arial" w:hAnsi="Arial"/>
                <w:sz w:val="17"/>
                <w:szCs w:val="17"/>
                <w:color w:val="2573BA"/>
              </w:rPr>
              <w:t>378.8</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459.8</w:t>
            </w:r>
          </w:p>
        </w:tc>
      </w:tr>
      <w:tr>
        <w:trPr>
          <w:trHeight w:val="256"/>
        </w:trPr>
        <w:tc>
          <w:tcPr>
            <w:tcW w:w="7640" w:type="dxa"/>
            <w:vAlign w:val="bottom"/>
          </w:tcPr>
          <w:p>
            <w:pPr>
              <w:ind w:left="160"/>
              <w:spacing w:after="0"/>
              <w:rPr>
                <w:sz w:val="20"/>
                <w:szCs w:val="20"/>
                <w:color w:val="auto"/>
              </w:rPr>
            </w:pPr>
            <w:r>
              <w:rPr>
                <w:rFonts w:ascii="Arial" w:cs="Arial" w:eastAsia="Arial" w:hAnsi="Arial"/>
                <w:sz w:val="17"/>
                <w:szCs w:val="17"/>
                <w:color w:val="auto"/>
              </w:rPr>
              <w:t>Net operating loss</w:t>
            </w:r>
          </w:p>
        </w:tc>
        <w:tc>
          <w:tcPr>
            <w:tcW w:w="440" w:type="dxa"/>
            <w:vAlign w:val="bottom"/>
          </w:tcPr>
          <w:p>
            <w:pPr>
              <w:spacing w:after="0"/>
              <w:rPr>
                <w:sz w:val="22"/>
                <w:szCs w:val="22"/>
                <w:color w:val="auto"/>
              </w:rPr>
            </w:pPr>
          </w:p>
        </w:tc>
        <w:tc>
          <w:tcPr>
            <w:tcW w:w="1400" w:type="dxa"/>
            <w:vAlign w:val="bottom"/>
          </w:tcPr>
          <w:p>
            <w:pPr>
              <w:jc w:val="right"/>
              <w:ind w:right="17"/>
              <w:spacing w:after="0"/>
              <w:rPr>
                <w:sz w:val="20"/>
                <w:szCs w:val="20"/>
                <w:color w:val="auto"/>
              </w:rPr>
            </w:pPr>
            <w:r>
              <w:rPr>
                <w:rFonts w:ascii="Arial" w:cs="Arial" w:eastAsia="Arial" w:hAnsi="Arial"/>
                <w:sz w:val="17"/>
                <w:szCs w:val="17"/>
                <w:color w:val="2573BA"/>
              </w:rPr>
              <w:t>209.8</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65.9</w:t>
            </w:r>
          </w:p>
        </w:tc>
      </w:tr>
      <w:tr>
        <w:trPr>
          <w:trHeight w:val="256"/>
        </w:trPr>
        <w:tc>
          <w:tcPr>
            <w:tcW w:w="7640" w:type="dxa"/>
            <w:vAlign w:val="bottom"/>
          </w:tcPr>
          <w:p>
            <w:pPr>
              <w:ind w:left="160"/>
              <w:spacing w:after="0"/>
              <w:rPr>
                <w:sz w:val="20"/>
                <w:szCs w:val="20"/>
                <w:color w:val="auto"/>
              </w:rPr>
            </w:pPr>
            <w:r>
              <w:rPr>
                <w:rFonts w:ascii="Arial" w:cs="Arial" w:eastAsia="Arial" w:hAnsi="Arial"/>
                <w:sz w:val="17"/>
                <w:szCs w:val="17"/>
                <w:color w:val="auto"/>
              </w:rPr>
              <w:t>Share-based compensation</w:t>
            </w:r>
          </w:p>
        </w:tc>
        <w:tc>
          <w:tcPr>
            <w:tcW w:w="440" w:type="dxa"/>
            <w:vAlign w:val="bottom"/>
          </w:tcPr>
          <w:p>
            <w:pPr>
              <w:spacing w:after="0"/>
              <w:rPr>
                <w:sz w:val="22"/>
                <w:szCs w:val="22"/>
                <w:color w:val="auto"/>
              </w:rPr>
            </w:pPr>
          </w:p>
        </w:tc>
        <w:tc>
          <w:tcPr>
            <w:tcW w:w="1400" w:type="dxa"/>
            <w:vAlign w:val="bottom"/>
          </w:tcPr>
          <w:p>
            <w:pPr>
              <w:jc w:val="right"/>
              <w:ind w:right="17"/>
              <w:spacing w:after="0"/>
              <w:rPr>
                <w:sz w:val="20"/>
                <w:szCs w:val="20"/>
                <w:color w:val="auto"/>
              </w:rPr>
            </w:pPr>
            <w:r>
              <w:rPr>
                <w:rFonts w:ascii="Arial" w:cs="Arial" w:eastAsia="Arial" w:hAnsi="Arial"/>
                <w:sz w:val="17"/>
                <w:szCs w:val="17"/>
                <w:color w:val="2573BA"/>
              </w:rPr>
              <w:t>26.9</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61.5</w:t>
            </w:r>
          </w:p>
        </w:tc>
      </w:tr>
      <w:tr>
        <w:trPr>
          <w:trHeight w:val="256"/>
        </w:trPr>
        <w:tc>
          <w:tcPr>
            <w:tcW w:w="7640" w:type="dxa"/>
            <w:vAlign w:val="bottom"/>
          </w:tcPr>
          <w:p>
            <w:pPr>
              <w:ind w:left="160"/>
              <w:spacing w:after="0"/>
              <w:rPr>
                <w:sz w:val="20"/>
                <w:szCs w:val="20"/>
                <w:color w:val="auto"/>
              </w:rPr>
            </w:pPr>
            <w:r>
              <w:rPr>
                <w:rFonts w:ascii="Arial" w:cs="Arial" w:eastAsia="Arial" w:hAnsi="Arial"/>
                <w:sz w:val="17"/>
                <w:szCs w:val="17"/>
                <w:color w:val="auto"/>
              </w:rPr>
              <w:t>Other</w:t>
            </w:r>
          </w:p>
        </w:tc>
        <w:tc>
          <w:tcPr>
            <w:tcW w:w="440" w:type="dxa"/>
            <w:vAlign w:val="bottom"/>
          </w:tcPr>
          <w:p>
            <w:pPr>
              <w:spacing w:after="0"/>
              <w:rPr>
                <w:sz w:val="22"/>
                <w:szCs w:val="22"/>
                <w:color w:val="auto"/>
              </w:rPr>
            </w:pPr>
          </w:p>
        </w:tc>
        <w:tc>
          <w:tcPr>
            <w:tcW w:w="1400" w:type="dxa"/>
            <w:vAlign w:val="bottom"/>
          </w:tcPr>
          <w:p>
            <w:pPr>
              <w:jc w:val="right"/>
              <w:ind w:right="17"/>
              <w:spacing w:after="0"/>
              <w:rPr>
                <w:sz w:val="20"/>
                <w:szCs w:val="20"/>
                <w:color w:val="auto"/>
              </w:rPr>
            </w:pPr>
            <w:r>
              <w:rPr>
                <w:rFonts w:ascii="Arial" w:cs="Arial" w:eastAsia="Arial" w:hAnsi="Arial"/>
                <w:sz w:val="17"/>
                <w:szCs w:val="17"/>
                <w:color w:val="2573BA"/>
              </w:rPr>
              <w:t>25.1</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49.0</w:t>
            </w:r>
          </w:p>
        </w:tc>
      </w:tr>
      <w:tr>
        <w:trPr>
          <w:trHeight w:val="263"/>
        </w:trPr>
        <w:tc>
          <w:tcPr>
            <w:tcW w:w="7640" w:type="dxa"/>
            <w:vAlign w:val="bottom"/>
          </w:tcPr>
          <w:p>
            <w:pPr>
              <w:ind w:left="160"/>
              <w:spacing w:after="0"/>
              <w:rPr>
                <w:sz w:val="20"/>
                <w:szCs w:val="20"/>
                <w:color w:val="auto"/>
              </w:rPr>
            </w:pPr>
            <w:r>
              <w:rPr>
                <w:rFonts w:ascii="Arial" w:cs="Arial" w:eastAsia="Arial" w:hAnsi="Arial"/>
                <w:sz w:val="17"/>
                <w:szCs w:val="17"/>
                <w:color w:val="auto"/>
              </w:rPr>
              <w:t>Valuation allowance</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(16.6)</w:t>
            </w:r>
          </w:p>
        </w:tc>
        <w:tc>
          <w:tcPr>
            <w:tcW w:w="10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w:t>
            </w:r>
          </w:p>
        </w:tc>
      </w:tr>
      <w:tr>
        <w:trPr>
          <w:trHeight w:val="276"/>
        </w:trPr>
        <w:tc>
          <w:tcPr>
            <w:tcW w:w="7640" w:type="dxa"/>
            <w:vAlign w:val="bottom"/>
          </w:tcPr>
          <w:p>
            <w:pPr>
              <w:ind w:left="360"/>
              <w:spacing w:after="0"/>
              <w:rPr>
                <w:sz w:val="20"/>
                <w:szCs w:val="20"/>
                <w:color w:val="auto"/>
              </w:rPr>
            </w:pPr>
            <w:r>
              <w:rPr>
                <w:rFonts w:ascii="Arial" w:cs="Arial" w:eastAsia="Arial" w:hAnsi="Arial"/>
                <w:sz w:val="17"/>
                <w:szCs w:val="17"/>
                <w:color w:val="auto"/>
              </w:rPr>
              <w:t>Total deferred tax assets</w:t>
            </w:r>
          </w:p>
        </w:tc>
        <w:tc>
          <w:tcPr>
            <w:tcW w:w="440" w:type="dxa"/>
            <w:vAlign w:val="bottom"/>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tcPr>
          <w:p>
            <w:pPr>
              <w:jc w:val="right"/>
              <w:ind w:right="17"/>
              <w:spacing w:after="0"/>
              <w:rPr>
                <w:sz w:val="20"/>
                <w:szCs w:val="20"/>
                <w:color w:val="auto"/>
              </w:rPr>
            </w:pPr>
            <w:r>
              <w:rPr>
                <w:rFonts w:ascii="Arial" w:cs="Arial" w:eastAsia="Arial" w:hAnsi="Arial"/>
                <w:sz w:val="17"/>
                <w:szCs w:val="17"/>
                <w:color w:val="2573BA"/>
              </w:rPr>
              <w:t>831.8</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1,071.8</w:t>
            </w:r>
          </w:p>
        </w:tc>
      </w:tr>
      <w:tr>
        <w:trPr>
          <w:trHeight w:val="189"/>
        </w:trPr>
        <w:tc>
          <w:tcPr>
            <w:tcW w:w="7640" w:type="dxa"/>
            <w:vAlign w:val="bottom"/>
          </w:tcPr>
          <w:p>
            <w:pPr>
              <w:ind w:left="20"/>
              <w:spacing w:after="0" w:line="189" w:lineRule="exact"/>
              <w:rPr>
                <w:sz w:val="20"/>
                <w:szCs w:val="20"/>
                <w:color w:val="auto"/>
              </w:rPr>
            </w:pPr>
            <w:r>
              <w:rPr>
                <w:rFonts w:ascii="Arial" w:cs="Arial" w:eastAsia="Arial" w:hAnsi="Arial"/>
                <w:sz w:val="17"/>
                <w:szCs w:val="17"/>
                <w:i w:val="1"/>
                <w:iCs w:val="1"/>
                <w:color w:val="auto"/>
              </w:rPr>
              <w:t>Deferred tax liabilities:</w:t>
            </w:r>
          </w:p>
        </w:tc>
        <w:tc>
          <w:tcPr>
            <w:tcW w:w="440" w:type="dxa"/>
            <w:vAlign w:val="bottom"/>
            <w:tcBorders>
              <w:top w:val="single" w:sz="8" w:color="auto"/>
            </w:tcBorders>
            <w:shd w:val="clear" w:color="auto" w:fill="DDDDDD"/>
          </w:tcPr>
          <w:p>
            <w:pPr>
              <w:spacing w:after="0"/>
              <w:rPr>
                <w:sz w:val="16"/>
                <w:szCs w:val="16"/>
                <w:color w:val="auto"/>
              </w:rPr>
            </w:pPr>
          </w:p>
        </w:tc>
        <w:tc>
          <w:tcPr>
            <w:tcW w:w="1400" w:type="dxa"/>
            <w:vAlign w:val="bottom"/>
            <w:tcBorders>
              <w:top w:val="single" w:sz="8" w:color="auto"/>
            </w:tcBorders>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r>
      <w:tr>
        <w:trPr>
          <w:trHeight w:val="309"/>
        </w:trPr>
        <w:tc>
          <w:tcPr>
            <w:tcW w:w="7640" w:type="dxa"/>
            <w:vAlign w:val="bottom"/>
          </w:tcPr>
          <w:p>
            <w:pPr>
              <w:ind w:left="160"/>
              <w:spacing w:after="0"/>
              <w:rPr>
                <w:sz w:val="20"/>
                <w:szCs w:val="20"/>
                <w:color w:val="auto"/>
              </w:rPr>
            </w:pPr>
            <w:r>
              <w:rPr>
                <w:rFonts w:ascii="Arial" w:cs="Arial" w:eastAsia="Arial" w:hAnsi="Arial"/>
                <w:sz w:val="17"/>
                <w:szCs w:val="17"/>
                <w:color w:val="auto"/>
              </w:rPr>
              <w:t>Purchased intangible assets</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(250.7)</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(376.6)</w:t>
            </w:r>
          </w:p>
        </w:tc>
      </w:tr>
      <w:tr>
        <w:trPr>
          <w:trHeight w:val="249"/>
        </w:trPr>
        <w:tc>
          <w:tcPr>
            <w:tcW w:w="7640" w:type="dxa"/>
            <w:vAlign w:val="bottom"/>
          </w:tcPr>
          <w:p>
            <w:pPr>
              <w:ind w:left="160"/>
              <w:spacing w:after="0"/>
              <w:rPr>
                <w:sz w:val="20"/>
                <w:szCs w:val="20"/>
                <w:color w:val="auto"/>
              </w:rPr>
            </w:pPr>
            <w:r>
              <w:rPr>
                <w:rFonts w:ascii="Arial" w:cs="Arial" w:eastAsia="Arial" w:hAnsi="Arial"/>
                <w:sz w:val="17"/>
                <w:szCs w:val="17"/>
                <w:color w:val="auto"/>
              </w:rPr>
              <w:t>Depreciation, amortization and other</w:t>
            </w:r>
          </w:p>
        </w:tc>
        <w:tc>
          <w:tcPr>
            <w:tcW w:w="4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(107.9)</w:t>
            </w:r>
          </w:p>
        </w:tc>
        <w:tc>
          <w:tcPr>
            <w:tcW w:w="10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(113.5)</w:t>
            </w:r>
          </w:p>
        </w:tc>
      </w:tr>
      <w:tr>
        <w:trPr>
          <w:trHeight w:val="236"/>
        </w:trPr>
        <w:tc>
          <w:tcPr>
            <w:tcW w:w="7640" w:type="dxa"/>
            <w:vAlign w:val="bottom"/>
          </w:tcPr>
          <w:p>
            <w:pPr>
              <w:ind w:left="360"/>
              <w:spacing w:after="0"/>
              <w:rPr>
                <w:sz w:val="20"/>
                <w:szCs w:val="20"/>
                <w:color w:val="auto"/>
              </w:rPr>
            </w:pPr>
            <w:r>
              <w:rPr>
                <w:rFonts w:ascii="Arial" w:cs="Arial" w:eastAsia="Arial" w:hAnsi="Arial"/>
                <w:sz w:val="17"/>
                <w:szCs w:val="17"/>
                <w:color w:val="auto"/>
              </w:rPr>
              <w:t>Total deferred tax liabilities</w:t>
            </w:r>
          </w:p>
        </w:tc>
        <w:tc>
          <w:tcPr>
            <w:tcW w:w="440" w:type="dxa"/>
            <w:vAlign w:val="bottom"/>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tcPr>
          <w:p>
            <w:pPr>
              <w:jc w:val="right"/>
              <w:spacing w:after="0"/>
              <w:rPr>
                <w:sz w:val="20"/>
                <w:szCs w:val="20"/>
                <w:color w:val="auto"/>
              </w:rPr>
            </w:pPr>
            <w:r>
              <w:rPr>
                <w:rFonts w:ascii="Arial" w:cs="Arial" w:eastAsia="Arial" w:hAnsi="Arial"/>
                <w:sz w:val="17"/>
                <w:szCs w:val="17"/>
                <w:color w:val="2573BA"/>
              </w:rPr>
              <w:t>(358.6)</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(490.1)</w:t>
            </w:r>
          </w:p>
        </w:tc>
      </w:tr>
      <w:tr>
        <w:trPr>
          <w:trHeight w:val="20"/>
        </w:trPr>
        <w:tc>
          <w:tcPr>
            <w:tcW w:w="76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4856480</wp:posOffset>
            </wp:positionH>
            <wp:positionV relativeFrom="paragraph">
              <wp:posOffset>-1999615</wp:posOffset>
            </wp:positionV>
            <wp:extent cx="1162685" cy="19843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3">
                      <a:extLst>
                        <a:ext uri="{28A0092B-C50C-407E-A947-70E740481C1C}"/>
                      </a:extLst>
                    </a:blip>
                    <a:srcRect/>
                    <a:stretch>
                      <a:fillRect/>
                    </a:stretch>
                  </pic:blipFill>
                  <pic:spPr bwMode="auto">
                    <a:xfrm>
                      <a:off x="0" y="0"/>
                      <a:ext cx="1162685" cy="1984375"/>
                    </a:xfrm>
                    <a:prstGeom prst="rect">
                      <a:avLst/>
                    </a:prstGeom>
                    <a:noFill/>
                  </pic:spPr>
                </pic:pic>
              </a:graphicData>
            </a:graphic>
          </wp:anchor>
        </w:drawing>
      </w:r>
    </w:p>
    <w:p>
      <w:pPr>
        <w:spacing w:after="0" w:line="133" w:lineRule="exact"/>
        <w:rPr>
          <w:sz w:val="20"/>
          <w:szCs w:val="20"/>
          <w:color w:val="auto"/>
        </w:rPr>
      </w:pPr>
    </w:p>
    <w:p>
      <w:pPr>
        <w:ind w:right="200" w:firstLine="410"/>
        <w:spacing w:after="0" w:line="262" w:lineRule="auto"/>
        <w:rPr>
          <w:sz w:val="20"/>
          <w:szCs w:val="20"/>
          <w:color w:val="auto"/>
        </w:rPr>
      </w:pPr>
      <w:r>
        <w:rPr>
          <w:rFonts w:ascii="Arial" w:cs="Arial" w:eastAsia="Arial" w:hAnsi="Arial"/>
          <w:sz w:val="17"/>
          <w:szCs w:val="17"/>
          <w:color w:val="auto"/>
        </w:rPr>
        <w:t>In addition to deferred tax assets and liabilities, we have recorded prepaid tax and deferred charges related to intercompany transactions. As of December 31, 2017 and 2016, the total deferred charges and prepaid taxes were $617.7 million and $989.8 million, respectively.</w:t>
      </w:r>
    </w:p>
    <w:p>
      <w:pPr>
        <w:spacing w:after="0" w:line="119" w:lineRule="exact"/>
        <w:rPr>
          <w:sz w:val="20"/>
          <w:szCs w:val="20"/>
          <w:color w:val="auto"/>
        </w:rPr>
      </w:pPr>
    </w:p>
    <w:p>
      <w:pPr>
        <w:ind w:right="40" w:firstLine="410"/>
        <w:spacing w:after="0" w:line="268" w:lineRule="auto"/>
        <w:rPr>
          <w:sz w:val="20"/>
          <w:szCs w:val="20"/>
          <w:color w:val="auto"/>
        </w:rPr>
      </w:pPr>
      <w:r>
        <w:rPr>
          <w:rFonts w:ascii="Arial" w:cs="Arial" w:eastAsia="Arial" w:hAnsi="Arial"/>
          <w:sz w:val="17"/>
          <w:szCs w:val="17"/>
          <w:color w:val="auto"/>
        </w:rPr>
        <w:t xml:space="preserve">In October 2016 the FASB issued ASU No. 2016-16, </w:t>
      </w:r>
      <w:r>
        <w:rPr>
          <w:rFonts w:ascii="Arial" w:cs="Arial" w:eastAsia="Arial" w:hAnsi="Arial"/>
          <w:sz w:val="17"/>
          <w:szCs w:val="17"/>
          <w:i w:val="1"/>
          <w:iCs w:val="1"/>
          <w:color w:val="auto"/>
        </w:rPr>
        <w:t>Income Taxes (Topic 740): Intra-Entity Transfer of Assets Other Than Inventory</w:t>
      </w:r>
      <w:r>
        <w:rPr>
          <w:rFonts w:ascii="Arial" w:cs="Arial" w:eastAsia="Arial" w:hAnsi="Arial"/>
          <w:sz w:val="17"/>
          <w:szCs w:val="17"/>
          <w:color w:val="auto"/>
        </w:rPr>
        <w:t>. This new standard eliminates the deferral of the tax effects of intra-entity asset transfers other than inventory. As a result, the income tax consequences from the intra-entity transfer of an asset other than inventory and associated changes to deferred taxes will be recognized when the transfer occurs.</w:t>
      </w:r>
    </w:p>
    <w:p>
      <w:pPr>
        <w:spacing w:after="0" w:line="132" w:lineRule="exact"/>
        <w:rPr>
          <w:sz w:val="20"/>
          <w:szCs w:val="20"/>
          <w:color w:val="auto"/>
        </w:rPr>
      </w:pPr>
    </w:p>
    <w:p>
      <w:pPr>
        <w:ind w:right="160" w:firstLine="410"/>
        <w:spacing w:after="0" w:line="255" w:lineRule="auto"/>
        <w:rPr>
          <w:sz w:val="20"/>
          <w:szCs w:val="20"/>
          <w:color w:val="auto"/>
        </w:rPr>
      </w:pPr>
      <w:r>
        <w:rPr>
          <w:rFonts w:ascii="Arial" w:cs="Arial" w:eastAsia="Arial" w:hAnsi="Arial"/>
          <w:sz w:val="17"/>
          <w:szCs w:val="17"/>
          <w:color w:val="auto"/>
        </w:rPr>
        <w:t>This new standard becomes effective for us on January 1, 2018. We will adopt this standard using the modified retrospective method, through a cumulative-effect adjustment directly to retained earnings as of that date. Based on currently enacted tax rates, upon adoption in 2018, we will record additional deferred tax assets of approximately $0.5 billion and an increase to retained earnings of approximately $0.5 billion. We will recognize incremental deferred income tax expense thereafter as these net deferred tax assets are utilized.</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Tax Rate</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 reconciliation between the U.S. federal statutory tax rate and our effective tax rate is summarized as follows: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60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For the Years Ended December 31,</w:t>
            </w:r>
          </w:p>
        </w:tc>
        <w:tc>
          <w:tcPr>
            <w:tcW w:w="1300" w:type="dxa"/>
            <w:vAlign w:val="bottom"/>
            <w:tcBorders>
              <w:bottom w:val="single" w:sz="8" w:color="auto"/>
            </w:tcBorders>
          </w:tcPr>
          <w:p>
            <w:pPr>
              <w:spacing w:after="0"/>
              <w:rPr>
                <w:sz w:val="16"/>
                <w:szCs w:val="16"/>
                <w:color w:val="auto"/>
              </w:rPr>
            </w:pPr>
          </w:p>
        </w:tc>
      </w:tr>
      <w:tr>
        <w:trPr>
          <w:trHeight w:val="247"/>
        </w:trPr>
        <w:tc>
          <w:tcPr>
            <w:tcW w:w="6020" w:type="dxa"/>
            <w:vAlign w:val="bottom"/>
          </w:tcPr>
          <w:p>
            <w:pPr>
              <w:spacing w:after="0"/>
              <w:rPr>
                <w:sz w:val="21"/>
                <w:szCs w:val="21"/>
                <w:color w:val="auto"/>
              </w:rPr>
            </w:pPr>
          </w:p>
        </w:tc>
        <w:tc>
          <w:tcPr>
            <w:tcW w:w="10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b w:val="1"/>
                <w:bCs w:val="1"/>
                <w:color w:val="2573BA"/>
              </w:rPr>
              <w:t>2017</w:t>
            </w:r>
          </w:p>
        </w:tc>
        <w:tc>
          <w:tcPr>
            <w:tcW w:w="420" w:type="dxa"/>
            <w:vAlign w:val="bottom"/>
            <w:tcBorders>
              <w:bottom w:val="single" w:sz="8" w:color="auto"/>
            </w:tcBorders>
            <w:shd w:val="clear" w:color="auto" w:fill="DDDDDD"/>
          </w:tcPr>
          <w:p>
            <w:pPr>
              <w:spacing w:after="0"/>
              <w:rPr>
                <w:sz w:val="21"/>
                <w:szCs w:val="21"/>
                <w:color w:val="auto"/>
              </w:rPr>
            </w:pPr>
          </w:p>
        </w:tc>
        <w:tc>
          <w:tcPr>
            <w:tcW w:w="220" w:type="dxa"/>
            <w:vAlign w:val="bottom"/>
            <w:tcBorders>
              <w:bottom w:val="single" w:sz="8" w:color="auto"/>
            </w:tcBorders>
            <w:shd w:val="clear" w:color="auto" w:fill="DDDDDD"/>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2015</w:t>
            </w:r>
          </w:p>
        </w:tc>
      </w:tr>
      <w:tr>
        <w:trPr>
          <w:trHeight w:val="243"/>
        </w:trPr>
        <w:tc>
          <w:tcPr>
            <w:tcW w:w="6020" w:type="dxa"/>
            <w:vAlign w:val="bottom"/>
          </w:tcPr>
          <w:p>
            <w:pPr>
              <w:spacing w:after="0"/>
              <w:rPr>
                <w:sz w:val="20"/>
                <w:szCs w:val="20"/>
                <w:color w:val="auto"/>
              </w:rPr>
            </w:pPr>
            <w:r>
              <w:rPr>
                <w:rFonts w:ascii="Arial" w:cs="Arial" w:eastAsia="Arial" w:hAnsi="Arial"/>
                <w:sz w:val="17"/>
                <w:szCs w:val="17"/>
                <w:color w:val="auto"/>
              </w:rPr>
              <w:t>Statutory rate</w:t>
            </w:r>
          </w:p>
        </w:tc>
        <w:tc>
          <w:tcPr>
            <w:tcW w:w="1040" w:type="dxa"/>
            <w:vAlign w:val="bottom"/>
            <w:shd w:val="clear" w:color="auto" w:fill="DDDDDD"/>
          </w:tcPr>
          <w:p>
            <w:pPr>
              <w:spacing w:after="0"/>
              <w:rPr>
                <w:sz w:val="21"/>
                <w:szCs w:val="21"/>
                <w:color w:val="auto"/>
              </w:rPr>
            </w:pPr>
          </w:p>
        </w:tc>
        <w:tc>
          <w:tcPr>
            <w:tcW w:w="4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35.0</w:t>
            </w:r>
          </w:p>
        </w:tc>
        <w:tc>
          <w:tcPr>
            <w:tcW w:w="2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35.0 %</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35.0 %</w:t>
            </w:r>
          </w:p>
        </w:tc>
      </w:tr>
      <w:tr>
        <w:trPr>
          <w:trHeight w:val="242"/>
        </w:trPr>
        <w:tc>
          <w:tcPr>
            <w:tcW w:w="6020" w:type="dxa"/>
            <w:vAlign w:val="bottom"/>
          </w:tcPr>
          <w:p>
            <w:pPr>
              <w:spacing w:after="0"/>
              <w:rPr>
                <w:sz w:val="20"/>
                <w:szCs w:val="20"/>
                <w:color w:val="auto"/>
              </w:rPr>
            </w:pPr>
            <w:r>
              <w:rPr>
                <w:rFonts w:ascii="Arial" w:cs="Arial" w:eastAsia="Arial" w:hAnsi="Arial"/>
                <w:sz w:val="17"/>
                <w:szCs w:val="17"/>
                <w:color w:val="auto"/>
              </w:rPr>
              <w:t>State taxes</w:t>
            </w:r>
          </w:p>
        </w:tc>
        <w:tc>
          <w:tcPr>
            <w:tcW w:w="10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2573BA"/>
              </w:rPr>
              <w:t>0.8</w:t>
            </w:r>
          </w:p>
        </w:tc>
        <w:tc>
          <w:tcPr>
            <w:tcW w:w="220" w:type="dxa"/>
            <w:vAlign w:val="bottom"/>
          </w:tcPr>
          <w:p>
            <w:pPr>
              <w:spacing w:after="0"/>
              <w:rPr>
                <w:sz w:val="21"/>
                <w:szCs w:val="21"/>
                <w:color w:val="auto"/>
              </w:rPr>
            </w:pPr>
          </w:p>
        </w:tc>
        <w:tc>
          <w:tcPr>
            <w:tcW w:w="1780" w:type="dxa"/>
            <w:vAlign w:val="bottom"/>
            <w:gridSpan w:val="2"/>
          </w:tcPr>
          <w:p>
            <w:pPr>
              <w:jc w:val="right"/>
              <w:ind w:right="138"/>
              <w:spacing w:after="0"/>
              <w:rPr>
                <w:sz w:val="20"/>
                <w:szCs w:val="20"/>
                <w:color w:val="auto"/>
              </w:rPr>
            </w:pPr>
            <w:r>
              <w:rPr>
                <w:rFonts w:ascii="Arial" w:cs="Arial" w:eastAsia="Arial" w:hAnsi="Arial"/>
                <w:sz w:val="17"/>
                <w:szCs w:val="17"/>
                <w:color w:val="auto"/>
              </w:rPr>
              <w:t>0.9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00" w:type="dxa"/>
            <w:vAlign w:val="bottom"/>
          </w:tcPr>
          <w:p>
            <w:pPr>
              <w:jc w:val="right"/>
              <w:ind w:right="156"/>
              <w:spacing w:after="0"/>
              <w:rPr>
                <w:sz w:val="20"/>
                <w:szCs w:val="20"/>
                <w:color w:val="auto"/>
              </w:rPr>
            </w:pPr>
            <w:r>
              <w:rPr>
                <w:rFonts w:ascii="Arial" w:cs="Arial" w:eastAsia="Arial" w:hAnsi="Arial"/>
                <w:sz w:val="17"/>
                <w:szCs w:val="17"/>
                <w:color w:val="auto"/>
              </w:rPr>
              <w:t>0.5</w:t>
            </w:r>
          </w:p>
        </w:tc>
      </w:tr>
      <w:tr>
        <w:trPr>
          <w:trHeight w:val="256"/>
        </w:trPr>
        <w:tc>
          <w:tcPr>
            <w:tcW w:w="6020" w:type="dxa"/>
            <w:vAlign w:val="bottom"/>
          </w:tcPr>
          <w:p>
            <w:pPr>
              <w:spacing w:after="0"/>
              <w:rPr>
                <w:sz w:val="20"/>
                <w:szCs w:val="20"/>
                <w:color w:val="auto"/>
              </w:rPr>
            </w:pPr>
            <w:r>
              <w:rPr>
                <w:rFonts w:ascii="Arial" w:cs="Arial" w:eastAsia="Arial" w:hAnsi="Arial"/>
                <w:sz w:val="17"/>
                <w:szCs w:val="17"/>
                <w:color w:val="auto"/>
              </w:rPr>
              <w:t>Taxes on foreign earnings</w:t>
            </w:r>
          </w:p>
        </w:tc>
        <w:tc>
          <w:tcPr>
            <w:tcW w:w="1040" w:type="dxa"/>
            <w:vAlign w:val="bottom"/>
          </w:tcPr>
          <w:p>
            <w:pPr>
              <w:spacing w:after="0"/>
              <w:rPr>
                <w:sz w:val="22"/>
                <w:szCs w:val="22"/>
                <w:color w:val="auto"/>
              </w:rPr>
            </w:pPr>
          </w:p>
        </w:tc>
        <w:tc>
          <w:tcPr>
            <w:tcW w:w="640" w:type="dxa"/>
            <w:vAlign w:val="bottom"/>
            <w:gridSpan w:val="2"/>
          </w:tcPr>
          <w:p>
            <w:pPr>
              <w:jc w:val="right"/>
              <w:ind w:right="83"/>
              <w:spacing w:after="0"/>
              <w:rPr>
                <w:sz w:val="20"/>
                <w:szCs w:val="20"/>
                <w:color w:val="auto"/>
              </w:rPr>
            </w:pPr>
            <w:r>
              <w:rPr>
                <w:rFonts w:ascii="Arial" w:cs="Arial" w:eastAsia="Arial" w:hAnsi="Arial"/>
                <w:sz w:val="17"/>
                <w:szCs w:val="17"/>
                <w:color w:val="2573BA"/>
              </w:rPr>
              <w:t>(11.1)</w:t>
            </w:r>
          </w:p>
        </w:tc>
        <w:tc>
          <w:tcPr>
            <w:tcW w:w="1780" w:type="dxa"/>
            <w:vAlign w:val="bottom"/>
            <w:gridSpan w:val="2"/>
          </w:tcPr>
          <w:p>
            <w:pPr>
              <w:jc w:val="right"/>
              <w:ind w:right="78"/>
              <w:spacing w:after="0"/>
              <w:rPr>
                <w:sz w:val="20"/>
                <w:szCs w:val="20"/>
                <w:color w:val="auto"/>
              </w:rPr>
            </w:pPr>
            <w:r>
              <w:rPr>
                <w:rFonts w:ascii="Arial" w:cs="Arial" w:eastAsia="Arial" w:hAnsi="Arial"/>
                <w:sz w:val="17"/>
                <w:szCs w:val="17"/>
                <w:color w:val="auto"/>
              </w:rPr>
              <w:t>(9.6)</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00" w:type="dxa"/>
            <w:vAlign w:val="bottom"/>
          </w:tcPr>
          <w:p>
            <w:pPr>
              <w:jc w:val="right"/>
              <w:ind w:right="96"/>
              <w:spacing w:after="0"/>
              <w:rPr>
                <w:sz w:val="20"/>
                <w:szCs w:val="20"/>
                <w:color w:val="auto"/>
              </w:rPr>
            </w:pPr>
            <w:r>
              <w:rPr>
                <w:rFonts w:ascii="Arial" w:cs="Arial" w:eastAsia="Arial" w:hAnsi="Arial"/>
                <w:sz w:val="17"/>
                <w:szCs w:val="17"/>
                <w:color w:val="auto"/>
              </w:rPr>
              <w:t>(10.0)</w:t>
            </w:r>
          </w:p>
        </w:tc>
      </w:tr>
      <w:tr>
        <w:trPr>
          <w:trHeight w:val="256"/>
        </w:trPr>
        <w:tc>
          <w:tcPr>
            <w:tcW w:w="6020" w:type="dxa"/>
            <w:vAlign w:val="bottom"/>
          </w:tcPr>
          <w:p>
            <w:pPr>
              <w:spacing w:after="0"/>
              <w:rPr>
                <w:sz w:val="20"/>
                <w:szCs w:val="20"/>
                <w:color w:val="auto"/>
              </w:rPr>
            </w:pPr>
            <w:r>
              <w:rPr>
                <w:rFonts w:ascii="Arial" w:cs="Arial" w:eastAsia="Arial" w:hAnsi="Arial"/>
                <w:sz w:val="17"/>
                <w:szCs w:val="17"/>
                <w:color w:val="auto"/>
              </w:rPr>
              <w:t>Credits and net operating loss utilization</w:t>
            </w:r>
          </w:p>
        </w:tc>
        <w:tc>
          <w:tcPr>
            <w:tcW w:w="1040" w:type="dxa"/>
            <w:vAlign w:val="bottom"/>
          </w:tcPr>
          <w:p>
            <w:pPr>
              <w:spacing w:after="0"/>
              <w:rPr>
                <w:sz w:val="22"/>
                <w:szCs w:val="22"/>
                <w:color w:val="auto"/>
              </w:rPr>
            </w:pPr>
          </w:p>
        </w:tc>
        <w:tc>
          <w:tcPr>
            <w:tcW w:w="640" w:type="dxa"/>
            <w:vAlign w:val="bottom"/>
            <w:gridSpan w:val="2"/>
          </w:tcPr>
          <w:p>
            <w:pPr>
              <w:jc w:val="right"/>
              <w:ind w:right="83"/>
              <w:spacing w:after="0"/>
              <w:rPr>
                <w:sz w:val="20"/>
                <w:szCs w:val="20"/>
                <w:color w:val="auto"/>
              </w:rPr>
            </w:pPr>
            <w:r>
              <w:rPr>
                <w:rFonts w:ascii="Arial" w:cs="Arial" w:eastAsia="Arial" w:hAnsi="Arial"/>
                <w:sz w:val="17"/>
                <w:szCs w:val="17"/>
                <w:color w:val="2573BA"/>
              </w:rPr>
              <w:t>(0.8)</w:t>
            </w:r>
          </w:p>
        </w:tc>
        <w:tc>
          <w:tcPr>
            <w:tcW w:w="1780" w:type="dxa"/>
            <w:vAlign w:val="bottom"/>
            <w:gridSpan w:val="2"/>
          </w:tcPr>
          <w:p>
            <w:pPr>
              <w:jc w:val="right"/>
              <w:ind w:right="78"/>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00" w:type="dxa"/>
            <w:vAlign w:val="bottom"/>
          </w:tcPr>
          <w:p>
            <w:pPr>
              <w:jc w:val="right"/>
              <w:ind w:right="96"/>
              <w:spacing w:after="0"/>
              <w:rPr>
                <w:sz w:val="20"/>
                <w:szCs w:val="20"/>
                <w:color w:val="auto"/>
              </w:rPr>
            </w:pPr>
            <w:r>
              <w:rPr>
                <w:rFonts w:ascii="Arial" w:cs="Arial" w:eastAsia="Arial" w:hAnsi="Arial"/>
                <w:sz w:val="17"/>
                <w:szCs w:val="17"/>
                <w:color w:val="auto"/>
              </w:rPr>
              <w:t>(1.3)</w:t>
            </w:r>
          </w:p>
        </w:tc>
      </w:tr>
      <w:tr>
        <w:trPr>
          <w:trHeight w:val="256"/>
        </w:trPr>
        <w:tc>
          <w:tcPr>
            <w:tcW w:w="6020" w:type="dxa"/>
            <w:vAlign w:val="bottom"/>
          </w:tcPr>
          <w:p>
            <w:pPr>
              <w:spacing w:after="0"/>
              <w:rPr>
                <w:sz w:val="20"/>
                <w:szCs w:val="20"/>
                <w:color w:val="auto"/>
              </w:rPr>
            </w:pPr>
            <w:r>
              <w:rPr>
                <w:rFonts w:ascii="Arial" w:cs="Arial" w:eastAsia="Arial" w:hAnsi="Arial"/>
                <w:sz w:val="17"/>
                <w:szCs w:val="17"/>
                <w:color w:val="auto"/>
              </w:rPr>
              <w:t>Purchased intangible assets</w:t>
            </w:r>
          </w:p>
        </w:tc>
        <w:tc>
          <w:tcPr>
            <w:tcW w:w="1040" w:type="dxa"/>
            <w:vAlign w:val="bottom"/>
          </w:tcPr>
          <w:p>
            <w:pPr>
              <w:spacing w:after="0"/>
              <w:rPr>
                <w:sz w:val="22"/>
                <w:szCs w:val="22"/>
                <w:color w:val="auto"/>
              </w:rPr>
            </w:pPr>
          </w:p>
        </w:tc>
        <w:tc>
          <w:tcPr>
            <w:tcW w:w="640" w:type="dxa"/>
            <w:vAlign w:val="bottom"/>
            <w:gridSpan w:val="2"/>
          </w:tcPr>
          <w:p>
            <w:pPr>
              <w:jc w:val="right"/>
              <w:ind w:right="143"/>
              <w:spacing w:after="0"/>
              <w:rPr>
                <w:sz w:val="20"/>
                <w:szCs w:val="20"/>
                <w:color w:val="auto"/>
              </w:rPr>
            </w:pPr>
            <w:r>
              <w:rPr>
                <w:rFonts w:ascii="Arial" w:cs="Arial" w:eastAsia="Arial" w:hAnsi="Arial"/>
                <w:sz w:val="17"/>
                <w:szCs w:val="17"/>
                <w:color w:val="2573BA"/>
              </w:rPr>
              <w:t>1.4</w:t>
            </w:r>
          </w:p>
        </w:tc>
        <w:tc>
          <w:tcPr>
            <w:tcW w:w="1780" w:type="dxa"/>
            <w:vAlign w:val="bottom"/>
            <w:gridSpan w:val="2"/>
          </w:tcPr>
          <w:p>
            <w:pPr>
              <w:jc w:val="right"/>
              <w:ind w:right="138"/>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00" w:type="dxa"/>
            <w:vAlign w:val="bottom"/>
          </w:tcPr>
          <w:p>
            <w:pPr>
              <w:jc w:val="right"/>
              <w:ind w:right="156"/>
              <w:spacing w:after="0"/>
              <w:rPr>
                <w:sz w:val="20"/>
                <w:szCs w:val="20"/>
                <w:color w:val="auto"/>
              </w:rPr>
            </w:pPr>
            <w:r>
              <w:rPr>
                <w:rFonts w:ascii="Arial" w:cs="Arial" w:eastAsia="Arial" w:hAnsi="Arial"/>
                <w:sz w:val="17"/>
                <w:szCs w:val="17"/>
                <w:color w:val="auto"/>
              </w:rPr>
              <w:t>1.0</w:t>
            </w:r>
          </w:p>
        </w:tc>
      </w:tr>
      <w:tr>
        <w:trPr>
          <w:trHeight w:val="256"/>
        </w:trPr>
        <w:tc>
          <w:tcPr>
            <w:tcW w:w="6020" w:type="dxa"/>
            <w:vAlign w:val="bottom"/>
          </w:tcPr>
          <w:p>
            <w:pPr>
              <w:spacing w:after="0"/>
              <w:rPr>
                <w:sz w:val="20"/>
                <w:szCs w:val="20"/>
                <w:color w:val="auto"/>
              </w:rPr>
            </w:pPr>
            <w:r>
              <w:rPr>
                <w:rFonts w:ascii="Arial" w:cs="Arial" w:eastAsia="Arial" w:hAnsi="Arial"/>
                <w:sz w:val="17"/>
                <w:szCs w:val="17"/>
                <w:color w:val="auto"/>
              </w:rPr>
              <w:t>Manufacturing deduction</w:t>
            </w:r>
          </w:p>
        </w:tc>
        <w:tc>
          <w:tcPr>
            <w:tcW w:w="1040" w:type="dxa"/>
            <w:vAlign w:val="bottom"/>
          </w:tcPr>
          <w:p>
            <w:pPr>
              <w:spacing w:after="0"/>
              <w:rPr>
                <w:sz w:val="22"/>
                <w:szCs w:val="22"/>
                <w:color w:val="auto"/>
              </w:rPr>
            </w:pPr>
          </w:p>
        </w:tc>
        <w:tc>
          <w:tcPr>
            <w:tcW w:w="640" w:type="dxa"/>
            <w:vAlign w:val="bottom"/>
            <w:gridSpan w:val="2"/>
          </w:tcPr>
          <w:p>
            <w:pPr>
              <w:jc w:val="right"/>
              <w:ind w:right="83"/>
              <w:spacing w:after="0"/>
              <w:rPr>
                <w:sz w:val="20"/>
                <w:szCs w:val="20"/>
                <w:color w:val="auto"/>
              </w:rPr>
            </w:pPr>
            <w:r>
              <w:rPr>
                <w:rFonts w:ascii="Arial" w:cs="Arial" w:eastAsia="Arial" w:hAnsi="Arial"/>
                <w:sz w:val="17"/>
                <w:szCs w:val="17"/>
                <w:color w:val="2573BA"/>
              </w:rPr>
              <w:t>(1.9)</w:t>
            </w:r>
          </w:p>
        </w:tc>
        <w:tc>
          <w:tcPr>
            <w:tcW w:w="1780" w:type="dxa"/>
            <w:vAlign w:val="bottom"/>
            <w:gridSpan w:val="2"/>
          </w:tcPr>
          <w:p>
            <w:pPr>
              <w:jc w:val="right"/>
              <w:ind w:right="78"/>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00" w:type="dxa"/>
            <w:vAlign w:val="bottom"/>
          </w:tcPr>
          <w:p>
            <w:pPr>
              <w:jc w:val="right"/>
              <w:ind w:right="96"/>
              <w:spacing w:after="0"/>
              <w:rPr>
                <w:sz w:val="20"/>
                <w:szCs w:val="20"/>
                <w:color w:val="auto"/>
              </w:rPr>
            </w:pPr>
            <w:r>
              <w:rPr>
                <w:rFonts w:ascii="Arial" w:cs="Arial" w:eastAsia="Arial" w:hAnsi="Arial"/>
                <w:sz w:val="17"/>
                <w:szCs w:val="17"/>
                <w:color w:val="auto"/>
              </w:rPr>
              <w:t>(1.8)</w:t>
            </w:r>
          </w:p>
        </w:tc>
      </w:tr>
      <w:tr>
        <w:trPr>
          <w:trHeight w:val="256"/>
        </w:trPr>
        <w:tc>
          <w:tcPr>
            <w:tcW w:w="6020" w:type="dxa"/>
            <w:vAlign w:val="bottom"/>
          </w:tcPr>
          <w:p>
            <w:pPr>
              <w:spacing w:after="0"/>
              <w:rPr>
                <w:sz w:val="20"/>
                <w:szCs w:val="20"/>
                <w:color w:val="auto"/>
              </w:rPr>
            </w:pPr>
            <w:r>
              <w:rPr>
                <w:rFonts w:ascii="Arial" w:cs="Arial" w:eastAsia="Arial" w:hAnsi="Arial"/>
                <w:sz w:val="17"/>
                <w:szCs w:val="17"/>
                <w:color w:val="auto"/>
              </w:rPr>
              <w:t>2017 Tax Act</w:t>
            </w:r>
          </w:p>
        </w:tc>
        <w:tc>
          <w:tcPr>
            <w:tcW w:w="104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2573BA"/>
              </w:rPr>
              <w:t>22.9</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80" w:type="dxa"/>
            <w:vAlign w:val="bottom"/>
            <w:gridSpan w:val="3"/>
          </w:tcPr>
          <w:p>
            <w:pPr>
              <w:jc w:val="right"/>
              <w:ind w:right="82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56"/>
              <w:spacing w:after="0"/>
              <w:rPr>
                <w:sz w:val="20"/>
                <w:szCs w:val="20"/>
                <w:color w:val="auto"/>
              </w:rPr>
            </w:pPr>
            <w:r>
              <w:rPr>
                <w:rFonts w:ascii="Arial" w:cs="Arial" w:eastAsia="Arial" w:hAnsi="Arial"/>
                <w:sz w:val="17"/>
                <w:szCs w:val="17"/>
                <w:color w:val="auto"/>
              </w:rPr>
              <w:t>—</w:t>
            </w:r>
          </w:p>
        </w:tc>
      </w:tr>
      <w:tr>
        <w:trPr>
          <w:trHeight w:val="256"/>
        </w:trPr>
        <w:tc>
          <w:tcPr>
            <w:tcW w:w="6020" w:type="dxa"/>
            <w:vAlign w:val="bottom"/>
          </w:tcPr>
          <w:p>
            <w:pPr>
              <w:spacing w:after="0"/>
              <w:rPr>
                <w:sz w:val="20"/>
                <w:szCs w:val="20"/>
                <w:color w:val="auto"/>
              </w:rPr>
            </w:pPr>
            <w:r>
              <w:rPr>
                <w:rFonts w:ascii="Arial" w:cs="Arial" w:eastAsia="Arial" w:hAnsi="Arial"/>
                <w:sz w:val="17"/>
                <w:szCs w:val="17"/>
                <w:color w:val="auto"/>
              </w:rPr>
              <w:t>Impairment of ZINBRYTA related tax assets</w:t>
            </w:r>
          </w:p>
        </w:tc>
        <w:tc>
          <w:tcPr>
            <w:tcW w:w="1040" w:type="dxa"/>
            <w:vAlign w:val="bottom"/>
          </w:tcPr>
          <w:p>
            <w:pPr>
              <w:spacing w:after="0"/>
              <w:rPr>
                <w:sz w:val="22"/>
                <w:szCs w:val="22"/>
                <w:color w:val="auto"/>
              </w:rPr>
            </w:pPr>
          </w:p>
        </w:tc>
        <w:tc>
          <w:tcPr>
            <w:tcW w:w="640" w:type="dxa"/>
            <w:vAlign w:val="bottom"/>
            <w:gridSpan w:val="2"/>
          </w:tcPr>
          <w:p>
            <w:pPr>
              <w:jc w:val="right"/>
              <w:ind w:right="143"/>
              <w:spacing w:after="0"/>
              <w:rPr>
                <w:sz w:val="20"/>
                <w:szCs w:val="20"/>
                <w:color w:val="auto"/>
              </w:rPr>
            </w:pPr>
            <w:r>
              <w:rPr>
                <w:rFonts w:ascii="Arial" w:cs="Arial" w:eastAsia="Arial" w:hAnsi="Arial"/>
                <w:sz w:val="17"/>
                <w:szCs w:val="17"/>
                <w:color w:val="2573BA"/>
              </w:rPr>
              <w:t>0.9</w:t>
            </w:r>
          </w:p>
        </w:tc>
        <w:tc>
          <w:tcPr>
            <w:tcW w:w="100" w:type="dxa"/>
            <w:vAlign w:val="bottom"/>
          </w:tcPr>
          <w:p>
            <w:pPr>
              <w:spacing w:after="0"/>
              <w:rPr>
                <w:sz w:val="22"/>
                <w:szCs w:val="22"/>
                <w:color w:val="auto"/>
              </w:rPr>
            </w:pPr>
          </w:p>
        </w:tc>
        <w:tc>
          <w:tcPr>
            <w:tcW w:w="2280" w:type="dxa"/>
            <w:vAlign w:val="bottom"/>
            <w:gridSpan w:val="3"/>
          </w:tcPr>
          <w:p>
            <w:pPr>
              <w:jc w:val="right"/>
              <w:ind w:right="82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56"/>
              <w:spacing w:after="0"/>
              <w:rPr>
                <w:sz w:val="20"/>
                <w:szCs w:val="20"/>
                <w:color w:val="auto"/>
              </w:rPr>
            </w:pPr>
            <w:r>
              <w:rPr>
                <w:rFonts w:ascii="Arial" w:cs="Arial" w:eastAsia="Arial" w:hAnsi="Arial"/>
                <w:sz w:val="17"/>
                <w:szCs w:val="17"/>
                <w:color w:val="auto"/>
              </w:rPr>
              <w:t>—</w:t>
            </w:r>
          </w:p>
        </w:tc>
      </w:tr>
      <w:tr>
        <w:trPr>
          <w:trHeight w:val="256"/>
        </w:trPr>
        <w:tc>
          <w:tcPr>
            <w:tcW w:w="6020" w:type="dxa"/>
            <w:vAlign w:val="bottom"/>
          </w:tcPr>
          <w:p>
            <w:pPr>
              <w:spacing w:after="0"/>
              <w:rPr>
                <w:sz w:val="20"/>
                <w:szCs w:val="20"/>
                <w:color w:val="auto"/>
              </w:rPr>
            </w:pPr>
            <w:r>
              <w:rPr>
                <w:rFonts w:ascii="Arial" w:cs="Arial" w:eastAsia="Arial" w:hAnsi="Arial"/>
                <w:sz w:val="17"/>
                <w:szCs w:val="17"/>
                <w:color w:val="auto"/>
              </w:rPr>
              <w:t>Other permanent items</w:t>
            </w:r>
          </w:p>
        </w:tc>
        <w:tc>
          <w:tcPr>
            <w:tcW w:w="1040" w:type="dxa"/>
            <w:vAlign w:val="bottom"/>
          </w:tcPr>
          <w:p>
            <w:pPr>
              <w:spacing w:after="0"/>
              <w:rPr>
                <w:sz w:val="22"/>
                <w:szCs w:val="22"/>
                <w:color w:val="auto"/>
              </w:rPr>
            </w:pPr>
          </w:p>
        </w:tc>
        <w:tc>
          <w:tcPr>
            <w:tcW w:w="640" w:type="dxa"/>
            <w:vAlign w:val="bottom"/>
            <w:gridSpan w:val="2"/>
          </w:tcPr>
          <w:p>
            <w:pPr>
              <w:jc w:val="right"/>
              <w:ind w:right="143"/>
              <w:spacing w:after="0"/>
              <w:rPr>
                <w:sz w:val="20"/>
                <w:szCs w:val="20"/>
                <w:color w:val="auto"/>
              </w:rPr>
            </w:pPr>
            <w:r>
              <w:rPr>
                <w:rFonts w:ascii="Arial" w:cs="Arial" w:eastAsia="Arial" w:hAnsi="Arial"/>
                <w:sz w:val="17"/>
                <w:szCs w:val="17"/>
                <w:color w:val="2573BA"/>
              </w:rPr>
              <w:t>0.7</w:t>
            </w:r>
          </w:p>
        </w:tc>
        <w:tc>
          <w:tcPr>
            <w:tcW w:w="1780" w:type="dxa"/>
            <w:vAlign w:val="bottom"/>
            <w:gridSpan w:val="2"/>
          </w:tcPr>
          <w:p>
            <w:pPr>
              <w:jc w:val="right"/>
              <w:ind w:right="138"/>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00" w:type="dxa"/>
            <w:vAlign w:val="bottom"/>
          </w:tcPr>
          <w:p>
            <w:pPr>
              <w:jc w:val="right"/>
              <w:ind w:right="156"/>
              <w:spacing w:after="0"/>
              <w:rPr>
                <w:sz w:val="20"/>
                <w:szCs w:val="20"/>
                <w:color w:val="auto"/>
              </w:rPr>
            </w:pPr>
            <w:r>
              <w:rPr>
                <w:rFonts w:ascii="Arial" w:cs="Arial" w:eastAsia="Arial" w:hAnsi="Arial"/>
                <w:sz w:val="17"/>
                <w:szCs w:val="17"/>
                <w:color w:val="auto"/>
              </w:rPr>
              <w:t>0.7</w:t>
            </w:r>
          </w:p>
        </w:tc>
      </w:tr>
      <w:tr>
        <w:trPr>
          <w:trHeight w:val="263"/>
        </w:trPr>
        <w:tc>
          <w:tcPr>
            <w:tcW w:w="6020" w:type="dxa"/>
            <w:vAlign w:val="bottom"/>
          </w:tcPr>
          <w:p>
            <w:pPr>
              <w:spacing w:after="0"/>
              <w:rPr>
                <w:sz w:val="20"/>
                <w:szCs w:val="20"/>
                <w:color w:val="auto"/>
              </w:rPr>
            </w:pPr>
            <w:r>
              <w:rPr>
                <w:rFonts w:ascii="Arial" w:cs="Arial" w:eastAsia="Arial" w:hAnsi="Arial"/>
                <w:sz w:val="17"/>
                <w:szCs w:val="17"/>
                <w:color w:val="auto"/>
              </w:rPr>
              <w:t>Other</w:t>
            </w:r>
          </w:p>
        </w:tc>
        <w:tc>
          <w:tcPr>
            <w:tcW w:w="10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gridSpan w:val="2"/>
          </w:tcPr>
          <w:p>
            <w:pPr>
              <w:jc w:val="right"/>
              <w:ind w:right="143"/>
              <w:spacing w:after="0"/>
              <w:rPr>
                <w:sz w:val="20"/>
                <w:szCs w:val="20"/>
                <w:color w:val="auto"/>
              </w:rPr>
            </w:pPr>
            <w:r>
              <w:rPr>
                <w:rFonts w:ascii="Arial" w:cs="Arial" w:eastAsia="Arial" w:hAnsi="Arial"/>
                <w:sz w:val="17"/>
                <w:szCs w:val="17"/>
                <w:color w:val="2573BA"/>
              </w:rPr>
              <w:t>—</w:t>
            </w:r>
          </w:p>
        </w:tc>
        <w:tc>
          <w:tcPr>
            <w:tcW w:w="100" w:type="dxa"/>
            <w:vAlign w:val="bottom"/>
          </w:tcPr>
          <w:p>
            <w:pPr>
              <w:spacing w:after="0"/>
              <w:rPr>
                <w:sz w:val="22"/>
                <w:szCs w:val="22"/>
                <w:color w:val="auto"/>
              </w:rPr>
            </w:pPr>
          </w:p>
        </w:tc>
        <w:tc>
          <w:tcPr>
            <w:tcW w:w="1680" w:type="dxa"/>
            <w:vAlign w:val="bottom"/>
            <w:tcBorders>
              <w:bottom w:val="single" w:sz="8" w:color="auto"/>
            </w:tcBorders>
          </w:tcPr>
          <w:p>
            <w:pPr>
              <w:jc w:val="right"/>
              <w:ind w:right="138"/>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0.3</w:t>
            </w:r>
          </w:p>
        </w:tc>
      </w:tr>
      <w:tr>
        <w:trPr>
          <w:trHeight w:val="236"/>
        </w:trPr>
        <w:tc>
          <w:tcPr>
            <w:tcW w:w="6020" w:type="dxa"/>
            <w:vAlign w:val="bottom"/>
          </w:tcPr>
          <w:p>
            <w:pPr>
              <w:ind w:left="140"/>
              <w:spacing w:after="0"/>
              <w:rPr>
                <w:sz w:val="20"/>
                <w:szCs w:val="20"/>
                <w:color w:val="auto"/>
              </w:rPr>
            </w:pPr>
            <w:r>
              <w:rPr>
                <w:rFonts w:ascii="Arial" w:cs="Arial" w:eastAsia="Arial" w:hAnsi="Arial"/>
                <w:sz w:val="17"/>
                <w:szCs w:val="17"/>
                <w:color w:val="auto"/>
              </w:rPr>
              <w:t>Effective tax rate</w:t>
            </w: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2573BA"/>
              </w:rPr>
              <w:t>47.9 %</w:t>
            </w:r>
          </w:p>
        </w:tc>
        <w:tc>
          <w:tcPr>
            <w:tcW w:w="100" w:type="dxa"/>
            <w:vAlign w:val="bottom"/>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25.1 %</w:t>
            </w: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24.4 %</w:t>
            </w:r>
          </w:p>
        </w:tc>
      </w:tr>
      <w:tr>
        <w:trPr>
          <w:trHeight w:val="20"/>
        </w:trPr>
        <w:tc>
          <w:tcPr>
            <w:tcW w:w="6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20"/>
        </w:trPr>
        <w:tc>
          <w:tcPr>
            <w:tcW w:w="7060" w:type="dxa"/>
            <w:vAlign w:val="bottom"/>
            <w:gridSpan w:val="2"/>
          </w:tcPr>
          <w:p>
            <w:pPr>
              <w:ind w:left="5500"/>
              <w:spacing w:after="0"/>
              <w:rPr>
                <w:sz w:val="20"/>
                <w:szCs w:val="20"/>
                <w:color w:val="auto"/>
              </w:rPr>
            </w:pPr>
            <w:r>
              <w:rPr>
                <w:rFonts w:ascii="Arial" w:cs="Arial" w:eastAsia="Arial" w:hAnsi="Arial"/>
                <w:sz w:val="17"/>
                <w:szCs w:val="17"/>
                <w:color w:val="auto"/>
              </w:rPr>
              <w:t>F- 51</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3839845</wp:posOffset>
            </wp:positionH>
            <wp:positionV relativeFrom="paragraph">
              <wp:posOffset>-2088515</wp:posOffset>
            </wp:positionV>
            <wp:extent cx="1065530" cy="1797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4">
                      <a:extLst>
                        <a:ext uri="{28A0092B-C50C-407E-A947-70E740481C1C}"/>
                      </a:extLst>
                    </a:blip>
                    <a:srcRect/>
                    <a:stretch>
                      <a:fillRect/>
                    </a:stretch>
                  </pic:blipFill>
                  <pic:spPr bwMode="auto">
                    <a:xfrm>
                      <a:off x="0" y="0"/>
                      <a:ext cx="1065530" cy="1797050"/>
                    </a:xfrm>
                    <a:prstGeom prst="rect">
                      <a:avLst/>
                    </a:prstGeom>
                    <a:noFill/>
                  </pic:spPr>
                </pic:pic>
              </a:graphicData>
            </a:graphic>
          </wp:anchor>
        </w:drawing>
      </w:r>
    </w:p>
    <w:p>
      <w:pPr>
        <w:sectPr>
          <w:pgSz w:w="11900" w:h="16838" w:orient="portrait"/>
          <w:cols w:equalWidth="0" w:num="1">
            <w:col w:w="11400"/>
          </w:cols>
          <w:pgMar w:left="240" w:top="139" w:right="259" w:bottom="1440" w:gutter="0" w:footer="0" w:header="0"/>
        </w:sectPr>
      </w:pPr>
    </w:p>
    <w:bookmarkStart w:id="153" w:name="page154"/>
    <w:bookmarkEnd w:id="1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Changes in Tax Rate</w:t>
      </w:r>
    </w:p>
    <w:p>
      <w:pPr>
        <w:spacing w:after="0" w:line="104"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The most significant factors contributing to the increase in our effective tax rate for the year ended December 31, 2017, as compared to 2016 is the effect of the enactment of the 2017 Tax Act and the impairment of certain ZINBRYTA related tax assets, both of which are discussed above. Excluding the effect of these items, our income tax rate would have decreased due to a lower percentage of our earnings being recognized in the U.S., a higher tax jurisdiction. The geographic split of our earnings was affected by milestone and upfront payments in the current year and the spin-off of our hemophilia business, partially offset by growth from the U.S. launch of SPINRAZA and increases in our revenues from anti-CD20 therapeutic programs in the U.S. In addition, in 2017 we earned a lower benefit from the orphan drug credit due to the FDA's approval of SPINRAZA.</w:t>
      </w:r>
    </w:p>
    <w:p>
      <w:pPr>
        <w:spacing w:after="0" w:line="147" w:lineRule="exact"/>
        <w:rPr>
          <w:sz w:val="20"/>
          <w:szCs w:val="20"/>
          <w:color w:val="auto"/>
        </w:rPr>
      </w:pPr>
    </w:p>
    <w:p>
      <w:pPr>
        <w:ind w:right="240" w:firstLine="410"/>
        <w:spacing w:after="0" w:line="257" w:lineRule="auto"/>
        <w:rPr>
          <w:sz w:val="20"/>
          <w:szCs w:val="20"/>
          <w:color w:val="auto"/>
        </w:rPr>
      </w:pPr>
      <w:r>
        <w:rPr>
          <w:rFonts w:ascii="Arial" w:cs="Arial" w:eastAsia="Arial" w:hAnsi="Arial"/>
          <w:sz w:val="17"/>
          <w:szCs w:val="17"/>
          <w:color w:val="auto"/>
        </w:rPr>
        <w:t>Our effective tax rate for 2016 compared to 2015 increased primarily due to a net state tax benefit in 2015 resulting from the remeasurement of one of our uncertain tax positions, described below, and a higher relative percentage of our earnings being attributed to the U.S., a higher tax jurisdiction.</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Tax Attributes</w:t>
      </w:r>
    </w:p>
    <w:p>
      <w:pPr>
        <w:spacing w:after="0" w:line="104" w:lineRule="exact"/>
        <w:rPr>
          <w:sz w:val="20"/>
          <w:szCs w:val="20"/>
          <w:color w:val="auto"/>
        </w:rPr>
      </w:pPr>
    </w:p>
    <w:p>
      <w:pPr>
        <w:ind w:right="260" w:firstLine="410"/>
        <w:spacing w:after="0" w:line="254" w:lineRule="auto"/>
        <w:rPr>
          <w:sz w:val="20"/>
          <w:szCs w:val="20"/>
          <w:color w:val="auto"/>
        </w:rPr>
      </w:pPr>
      <w:r>
        <w:rPr>
          <w:rFonts w:ascii="Arial" w:cs="Arial" w:eastAsia="Arial" w:hAnsi="Arial"/>
          <w:sz w:val="17"/>
          <w:szCs w:val="17"/>
          <w:color w:val="auto"/>
        </w:rPr>
        <w:t>As of December 31, 2017, we had net operating losses and general business credit carry forwards for federal income tax purposes of approximately $1.4 million and $1.3 million, respectively, which begin to expire in 2020. Additionally, for state income tax purposes, we had net operating loss carry forwards of approximately $19.3 million that begin to expire in 2018. For state income tax purposes, we also had research and investment credit carry forwards of approximately $129.7 million that begin to expire in 2018. For foreign income tax purposes, we had $2.1 billion of net operating loss carryforwards that begin to expire in 2021.</w:t>
      </w:r>
    </w:p>
    <w:p>
      <w:pPr>
        <w:spacing w:after="0" w:line="144"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In assessing the realizability of our deferred tax assets, we have considered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In making this determination, under the applicable financial reporting standards, we are allowed to consider the scheduled reversal of deferred tax liabilities, projected future taxable income and tax planning strategies. Our estimates of future taxable income take into consideration, among other items, our estimates of future income tax deductions related to the exercise of stock options. Based upon the level of historical taxable income and income tax liability and projections for future taxable income over the periods in which the deferred tax assets are utilizable, we believe it is more likely than not that we will realize the net benefits of the deferred tax assets of our wholly owned subsidiaries. In the event that actual results differ from our estimates or we adjust our estimates in future periods, we may need to establish a valuation allowance, which could materially impact our consolidated financial position and results of operations.</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Accounting for Uncertainty in Income Taxes</w:t>
      </w:r>
    </w:p>
    <w:p>
      <w:pPr>
        <w:spacing w:after="0" w:line="10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 reconciliation of the beginning and ending amount of our unrecognized tax benefits is summarized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bottom w:val="single" w:sz="8" w:color="auto"/>
            </w:tcBorders>
            <w:shd w:val="clear" w:color="auto" w:fill="DDDDDD"/>
          </w:tcPr>
          <w:p>
            <w:pPr>
              <w:spacing w:after="0"/>
              <w:rPr>
                <w:sz w:val="21"/>
                <w:szCs w:val="21"/>
                <w:color w:val="auto"/>
              </w:rPr>
            </w:pPr>
          </w:p>
        </w:tc>
        <w:tc>
          <w:tcPr>
            <w:tcW w:w="1240" w:type="dxa"/>
            <w:vAlign w:val="bottom"/>
            <w:tcBorders>
              <w:bottom w:val="single" w:sz="8" w:color="auto"/>
            </w:tcBorders>
            <w:shd w:val="clear" w:color="auto" w:fill="DDDDDD"/>
          </w:tcPr>
          <w:p>
            <w:pPr>
              <w:jc w:val="right"/>
              <w:ind w:right="577"/>
              <w:spacing w:after="0"/>
              <w:rPr>
                <w:sz w:val="20"/>
                <w:szCs w:val="20"/>
                <w:color w:val="auto"/>
              </w:rPr>
            </w:pPr>
            <w:r>
              <w:rPr>
                <w:rFonts w:ascii="Arial" w:cs="Arial" w:eastAsia="Arial" w:hAnsi="Arial"/>
                <w:sz w:val="14"/>
                <w:szCs w:val="14"/>
                <w:b w:val="1"/>
                <w:bCs w:val="1"/>
                <w:color w:val="2573BA"/>
              </w:rPr>
              <w:t>2017</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2015</w:t>
            </w:r>
          </w:p>
        </w:tc>
      </w:tr>
      <w:tr>
        <w:trPr>
          <w:trHeight w:val="242"/>
        </w:trPr>
        <w:tc>
          <w:tcPr>
            <w:tcW w:w="6400" w:type="dxa"/>
            <w:vAlign w:val="bottom"/>
          </w:tcPr>
          <w:p>
            <w:pPr>
              <w:ind w:left="20"/>
              <w:spacing w:after="0"/>
              <w:rPr>
                <w:sz w:val="20"/>
                <w:szCs w:val="20"/>
                <w:color w:val="auto"/>
              </w:rPr>
            </w:pPr>
            <w:r>
              <w:rPr>
                <w:rFonts w:ascii="Arial" w:cs="Arial" w:eastAsia="Arial" w:hAnsi="Arial"/>
                <w:sz w:val="17"/>
                <w:szCs w:val="17"/>
                <w:color w:val="auto"/>
              </w:rPr>
              <w:t>Balance at January 1,</w:t>
            </w:r>
          </w:p>
        </w:tc>
        <w:tc>
          <w:tcPr>
            <w:tcW w:w="380" w:type="dxa"/>
            <w:vAlign w:val="bottom"/>
            <w:shd w:val="clear" w:color="auto" w:fill="DDDDDD"/>
          </w:tcPr>
          <w:p>
            <w:pPr>
              <w:jc w:val="right"/>
              <w:ind w:right="175"/>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32.4</w:t>
            </w:r>
          </w:p>
        </w:tc>
        <w:tc>
          <w:tcPr>
            <w:tcW w:w="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7"/>
              <w:spacing w:after="0"/>
              <w:rPr>
                <w:sz w:val="20"/>
                <w:szCs w:val="20"/>
                <w:color w:val="auto"/>
              </w:rPr>
            </w:pPr>
            <w:r>
              <w:rPr>
                <w:rFonts w:ascii="Arial" w:cs="Arial" w:eastAsia="Arial" w:hAnsi="Arial"/>
                <w:sz w:val="17"/>
                <w:szCs w:val="17"/>
                <w:color w:val="auto"/>
              </w:rPr>
              <w:t>67.9</w:t>
            </w:r>
          </w:p>
        </w:tc>
        <w:tc>
          <w:tcPr>
            <w:tcW w:w="120" w:type="dxa"/>
            <w:vAlign w:val="bottom"/>
          </w:tcPr>
          <w:p>
            <w:pPr>
              <w:spacing w:after="0"/>
              <w:rPr>
                <w:sz w:val="21"/>
                <w:szCs w:val="21"/>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7"/>
              <w:spacing w:after="0"/>
              <w:rPr>
                <w:sz w:val="20"/>
                <w:szCs w:val="20"/>
                <w:color w:val="auto"/>
              </w:rPr>
            </w:pPr>
            <w:r>
              <w:rPr>
                <w:rFonts w:ascii="Arial" w:cs="Arial" w:eastAsia="Arial" w:hAnsi="Arial"/>
                <w:sz w:val="17"/>
                <w:szCs w:val="17"/>
                <w:color w:val="auto"/>
              </w:rPr>
              <w:t>131.5</w:t>
            </w:r>
          </w:p>
        </w:tc>
      </w:tr>
      <w:tr>
        <w:trPr>
          <w:trHeight w:val="242"/>
        </w:trPr>
        <w:tc>
          <w:tcPr>
            <w:tcW w:w="6400" w:type="dxa"/>
            <w:vAlign w:val="bottom"/>
          </w:tcPr>
          <w:p>
            <w:pPr>
              <w:ind w:left="160"/>
              <w:spacing w:after="0"/>
              <w:rPr>
                <w:sz w:val="20"/>
                <w:szCs w:val="20"/>
                <w:color w:val="auto"/>
              </w:rPr>
            </w:pPr>
            <w:r>
              <w:rPr>
                <w:rFonts w:ascii="Arial" w:cs="Arial" w:eastAsia="Arial" w:hAnsi="Arial"/>
                <w:sz w:val="17"/>
                <w:szCs w:val="17"/>
                <w:color w:val="auto"/>
              </w:rPr>
              <w:t>Additions based on tax positions related to the current period</w:t>
            </w:r>
          </w:p>
        </w:tc>
        <w:tc>
          <w:tcPr>
            <w:tcW w:w="380" w:type="dxa"/>
            <w:vAlign w:val="bottom"/>
          </w:tcPr>
          <w:p>
            <w:pPr>
              <w:spacing w:after="0"/>
              <w:rPr>
                <w:sz w:val="21"/>
                <w:szCs w:val="21"/>
                <w:color w:val="auto"/>
              </w:rPr>
            </w:pPr>
          </w:p>
        </w:tc>
        <w:tc>
          <w:tcPr>
            <w:tcW w:w="1240" w:type="dxa"/>
            <w:vAlign w:val="bottom"/>
          </w:tcPr>
          <w:p>
            <w:pPr>
              <w:jc w:val="right"/>
              <w:ind w:right="37"/>
              <w:spacing w:after="0"/>
              <w:rPr>
                <w:sz w:val="20"/>
                <w:szCs w:val="20"/>
                <w:color w:val="auto"/>
              </w:rPr>
            </w:pPr>
            <w:r>
              <w:rPr>
                <w:rFonts w:ascii="Arial" w:cs="Arial" w:eastAsia="Arial" w:hAnsi="Arial"/>
                <w:sz w:val="17"/>
                <w:szCs w:val="17"/>
                <w:color w:val="2573BA"/>
              </w:rPr>
              <w:t>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7"/>
                <w:szCs w:val="17"/>
                <w:color w:val="auto"/>
              </w:rPr>
              <w:t>7.2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7"/>
                <w:szCs w:val="17"/>
                <w:color w:val="auto"/>
              </w:rPr>
              <w:t>10.5</w:t>
            </w:r>
          </w:p>
        </w:tc>
      </w:tr>
      <w:tr>
        <w:trPr>
          <w:trHeight w:val="256"/>
        </w:trPr>
        <w:tc>
          <w:tcPr>
            <w:tcW w:w="6400" w:type="dxa"/>
            <w:vAlign w:val="bottom"/>
          </w:tcPr>
          <w:p>
            <w:pPr>
              <w:ind w:left="160"/>
              <w:spacing w:after="0"/>
              <w:rPr>
                <w:sz w:val="20"/>
                <w:szCs w:val="20"/>
                <w:color w:val="auto"/>
              </w:rPr>
            </w:pPr>
            <w:r>
              <w:rPr>
                <w:rFonts w:ascii="Arial" w:cs="Arial" w:eastAsia="Arial" w:hAnsi="Arial"/>
                <w:sz w:val="17"/>
                <w:szCs w:val="17"/>
                <w:color w:val="auto"/>
              </w:rPr>
              <w:t>Additions for tax positions of prior periods</w:t>
            </w:r>
          </w:p>
        </w:tc>
        <w:tc>
          <w:tcPr>
            <w:tcW w:w="380" w:type="dxa"/>
            <w:vAlign w:val="bottom"/>
          </w:tcPr>
          <w:p>
            <w:pPr>
              <w:spacing w:after="0"/>
              <w:rPr>
                <w:sz w:val="22"/>
                <w:szCs w:val="22"/>
                <w:color w:val="auto"/>
              </w:rPr>
            </w:pPr>
          </w:p>
        </w:tc>
        <w:tc>
          <w:tcPr>
            <w:tcW w:w="1240" w:type="dxa"/>
            <w:vAlign w:val="bottom"/>
          </w:tcPr>
          <w:p>
            <w:pPr>
              <w:jc w:val="right"/>
              <w:ind w:right="37"/>
              <w:spacing w:after="0"/>
              <w:rPr>
                <w:sz w:val="20"/>
                <w:szCs w:val="20"/>
                <w:color w:val="auto"/>
              </w:rPr>
            </w:pPr>
            <w:r>
              <w:rPr>
                <w:rFonts w:ascii="Arial" w:cs="Arial" w:eastAsia="Arial" w:hAnsi="Arial"/>
                <w:sz w:val="17"/>
                <w:szCs w:val="17"/>
                <w:color w:val="2573BA"/>
              </w:rPr>
              <w:t>7.3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17"/>
              <w:spacing w:after="0"/>
              <w:rPr>
                <w:sz w:val="20"/>
                <w:szCs w:val="20"/>
                <w:color w:val="auto"/>
              </w:rPr>
            </w:pPr>
            <w:r>
              <w:rPr>
                <w:rFonts w:ascii="Arial" w:cs="Arial" w:eastAsia="Arial" w:hAnsi="Arial"/>
                <w:sz w:val="17"/>
                <w:szCs w:val="17"/>
                <w:color w:val="auto"/>
              </w:rPr>
              <w:t>36.3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17"/>
              <w:spacing w:after="0"/>
              <w:rPr>
                <w:sz w:val="20"/>
                <w:szCs w:val="20"/>
                <w:color w:val="auto"/>
              </w:rPr>
            </w:pPr>
            <w:r>
              <w:rPr>
                <w:rFonts w:ascii="Arial" w:cs="Arial" w:eastAsia="Arial" w:hAnsi="Arial"/>
                <w:sz w:val="17"/>
                <w:szCs w:val="17"/>
                <w:color w:val="auto"/>
              </w:rPr>
              <w:t>19.5</w:t>
            </w:r>
          </w:p>
        </w:tc>
      </w:tr>
      <w:tr>
        <w:trPr>
          <w:trHeight w:val="256"/>
        </w:trPr>
        <w:tc>
          <w:tcPr>
            <w:tcW w:w="6400" w:type="dxa"/>
            <w:vAlign w:val="bottom"/>
          </w:tcPr>
          <w:p>
            <w:pPr>
              <w:ind w:left="160"/>
              <w:spacing w:after="0"/>
              <w:rPr>
                <w:sz w:val="20"/>
                <w:szCs w:val="20"/>
                <w:color w:val="auto"/>
              </w:rPr>
            </w:pPr>
            <w:r>
              <w:rPr>
                <w:rFonts w:ascii="Arial" w:cs="Arial" w:eastAsia="Arial" w:hAnsi="Arial"/>
                <w:sz w:val="17"/>
                <w:szCs w:val="17"/>
                <w:color w:val="auto"/>
              </w:rPr>
              <w:t>Reductions for tax positions of prior periods</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2573BA"/>
              </w:rPr>
              <w:t>(21.8)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(49.9)</w:t>
            </w:r>
          </w:p>
        </w:tc>
      </w:tr>
      <w:tr>
        <w:trPr>
          <w:trHeight w:val="256"/>
        </w:trPr>
        <w:tc>
          <w:tcPr>
            <w:tcW w:w="6400" w:type="dxa"/>
            <w:vAlign w:val="bottom"/>
          </w:tcPr>
          <w:p>
            <w:pPr>
              <w:ind w:left="160"/>
              <w:spacing w:after="0"/>
              <w:rPr>
                <w:sz w:val="20"/>
                <w:szCs w:val="20"/>
                <w:color w:val="auto"/>
              </w:rPr>
            </w:pPr>
            <w:r>
              <w:rPr>
                <w:rFonts w:ascii="Arial" w:cs="Arial" w:eastAsia="Arial" w:hAnsi="Arial"/>
                <w:sz w:val="17"/>
                <w:szCs w:val="17"/>
                <w:color w:val="auto"/>
              </w:rPr>
              <w:t>Statute expirations</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2573BA"/>
              </w:rPr>
              <w:t>(1.4)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63"/>
        </w:trPr>
        <w:tc>
          <w:tcPr>
            <w:tcW w:w="6400" w:type="dxa"/>
            <w:vAlign w:val="bottom"/>
          </w:tcPr>
          <w:p>
            <w:pPr>
              <w:ind w:left="160"/>
              <w:spacing w:after="0"/>
              <w:rPr>
                <w:sz w:val="20"/>
                <w:szCs w:val="20"/>
                <w:color w:val="auto"/>
              </w:rPr>
            </w:pPr>
            <w:r>
              <w:rPr>
                <w:rFonts w:ascii="Arial" w:cs="Arial" w:eastAsia="Arial" w:hAnsi="Arial"/>
                <w:sz w:val="17"/>
                <w:szCs w:val="17"/>
                <w:color w:val="auto"/>
              </w:rPr>
              <w:t>Settlement refund (payment)</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2573BA"/>
              </w:rPr>
              <w:t>44.6</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(64.3)</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(42.5)</w:t>
            </w:r>
          </w:p>
        </w:tc>
      </w:tr>
      <w:tr>
        <w:trPr>
          <w:trHeight w:val="236"/>
        </w:trPr>
        <w:tc>
          <w:tcPr>
            <w:tcW w:w="6400" w:type="dxa"/>
            <w:vAlign w:val="bottom"/>
          </w:tcPr>
          <w:p>
            <w:pPr>
              <w:ind w:left="20"/>
              <w:spacing w:after="0"/>
              <w:rPr>
                <w:sz w:val="20"/>
                <w:szCs w:val="20"/>
                <w:color w:val="auto"/>
              </w:rPr>
            </w:pPr>
            <w:r>
              <w:rPr>
                <w:rFonts w:ascii="Arial" w:cs="Arial" w:eastAsia="Arial" w:hAnsi="Arial"/>
                <w:sz w:val="17"/>
                <w:szCs w:val="17"/>
                <w:color w:val="auto"/>
              </w:rPr>
              <w:t>Balance at December 31,</w:t>
            </w:r>
          </w:p>
        </w:tc>
        <w:tc>
          <w:tcPr>
            <w:tcW w:w="380" w:type="dxa"/>
            <w:vAlign w:val="bottom"/>
          </w:tcPr>
          <w:p>
            <w:pPr>
              <w:jc w:val="right"/>
              <w:ind w:right="175"/>
              <w:spacing w:after="0"/>
              <w:rPr>
                <w:sz w:val="20"/>
                <w:szCs w:val="20"/>
                <w:color w:val="auto"/>
              </w:rPr>
            </w:pPr>
            <w:r>
              <w:rPr>
                <w:rFonts w:ascii="Arial" w:cs="Arial" w:eastAsia="Arial" w:hAnsi="Arial"/>
                <w:sz w:val="17"/>
                <w:szCs w:val="17"/>
                <w:color w:val="2573BA"/>
              </w:rPr>
              <w:t>$</w:t>
            </w:r>
          </w:p>
        </w:tc>
        <w:tc>
          <w:tcPr>
            <w:tcW w:w="1240" w:type="dxa"/>
            <w:vAlign w:val="bottom"/>
          </w:tcPr>
          <w:p>
            <w:pPr>
              <w:jc w:val="right"/>
              <w:ind w:right="37"/>
              <w:spacing w:after="0"/>
              <w:rPr>
                <w:sz w:val="20"/>
                <w:szCs w:val="20"/>
                <w:color w:val="auto"/>
              </w:rPr>
            </w:pPr>
            <w:r>
              <w:rPr>
                <w:rFonts w:ascii="Arial" w:cs="Arial" w:eastAsia="Arial" w:hAnsi="Arial"/>
                <w:sz w:val="17"/>
                <w:szCs w:val="17"/>
                <w:color w:val="2573BA"/>
              </w:rPr>
              <w:t>66.8</w:t>
            </w:r>
          </w:p>
        </w:tc>
        <w:tc>
          <w:tcPr>
            <w:tcW w:w="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7"/>
              <w:spacing w:after="0"/>
              <w:rPr>
                <w:sz w:val="20"/>
                <w:szCs w:val="20"/>
                <w:color w:val="auto"/>
              </w:rPr>
            </w:pPr>
            <w:r>
              <w:rPr>
                <w:rFonts w:ascii="Arial" w:cs="Arial" w:eastAsia="Arial" w:hAnsi="Arial"/>
                <w:sz w:val="17"/>
                <w:szCs w:val="17"/>
                <w:color w:val="auto"/>
              </w:rPr>
              <w:t>32.4</w:t>
            </w:r>
          </w:p>
        </w:tc>
        <w:tc>
          <w:tcPr>
            <w:tcW w:w="120" w:type="dxa"/>
            <w:vAlign w:val="bottom"/>
          </w:tcPr>
          <w:p>
            <w:pPr>
              <w:spacing w:after="0"/>
              <w:rPr>
                <w:sz w:val="20"/>
                <w:szCs w:val="20"/>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7"/>
              <w:spacing w:after="0"/>
              <w:rPr>
                <w:sz w:val="20"/>
                <w:szCs w:val="20"/>
                <w:color w:val="auto"/>
              </w:rPr>
            </w:pPr>
            <w:r>
              <w:rPr>
                <w:rFonts w:ascii="Arial" w:cs="Arial" w:eastAsia="Arial" w:hAnsi="Arial"/>
                <w:sz w:val="17"/>
                <w:szCs w:val="17"/>
                <w:color w:val="auto"/>
              </w:rPr>
              <w:t>67.9</w:t>
            </w:r>
          </w:p>
        </w:tc>
      </w:tr>
      <w:tr>
        <w:trPr>
          <w:trHeight w:val="20"/>
        </w:trPr>
        <w:tc>
          <w:tcPr>
            <w:tcW w:w="6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-1162050</wp:posOffset>
            </wp:positionV>
            <wp:extent cx="1032510" cy="11468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5">
                      <a:extLst>
                        <a:ext uri="{28A0092B-C50C-407E-A947-70E740481C1C}"/>
                      </a:extLst>
                    </a:blip>
                    <a:srcRect/>
                    <a:stretch>
                      <a:fillRect/>
                    </a:stretch>
                  </pic:blipFill>
                  <pic:spPr bwMode="auto">
                    <a:xfrm>
                      <a:off x="0" y="0"/>
                      <a:ext cx="1032510" cy="1146810"/>
                    </a:xfrm>
                    <a:prstGeom prst="rect">
                      <a:avLst/>
                    </a:prstGeom>
                    <a:noFill/>
                  </pic:spPr>
                </pic:pic>
              </a:graphicData>
            </a:graphic>
          </wp:anchor>
        </w:drawing>
      </w:r>
    </w:p>
    <w:p>
      <w:pPr>
        <w:spacing w:after="0" w:line="13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2017 activity above reflects a refund received from a state, related to the settlement of an uncertain tax position.</w:t>
      </w:r>
    </w:p>
    <w:p>
      <w:pPr>
        <w:spacing w:after="0" w:line="86" w:lineRule="exact"/>
        <w:rPr>
          <w:sz w:val="20"/>
          <w:szCs w:val="20"/>
          <w:color w:val="auto"/>
        </w:rPr>
      </w:pPr>
    </w:p>
    <w:p>
      <w:pPr>
        <w:ind w:right="80" w:firstLine="384"/>
        <w:spacing w:after="0" w:line="257" w:lineRule="auto"/>
        <w:rPr>
          <w:sz w:val="20"/>
          <w:szCs w:val="20"/>
          <w:color w:val="auto"/>
        </w:rPr>
      </w:pPr>
      <w:r>
        <w:rPr>
          <w:rFonts w:ascii="Arial" w:cs="Arial" w:eastAsia="Arial" w:hAnsi="Arial"/>
          <w:sz w:val="17"/>
          <w:szCs w:val="17"/>
          <w:color w:val="auto"/>
        </w:rPr>
        <w:t>We and our subsidiaries are routinely examined by various taxing authorities. We file income tax returns in various U.S. states and in U.S. federal and other foreign jurisdictions. With few exceptions, we are no longer subject to U.S. federal tax examination for years before 2013 or state, local or non-U.S. income tax examinations for years before 2010.</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F- 52</w:t>
      </w:r>
    </w:p>
    <w:p>
      <w:pPr>
        <w:sectPr>
          <w:pgSz w:w="11900" w:h="16838" w:orient="portrait"/>
          <w:cols w:equalWidth="0" w:num="1">
            <w:col w:w="11420"/>
          </w:cols>
          <w:pgMar w:left="240" w:top="139" w:right="239" w:bottom="1440" w:gutter="0" w:footer="0" w:header="0"/>
        </w:sectPr>
      </w:pPr>
    </w:p>
    <w:bookmarkStart w:id="154" w:name="page155"/>
    <w:bookmarkEnd w:id="1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90" w:lineRule="exact"/>
        <w:rPr>
          <w:sz w:val="20"/>
          <w:szCs w:val="20"/>
          <w:color w:val="auto"/>
        </w:rPr>
      </w:pPr>
    </w:p>
    <w:p>
      <w:pPr>
        <w:ind w:right="180" w:firstLine="410"/>
        <w:spacing w:after="0" w:line="257" w:lineRule="auto"/>
        <w:rPr>
          <w:sz w:val="20"/>
          <w:szCs w:val="20"/>
          <w:color w:val="auto"/>
        </w:rPr>
      </w:pPr>
      <w:r>
        <w:rPr>
          <w:rFonts w:ascii="Arial" w:cs="Arial" w:eastAsia="Arial" w:hAnsi="Arial"/>
          <w:sz w:val="17"/>
          <w:szCs w:val="17"/>
          <w:color w:val="auto"/>
        </w:rPr>
        <w:t>Included in the balance of unrecognized tax benefits as of December 31, 2017, 2016 and 2015 are $64.3 million, $26.9 million and $15.7 million (net of the federal benefit on state issues), respectively, of unrecognized tax benefits that, if recognized, would affect the effective income tax rate in future periods.</w:t>
      </w:r>
    </w:p>
    <w:p>
      <w:pPr>
        <w:spacing w:after="0" w:line="140" w:lineRule="exact"/>
        <w:rPr>
          <w:sz w:val="20"/>
          <w:szCs w:val="20"/>
          <w:color w:val="auto"/>
        </w:rPr>
      </w:pPr>
    </w:p>
    <w:p>
      <w:pPr>
        <w:ind w:right="220" w:firstLine="410"/>
        <w:spacing w:after="0" w:line="255" w:lineRule="auto"/>
        <w:rPr>
          <w:sz w:val="20"/>
          <w:szCs w:val="20"/>
          <w:color w:val="auto"/>
        </w:rPr>
      </w:pPr>
      <w:r>
        <w:rPr>
          <w:rFonts w:ascii="Arial" w:cs="Arial" w:eastAsia="Arial" w:hAnsi="Arial"/>
          <w:sz w:val="17"/>
          <w:szCs w:val="17"/>
          <w:color w:val="auto"/>
        </w:rPr>
        <w:t>We recognize potential interest and penalties accrued related to unrecognized tax benefits in income tax expense. In 2017 we recognized a net interest expense of $4.8 million. In 2016 we recognized net interest expense of $9.1 million. In 2015 we recognized a net interest expense of approximately $3.1 million. We have accrued approximately $16.1 million and $25.2 million for the payment of interest and penalties as of December 31, 2017 and 2016, respectively.</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International Uncertain Tax Positions</w:t>
      </w:r>
    </w:p>
    <w:p>
      <w:pPr>
        <w:spacing w:after="0" w:line="181" w:lineRule="exact"/>
        <w:rPr>
          <w:sz w:val="20"/>
          <w:szCs w:val="20"/>
          <w:color w:val="auto"/>
        </w:rPr>
      </w:pPr>
    </w:p>
    <w:p>
      <w:pPr>
        <w:jc w:val="both"/>
        <w:ind w:right="140" w:firstLine="384"/>
        <w:spacing w:after="0" w:line="257" w:lineRule="auto"/>
        <w:rPr>
          <w:sz w:val="20"/>
          <w:szCs w:val="20"/>
          <w:color w:val="auto"/>
        </w:rPr>
      </w:pPr>
      <w:r>
        <w:rPr>
          <w:rFonts w:ascii="Arial" w:cs="Arial" w:eastAsia="Arial" w:hAnsi="Arial"/>
          <w:sz w:val="17"/>
          <w:szCs w:val="17"/>
          <w:color w:val="auto"/>
        </w:rPr>
        <w:t>We have made payments totaling approximately $60.0 million to the Danish Tax Authority (SKAT) for assessments received for fiscal 2009, 2011 and 2013 regarding withholding taxes and the treatment of certain intercompany transactions involving a Danish affiliate and another of our affiliates. We continue to dispute the assessments for all of these periods and believe that the positions taken in our historical filings are valid.</w:t>
      </w:r>
    </w:p>
    <w:p>
      <w:pPr>
        <w:spacing w:after="0" w:line="140" w:lineRule="exact"/>
        <w:rPr>
          <w:sz w:val="20"/>
          <w:szCs w:val="20"/>
          <w:color w:val="auto"/>
        </w:rPr>
      </w:pPr>
    </w:p>
    <w:p>
      <w:pPr>
        <w:ind w:right="720" w:firstLine="384"/>
        <w:spacing w:after="0" w:line="262" w:lineRule="auto"/>
        <w:rPr>
          <w:sz w:val="20"/>
          <w:szCs w:val="20"/>
          <w:color w:val="auto"/>
        </w:rPr>
      </w:pPr>
      <w:r>
        <w:rPr>
          <w:rFonts w:ascii="Arial" w:cs="Arial" w:eastAsia="Arial" w:hAnsi="Arial"/>
          <w:sz w:val="17"/>
          <w:szCs w:val="17"/>
          <w:color w:val="auto"/>
        </w:rPr>
        <w:t>It is reasonably possible that we will adjust the value of our uncertain tax positions related to Danish withholding taxes based on potential European court decisions expected in 2018 on similar matters.</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Federal and State Uncertain Tax Positions</w:t>
      </w:r>
    </w:p>
    <w:p>
      <w:pPr>
        <w:spacing w:after="0" w:line="181" w:lineRule="exact"/>
        <w:rPr>
          <w:sz w:val="20"/>
          <w:szCs w:val="20"/>
          <w:color w:val="auto"/>
        </w:rPr>
      </w:pPr>
    </w:p>
    <w:p>
      <w:pPr>
        <w:ind w:right="40" w:firstLine="410"/>
        <w:spacing w:after="0" w:line="254" w:lineRule="auto"/>
        <w:rPr>
          <w:sz w:val="20"/>
          <w:szCs w:val="20"/>
          <w:color w:val="auto"/>
        </w:rPr>
      </w:pPr>
      <w:r>
        <w:rPr>
          <w:rFonts w:ascii="Arial" w:cs="Arial" w:eastAsia="Arial" w:hAnsi="Arial"/>
          <w:sz w:val="17"/>
          <w:szCs w:val="17"/>
          <w:color w:val="auto"/>
        </w:rPr>
        <w:t>It is reasonably possible that we will adjust the value of our uncertain tax positions related to our revenues from anti-CD20 therapeutic programs and certain transfer pricing issues as we receive additional information from various taxing authorities, including reaching settlements with the authorities. In addition, the Internal Revenue Service and other national tax authorities routinely examine our intercompany transfer pricing with respect to intellectual property related transactions and it is possible that they may disagree with one or more positions we have taken with respect to such valuations.</w:t>
      </w:r>
    </w:p>
    <w:p>
      <w:pPr>
        <w:spacing w:after="0" w:line="125" w:lineRule="exact"/>
        <w:rPr>
          <w:sz w:val="20"/>
          <w:szCs w:val="20"/>
          <w:color w:val="auto"/>
        </w:rPr>
      </w:pPr>
    </w:p>
    <w:p>
      <w:pPr>
        <w:ind w:left="620" w:hanging="618"/>
        <w:spacing w:after="0"/>
        <w:tabs>
          <w:tab w:leader="none" w:pos="620" w:val="left"/>
        </w:tabs>
        <w:numPr>
          <w:ilvl w:val="0"/>
          <w:numId w:val="117"/>
        </w:numPr>
        <w:rPr>
          <w:rFonts w:ascii="Arial" w:cs="Arial" w:eastAsia="Arial" w:hAnsi="Arial"/>
          <w:sz w:val="20"/>
          <w:szCs w:val="20"/>
          <w:b w:val="1"/>
          <w:bCs w:val="1"/>
          <w:color w:val="578196"/>
        </w:rPr>
      </w:pPr>
      <w:r>
        <w:rPr>
          <w:rFonts w:ascii="Arial" w:cs="Arial" w:eastAsia="Arial" w:hAnsi="Arial"/>
          <w:sz w:val="20"/>
          <w:szCs w:val="20"/>
          <w:b w:val="1"/>
          <w:bCs w:val="1"/>
          <w:color w:val="578196"/>
        </w:rPr>
        <w:t>Other Consolidated Financial Statement Detail</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Supplemental Cash Flow Information</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Supplemental disclosure of cash flow information for the years ended December 31, 2017, 2016 and 2015,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jc w:val="right"/>
              <w:ind w:right="215"/>
              <w:spacing w:after="0"/>
              <w:rPr>
                <w:sz w:val="20"/>
                <w:szCs w:val="20"/>
                <w:color w:val="auto"/>
              </w:rPr>
            </w:pPr>
            <w:r>
              <w:rPr>
                <w:rFonts w:ascii="Arial" w:cs="Arial" w:eastAsia="Arial" w:hAnsi="Arial"/>
                <w:sz w:val="14"/>
                <w:szCs w:val="14"/>
                <w:b w:val="1"/>
                <w:bCs w:val="1"/>
                <w:color w:val="auto"/>
              </w:rPr>
              <w:t>For the Years Ended December 31,</w:t>
            </w:r>
          </w:p>
        </w:tc>
        <w:tc>
          <w:tcPr>
            <w:tcW w:w="1360" w:type="dxa"/>
            <w:vAlign w:val="bottom"/>
            <w:tcBorders>
              <w:bottom w:val="single" w:sz="8" w:color="auto"/>
            </w:tcBorders>
          </w:tcPr>
          <w:p>
            <w:pPr>
              <w:spacing w:after="0"/>
              <w:rPr>
                <w:sz w:val="16"/>
                <w:szCs w:val="16"/>
                <w:color w:val="auto"/>
              </w:rPr>
            </w:pPr>
          </w:p>
        </w:tc>
      </w:tr>
      <w:tr>
        <w:trPr>
          <w:trHeight w:val="249"/>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b w:val="1"/>
                <w:bCs w:val="1"/>
                <w:color w:val="2573BA"/>
              </w:rPr>
              <w:t>2017</w:t>
            </w:r>
          </w:p>
        </w:tc>
        <w:tc>
          <w:tcPr>
            <w:tcW w:w="740" w:type="dxa"/>
            <w:vAlign w:val="bottom"/>
            <w:tcBorders>
              <w:bottom w:val="single" w:sz="8" w:color="auto"/>
            </w:tcBorders>
            <w:shd w:val="clear" w:color="auto" w:fill="DDDDDD"/>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b w:val="1"/>
                <w:bCs w:val="1"/>
                <w:color w:val="auto"/>
              </w:rPr>
              <w:t>2015</w:t>
            </w:r>
          </w:p>
        </w:tc>
      </w:tr>
      <w:tr>
        <w:trPr>
          <w:trHeight w:val="228"/>
        </w:trPr>
        <w:tc>
          <w:tcPr>
            <w:tcW w:w="5820" w:type="dxa"/>
            <w:vAlign w:val="bottom"/>
          </w:tcPr>
          <w:p>
            <w:pPr>
              <w:ind w:left="20"/>
              <w:spacing w:after="0"/>
              <w:rPr>
                <w:sz w:val="20"/>
                <w:szCs w:val="20"/>
                <w:color w:val="auto"/>
              </w:rPr>
            </w:pPr>
            <w:r>
              <w:rPr>
                <w:rFonts w:ascii="Arial" w:cs="Arial" w:eastAsia="Arial" w:hAnsi="Arial"/>
                <w:sz w:val="17"/>
                <w:szCs w:val="17"/>
                <w:color w:val="auto"/>
              </w:rPr>
              <w:t>Cash paid during the year for:</w:t>
            </w:r>
          </w:p>
        </w:tc>
        <w:tc>
          <w:tcPr>
            <w:tcW w:w="1120" w:type="dxa"/>
            <w:vAlign w:val="bottom"/>
            <w:shd w:val="clear" w:color="auto" w:fill="DDDDDD"/>
          </w:tcPr>
          <w:p>
            <w:pPr>
              <w:spacing w:after="0"/>
              <w:rPr>
                <w:sz w:val="19"/>
                <w:szCs w:val="19"/>
                <w:color w:val="auto"/>
              </w:rPr>
            </w:pPr>
          </w:p>
        </w:tc>
        <w:tc>
          <w:tcPr>
            <w:tcW w:w="740" w:type="dxa"/>
            <w:vAlign w:val="bottom"/>
            <w:shd w:val="clear" w:color="auto" w:fill="DDDDDD"/>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69"/>
        </w:trPr>
        <w:tc>
          <w:tcPr>
            <w:tcW w:w="5820" w:type="dxa"/>
            <w:vAlign w:val="bottom"/>
          </w:tcPr>
          <w:p>
            <w:pPr>
              <w:ind w:left="160"/>
              <w:spacing w:after="0"/>
              <w:rPr>
                <w:sz w:val="20"/>
                <w:szCs w:val="20"/>
                <w:color w:val="auto"/>
              </w:rPr>
            </w:pPr>
            <w:r>
              <w:rPr>
                <w:rFonts w:ascii="Arial" w:cs="Arial" w:eastAsia="Arial" w:hAnsi="Arial"/>
                <w:sz w:val="17"/>
                <w:szCs w:val="17"/>
                <w:color w:val="auto"/>
              </w:rPr>
              <w:t>Interest</w:t>
            </w:r>
          </w:p>
        </w:tc>
        <w:tc>
          <w:tcPr>
            <w:tcW w:w="1120" w:type="dxa"/>
            <w:vAlign w:val="bottom"/>
            <w:shd w:val="clear" w:color="auto" w:fill="DDDDDD"/>
          </w:tcPr>
          <w:p>
            <w:pPr>
              <w:jc w:val="right"/>
              <w:ind w:right="920"/>
              <w:spacing w:after="0"/>
              <w:rPr>
                <w:sz w:val="20"/>
                <w:szCs w:val="20"/>
                <w:color w:val="auto"/>
              </w:rPr>
            </w:pPr>
            <w:r>
              <w:rPr>
                <w:rFonts w:ascii="Arial" w:cs="Arial" w:eastAsia="Arial" w:hAnsi="Arial"/>
                <w:sz w:val="17"/>
                <w:szCs w:val="17"/>
                <w:color w:val="2573BA"/>
              </w:rPr>
              <w:t>$</w:t>
            </w:r>
          </w:p>
        </w:tc>
        <w:tc>
          <w:tcPr>
            <w:tcW w:w="740" w:type="dxa"/>
            <w:vAlign w:val="bottom"/>
            <w:shd w:val="clear" w:color="auto" w:fill="DDDDDD"/>
          </w:tcPr>
          <w:p>
            <w:pPr>
              <w:jc w:val="right"/>
              <w:ind w:right="40"/>
              <w:spacing w:after="0"/>
              <w:rPr>
                <w:sz w:val="20"/>
                <w:szCs w:val="20"/>
                <w:color w:val="auto"/>
              </w:rPr>
            </w:pPr>
            <w:r>
              <w:rPr>
                <w:rFonts w:ascii="Arial" w:cs="Arial" w:eastAsia="Arial" w:hAnsi="Arial"/>
                <w:sz w:val="17"/>
                <w:szCs w:val="17"/>
                <w:color w:val="2573BA"/>
              </w:rPr>
              <w:t>281.7</w:t>
            </w:r>
          </w:p>
        </w:tc>
        <w:tc>
          <w:tcPr>
            <w:tcW w:w="5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20"/>
              <w:spacing w:after="0"/>
              <w:rPr>
                <w:sz w:val="20"/>
                <w:szCs w:val="20"/>
                <w:color w:val="auto"/>
              </w:rPr>
            </w:pPr>
            <w:r>
              <w:rPr>
                <w:rFonts w:ascii="Arial" w:cs="Arial" w:eastAsia="Arial" w:hAnsi="Arial"/>
                <w:sz w:val="17"/>
                <w:szCs w:val="17"/>
                <w:color w:val="auto"/>
              </w:rPr>
              <w:t>281.2</w:t>
            </w:r>
          </w:p>
        </w:tc>
        <w:tc>
          <w:tcPr>
            <w:tcW w:w="100" w:type="dxa"/>
            <w:vAlign w:val="bottom"/>
          </w:tcPr>
          <w:p>
            <w:pPr>
              <w:spacing w:after="0"/>
              <w:rPr>
                <w:sz w:val="23"/>
                <w:szCs w:val="23"/>
                <w:color w:val="auto"/>
              </w:rPr>
            </w:pPr>
          </w:p>
        </w:tc>
        <w:tc>
          <w:tcPr>
            <w:tcW w:w="460" w:type="dxa"/>
            <w:vAlign w:val="bottom"/>
          </w:tcPr>
          <w:p>
            <w:pPr>
              <w:jc w:val="right"/>
              <w:ind w:right="255"/>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20"/>
              <w:spacing w:after="0"/>
              <w:rPr>
                <w:sz w:val="20"/>
                <w:szCs w:val="20"/>
                <w:color w:val="auto"/>
              </w:rPr>
            </w:pPr>
            <w:r>
              <w:rPr>
                <w:rFonts w:ascii="Arial" w:cs="Arial" w:eastAsia="Arial" w:hAnsi="Arial"/>
                <w:sz w:val="17"/>
                <w:szCs w:val="17"/>
                <w:color w:val="auto"/>
              </w:rPr>
              <w:t>39.1</w:t>
            </w:r>
          </w:p>
        </w:tc>
      </w:tr>
      <w:tr>
        <w:trPr>
          <w:trHeight w:val="270"/>
        </w:trPr>
        <w:tc>
          <w:tcPr>
            <w:tcW w:w="5820" w:type="dxa"/>
            <w:vAlign w:val="bottom"/>
          </w:tcPr>
          <w:p>
            <w:pPr>
              <w:ind w:left="160"/>
              <w:spacing w:after="0"/>
              <w:rPr>
                <w:sz w:val="20"/>
                <w:szCs w:val="20"/>
                <w:color w:val="auto"/>
              </w:rPr>
            </w:pPr>
            <w:r>
              <w:rPr>
                <w:rFonts w:ascii="Arial" w:cs="Arial" w:eastAsia="Arial" w:hAnsi="Arial"/>
                <w:sz w:val="17"/>
                <w:szCs w:val="17"/>
                <w:color w:val="auto"/>
              </w:rPr>
              <w:t>Income taxes</w:t>
            </w:r>
          </w:p>
        </w:tc>
        <w:tc>
          <w:tcPr>
            <w:tcW w:w="1120" w:type="dxa"/>
            <w:vAlign w:val="bottom"/>
            <w:shd w:val="clear" w:color="auto" w:fill="DDDDDD"/>
          </w:tcPr>
          <w:p>
            <w:pPr>
              <w:jc w:val="right"/>
              <w:ind w:right="920"/>
              <w:spacing w:after="0"/>
              <w:rPr>
                <w:sz w:val="20"/>
                <w:szCs w:val="20"/>
                <w:color w:val="auto"/>
              </w:rPr>
            </w:pPr>
            <w:r>
              <w:rPr>
                <w:rFonts w:ascii="Arial" w:cs="Arial" w:eastAsia="Arial" w:hAnsi="Arial"/>
                <w:sz w:val="17"/>
                <w:szCs w:val="17"/>
                <w:color w:val="2573BA"/>
              </w:rPr>
              <w:t>$</w:t>
            </w:r>
          </w:p>
        </w:tc>
        <w:tc>
          <w:tcPr>
            <w:tcW w:w="740" w:type="dxa"/>
            <w:vAlign w:val="bottom"/>
            <w:shd w:val="clear" w:color="auto" w:fill="DDDDDD"/>
          </w:tcPr>
          <w:p>
            <w:pPr>
              <w:jc w:val="right"/>
              <w:ind w:right="40"/>
              <w:spacing w:after="0"/>
              <w:rPr>
                <w:sz w:val="20"/>
                <w:szCs w:val="20"/>
                <w:color w:val="auto"/>
              </w:rPr>
            </w:pPr>
            <w:r>
              <w:rPr>
                <w:rFonts w:ascii="Arial" w:cs="Arial" w:eastAsia="Arial" w:hAnsi="Arial"/>
                <w:sz w:val="17"/>
                <w:szCs w:val="17"/>
                <w:color w:val="2573BA"/>
              </w:rPr>
              <w:t>1,066.4</w:t>
            </w:r>
          </w:p>
        </w:tc>
        <w:tc>
          <w:tcPr>
            <w:tcW w:w="5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20"/>
              <w:spacing w:after="0"/>
              <w:rPr>
                <w:sz w:val="20"/>
                <w:szCs w:val="20"/>
                <w:color w:val="auto"/>
              </w:rPr>
            </w:pPr>
            <w:r>
              <w:rPr>
                <w:rFonts w:ascii="Arial" w:cs="Arial" w:eastAsia="Arial" w:hAnsi="Arial"/>
                <w:sz w:val="17"/>
                <w:szCs w:val="17"/>
                <w:color w:val="auto"/>
              </w:rPr>
              <w:t>1,642.2</w:t>
            </w:r>
          </w:p>
        </w:tc>
        <w:tc>
          <w:tcPr>
            <w:tcW w:w="100" w:type="dxa"/>
            <w:vAlign w:val="bottom"/>
          </w:tcPr>
          <w:p>
            <w:pPr>
              <w:spacing w:after="0"/>
              <w:rPr>
                <w:sz w:val="23"/>
                <w:szCs w:val="23"/>
                <w:color w:val="auto"/>
              </w:rPr>
            </w:pPr>
          </w:p>
        </w:tc>
        <w:tc>
          <w:tcPr>
            <w:tcW w:w="460" w:type="dxa"/>
            <w:vAlign w:val="bottom"/>
          </w:tcPr>
          <w:p>
            <w:pPr>
              <w:jc w:val="right"/>
              <w:ind w:right="255"/>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20"/>
              <w:spacing w:after="0"/>
              <w:rPr>
                <w:sz w:val="20"/>
                <w:szCs w:val="20"/>
                <w:color w:val="auto"/>
              </w:rPr>
            </w:pPr>
            <w:r>
              <w:rPr>
                <w:rFonts w:ascii="Arial" w:cs="Arial" w:eastAsia="Arial" w:hAnsi="Arial"/>
                <w:sz w:val="17"/>
                <w:szCs w:val="17"/>
                <w:color w:val="auto"/>
              </w:rPr>
              <w:t>1,674.8</w:t>
            </w:r>
          </w:p>
        </w:tc>
      </w:tr>
    </w:tbl>
    <w:p>
      <w:pPr>
        <w:spacing w:after="0" w:line="13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Non-cash Operating, Investing and Financing Activity</w:t>
      </w:r>
    </w:p>
    <w:p>
      <w:pPr>
        <w:spacing w:after="0" w:line="93" w:lineRule="exact"/>
        <w:rPr>
          <w:sz w:val="20"/>
          <w:szCs w:val="20"/>
          <w:color w:val="auto"/>
        </w:rPr>
      </w:pPr>
    </w:p>
    <w:p>
      <w:pPr>
        <w:ind w:right="60" w:firstLine="410"/>
        <w:spacing w:after="0" w:line="260" w:lineRule="auto"/>
        <w:rPr>
          <w:sz w:val="20"/>
          <w:szCs w:val="20"/>
          <w:color w:val="auto"/>
        </w:rPr>
      </w:pPr>
      <w:r>
        <w:rPr>
          <w:rFonts w:ascii="Arial" w:cs="Arial" w:eastAsia="Arial" w:hAnsi="Arial"/>
          <w:sz w:val="17"/>
          <w:szCs w:val="17"/>
          <w:color w:val="auto"/>
        </w:rPr>
        <w:t xml:space="preserve">In the fourth quarter of 2017 we accrued $600.0 million upon reaching $15.0 billion and $16.0 billion in total cumulative sales of FUMADERM and TECFIDERA (together, the Fumapharm Products). The amount, net of tax benefit, was accounted for as an increase to goodwill in accordance with the accounting standard applicable to business combinations when we acquired Fumapharm, and is expected to be paid in the first quarter of 2018. For additional information on this transaction, please read Note 22,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to these consolidated financial statements.</w:t>
      </w:r>
    </w:p>
    <w:p>
      <w:pPr>
        <w:spacing w:after="0" w:line="138" w:lineRule="exact"/>
        <w:rPr>
          <w:sz w:val="20"/>
          <w:szCs w:val="20"/>
          <w:color w:val="auto"/>
        </w:rPr>
      </w:pPr>
    </w:p>
    <w:p>
      <w:pPr>
        <w:ind w:right="340" w:firstLine="410"/>
        <w:spacing w:after="0" w:line="255" w:lineRule="auto"/>
        <w:rPr>
          <w:sz w:val="20"/>
          <w:szCs w:val="20"/>
          <w:color w:val="auto"/>
        </w:rPr>
      </w:pPr>
      <w:r>
        <w:rPr>
          <w:rFonts w:ascii="Arial" w:cs="Arial" w:eastAsia="Arial" w:hAnsi="Arial"/>
          <w:sz w:val="17"/>
          <w:szCs w:val="17"/>
          <w:color w:val="auto"/>
        </w:rPr>
        <w:t xml:space="preserve">In connection with the construction of our large-scale biologics manufacturing facility in Solothurn, Switzerland, we accrued charges related to processing equipment and engineering services of approximately $150.0 million and $100.0 million in our consolidated balance sheets as of December 31, 2017 and 2016, respectively. For additional information on this matter, please read Note 11,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xml:space="preserve"> to these consolidated financial statements.</w:t>
      </w:r>
    </w:p>
    <w:p>
      <w:pPr>
        <w:spacing w:after="0" w:line="143" w:lineRule="exact"/>
        <w:rPr>
          <w:sz w:val="20"/>
          <w:szCs w:val="20"/>
          <w:color w:val="auto"/>
        </w:rPr>
      </w:pPr>
    </w:p>
    <w:p>
      <w:pPr>
        <w:ind w:firstLine="410"/>
        <w:spacing w:after="0" w:line="262" w:lineRule="auto"/>
        <w:rPr>
          <w:sz w:val="20"/>
          <w:szCs w:val="20"/>
          <w:color w:val="auto"/>
        </w:rPr>
      </w:pPr>
      <w:r>
        <w:rPr>
          <w:rFonts w:ascii="Arial" w:cs="Arial" w:eastAsia="Arial" w:hAnsi="Arial"/>
          <w:sz w:val="17"/>
          <w:szCs w:val="17"/>
          <w:color w:val="auto"/>
        </w:rPr>
        <w:t xml:space="preserve">In December 2016 we accrued $454.8 million related to the settlement and license agreement with Forward Pharma. For additional information on this transaction, please read Note 7, </w:t>
      </w:r>
      <w:r>
        <w:rPr>
          <w:rFonts w:ascii="Arial" w:cs="Arial" w:eastAsia="Arial" w:hAnsi="Arial"/>
          <w:sz w:val="17"/>
          <w:szCs w:val="17"/>
          <w:i w:val="1"/>
          <w:iCs w:val="1"/>
          <w:color w:val="auto"/>
        </w:rPr>
        <w:t>Intangible Assets and Goodwill,</w:t>
      </w:r>
      <w:r>
        <w:rPr>
          <w:rFonts w:ascii="Arial" w:cs="Arial" w:eastAsia="Arial" w:hAnsi="Arial"/>
          <w:sz w:val="17"/>
          <w:szCs w:val="17"/>
          <w:color w:val="auto"/>
        </w:rPr>
        <w:t xml:space="preserve"> to these consolidated financial statements.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F- 53</w:t>
      </w:r>
    </w:p>
    <w:p>
      <w:pPr>
        <w:sectPr>
          <w:pgSz w:w="11900" w:h="16838" w:orient="portrait"/>
          <w:cols w:equalWidth="0" w:num="1">
            <w:col w:w="11420"/>
          </w:cols>
          <w:pgMar w:left="240" w:top="139" w:right="239" w:bottom="1440" w:gutter="0" w:footer="0" w:header="0"/>
        </w:sectPr>
      </w:pPr>
    </w:p>
    <w:bookmarkStart w:id="155" w:name="page156"/>
    <w:bookmarkEnd w:id="15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90" w:lineRule="exact"/>
        <w:rPr>
          <w:sz w:val="20"/>
          <w:szCs w:val="20"/>
          <w:color w:val="auto"/>
        </w:rPr>
      </w:pPr>
    </w:p>
    <w:p>
      <w:pPr>
        <w:ind w:right="100" w:firstLine="410"/>
        <w:spacing w:after="0" w:line="262" w:lineRule="auto"/>
        <w:rPr>
          <w:sz w:val="20"/>
          <w:szCs w:val="20"/>
          <w:color w:val="auto"/>
        </w:rPr>
      </w:pPr>
      <w:r>
        <w:rPr>
          <w:rFonts w:ascii="Arial" w:cs="Arial" w:eastAsia="Arial" w:hAnsi="Arial"/>
          <w:sz w:val="17"/>
          <w:szCs w:val="17"/>
          <w:color w:val="auto"/>
        </w:rPr>
        <w:t xml:space="preserve">In February 2015 upon completion of our acquisition of Convergence, we recorded a contingent consideration obligation of $274.5 million as part of the purchase price. For additional information on this transaction, please read Note 2, </w:t>
      </w:r>
      <w:r>
        <w:rPr>
          <w:rFonts w:ascii="Arial" w:cs="Arial" w:eastAsia="Arial" w:hAnsi="Arial"/>
          <w:sz w:val="17"/>
          <w:szCs w:val="17"/>
          <w:i w:val="1"/>
          <w:iCs w:val="1"/>
          <w:color w:val="auto"/>
        </w:rPr>
        <w:t>Acquisitions,</w:t>
      </w:r>
      <w:r>
        <w:rPr>
          <w:rFonts w:ascii="Arial" w:cs="Arial" w:eastAsia="Arial" w:hAnsi="Arial"/>
          <w:sz w:val="17"/>
          <w:szCs w:val="17"/>
          <w:color w:val="auto"/>
        </w:rPr>
        <w:t xml:space="preserve"> to these consolidated financial statements.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Other Income (Expense), Net</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Components of other income (expense), net, are summarized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6"/>
          </w:tcPr>
          <w:p>
            <w:pPr>
              <w:jc w:val="right"/>
              <w:ind w:right="175"/>
              <w:spacing w:after="0"/>
              <w:rPr>
                <w:sz w:val="20"/>
                <w:szCs w:val="20"/>
                <w:color w:val="auto"/>
              </w:rPr>
            </w:pPr>
            <w:r>
              <w:rPr>
                <w:rFonts w:ascii="Arial" w:cs="Arial" w:eastAsia="Arial" w:hAnsi="Arial"/>
                <w:sz w:val="14"/>
                <w:szCs w:val="14"/>
                <w:b w:val="1"/>
                <w:bCs w:val="1"/>
                <w:color w:val="auto"/>
              </w:rPr>
              <w:t>For the Years Ended December 31,</w:t>
            </w:r>
          </w:p>
        </w:tc>
        <w:tc>
          <w:tcPr>
            <w:tcW w:w="1280" w:type="dxa"/>
            <w:vAlign w:val="bottom"/>
            <w:tcBorders>
              <w:bottom w:val="single" w:sz="8" w:color="auto"/>
            </w:tcBorders>
          </w:tcPr>
          <w:p>
            <w:pPr>
              <w:spacing w:after="0"/>
              <w:rPr>
                <w:sz w:val="16"/>
                <w:szCs w:val="16"/>
                <w:color w:val="auto"/>
              </w:rPr>
            </w:pPr>
          </w:p>
        </w:tc>
      </w:tr>
      <w:tr>
        <w:trPr>
          <w:trHeight w:val="249"/>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Borders>
              <w:bottom w:val="single" w:sz="8" w:color="auto"/>
            </w:tcBorders>
            <w:shd w:val="clear" w:color="auto" w:fill="DDDDDD"/>
          </w:tcPr>
          <w:p>
            <w:pPr>
              <w:spacing w:after="0"/>
              <w:rPr>
                <w:sz w:val="21"/>
                <w:szCs w:val="21"/>
                <w:color w:val="auto"/>
              </w:rPr>
            </w:pPr>
          </w:p>
        </w:tc>
        <w:tc>
          <w:tcPr>
            <w:tcW w:w="1320" w:type="dxa"/>
            <w:vAlign w:val="bottom"/>
            <w:tcBorders>
              <w:bottom w:val="single" w:sz="8" w:color="auto"/>
            </w:tcBorders>
            <w:shd w:val="clear" w:color="auto" w:fill="DDDDDD"/>
          </w:tcPr>
          <w:p>
            <w:pPr>
              <w:jc w:val="right"/>
              <w:ind w:right="639"/>
              <w:spacing w:after="0"/>
              <w:rPr>
                <w:sz w:val="20"/>
                <w:szCs w:val="20"/>
                <w:color w:val="auto"/>
              </w:rPr>
            </w:pPr>
            <w:r>
              <w:rPr>
                <w:rFonts w:ascii="Arial" w:cs="Arial" w:eastAsia="Arial" w:hAnsi="Arial"/>
                <w:sz w:val="14"/>
                <w:szCs w:val="14"/>
                <w:b w:val="1"/>
                <w:bCs w:val="1"/>
                <w:color w:val="2573BA"/>
              </w:rPr>
              <w:t>2017</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2015</w:t>
            </w:r>
          </w:p>
        </w:tc>
      </w:tr>
      <w:tr>
        <w:trPr>
          <w:trHeight w:val="242"/>
        </w:trPr>
        <w:tc>
          <w:tcPr>
            <w:tcW w:w="604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420" w:type="dxa"/>
            <w:vAlign w:val="bottom"/>
            <w:shd w:val="clear" w:color="auto" w:fill="DDDDDD"/>
          </w:tcPr>
          <w:p>
            <w:pPr>
              <w:jc w:val="right"/>
              <w:ind w:right="215"/>
              <w:spacing w:after="0"/>
              <w:rPr>
                <w:sz w:val="20"/>
                <w:szCs w:val="20"/>
                <w:color w:val="auto"/>
              </w:rPr>
            </w:pPr>
            <w:r>
              <w:rPr>
                <w:rFonts w:ascii="Arial" w:cs="Arial" w:eastAsia="Arial" w:hAnsi="Arial"/>
                <w:sz w:val="17"/>
                <w:szCs w:val="17"/>
                <w:color w:val="2573BA"/>
              </w:rPr>
              <w:t>$</w:t>
            </w:r>
          </w:p>
        </w:tc>
        <w:tc>
          <w:tcPr>
            <w:tcW w:w="132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78.5</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7"/>
              <w:spacing w:after="0"/>
              <w:rPr>
                <w:sz w:val="20"/>
                <w:szCs w:val="20"/>
                <w:color w:val="auto"/>
              </w:rPr>
            </w:pPr>
            <w:r>
              <w:rPr>
                <w:rFonts w:ascii="Arial" w:cs="Arial" w:eastAsia="Arial" w:hAnsi="Arial"/>
                <w:sz w:val="17"/>
                <w:szCs w:val="17"/>
                <w:color w:val="auto"/>
              </w:rPr>
              <w:t>63.4</w:t>
            </w:r>
          </w:p>
        </w:tc>
        <w:tc>
          <w:tcPr>
            <w:tcW w:w="100" w:type="dxa"/>
            <w:vAlign w:val="bottom"/>
          </w:tcPr>
          <w:p>
            <w:pPr>
              <w:spacing w:after="0"/>
              <w:rPr>
                <w:sz w:val="21"/>
                <w:szCs w:val="21"/>
                <w:color w:val="auto"/>
              </w:rPr>
            </w:pP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22.1</w:t>
            </w:r>
          </w:p>
        </w:tc>
      </w:tr>
      <w:tr>
        <w:trPr>
          <w:trHeight w:val="242"/>
        </w:trPr>
        <w:tc>
          <w:tcPr>
            <w:tcW w:w="604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2573BA"/>
              </w:rPr>
              <w:t>(250.8)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(260.0)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(95.5)</w:t>
            </w:r>
          </w:p>
        </w:tc>
      </w:tr>
      <w:tr>
        <w:trPr>
          <w:trHeight w:val="256"/>
        </w:trPr>
        <w:tc>
          <w:tcPr>
            <w:tcW w:w="6040" w:type="dxa"/>
            <w:vAlign w:val="bottom"/>
          </w:tcPr>
          <w:p>
            <w:pPr>
              <w:ind w:left="20"/>
              <w:spacing w:after="0"/>
              <w:rPr>
                <w:sz w:val="20"/>
                <w:szCs w:val="20"/>
                <w:color w:val="auto"/>
              </w:rPr>
            </w:pPr>
            <w:r>
              <w:rPr>
                <w:rFonts w:ascii="Arial" w:cs="Arial" w:eastAsia="Arial" w:hAnsi="Arial"/>
                <w:sz w:val="17"/>
                <w:szCs w:val="17"/>
                <w:color w:val="auto"/>
              </w:rPr>
              <w:t>Gain (loss) on investments, net</w:t>
            </w: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2573BA"/>
              </w:rPr>
              <w:t>(36.3)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17"/>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56"/>
        </w:trPr>
        <w:tc>
          <w:tcPr>
            <w:tcW w:w="6040" w:type="dxa"/>
            <w:vAlign w:val="bottom"/>
          </w:tcPr>
          <w:p>
            <w:pPr>
              <w:ind w:left="20"/>
              <w:spacing w:after="0"/>
              <w:rPr>
                <w:sz w:val="20"/>
                <w:szCs w:val="20"/>
                <w:color w:val="auto"/>
              </w:rPr>
            </w:pPr>
            <w:r>
              <w:rPr>
                <w:rFonts w:ascii="Arial" w:cs="Arial" w:eastAsia="Arial" w:hAnsi="Arial"/>
                <w:sz w:val="17"/>
                <w:szCs w:val="17"/>
                <w:color w:val="auto"/>
              </w:rPr>
              <w:t>Foreign exchange gains (losses), net</w:t>
            </w:r>
          </w:p>
        </w:tc>
        <w:tc>
          <w:tcPr>
            <w:tcW w:w="42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7"/>
                <w:szCs w:val="17"/>
                <w:color w:val="2573BA"/>
              </w:rPr>
              <w:t>6.3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(32.7)</w:t>
            </w:r>
          </w:p>
        </w:tc>
      </w:tr>
      <w:tr>
        <w:trPr>
          <w:trHeight w:val="263"/>
        </w:trPr>
        <w:tc>
          <w:tcPr>
            <w:tcW w:w="6040" w:type="dxa"/>
            <w:vAlign w:val="bottom"/>
          </w:tcPr>
          <w:p>
            <w:pPr>
              <w:ind w:left="20"/>
              <w:spacing w:after="0"/>
              <w:rPr>
                <w:sz w:val="20"/>
                <w:szCs w:val="20"/>
                <w:color w:val="auto"/>
              </w:rPr>
            </w:pPr>
            <w:r>
              <w:rPr>
                <w:rFonts w:ascii="Arial" w:cs="Arial" w:eastAsia="Arial" w:hAnsi="Arial"/>
                <w:sz w:val="17"/>
                <w:szCs w:val="17"/>
                <w:color w:val="auto"/>
              </w:rPr>
              <w:t>Other, net</w:t>
            </w: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(13.1)</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w:t>
            </w:r>
          </w:p>
        </w:tc>
      </w:tr>
      <w:tr>
        <w:trPr>
          <w:trHeight w:val="236"/>
        </w:trPr>
        <w:tc>
          <w:tcPr>
            <w:tcW w:w="6040" w:type="dxa"/>
            <w:vAlign w:val="bottom"/>
          </w:tcPr>
          <w:p>
            <w:pPr>
              <w:ind w:left="160"/>
              <w:spacing w:after="0"/>
              <w:rPr>
                <w:sz w:val="20"/>
                <w:szCs w:val="20"/>
                <w:color w:val="auto"/>
              </w:rPr>
            </w:pPr>
            <w:r>
              <w:rPr>
                <w:rFonts w:ascii="Arial" w:cs="Arial" w:eastAsia="Arial" w:hAnsi="Arial"/>
                <w:sz w:val="17"/>
                <w:szCs w:val="17"/>
                <w:color w:val="auto"/>
              </w:rPr>
              <w:t>Total other income (expense), net</w:t>
            </w:r>
          </w:p>
        </w:tc>
        <w:tc>
          <w:tcPr>
            <w:tcW w:w="420" w:type="dxa"/>
            <w:vAlign w:val="bottom"/>
          </w:tcPr>
          <w:p>
            <w:pPr>
              <w:jc w:val="right"/>
              <w:ind w:right="215"/>
              <w:spacing w:after="0"/>
              <w:rPr>
                <w:sz w:val="20"/>
                <w:szCs w:val="20"/>
                <w:color w:val="auto"/>
              </w:rPr>
            </w:pPr>
            <w:r>
              <w:rPr>
                <w:rFonts w:ascii="Arial" w:cs="Arial" w:eastAsia="Arial" w:hAnsi="Arial"/>
                <w:sz w:val="17"/>
                <w:szCs w:val="17"/>
                <w:color w:val="2573BA"/>
              </w:rPr>
              <w:t>$</w:t>
            </w:r>
          </w:p>
        </w:tc>
        <w:tc>
          <w:tcPr>
            <w:tcW w:w="1320" w:type="dxa"/>
            <w:vAlign w:val="bottom"/>
          </w:tcPr>
          <w:p>
            <w:pPr>
              <w:jc w:val="right"/>
              <w:spacing w:after="0"/>
              <w:rPr>
                <w:sz w:val="20"/>
                <w:szCs w:val="20"/>
                <w:color w:val="auto"/>
              </w:rPr>
            </w:pPr>
            <w:r>
              <w:rPr>
                <w:rFonts w:ascii="Arial" w:cs="Arial" w:eastAsia="Arial" w:hAnsi="Arial"/>
                <w:sz w:val="17"/>
                <w:szCs w:val="17"/>
                <w:color w:val="2573BA"/>
              </w:rPr>
              <w:t>(215.4)</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(217.4)</w:t>
            </w:r>
          </w:p>
        </w:tc>
        <w:tc>
          <w:tcPr>
            <w:tcW w:w="100" w:type="dxa"/>
            <w:vAlign w:val="bottom"/>
          </w:tcPr>
          <w:p>
            <w:pPr>
              <w:spacing w:after="0"/>
              <w:rPr>
                <w:sz w:val="20"/>
                <w:szCs w:val="20"/>
                <w:color w:val="auto"/>
              </w:rPr>
            </w:pP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(123.7)</w:t>
            </w:r>
          </w:p>
        </w:tc>
      </w:tr>
      <w:tr>
        <w:trPr>
          <w:trHeight w:val="20"/>
        </w:trPr>
        <w:tc>
          <w:tcPr>
            <w:tcW w:w="60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3839845</wp:posOffset>
            </wp:positionH>
            <wp:positionV relativeFrom="paragraph">
              <wp:posOffset>-999490</wp:posOffset>
            </wp:positionV>
            <wp:extent cx="1106170" cy="9842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6">
                      <a:extLst>
                        <a:ext uri="{28A0092B-C50C-407E-A947-70E740481C1C}"/>
                      </a:extLst>
                    </a:blip>
                    <a:srcRect/>
                    <a:stretch>
                      <a:fillRect/>
                    </a:stretch>
                  </pic:blipFill>
                  <pic:spPr bwMode="auto">
                    <a:xfrm>
                      <a:off x="0" y="0"/>
                      <a:ext cx="1106170" cy="984250"/>
                    </a:xfrm>
                    <a:prstGeom prst="rect">
                      <a:avLst/>
                    </a:prstGeom>
                    <a:noFill/>
                  </pic:spPr>
                </pic:pic>
              </a:graphicData>
            </a:graphic>
          </wp:anchor>
        </w:drawing>
      </w:r>
    </w:p>
    <w:p>
      <w:pPr>
        <w:spacing w:after="0" w:line="133" w:lineRule="exact"/>
        <w:rPr>
          <w:sz w:val="20"/>
          <w:szCs w:val="20"/>
          <w:color w:val="auto"/>
        </w:rPr>
      </w:pPr>
    </w:p>
    <w:p>
      <w:pPr>
        <w:ind w:firstLine="410"/>
        <w:spacing w:after="0" w:line="257" w:lineRule="auto"/>
        <w:rPr>
          <w:sz w:val="20"/>
          <w:szCs w:val="20"/>
          <w:color w:val="auto"/>
        </w:rPr>
      </w:pPr>
      <w:r>
        <w:rPr>
          <w:rFonts w:ascii="Arial" w:cs="Arial" w:eastAsia="Arial" w:hAnsi="Arial"/>
          <w:sz w:val="17"/>
          <w:szCs w:val="17"/>
          <w:color w:val="auto"/>
        </w:rPr>
        <w:t xml:space="preserve">Interest expense for the year ended December 31, 2017, includes a $5.2 million charge recognized in November 2017 upon the redemption of our 6.875% Senior Notes due March 1, 2018. For additional information on the redemption of these notes, please read Note 12, </w:t>
      </w:r>
      <w:r>
        <w:rPr>
          <w:rFonts w:ascii="Arial" w:cs="Arial" w:eastAsia="Arial" w:hAnsi="Arial"/>
          <w:sz w:val="17"/>
          <w:szCs w:val="17"/>
          <w:i w:val="1"/>
          <w:iCs w:val="1"/>
          <w:color w:val="auto"/>
        </w:rPr>
        <w:t>Indebtedness,</w:t>
      </w:r>
      <w:r>
        <w:rPr>
          <w:rFonts w:ascii="Arial" w:cs="Arial" w:eastAsia="Arial" w:hAnsi="Arial"/>
          <w:sz w:val="17"/>
          <w:szCs w:val="17"/>
          <w:color w:val="auto"/>
        </w:rPr>
        <w:t xml:space="preserve"> to these consolidated financial statements.</w:t>
      </w:r>
    </w:p>
    <w:p>
      <w:pPr>
        <w:spacing w:after="0" w:line="140" w:lineRule="exact"/>
        <w:rPr>
          <w:sz w:val="20"/>
          <w:szCs w:val="20"/>
          <w:color w:val="auto"/>
        </w:rPr>
      </w:pPr>
    </w:p>
    <w:p>
      <w:pPr>
        <w:ind w:right="700" w:firstLine="410"/>
        <w:spacing w:after="0" w:line="262" w:lineRule="auto"/>
        <w:rPr>
          <w:sz w:val="20"/>
          <w:szCs w:val="20"/>
          <w:color w:val="auto"/>
        </w:rPr>
      </w:pPr>
      <w:r>
        <w:rPr>
          <w:rFonts w:ascii="Arial" w:cs="Arial" w:eastAsia="Arial" w:hAnsi="Arial"/>
          <w:sz w:val="17"/>
          <w:szCs w:val="17"/>
          <w:color w:val="auto"/>
        </w:rPr>
        <w:t>Gain (loss) on investments, net for the year ended December 31, 2017, includes other than temporary impairments recorded on strategic investments and marketable debt securities during the year.</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Other Current Assets</w:t>
      </w:r>
    </w:p>
    <w:p>
      <w:pPr>
        <w:spacing w:after="0" w:line="106" w:lineRule="exact"/>
        <w:rPr>
          <w:sz w:val="20"/>
          <w:szCs w:val="20"/>
          <w:color w:val="auto"/>
        </w:rPr>
      </w:pPr>
    </w:p>
    <w:p>
      <w:pPr>
        <w:ind w:right="780" w:firstLine="410"/>
        <w:spacing w:after="0" w:line="262" w:lineRule="auto"/>
        <w:rPr>
          <w:sz w:val="20"/>
          <w:szCs w:val="20"/>
          <w:color w:val="auto"/>
        </w:rPr>
      </w:pPr>
      <w:r>
        <w:rPr>
          <w:rFonts w:ascii="Arial" w:cs="Arial" w:eastAsia="Arial" w:hAnsi="Arial"/>
          <w:sz w:val="17"/>
          <w:szCs w:val="17"/>
          <w:color w:val="auto"/>
        </w:rPr>
        <w:t>Other current assets include prepaid taxes totaling approximately $657.6 million and $817.0 million as of December 31, 2017 and 2016, respectively.</w:t>
      </w:r>
    </w:p>
    <w:p>
      <w:pPr>
        <w:spacing w:after="0" w:line="60" w:lineRule="exact"/>
        <w:rPr>
          <w:sz w:val="20"/>
          <w:szCs w:val="20"/>
          <w:color w:val="auto"/>
        </w:rPr>
      </w:pPr>
    </w:p>
    <w:p>
      <w:pPr>
        <w:ind w:right="60" w:firstLine="410"/>
        <w:spacing w:after="0" w:line="257" w:lineRule="auto"/>
        <w:rPr>
          <w:sz w:val="20"/>
          <w:szCs w:val="20"/>
          <w:color w:val="auto"/>
        </w:rPr>
      </w:pPr>
      <w:r>
        <w:rPr>
          <w:rFonts w:ascii="Arial" w:cs="Arial" w:eastAsia="Arial" w:hAnsi="Arial"/>
          <w:sz w:val="17"/>
          <w:szCs w:val="17"/>
          <w:color w:val="auto"/>
        </w:rPr>
        <w:t xml:space="preserve">As a result of the Article 20 Procedure of ZINBRYTA, we impaired prepaid tax balances totaling $142.6 million. For additional information on the Article 20 Procedure of ZINBRYTA and resulting impairment of ZINBRYTA related assets, please read Note 20, </w:t>
      </w:r>
      <w:r>
        <w:rPr>
          <w:rFonts w:ascii="Arial" w:cs="Arial" w:eastAsia="Arial" w:hAnsi="Arial"/>
          <w:sz w:val="17"/>
          <w:szCs w:val="17"/>
          <w:i w:val="1"/>
          <w:iCs w:val="1"/>
          <w:color w:val="auto"/>
        </w:rPr>
        <w:t>Collaborative and Other Relationships,</w:t>
      </w:r>
      <w:r>
        <w:rPr>
          <w:rFonts w:ascii="Arial" w:cs="Arial" w:eastAsia="Arial" w:hAnsi="Arial"/>
          <w:sz w:val="17"/>
          <w:szCs w:val="17"/>
          <w:color w:val="auto"/>
        </w:rPr>
        <w:t xml:space="preserve"> to these consolidated financial statements.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Accrued Expenses and Other</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Accrued expenses and other consists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6"/>
                <w:szCs w:val="16"/>
                <w:color w:val="auto"/>
              </w:rPr>
            </w:pPr>
          </w:p>
        </w:tc>
      </w:tr>
      <w:tr>
        <w:trPr>
          <w:trHeight w:val="249"/>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bottom w:val="single" w:sz="8" w:color="auto"/>
            </w:tcBorders>
            <w:shd w:val="clear" w:color="auto" w:fill="DDDDDD"/>
          </w:tcPr>
          <w:p>
            <w:pPr>
              <w:spacing w:after="0"/>
              <w:rPr>
                <w:sz w:val="21"/>
                <w:szCs w:val="21"/>
                <w:color w:val="auto"/>
              </w:rPr>
            </w:pPr>
          </w:p>
        </w:tc>
        <w:tc>
          <w:tcPr>
            <w:tcW w:w="1400" w:type="dxa"/>
            <w:vAlign w:val="bottom"/>
            <w:tcBorders>
              <w:bottom w:val="single" w:sz="8" w:color="auto"/>
            </w:tcBorders>
            <w:shd w:val="clear" w:color="auto" w:fill="DDDDDD"/>
          </w:tcPr>
          <w:p>
            <w:pPr>
              <w:jc w:val="right"/>
              <w:ind w:right="678"/>
              <w:spacing w:after="0"/>
              <w:rPr>
                <w:sz w:val="20"/>
                <w:szCs w:val="20"/>
                <w:color w:val="auto"/>
              </w:rPr>
            </w:pPr>
            <w:r>
              <w:rPr>
                <w:rFonts w:ascii="Arial" w:cs="Arial" w:eastAsia="Arial" w:hAnsi="Arial"/>
                <w:sz w:val="14"/>
                <w:szCs w:val="14"/>
                <w:b w:val="1"/>
                <w:bCs w:val="1"/>
                <w:color w:val="2573BA"/>
              </w:rPr>
              <w:t>2017</w:t>
            </w:r>
          </w:p>
        </w:tc>
        <w:tc>
          <w:tcPr>
            <w:tcW w:w="10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2016</w:t>
            </w:r>
          </w:p>
        </w:tc>
      </w:tr>
      <w:tr>
        <w:trPr>
          <w:trHeight w:val="228"/>
        </w:trPr>
        <w:tc>
          <w:tcPr>
            <w:tcW w:w="7640" w:type="dxa"/>
            <w:vAlign w:val="bottom"/>
          </w:tcPr>
          <w:p>
            <w:pPr>
              <w:ind w:left="20"/>
              <w:spacing w:after="0"/>
              <w:rPr>
                <w:sz w:val="20"/>
                <w:szCs w:val="20"/>
                <w:color w:val="auto"/>
              </w:rPr>
            </w:pPr>
            <w:r>
              <w:rPr>
                <w:rFonts w:ascii="Arial" w:cs="Arial" w:eastAsia="Arial" w:hAnsi="Arial"/>
                <w:sz w:val="17"/>
                <w:szCs w:val="17"/>
                <w:color w:val="auto"/>
              </w:rPr>
              <w:t>Current portion of contingent consideration obligations</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844.6</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580.8</w:t>
            </w:r>
          </w:p>
        </w:tc>
      </w:tr>
      <w:tr>
        <w:trPr>
          <w:trHeight w:val="256"/>
        </w:trPr>
        <w:tc>
          <w:tcPr>
            <w:tcW w:w="7640" w:type="dxa"/>
            <w:vAlign w:val="bottom"/>
          </w:tcPr>
          <w:p>
            <w:pPr>
              <w:ind w:left="20"/>
              <w:spacing w:after="0"/>
              <w:rPr>
                <w:sz w:val="20"/>
                <w:szCs w:val="20"/>
                <w:color w:val="auto"/>
              </w:rPr>
            </w:pPr>
            <w:r>
              <w:rPr>
                <w:rFonts w:ascii="Arial" w:cs="Arial" w:eastAsia="Arial" w:hAnsi="Arial"/>
                <w:sz w:val="17"/>
                <w:szCs w:val="17"/>
                <w:color w:val="auto"/>
              </w:rPr>
              <w:t>Revenue-related reserves for discounts and allowances</w:t>
            </w: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572.0</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438.6</w:t>
            </w:r>
          </w:p>
        </w:tc>
      </w:tr>
      <w:tr>
        <w:trPr>
          <w:trHeight w:val="256"/>
        </w:trPr>
        <w:tc>
          <w:tcPr>
            <w:tcW w:w="7640" w:type="dxa"/>
            <w:vAlign w:val="bottom"/>
          </w:tcPr>
          <w:p>
            <w:pPr>
              <w:ind w:left="20"/>
              <w:spacing w:after="0"/>
              <w:rPr>
                <w:sz w:val="20"/>
                <w:szCs w:val="20"/>
                <w:color w:val="auto"/>
              </w:rPr>
            </w:pPr>
            <w:r>
              <w:rPr>
                <w:rFonts w:ascii="Arial" w:cs="Arial" w:eastAsia="Arial" w:hAnsi="Arial"/>
                <w:sz w:val="17"/>
                <w:szCs w:val="17"/>
                <w:color w:val="auto"/>
              </w:rPr>
              <w:t>Employee compensation and benefits</w:t>
            </w: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297.7</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282.9</w:t>
            </w:r>
          </w:p>
        </w:tc>
      </w:tr>
      <w:tr>
        <w:trPr>
          <w:trHeight w:val="256"/>
        </w:trPr>
        <w:tc>
          <w:tcPr>
            <w:tcW w:w="7640" w:type="dxa"/>
            <w:vAlign w:val="bottom"/>
          </w:tcPr>
          <w:p>
            <w:pPr>
              <w:ind w:left="20"/>
              <w:spacing w:after="0"/>
              <w:rPr>
                <w:sz w:val="20"/>
                <w:szCs w:val="20"/>
                <w:color w:val="auto"/>
              </w:rPr>
            </w:pPr>
            <w:r>
              <w:rPr>
                <w:rFonts w:ascii="Arial" w:cs="Arial" w:eastAsia="Arial" w:hAnsi="Arial"/>
                <w:sz w:val="17"/>
                <w:szCs w:val="17"/>
                <w:color w:val="auto"/>
              </w:rPr>
              <w:t>Royalties and licensing fees</w:t>
            </w: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206.7</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195.8</w:t>
            </w:r>
          </w:p>
        </w:tc>
      </w:tr>
      <w:tr>
        <w:trPr>
          <w:trHeight w:val="256"/>
        </w:trPr>
        <w:tc>
          <w:tcPr>
            <w:tcW w:w="7640" w:type="dxa"/>
            <w:vAlign w:val="bottom"/>
          </w:tcPr>
          <w:p>
            <w:pPr>
              <w:ind w:left="20"/>
              <w:spacing w:after="0"/>
              <w:rPr>
                <w:sz w:val="20"/>
                <w:szCs w:val="20"/>
                <w:color w:val="auto"/>
              </w:rPr>
            </w:pPr>
            <w:r>
              <w:rPr>
                <w:rFonts w:ascii="Arial" w:cs="Arial" w:eastAsia="Arial" w:hAnsi="Arial"/>
                <w:sz w:val="17"/>
                <w:szCs w:val="17"/>
                <w:color w:val="auto"/>
              </w:rPr>
              <w:t>Collaboration expenses</w:t>
            </w: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183.7</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130.9</w:t>
            </w:r>
          </w:p>
        </w:tc>
      </w:tr>
      <w:tr>
        <w:trPr>
          <w:trHeight w:val="256"/>
        </w:trPr>
        <w:tc>
          <w:tcPr>
            <w:tcW w:w="7640" w:type="dxa"/>
            <w:vAlign w:val="bottom"/>
          </w:tcPr>
          <w:p>
            <w:pPr>
              <w:ind w:left="20"/>
              <w:spacing w:after="0"/>
              <w:rPr>
                <w:sz w:val="20"/>
                <w:szCs w:val="20"/>
                <w:color w:val="auto"/>
              </w:rPr>
            </w:pPr>
            <w:r>
              <w:rPr>
                <w:rFonts w:ascii="Arial" w:cs="Arial" w:eastAsia="Arial" w:hAnsi="Arial"/>
                <w:sz w:val="17"/>
                <w:szCs w:val="17"/>
                <w:color w:val="auto"/>
              </w:rPr>
              <w:t>Construction in progress</w:t>
            </w: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159.7</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134.0</w:t>
            </w:r>
          </w:p>
        </w:tc>
      </w:tr>
      <w:tr>
        <w:trPr>
          <w:trHeight w:val="256"/>
        </w:trPr>
        <w:tc>
          <w:tcPr>
            <w:tcW w:w="7640" w:type="dxa"/>
            <w:vAlign w:val="bottom"/>
          </w:tcPr>
          <w:p>
            <w:pPr>
              <w:ind w:left="20"/>
              <w:spacing w:after="0"/>
              <w:rPr>
                <w:sz w:val="20"/>
                <w:szCs w:val="20"/>
                <w:color w:val="auto"/>
              </w:rPr>
            </w:pPr>
            <w:r>
              <w:rPr>
                <w:rFonts w:ascii="Arial" w:cs="Arial" w:eastAsia="Arial" w:hAnsi="Arial"/>
                <w:sz w:val="17"/>
                <w:szCs w:val="17"/>
                <w:color w:val="auto"/>
              </w:rPr>
              <w:t>Accrued TECFIDERA litigation settlement charge</w:t>
            </w: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454.8</w:t>
            </w:r>
          </w:p>
        </w:tc>
      </w:tr>
      <w:tr>
        <w:trPr>
          <w:trHeight w:val="263"/>
        </w:trPr>
        <w:tc>
          <w:tcPr>
            <w:tcW w:w="7640" w:type="dxa"/>
            <w:vAlign w:val="bottom"/>
          </w:tcPr>
          <w:p>
            <w:pPr>
              <w:ind w:left="20"/>
              <w:spacing w:after="0"/>
              <w:rPr>
                <w:sz w:val="20"/>
                <w:szCs w:val="20"/>
                <w:color w:val="auto"/>
              </w:rPr>
            </w:pPr>
            <w:r>
              <w:rPr>
                <w:rFonts w:ascii="Arial" w:cs="Arial" w:eastAsia="Arial" w:hAnsi="Arial"/>
                <w:sz w:val="17"/>
                <w:szCs w:val="17"/>
                <w:color w:val="auto"/>
              </w:rPr>
              <w:t>Other</w:t>
            </w:r>
          </w:p>
        </w:tc>
        <w:tc>
          <w:tcPr>
            <w:tcW w:w="440" w:type="dxa"/>
            <w:vAlign w:val="bottom"/>
            <w:tcBorders>
              <w:bottom w:val="single" w:sz="8" w:color="auto"/>
            </w:tcBorders>
            <w:shd w:val="clear" w:color="auto" w:fill="DDDDDD"/>
          </w:tcPr>
          <w:p>
            <w:pPr>
              <w:spacing w:after="0"/>
              <w:rPr>
                <w:sz w:val="22"/>
                <w:szCs w:val="22"/>
                <w:color w:val="auto"/>
              </w:rPr>
            </w:pPr>
          </w:p>
        </w:tc>
        <w:tc>
          <w:tcPr>
            <w:tcW w:w="1400" w:type="dxa"/>
            <w:vAlign w:val="bottom"/>
            <w:tcBorders>
              <w:bottom w:val="single" w:sz="8" w:color="auto"/>
            </w:tcBorders>
            <w:shd w:val="clear" w:color="auto" w:fill="DDDDDD"/>
          </w:tcPr>
          <w:p>
            <w:pPr>
              <w:jc w:val="right"/>
              <w:ind w:right="18"/>
              <w:spacing w:after="0"/>
              <w:rPr>
                <w:sz w:val="20"/>
                <w:szCs w:val="20"/>
                <w:color w:val="auto"/>
              </w:rPr>
            </w:pPr>
            <w:r>
              <w:rPr>
                <w:rFonts w:ascii="Arial" w:cs="Arial" w:eastAsia="Arial" w:hAnsi="Arial"/>
                <w:sz w:val="17"/>
                <w:szCs w:val="17"/>
                <w:color w:val="2573BA"/>
              </w:rPr>
              <w:t>636.9</w:t>
            </w:r>
          </w:p>
        </w:tc>
        <w:tc>
          <w:tcPr>
            <w:tcW w:w="10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685.7</w:t>
            </w:r>
          </w:p>
        </w:tc>
      </w:tr>
      <w:tr>
        <w:trPr>
          <w:trHeight w:val="236"/>
        </w:trPr>
        <w:tc>
          <w:tcPr>
            <w:tcW w:w="7640" w:type="dxa"/>
            <w:vAlign w:val="bottom"/>
          </w:tcPr>
          <w:p>
            <w:pPr>
              <w:ind w:left="160"/>
              <w:spacing w:after="0"/>
              <w:rPr>
                <w:sz w:val="20"/>
                <w:szCs w:val="20"/>
                <w:color w:val="auto"/>
              </w:rPr>
            </w:pPr>
            <w:r>
              <w:rPr>
                <w:rFonts w:ascii="Arial" w:cs="Arial" w:eastAsia="Arial" w:hAnsi="Arial"/>
                <w:sz w:val="17"/>
                <w:szCs w:val="17"/>
                <w:color w:val="auto"/>
              </w:rPr>
              <w:t>Total accrued expenses and other</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2,901.3</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2,903.5</w:t>
            </w:r>
          </w:p>
        </w:tc>
      </w:tr>
      <w:tr>
        <w:trPr>
          <w:trHeight w:val="20"/>
        </w:trPr>
        <w:tc>
          <w:tcPr>
            <w:tcW w:w="76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Pricing of TYSABRI in Italy - AIFA</w:t>
      </w:r>
    </w:p>
    <w:p>
      <w:pPr>
        <w:spacing w:after="0" w:line="104" w:lineRule="exact"/>
        <w:rPr>
          <w:sz w:val="20"/>
          <w:szCs w:val="20"/>
          <w:color w:val="auto"/>
        </w:rPr>
      </w:pPr>
    </w:p>
    <w:p>
      <w:pPr>
        <w:ind w:right="120" w:firstLine="410"/>
        <w:spacing w:after="0" w:line="253" w:lineRule="auto"/>
        <w:rPr>
          <w:sz w:val="20"/>
          <w:szCs w:val="20"/>
          <w:color w:val="auto"/>
        </w:rPr>
      </w:pPr>
      <w:r>
        <w:rPr>
          <w:rFonts w:ascii="Arial" w:cs="Arial" w:eastAsia="Arial" w:hAnsi="Arial"/>
          <w:sz w:val="17"/>
          <w:szCs w:val="17"/>
          <w:color w:val="auto"/>
        </w:rPr>
        <w:t>In the fourth quarter of 2011 Biogen Italia SRL, our Italian subsidiary, received a notice from the Italian National Medicines Agency (Agenzia Italiana del Farmaco or AIFA) that sales of TYSABRI after mid-February 2009 through mid-February 2011 exceeded by EUR30.7 million a reimbursement limit established pursuant to a Price Determination Resolution granted by AIFA in December 2006. In January 2012 we filed an appeal against AIFA in administrative court in Rome, Italy seeking a ruling that the reimbursement limit in the Price Determination Resolution should apply as written to only “the first 24 months” of TYSABRI sales, which ended in mid-February 2009. Since being notified in the fourth quarter of 2011 that AIFA believed a reimbursement limit was still in effect, we deferred revenue on sales of TYSABRI as if the reimbursement limit were in effect for each biannual period</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F- 54</w:t>
      </w:r>
    </w:p>
    <w:p>
      <w:pPr>
        <w:sectPr>
          <w:pgSz w:w="11900" w:h="16838" w:orient="portrait"/>
          <w:cols w:equalWidth="0" w:num="1">
            <w:col w:w="11420"/>
          </w:cols>
          <w:pgMar w:left="240" w:top="139" w:right="239" w:bottom="1440" w:gutter="0" w:footer="0" w:header="0"/>
        </w:sectPr>
      </w:pPr>
    </w:p>
    <w:bookmarkStart w:id="156" w:name="page157"/>
    <w:bookmarkEnd w:id="15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color w:val="auto"/>
        </w:rPr>
        <w:t>beginning in mid-February 2009.</w:t>
      </w:r>
    </w:p>
    <w:p>
      <w:pPr>
        <w:spacing w:after="0" w:line="86" w:lineRule="exact"/>
        <w:rPr>
          <w:sz w:val="20"/>
          <w:szCs w:val="20"/>
          <w:color w:val="auto"/>
        </w:rPr>
      </w:pPr>
    </w:p>
    <w:p>
      <w:pPr>
        <w:ind w:firstLine="410"/>
        <w:spacing w:after="0" w:line="255" w:lineRule="auto"/>
        <w:rPr>
          <w:sz w:val="20"/>
          <w:szCs w:val="20"/>
          <w:color w:val="auto"/>
        </w:rPr>
      </w:pPr>
      <w:r>
        <w:rPr>
          <w:rFonts w:ascii="Arial" w:cs="Arial" w:eastAsia="Arial" w:hAnsi="Arial"/>
          <w:sz w:val="17"/>
          <w:szCs w:val="17"/>
          <w:color w:val="auto"/>
        </w:rPr>
        <w:t>In July 2013 we negotiated an agreement in principle with AIFA's Price and Reimbursement Committee that would have resolved all of AIFA's claims relating to sales of TYSABRI in excess of the reimbursement limit for the periods from February 2009 through January 2013 for an aggregate repayment of EUR33.3 million. As a result of this agreement in principle, we recorded a liability and reduction to revenue of EUR15.4 million at June 30, 2013, which approximated 50% of the claim related to the period from mid-February 2009 through mid-February 2011.</w:t>
      </w:r>
    </w:p>
    <w:p>
      <w:pPr>
        <w:spacing w:after="0" w:line="66" w:lineRule="exact"/>
        <w:rPr>
          <w:sz w:val="20"/>
          <w:szCs w:val="20"/>
          <w:color w:val="auto"/>
        </w:rPr>
      </w:pPr>
    </w:p>
    <w:p>
      <w:pPr>
        <w:ind w:right="140" w:firstLine="410"/>
        <w:spacing w:after="0" w:line="262" w:lineRule="auto"/>
        <w:rPr>
          <w:sz w:val="20"/>
          <w:szCs w:val="20"/>
          <w:color w:val="auto"/>
        </w:rPr>
      </w:pPr>
      <w:r>
        <w:rPr>
          <w:rFonts w:ascii="Arial" w:cs="Arial" w:eastAsia="Arial" w:hAnsi="Arial"/>
          <w:sz w:val="17"/>
          <w:szCs w:val="17"/>
          <w:color w:val="auto"/>
        </w:rPr>
        <w:t>In June 2014 AIFA approved a resolution affirming that there is no reimbursement limit from and after February 2013. As a result, we recognized $53.5 million of TYSABRI revenues related to the periods February 2013 through June 2014 that were previously deferred.</w:t>
      </w:r>
    </w:p>
    <w:p>
      <w:pPr>
        <w:spacing w:after="0" w:line="60" w:lineRule="exact"/>
        <w:rPr>
          <w:sz w:val="20"/>
          <w:szCs w:val="20"/>
          <w:color w:val="auto"/>
        </w:rPr>
      </w:pPr>
    </w:p>
    <w:p>
      <w:pPr>
        <w:ind w:right="60" w:firstLine="410"/>
        <w:spacing w:after="0" w:line="255" w:lineRule="auto"/>
        <w:rPr>
          <w:sz w:val="20"/>
          <w:szCs w:val="20"/>
          <w:color w:val="auto"/>
        </w:rPr>
      </w:pPr>
      <w:r>
        <w:rPr>
          <w:rFonts w:ascii="Arial" w:cs="Arial" w:eastAsia="Arial" w:hAnsi="Arial"/>
          <w:sz w:val="17"/>
          <w:szCs w:val="17"/>
          <w:color w:val="auto"/>
        </w:rPr>
        <w:t>In the first quarter of 2017 we reached an agreement with AIFA's Price and Reimbursement Committee resolving all of AIFA's claims relating to sales of TYSABRI in excess of the reimbursement limit for prior periods. As a result, in the first quarter of 2017, we recognized EUR41.8 million (approximately $45.0 million) in revenues for sales that were previously deferred. These amounts were previously accrued for and included in the table above in Other as of December 31, 2016.</w:t>
      </w:r>
    </w:p>
    <w:p>
      <w:pPr>
        <w:spacing w:after="0" w:line="124" w:lineRule="exact"/>
        <w:rPr>
          <w:sz w:val="20"/>
          <w:szCs w:val="20"/>
          <w:color w:val="auto"/>
        </w:rPr>
      </w:pPr>
    </w:p>
    <w:p>
      <w:pPr>
        <w:ind w:left="580" w:hanging="578"/>
        <w:spacing w:after="0"/>
        <w:tabs>
          <w:tab w:leader="none" w:pos="580" w:val="left"/>
        </w:tabs>
        <w:numPr>
          <w:ilvl w:val="0"/>
          <w:numId w:val="118"/>
        </w:numPr>
        <w:rPr>
          <w:rFonts w:ascii="Arial" w:cs="Arial" w:eastAsia="Arial" w:hAnsi="Arial"/>
          <w:sz w:val="20"/>
          <w:szCs w:val="20"/>
          <w:b w:val="1"/>
          <w:bCs w:val="1"/>
          <w:color w:val="578196"/>
        </w:rPr>
      </w:pPr>
      <w:r>
        <w:rPr>
          <w:rFonts w:ascii="Arial" w:cs="Arial" w:eastAsia="Arial" w:hAnsi="Arial"/>
          <w:sz w:val="20"/>
          <w:szCs w:val="20"/>
          <w:b w:val="1"/>
          <w:bCs w:val="1"/>
          <w:color w:val="578196"/>
        </w:rPr>
        <w:t>Investments in Variable Interest Entities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Consolidated Variable Interest Entities</w:t>
      </w:r>
    </w:p>
    <w:p>
      <w:pPr>
        <w:spacing w:after="0" w:line="106" w:lineRule="exact"/>
        <w:rPr>
          <w:sz w:val="20"/>
          <w:szCs w:val="20"/>
          <w:color w:val="auto"/>
        </w:rPr>
      </w:pPr>
    </w:p>
    <w:p>
      <w:pPr>
        <w:ind w:right="660" w:firstLine="410"/>
        <w:spacing w:after="0" w:line="262" w:lineRule="auto"/>
        <w:rPr>
          <w:sz w:val="20"/>
          <w:szCs w:val="20"/>
          <w:color w:val="auto"/>
        </w:rPr>
      </w:pPr>
      <w:r>
        <w:rPr>
          <w:rFonts w:ascii="Arial" w:cs="Arial" w:eastAsia="Arial" w:hAnsi="Arial"/>
          <w:sz w:val="17"/>
          <w:szCs w:val="17"/>
          <w:color w:val="auto"/>
        </w:rPr>
        <w:t>Our consolidated financial statements include the financial results of variable interest entities in which we are the primary beneficiary. The following are our significant variable interest entities.</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Neurimmune</w:t>
      </w:r>
    </w:p>
    <w:p>
      <w:pPr>
        <w:spacing w:after="0" w:line="181" w:lineRule="exact"/>
        <w:rPr>
          <w:sz w:val="20"/>
          <w:szCs w:val="20"/>
          <w:color w:val="auto"/>
        </w:rPr>
      </w:pPr>
    </w:p>
    <w:p>
      <w:pPr>
        <w:ind w:right="120" w:firstLine="410"/>
        <w:spacing w:after="0" w:line="254" w:lineRule="auto"/>
        <w:rPr>
          <w:sz w:val="20"/>
          <w:szCs w:val="20"/>
          <w:color w:val="auto"/>
        </w:rPr>
      </w:pPr>
      <w:r>
        <w:rPr>
          <w:rFonts w:ascii="Arial" w:cs="Arial" w:eastAsia="Arial" w:hAnsi="Arial"/>
          <w:sz w:val="17"/>
          <w:szCs w:val="17"/>
          <w:color w:val="auto"/>
        </w:rPr>
        <w:t>In November 2007 we entered into a collaboration and license agreement with Neurimmune Subone AG (Neurimmune) for the development and commercialization of antibodies for the treatment of AD. We are responsible for the development, manufacturing and commercialization of all collaboration products. This agreement is effective for the longer of the duration of certain patents relating to a licensed product, or 12 years from the first commercial sale of any product using such a licensed compound. Our anti-amyloid beta antibody, aducanumab, for the treatment of AD resulted from this collaboration.</w:t>
      </w:r>
    </w:p>
    <w:p>
      <w:pPr>
        <w:spacing w:after="0" w:line="144" w:lineRule="exact"/>
        <w:rPr>
          <w:sz w:val="20"/>
          <w:szCs w:val="20"/>
          <w:color w:val="auto"/>
        </w:rPr>
      </w:pPr>
    </w:p>
    <w:p>
      <w:pPr>
        <w:ind w:right="220" w:firstLine="410"/>
        <w:spacing w:after="0" w:line="255" w:lineRule="auto"/>
        <w:rPr>
          <w:sz w:val="20"/>
          <w:szCs w:val="20"/>
          <w:color w:val="auto"/>
        </w:rPr>
      </w:pPr>
      <w:r>
        <w:rPr>
          <w:rFonts w:ascii="Arial" w:cs="Arial" w:eastAsia="Arial" w:hAnsi="Arial"/>
          <w:sz w:val="17"/>
          <w:szCs w:val="17"/>
          <w:color w:val="auto"/>
        </w:rPr>
        <w:t>We consolidate the results of Neurimmune as we determined that we are the primary beneficiary of Neurimmune because we have the power through the collaboration to direct the activities that most significantly impact the entity’s economic performance and we are required to fund 100% of the research and development costs incurred in support of the collaboration. Under this agreement, we are also required to pay royalties on sales of any resulting commercial products and make payments upon the achievement of certain milestone events.</w:t>
      </w:r>
    </w:p>
    <w:p>
      <w:pPr>
        <w:spacing w:after="0" w:line="143"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In October 2017 we amended the terms of our collaboration and license agreement with Neurimmune. Under the amended agreement, we made a $150.0 million payment to Neurimmune in exchange for a 15% reduction in royalty rates payable on products developed under the agreement, including on potential commercial sales of aducanumab. Our royalty rates payable on products developed under the agreement, including on potential commercial sales of aducanumab, will now range from the high single digits to low teens. As we consolidate the results of Neurimmune, we recognized this payment as a charge to noncontrolling interest in the fourth quarter of 2017 and treated it as a distribution. Under the amended agreement, we also have an option that will expire in April 2018 to further reduce our royalty rates payable on products developed under the agreement, including on potential commercial sales of aducanumab, by an additional 5% in exchange for a $50.0 million payment to Neurimmune.</w:t>
      </w:r>
    </w:p>
    <w:p>
      <w:pPr>
        <w:spacing w:after="0" w:line="146" w:lineRule="exact"/>
        <w:rPr>
          <w:sz w:val="20"/>
          <w:szCs w:val="20"/>
          <w:color w:val="auto"/>
        </w:rPr>
      </w:pPr>
    </w:p>
    <w:p>
      <w:pPr>
        <w:ind w:right="220" w:firstLine="410"/>
        <w:spacing w:after="0" w:line="262" w:lineRule="auto"/>
        <w:rPr>
          <w:sz w:val="20"/>
          <w:szCs w:val="20"/>
          <w:color w:val="auto"/>
        </w:rPr>
      </w:pPr>
      <w:r>
        <w:rPr>
          <w:rFonts w:ascii="Arial" w:cs="Arial" w:eastAsia="Arial" w:hAnsi="Arial"/>
          <w:sz w:val="17"/>
          <w:szCs w:val="17"/>
          <w:color w:val="auto"/>
        </w:rPr>
        <w:t>Research and development costs for which we reimburse Neurimmune are reflected in research and development expense in our consolidated statements of income. During the years ending December 31, 2017, 2016 and 2015 amounts reimbursed were immaterial.</w:t>
      </w:r>
    </w:p>
    <w:p>
      <w:pPr>
        <w:spacing w:after="0" w:line="137" w:lineRule="exact"/>
        <w:rPr>
          <w:sz w:val="20"/>
          <w:szCs w:val="20"/>
          <w:color w:val="auto"/>
        </w:rPr>
      </w:pPr>
    </w:p>
    <w:p>
      <w:pPr>
        <w:ind w:right="20" w:firstLine="410"/>
        <w:spacing w:after="0" w:line="255" w:lineRule="auto"/>
        <w:rPr>
          <w:sz w:val="20"/>
          <w:szCs w:val="20"/>
          <w:color w:val="auto"/>
        </w:rPr>
      </w:pPr>
      <w:r>
        <w:rPr>
          <w:rFonts w:ascii="Arial" w:cs="Arial" w:eastAsia="Arial" w:hAnsi="Arial"/>
          <w:sz w:val="17"/>
          <w:szCs w:val="17"/>
          <w:color w:val="auto"/>
        </w:rPr>
        <w:t>In September 2015 we recognized a $60.0 million milestone payable to Neurimmune upon enrollment of the first patient in a Phase 3 trial for aducanumab. We recognized this payment as a charge to noncontrolling interest. Based upon our current development plans for aducanumab, we may pay Neurimmune up to $275.0 million in remaining milestone payments. Future milestone payments and royalties, if any, will be reflected in our consolidated statements of income as a charge to noncontrolling interest, net of tax when such milestones are achieved.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F- 55</w:t>
      </w:r>
    </w:p>
    <w:p>
      <w:pPr>
        <w:sectPr>
          <w:pgSz w:w="11900" w:h="16838" w:orient="portrait"/>
          <w:cols w:equalWidth="0" w:num="1">
            <w:col w:w="11420"/>
          </w:cols>
          <w:pgMar w:left="240" w:top="139" w:right="239" w:bottom="1440" w:gutter="0" w:footer="0" w:header="0"/>
        </w:sectPr>
      </w:pPr>
    </w:p>
    <w:bookmarkStart w:id="157" w:name="page158"/>
    <w:bookmarkEnd w:id="15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90" w:lineRule="exact"/>
        <w:rPr>
          <w:sz w:val="20"/>
          <w:szCs w:val="20"/>
          <w:color w:val="auto"/>
        </w:rPr>
      </w:pPr>
    </w:p>
    <w:p>
      <w:pPr>
        <w:ind w:right="220" w:firstLine="410"/>
        <w:spacing w:after="0" w:line="262" w:lineRule="auto"/>
        <w:rPr>
          <w:sz w:val="20"/>
          <w:szCs w:val="20"/>
          <w:color w:val="auto"/>
        </w:rPr>
      </w:pPr>
      <w:r>
        <w:rPr>
          <w:rFonts w:ascii="Arial" w:cs="Arial" w:eastAsia="Arial" w:hAnsi="Arial"/>
          <w:sz w:val="17"/>
          <w:szCs w:val="17"/>
          <w:color w:val="auto"/>
        </w:rPr>
        <w:t>The assets and liabilities of Neurimmune are not significant to our consolidated financial position or results of operations as it is a research and development organization. We have provided no financing to Neurimmune other than previously contractually required amounts.</w:t>
      </w:r>
    </w:p>
    <w:p>
      <w:pPr>
        <w:spacing w:after="0" w:line="137" w:lineRule="exact"/>
        <w:rPr>
          <w:sz w:val="20"/>
          <w:szCs w:val="20"/>
          <w:color w:val="auto"/>
        </w:rPr>
      </w:pPr>
    </w:p>
    <w:p>
      <w:pPr>
        <w:ind w:right="40" w:firstLine="410"/>
        <w:spacing w:after="0" w:line="255" w:lineRule="auto"/>
        <w:rPr>
          <w:sz w:val="20"/>
          <w:szCs w:val="20"/>
          <w:color w:val="auto"/>
        </w:rPr>
      </w:pPr>
      <w:r>
        <w:rPr>
          <w:rFonts w:ascii="Arial" w:cs="Arial" w:eastAsia="Arial" w:hAnsi="Arial"/>
          <w:sz w:val="17"/>
          <w:szCs w:val="17"/>
          <w:color w:val="auto"/>
        </w:rPr>
        <w:t xml:space="preserve">Under the terms of our October 2017 collaboration agreement with Eisai for the joint development and commercialization of aducanumab, Eisai may elect to share in the benefit and cost associated with the royalty reductions discussed above. Eisai has elected to not share in the benefit and cost of the October 2017 royalty reduction. For additional information on our collaboration arrangement with Eisai, please read Note 20, </w:t>
      </w:r>
      <w:r>
        <w:rPr>
          <w:rFonts w:ascii="Arial" w:cs="Arial" w:eastAsia="Arial" w:hAnsi="Arial"/>
          <w:sz w:val="17"/>
          <w:szCs w:val="17"/>
          <w:i w:val="1"/>
          <w:iCs w:val="1"/>
          <w:color w:val="auto"/>
        </w:rPr>
        <w:t>Collaborative and</w:t>
      </w:r>
      <w:r>
        <w:rPr>
          <w:rFonts w:ascii="Arial" w:cs="Arial" w:eastAsia="Arial" w:hAnsi="Arial"/>
          <w:sz w:val="17"/>
          <w:szCs w:val="17"/>
          <w:color w:val="auto"/>
        </w:rPr>
        <w:t xml:space="preserve"> </w:t>
      </w:r>
      <w:r>
        <w:rPr>
          <w:rFonts w:ascii="Arial" w:cs="Arial" w:eastAsia="Arial" w:hAnsi="Arial"/>
          <w:sz w:val="17"/>
          <w:szCs w:val="17"/>
          <w:i w:val="1"/>
          <w:iCs w:val="1"/>
          <w:color w:val="auto"/>
        </w:rPr>
        <w:t>Other Relationships</w:t>
      </w:r>
      <w:r>
        <w:rPr>
          <w:rFonts w:ascii="Arial" w:cs="Arial" w:eastAsia="Arial" w:hAnsi="Arial"/>
          <w:sz w:val="17"/>
          <w:szCs w:val="17"/>
          <w:color w:val="auto"/>
        </w:rPr>
        <w:t>, to these consolidated financial statements.</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Unconsolidated Variable Interest Entities</w:t>
      </w:r>
    </w:p>
    <w:p>
      <w:pPr>
        <w:spacing w:after="0" w:line="106" w:lineRule="exact"/>
        <w:rPr>
          <w:sz w:val="20"/>
          <w:szCs w:val="20"/>
          <w:color w:val="auto"/>
        </w:rPr>
      </w:pPr>
    </w:p>
    <w:p>
      <w:pPr>
        <w:jc w:val="both"/>
        <w:ind w:right="40" w:firstLine="410"/>
        <w:spacing w:after="0" w:line="257" w:lineRule="auto"/>
        <w:rPr>
          <w:sz w:val="20"/>
          <w:szCs w:val="20"/>
          <w:color w:val="auto"/>
        </w:rPr>
      </w:pPr>
      <w:r>
        <w:rPr>
          <w:rFonts w:ascii="Arial" w:cs="Arial" w:eastAsia="Arial" w:hAnsi="Arial"/>
          <w:sz w:val="17"/>
          <w:szCs w:val="17"/>
          <w:color w:val="auto"/>
        </w:rPr>
        <w:t>We have relationships with other variable interest entities that we do not consolidate as we lack the power to direct the activities that significantly impact the economic success of these entities. These relationships include investments in certain biotechnology companies and research collaboration agreements.</w:t>
      </w:r>
    </w:p>
    <w:p>
      <w:pPr>
        <w:spacing w:after="0" w:line="140" w:lineRule="exact"/>
        <w:rPr>
          <w:sz w:val="20"/>
          <w:szCs w:val="20"/>
          <w:color w:val="auto"/>
        </w:rPr>
      </w:pPr>
    </w:p>
    <w:p>
      <w:pPr>
        <w:ind w:right="300" w:firstLine="410"/>
        <w:spacing w:after="0" w:line="262" w:lineRule="auto"/>
        <w:rPr>
          <w:sz w:val="20"/>
          <w:szCs w:val="20"/>
          <w:color w:val="auto"/>
        </w:rPr>
      </w:pPr>
      <w:r>
        <w:rPr>
          <w:rFonts w:ascii="Arial" w:cs="Arial" w:eastAsia="Arial" w:hAnsi="Arial"/>
          <w:sz w:val="17"/>
          <w:szCs w:val="17"/>
          <w:color w:val="auto"/>
        </w:rPr>
        <w:t>As of December 31, 2017 and 2016, the carrying value of our investments in biotechnology companies totaled $48.3 million and $47.4 million, respectively. Our maximum exposure to loss related to these variable interest entities is limited to the carrying value of our investments.</w:t>
      </w:r>
    </w:p>
    <w:p>
      <w:pPr>
        <w:spacing w:after="0" w:line="137" w:lineRule="exact"/>
        <w:rPr>
          <w:sz w:val="20"/>
          <w:szCs w:val="20"/>
          <w:color w:val="auto"/>
        </w:rPr>
      </w:pPr>
    </w:p>
    <w:p>
      <w:pPr>
        <w:ind w:right="80" w:firstLine="410"/>
        <w:spacing w:after="0" w:line="257" w:lineRule="auto"/>
        <w:rPr>
          <w:sz w:val="20"/>
          <w:szCs w:val="20"/>
          <w:color w:val="auto"/>
        </w:rPr>
      </w:pPr>
      <w:r>
        <w:rPr>
          <w:rFonts w:ascii="Arial" w:cs="Arial" w:eastAsia="Arial" w:hAnsi="Arial"/>
          <w:sz w:val="17"/>
          <w:szCs w:val="17"/>
          <w:color w:val="auto"/>
        </w:rPr>
        <w:t>We have also entered into research collaboration agreements with certain variable interest entities where we are required to fund certain development activities. These development activities are included in research and development expense in our consolidated statements of income, as they are incurred. We have provided no financing to these variable interest entities other than previously contractually required amounts.</w:t>
      </w:r>
    </w:p>
    <w:p>
      <w:pPr>
        <w:spacing w:after="0" w:line="122" w:lineRule="exact"/>
        <w:rPr>
          <w:sz w:val="20"/>
          <w:szCs w:val="20"/>
          <w:color w:val="auto"/>
        </w:rPr>
      </w:pPr>
    </w:p>
    <w:p>
      <w:pPr>
        <w:ind w:left="620" w:hanging="618"/>
        <w:spacing w:after="0"/>
        <w:tabs>
          <w:tab w:leader="none" w:pos="620" w:val="left"/>
        </w:tabs>
        <w:numPr>
          <w:ilvl w:val="0"/>
          <w:numId w:val="119"/>
        </w:numPr>
        <w:rPr>
          <w:rFonts w:ascii="Arial" w:cs="Arial" w:eastAsia="Arial" w:hAnsi="Arial"/>
          <w:sz w:val="20"/>
          <w:szCs w:val="20"/>
          <w:b w:val="1"/>
          <w:bCs w:val="1"/>
          <w:color w:val="578196"/>
        </w:rPr>
      </w:pPr>
      <w:r>
        <w:rPr>
          <w:rFonts w:ascii="Arial" w:cs="Arial" w:eastAsia="Arial" w:hAnsi="Arial"/>
          <w:sz w:val="20"/>
          <w:szCs w:val="20"/>
          <w:b w:val="1"/>
          <w:bCs w:val="1"/>
          <w:color w:val="578196"/>
        </w:rPr>
        <w:t>Collaborative and Other Relationships</w:t>
      </w:r>
    </w:p>
    <w:p>
      <w:pPr>
        <w:spacing w:after="0" w:line="109" w:lineRule="exact"/>
        <w:rPr>
          <w:sz w:val="20"/>
          <w:szCs w:val="20"/>
          <w:color w:val="auto"/>
        </w:rPr>
      </w:pPr>
    </w:p>
    <w:p>
      <w:pPr>
        <w:ind w:right="60" w:firstLine="410"/>
        <w:spacing w:after="0" w:line="255" w:lineRule="auto"/>
        <w:rPr>
          <w:sz w:val="20"/>
          <w:szCs w:val="20"/>
          <w:color w:val="auto"/>
        </w:rPr>
      </w:pPr>
      <w:r>
        <w:rPr>
          <w:rFonts w:ascii="Arial" w:cs="Arial" w:eastAsia="Arial" w:hAnsi="Arial"/>
          <w:sz w:val="17"/>
          <w:szCs w:val="17"/>
          <w:color w:val="auto"/>
        </w:rPr>
        <w:t>In connection with our business strategy, we have entered into various collaboration agreements that provide us with rights to develop, produce and market products using certain know-how, technology and patent rights maintained by our collaborative partners. Terms of the various collaboration agreements may require us to make milestone payments upon the achievement of certain product research and development objectives and pay royalties on future sales, if any, of commercial products resulting from the collaboration.</w:t>
      </w:r>
    </w:p>
    <w:p>
      <w:pPr>
        <w:spacing w:after="0" w:line="143" w:lineRule="exact"/>
        <w:rPr>
          <w:sz w:val="20"/>
          <w:szCs w:val="20"/>
          <w:color w:val="auto"/>
        </w:rPr>
      </w:pPr>
    </w:p>
    <w:p>
      <w:pPr>
        <w:ind w:firstLine="410"/>
        <w:spacing w:after="0" w:line="262" w:lineRule="auto"/>
        <w:rPr>
          <w:sz w:val="20"/>
          <w:szCs w:val="20"/>
          <w:color w:val="auto"/>
        </w:rPr>
      </w:pPr>
      <w:r>
        <w:rPr>
          <w:rFonts w:ascii="Arial" w:cs="Arial" w:eastAsia="Arial" w:hAnsi="Arial"/>
          <w:sz w:val="17"/>
          <w:szCs w:val="17"/>
          <w:color w:val="auto"/>
        </w:rPr>
        <w:t>Depending on the collaborative arrangement, we may record funding receivable or payable balances with our partners, based on the nature of the cost-sharing mechanism and activity within the collaboration. Our significant collaboration arrangements are discussed below.</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Genentech (Roche Group)</w:t>
      </w:r>
    </w:p>
    <w:p>
      <w:pPr>
        <w:spacing w:after="0" w:line="106" w:lineRule="exact"/>
        <w:rPr>
          <w:sz w:val="20"/>
          <w:szCs w:val="20"/>
          <w:color w:val="auto"/>
        </w:rPr>
      </w:pPr>
    </w:p>
    <w:p>
      <w:pPr>
        <w:ind w:right="140" w:firstLine="384"/>
        <w:spacing w:after="0" w:line="255" w:lineRule="auto"/>
        <w:rPr>
          <w:sz w:val="20"/>
          <w:szCs w:val="20"/>
          <w:color w:val="auto"/>
        </w:rPr>
      </w:pPr>
      <w:r>
        <w:rPr>
          <w:rFonts w:ascii="Arial" w:cs="Arial" w:eastAsia="Arial" w:hAnsi="Arial"/>
          <w:sz w:val="17"/>
          <w:szCs w:val="17"/>
          <w:color w:val="auto"/>
        </w:rPr>
        <w:t>We have certain business and financial rights with respect to RITUXAN for the treatment of non-Hodgkin's lymphoma, CLL and other conditions, GAZYVA for the treatment of CLL and follicular lymphoma, OCREVUS for the treatment of primary progressive MS (PPMS) and relapsing MS (RMS) and other potential anti-CD20 therapies under a collaboration agreement with Genentech, a wholly-owned member of the Roche Group. The Roche Group and its sub-licensees maintain sole responsibility for the development, manufacturing and commercialization of GAZYVA in the U.S.</w:t>
      </w:r>
    </w:p>
    <w:p>
      <w:pPr>
        <w:spacing w:after="0" w:line="143"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Our collaboration agreement will continue in effect until we mutually agree to terminate the collaboration, except that if we undergo a change in control, as defined in our collaboration agreement, Genentech has the right to present an offer to buy the rights to RITUXAN and we must either accept Genentech’s offer or purchase Genentech’s rights on the same terms as its offer. Genentech will also be deemed concurrently to have purchased our rights to any other anti-CD20 products in development in exchange for a royalty and our rights to GAZYVA in exchange for the compensation described in the table below. Our collaboration with Genentech was created through a contractual arrangement and not through a joint venture or other legal entity.</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RITUXAN</w:t>
      </w:r>
    </w:p>
    <w:p>
      <w:pPr>
        <w:spacing w:after="0" w:line="104" w:lineRule="exact"/>
        <w:rPr>
          <w:sz w:val="20"/>
          <w:szCs w:val="20"/>
          <w:color w:val="auto"/>
        </w:rPr>
      </w:pPr>
    </w:p>
    <w:p>
      <w:pPr>
        <w:ind w:firstLine="410"/>
        <w:spacing w:after="0" w:line="262" w:lineRule="auto"/>
        <w:rPr>
          <w:sz w:val="20"/>
          <w:szCs w:val="20"/>
          <w:color w:val="auto"/>
        </w:rPr>
      </w:pPr>
      <w:r>
        <w:rPr>
          <w:rFonts w:ascii="Arial" w:cs="Arial" w:eastAsia="Arial" w:hAnsi="Arial"/>
          <w:sz w:val="17"/>
          <w:szCs w:val="17"/>
          <w:color w:val="auto"/>
        </w:rPr>
        <w:t>Genentech is responsible for the worldwide manufacturing of RITUXAN. Development and commercialization rights and responsibilities under this collaboration are divided as follows:</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U.S.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share with Genentech co-exclusive rights to develop, commercialize and market RITUXAN in the U.S.</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F- 56</w:t>
      </w:r>
    </w:p>
    <w:p>
      <w:pPr>
        <w:sectPr>
          <w:pgSz w:w="11900" w:h="16838" w:orient="portrait"/>
          <w:cols w:equalWidth="0" w:num="1">
            <w:col w:w="11400"/>
          </w:cols>
          <w:pgMar w:left="240" w:top="139" w:right="259" w:bottom="1440" w:gutter="0" w:footer="0" w:header="0"/>
        </w:sectPr>
      </w:pPr>
    </w:p>
    <w:bookmarkStart w:id="158" w:name="page159"/>
    <w:bookmarkEnd w:id="15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Canada</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and Genentech have assigned our rights under our collaboration agreement with respect to Canada to the Roche Group.</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GAZYVA</w:t>
      </w:r>
    </w:p>
    <w:p>
      <w:pPr>
        <w:spacing w:after="0" w:line="104" w:lineRule="exact"/>
        <w:rPr>
          <w:sz w:val="20"/>
          <w:szCs w:val="20"/>
          <w:color w:val="auto"/>
        </w:rPr>
      </w:pPr>
    </w:p>
    <w:p>
      <w:pPr>
        <w:ind w:right="720" w:firstLine="410"/>
        <w:spacing w:after="0" w:line="262" w:lineRule="auto"/>
        <w:rPr>
          <w:sz w:val="20"/>
          <w:szCs w:val="20"/>
          <w:color w:val="auto"/>
        </w:rPr>
      </w:pPr>
      <w:r>
        <w:rPr>
          <w:rFonts w:ascii="Arial" w:cs="Arial" w:eastAsia="Arial" w:hAnsi="Arial"/>
          <w:sz w:val="17"/>
          <w:szCs w:val="17"/>
          <w:color w:val="auto"/>
        </w:rPr>
        <w:t>We recognize our share of the development and commercialization expenses of GAZYVA as a reduction of our share of pre-tax profits in revenues from anti-CD20 therapeutic programs.</w:t>
      </w:r>
    </w:p>
    <w:p>
      <w:pPr>
        <w:spacing w:after="0" w:line="13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Commercialization of GAZYVA impacts our percentage of the co-promotion profits for RITUXAN, as summarized in the table below.</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OCREVUS</w:t>
      </w:r>
    </w:p>
    <w:p>
      <w:pPr>
        <w:spacing w:after="0" w:line="104" w:lineRule="exact"/>
        <w:rPr>
          <w:sz w:val="20"/>
          <w:szCs w:val="20"/>
          <w:color w:val="auto"/>
        </w:rPr>
      </w:pPr>
    </w:p>
    <w:p>
      <w:pPr>
        <w:ind w:right="180" w:firstLine="410"/>
        <w:spacing w:after="0" w:line="257" w:lineRule="auto"/>
        <w:rPr>
          <w:sz w:val="20"/>
          <w:szCs w:val="20"/>
          <w:color w:val="auto"/>
        </w:rPr>
      </w:pPr>
      <w:r>
        <w:rPr>
          <w:rFonts w:ascii="Arial" w:cs="Arial" w:eastAsia="Arial" w:hAnsi="Arial"/>
          <w:sz w:val="17"/>
          <w:szCs w:val="17"/>
          <w:color w:val="auto"/>
        </w:rPr>
        <w:t>In March 2017 the FDA approved OCREVUS, a humanized anti-CD20 monoclonal antibody, for the treatment of RMS and PPMS. Under our agreement with Genentech, we will receive a tiered royalty on U.S. net sales from 13.5% and increasing up to 24% if annual net sales exceed $900.0 million. There will be a 50% reduction to these royalties if a biosimilar to OCREVUS is approved in the U.S.</w:t>
      </w:r>
    </w:p>
    <w:p>
      <w:pPr>
        <w:spacing w:after="0" w:line="64" w:lineRule="exact"/>
        <w:rPr>
          <w:sz w:val="20"/>
          <w:szCs w:val="20"/>
          <w:color w:val="auto"/>
        </w:rPr>
      </w:pPr>
    </w:p>
    <w:p>
      <w:pPr>
        <w:ind w:right="120" w:firstLine="410"/>
        <w:spacing w:after="0" w:line="257" w:lineRule="auto"/>
        <w:rPr>
          <w:sz w:val="20"/>
          <w:szCs w:val="20"/>
          <w:color w:val="auto"/>
        </w:rPr>
      </w:pPr>
      <w:r>
        <w:rPr>
          <w:rFonts w:ascii="Arial" w:cs="Arial" w:eastAsia="Arial" w:hAnsi="Arial"/>
          <w:sz w:val="17"/>
          <w:szCs w:val="17"/>
          <w:color w:val="auto"/>
        </w:rPr>
        <w:t>In addition, we will receive a 3% royalty on net sales of OCREVUS outside the U.S., with the royalty period lasting 11 years from the first commercial sale of OCREVUS on a country-by-country basis. OCREVUS was approved for the treatment of RMS and PPMS in Australia, Switzerland and the E.U. in July 2017, September 2017 and January 2018, respectively.</w:t>
      </w:r>
    </w:p>
    <w:p>
      <w:pPr>
        <w:spacing w:after="0" w:line="64" w:lineRule="exact"/>
        <w:rPr>
          <w:sz w:val="20"/>
          <w:szCs w:val="20"/>
          <w:color w:val="auto"/>
        </w:rPr>
      </w:pPr>
    </w:p>
    <w:p>
      <w:pPr>
        <w:ind w:right="20" w:firstLine="410"/>
        <w:spacing w:after="0" w:line="254" w:lineRule="auto"/>
        <w:rPr>
          <w:sz w:val="20"/>
          <w:szCs w:val="20"/>
          <w:color w:val="auto"/>
        </w:rPr>
      </w:pPr>
      <w:r>
        <w:rPr>
          <w:rFonts w:ascii="Arial" w:cs="Arial" w:eastAsia="Arial" w:hAnsi="Arial"/>
          <w:sz w:val="17"/>
          <w:szCs w:val="17"/>
          <w:color w:val="auto"/>
        </w:rPr>
        <w:t>The commercialization of OCREVUS does not impact the percentage of the co-promotion profits we receive for RITUXAN or GAZYVA. Genentech is solely responsible for development and commercialization of OCREVUS and funding future costs. Genentech cannot develop OCREVUS in CLL, non-Hodgkin's lymphoma or rheumatoid arthritis. OCREVUS royalty revenues were based on our estimates from third party and market research data of OCREVUS sales occurring during the corresponding period. Differences between actual and estimated royalty revenues will be adjusted for in the period in which they become known, which is expected to be the following quarter.</w:t>
      </w:r>
    </w:p>
    <w:p>
      <w:pPr>
        <w:spacing w:after="0" w:line="49"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538235"/>
        </w:rPr>
        <w:t>Profit-sharing Formulas</w:t>
      </w:r>
    </w:p>
    <w:p>
      <w:pPr>
        <w:spacing w:after="0" w:line="163"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RITUXAN Profit Share</w:t>
      </w:r>
    </w:p>
    <w:p>
      <w:pPr>
        <w:spacing w:after="0" w:line="104" w:lineRule="exact"/>
        <w:rPr>
          <w:sz w:val="20"/>
          <w:szCs w:val="20"/>
          <w:color w:val="auto"/>
        </w:rPr>
      </w:pPr>
    </w:p>
    <w:p>
      <w:pPr>
        <w:jc w:val="both"/>
        <w:ind w:right="80" w:firstLine="410"/>
        <w:spacing w:after="0" w:line="257" w:lineRule="auto"/>
        <w:rPr>
          <w:sz w:val="20"/>
          <w:szCs w:val="20"/>
          <w:color w:val="auto"/>
        </w:rPr>
      </w:pPr>
      <w:r>
        <w:rPr>
          <w:rFonts w:ascii="Arial" w:cs="Arial" w:eastAsia="Arial" w:hAnsi="Arial"/>
          <w:sz w:val="17"/>
          <w:szCs w:val="17"/>
          <w:color w:val="auto"/>
        </w:rPr>
        <w:t>Our current pretax co-promotion profit-sharing formula for RITUXAN provides for a 30% share on the first $50.0 million of co-promotion operating profits earned each calendar year. Our share of annual co-promotion profits in excess of $50.0 million varies, as summarized in the table below, upon the following events: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46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Until GAZYVA First Non-CLL FDA Approval</w:t>
            </w:r>
          </w:p>
        </w:tc>
        <w:tc>
          <w:tcPr>
            <w:tcW w:w="29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40.0%</w:t>
            </w:r>
          </w:p>
        </w:tc>
      </w:tr>
      <w:tr>
        <w:trPr>
          <w:trHeight w:val="236"/>
        </w:trPr>
        <w:tc>
          <w:tcPr>
            <w:tcW w:w="8460" w:type="dxa"/>
            <w:vAlign w:val="bottom"/>
          </w:tcPr>
          <w:p>
            <w:pPr>
              <w:ind w:left="20"/>
              <w:spacing w:after="0"/>
              <w:rPr>
                <w:sz w:val="20"/>
                <w:szCs w:val="20"/>
                <w:color w:val="auto"/>
              </w:rPr>
            </w:pPr>
            <w:r>
              <w:rPr>
                <w:rFonts w:ascii="Arial" w:cs="Arial" w:eastAsia="Arial" w:hAnsi="Arial"/>
                <w:sz w:val="17"/>
                <w:szCs w:val="17"/>
                <w:color w:val="2573BA"/>
              </w:rPr>
              <w:t>After GAZYVA First Non-CLL FDA Approval until First GAZYVA Threshold Date</w:t>
            </w:r>
          </w:p>
        </w:tc>
        <w:tc>
          <w:tcPr>
            <w:tcW w:w="2960" w:type="dxa"/>
            <w:vAlign w:val="bottom"/>
          </w:tcPr>
          <w:p>
            <w:pPr>
              <w:jc w:val="right"/>
              <w:spacing w:after="0"/>
              <w:rPr>
                <w:sz w:val="20"/>
                <w:szCs w:val="20"/>
                <w:color w:val="auto"/>
              </w:rPr>
            </w:pPr>
            <w:r>
              <w:rPr>
                <w:rFonts w:ascii="Arial" w:cs="Arial" w:eastAsia="Arial" w:hAnsi="Arial"/>
                <w:sz w:val="17"/>
                <w:szCs w:val="17"/>
                <w:color w:val="2573BA"/>
              </w:rPr>
              <w:t>39.0%</w:t>
            </w:r>
          </w:p>
        </w:tc>
      </w:tr>
      <w:tr>
        <w:trPr>
          <w:trHeight w:val="250"/>
        </w:trPr>
        <w:tc>
          <w:tcPr>
            <w:tcW w:w="846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After First GAZYVA Threshold Date until Second GAZYVA Threshold Date</w:t>
            </w:r>
          </w:p>
        </w:tc>
        <w:tc>
          <w:tcPr>
            <w:tcW w:w="29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37.5%</w:t>
            </w:r>
          </w:p>
        </w:tc>
      </w:tr>
      <w:tr>
        <w:trPr>
          <w:trHeight w:val="229"/>
        </w:trPr>
        <w:tc>
          <w:tcPr>
            <w:tcW w:w="8460" w:type="dxa"/>
            <w:vAlign w:val="bottom"/>
          </w:tcPr>
          <w:p>
            <w:pPr>
              <w:ind w:left="20"/>
              <w:spacing w:after="0"/>
              <w:rPr>
                <w:sz w:val="20"/>
                <w:szCs w:val="20"/>
                <w:color w:val="auto"/>
              </w:rPr>
            </w:pPr>
            <w:r>
              <w:rPr>
                <w:rFonts w:ascii="Arial" w:cs="Arial" w:eastAsia="Arial" w:hAnsi="Arial"/>
                <w:sz w:val="17"/>
                <w:szCs w:val="17"/>
                <w:color w:val="2573BA"/>
              </w:rPr>
              <w:t>After Second GAZYVA Threshold Date</w:t>
            </w:r>
          </w:p>
        </w:tc>
        <w:tc>
          <w:tcPr>
            <w:tcW w:w="2960" w:type="dxa"/>
            <w:vAlign w:val="bottom"/>
          </w:tcPr>
          <w:p>
            <w:pPr>
              <w:jc w:val="right"/>
              <w:spacing w:after="0"/>
              <w:rPr>
                <w:sz w:val="20"/>
                <w:szCs w:val="20"/>
                <w:color w:val="auto"/>
              </w:rPr>
            </w:pPr>
            <w:r>
              <w:rPr>
                <w:rFonts w:ascii="Arial" w:cs="Arial" w:eastAsia="Arial" w:hAnsi="Arial"/>
                <w:sz w:val="17"/>
                <w:szCs w:val="17"/>
                <w:color w:val="2573BA"/>
              </w:rPr>
              <w:t>35.0%</w:t>
            </w:r>
          </w:p>
        </w:tc>
      </w:tr>
    </w:tbl>
    <w:p>
      <w:pPr>
        <w:spacing w:after="0" w:line="167"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First Non-CLL GAZYVA FDA Approval</w:t>
      </w:r>
      <w:r>
        <w:rPr>
          <w:rFonts w:ascii="Arial" w:cs="Arial" w:eastAsia="Arial" w:hAnsi="Arial"/>
          <w:sz w:val="17"/>
          <w:szCs w:val="17"/>
          <w:color w:val="auto"/>
        </w:rPr>
        <w:t xml:space="preserve"> means the FDA’s first approval of GAZYVA in an indication other than CLL.</w:t>
      </w:r>
    </w:p>
    <w:p>
      <w:pPr>
        <w:spacing w:after="0" w:line="163" w:lineRule="exact"/>
        <w:rPr>
          <w:sz w:val="20"/>
          <w:szCs w:val="20"/>
          <w:color w:val="auto"/>
        </w:rPr>
      </w:pPr>
    </w:p>
    <w:p>
      <w:pPr>
        <w:ind w:left="380" w:right="60"/>
        <w:spacing w:after="0" w:line="257" w:lineRule="auto"/>
        <w:rPr>
          <w:sz w:val="20"/>
          <w:szCs w:val="20"/>
          <w:color w:val="auto"/>
        </w:rPr>
      </w:pPr>
      <w:r>
        <w:rPr>
          <w:rFonts w:ascii="Arial" w:cs="Arial" w:eastAsia="Arial" w:hAnsi="Arial"/>
          <w:sz w:val="17"/>
          <w:szCs w:val="17"/>
          <w:u w:val="single" w:color="auto"/>
          <w:color w:val="auto"/>
        </w:rPr>
        <w:t>First GAZYVA Threshold Date</w:t>
      </w:r>
      <w:r>
        <w:rPr>
          <w:rFonts w:ascii="Arial" w:cs="Arial" w:eastAsia="Arial" w:hAnsi="Arial"/>
          <w:sz w:val="17"/>
          <w:szCs w:val="17"/>
          <w:color w:val="auto"/>
        </w:rPr>
        <w:t xml:space="preserve"> means the earlier of (i) the date of the First Non-CLL GAZYVA FDA approval if U.S. gross sales of GAZYVA for the preceding consecutive 12-month period were at least $150.0 million or (ii) the first day of the calendar quarter after the date of the First Non-CLL GAZYVA FDA Approval that U.S. gross sales of GAZYVA within any consecutive 12-month period have reached $150.0 million.</w:t>
      </w:r>
    </w:p>
    <w:p>
      <w:pPr>
        <w:spacing w:after="0" w:line="140" w:lineRule="exact"/>
        <w:rPr>
          <w:sz w:val="20"/>
          <w:szCs w:val="20"/>
          <w:color w:val="auto"/>
        </w:rPr>
      </w:pPr>
    </w:p>
    <w:p>
      <w:pPr>
        <w:ind w:left="380" w:right="20"/>
        <w:spacing w:after="0" w:line="257" w:lineRule="auto"/>
        <w:rPr>
          <w:sz w:val="20"/>
          <w:szCs w:val="20"/>
          <w:color w:val="auto"/>
        </w:rPr>
      </w:pPr>
      <w:r>
        <w:rPr>
          <w:rFonts w:ascii="Arial" w:cs="Arial" w:eastAsia="Arial" w:hAnsi="Arial"/>
          <w:sz w:val="17"/>
          <w:szCs w:val="17"/>
          <w:u w:val="single" w:color="auto"/>
          <w:color w:val="auto"/>
        </w:rPr>
        <w:t>Second GAZYVA Threshold Date</w:t>
      </w:r>
      <w:r>
        <w:rPr>
          <w:rFonts w:ascii="Arial" w:cs="Arial" w:eastAsia="Arial" w:hAnsi="Arial"/>
          <w:sz w:val="17"/>
          <w:szCs w:val="17"/>
          <w:color w:val="auto"/>
        </w:rPr>
        <w:t xml:space="preserve"> means the first day of the calendar quarter after U.S. gross sales of GAZYVA within any consecutive 12-month period have reached $500.0 million. The Second GAZYVA Threshold Date can be achieved regardless of whether GAZYVA has been approved in a non-CLL indication.</w:t>
      </w:r>
    </w:p>
    <w:p>
      <w:pPr>
        <w:spacing w:after="0" w:line="140" w:lineRule="exact"/>
        <w:rPr>
          <w:sz w:val="20"/>
          <w:szCs w:val="20"/>
          <w:color w:val="auto"/>
        </w:rPr>
      </w:pPr>
    </w:p>
    <w:p>
      <w:pPr>
        <w:jc w:val="both"/>
        <w:ind w:right="220" w:firstLine="410"/>
        <w:spacing w:after="0" w:line="257" w:lineRule="auto"/>
        <w:rPr>
          <w:sz w:val="20"/>
          <w:szCs w:val="20"/>
          <w:color w:val="auto"/>
        </w:rPr>
      </w:pPr>
      <w:r>
        <w:rPr>
          <w:rFonts w:ascii="Arial" w:cs="Arial" w:eastAsia="Arial" w:hAnsi="Arial"/>
          <w:sz w:val="17"/>
          <w:szCs w:val="17"/>
          <w:color w:val="auto"/>
        </w:rPr>
        <w:t>Our share of RITUXAN pre-tax profits in the U.S. decreased to 39% from 40% in February 2016 when GAZYVA was approved by the FDA as a new treatment for follicular lymphoma and was further decreased to 37.5% in the third quarter of 2017 as gross sales of GAZYVA in the U.S. for the preceding 12 month period exceeded $150.0 million.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F- 57</w:t>
      </w:r>
    </w:p>
    <w:p>
      <w:pPr>
        <w:sectPr>
          <w:pgSz w:w="11900" w:h="16838" w:orient="portrait"/>
          <w:cols w:equalWidth="0" w:num="1">
            <w:col w:w="11420"/>
          </w:cols>
          <w:pgMar w:left="240" w:top="139" w:right="239" w:bottom="1440" w:gutter="0" w:footer="0" w:header="0"/>
        </w:sectPr>
      </w:pPr>
    </w:p>
    <w:bookmarkStart w:id="159" w:name="page160"/>
    <w:bookmarkEnd w:id="15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90" w:lineRule="exact"/>
        <w:rPr>
          <w:sz w:val="20"/>
          <w:szCs w:val="20"/>
          <w:color w:val="auto"/>
        </w:rPr>
      </w:pPr>
    </w:p>
    <w:p>
      <w:pPr>
        <w:jc w:val="both"/>
        <w:ind w:right="300" w:firstLine="410"/>
        <w:spacing w:after="0" w:line="262" w:lineRule="auto"/>
        <w:rPr>
          <w:sz w:val="20"/>
          <w:szCs w:val="20"/>
          <w:color w:val="auto"/>
        </w:rPr>
      </w:pPr>
      <w:r>
        <w:rPr>
          <w:rFonts w:ascii="Arial" w:cs="Arial" w:eastAsia="Arial" w:hAnsi="Arial"/>
          <w:sz w:val="17"/>
          <w:szCs w:val="17"/>
          <w:color w:val="auto"/>
        </w:rPr>
        <w:t>In addition, should the FDA approve an anti-CD20 product other than OCREVUS or GAZYVA that is acquired or developed by Genentech and subject to the collaboration agreement, our share of the co-promotion operating profits would be between 30% and 37.5% based on certain events.</w:t>
      </w:r>
    </w:p>
    <w:p>
      <w:pPr>
        <w:spacing w:after="0" w:line="137" w:lineRule="exact"/>
        <w:rPr>
          <w:sz w:val="20"/>
          <w:szCs w:val="20"/>
          <w:color w:val="auto"/>
        </w:rPr>
      </w:pPr>
    </w:p>
    <w:p>
      <w:pPr>
        <w:ind w:right="60" w:firstLine="410"/>
        <w:spacing w:after="0" w:line="257" w:lineRule="auto"/>
        <w:rPr>
          <w:sz w:val="20"/>
          <w:szCs w:val="20"/>
          <w:color w:val="auto"/>
        </w:rPr>
      </w:pPr>
      <w:r>
        <w:rPr>
          <w:rFonts w:ascii="Arial" w:cs="Arial" w:eastAsia="Arial" w:hAnsi="Arial"/>
          <w:sz w:val="17"/>
          <w:szCs w:val="17"/>
          <w:color w:val="auto"/>
        </w:rPr>
        <w:t>In June 2017 the FDA approved RITUXAN HYCELA for subcutaneous injection for the treatment of adults with previously untreated and relapsed or refractory follicular lymphoma, previously untreated diffuse large B-cell lymphoma and CLL. This new treatment includes the same monoclonal antibody as intravenous RITUXAN in combination with hyaluronidase human, an enzyme that helps to deliver rituximab under the skin.</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GAZYVA Profit Share</w:t>
      </w:r>
    </w:p>
    <w:p>
      <w:pPr>
        <w:spacing w:after="0" w:line="104" w:lineRule="exact"/>
        <w:rPr>
          <w:sz w:val="20"/>
          <w:szCs w:val="20"/>
          <w:color w:val="auto"/>
        </w:rPr>
      </w:pPr>
    </w:p>
    <w:p>
      <w:pPr>
        <w:ind w:right="40" w:firstLine="410"/>
        <w:spacing w:after="0" w:line="262" w:lineRule="auto"/>
        <w:rPr>
          <w:sz w:val="20"/>
          <w:szCs w:val="20"/>
          <w:color w:val="auto"/>
        </w:rPr>
      </w:pPr>
      <w:r>
        <w:rPr>
          <w:rFonts w:ascii="Arial" w:cs="Arial" w:eastAsia="Arial" w:hAnsi="Arial"/>
          <w:sz w:val="17"/>
          <w:szCs w:val="17"/>
          <w:color w:val="auto"/>
        </w:rPr>
        <w:t>Our current pretax profit-sharing formula for GAZYVA provides for a 35% share on the first $50.0 million of operating profits earned each calendar year. Our share of annual profits in excess of $50.0 million varies, as summarized in the table below, upon the following events: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06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Until First GAZYVA Threshold Date</w:t>
            </w:r>
          </w:p>
        </w:tc>
        <w:tc>
          <w:tcPr>
            <w:tcW w:w="420" w:type="dxa"/>
            <w:vAlign w:val="bottom"/>
            <w:shd w:val="clear" w:color="auto" w:fill="DDDDDD"/>
          </w:tcPr>
          <w:p>
            <w:pPr>
              <w:spacing w:after="0"/>
              <w:rPr>
                <w:sz w:val="21"/>
                <w:szCs w:val="21"/>
                <w:color w:val="auto"/>
              </w:rPr>
            </w:pPr>
          </w:p>
        </w:tc>
        <w:tc>
          <w:tcPr>
            <w:tcW w:w="132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400" w:type="dxa"/>
            <w:vAlign w:val="bottom"/>
            <w:shd w:val="clear" w:color="auto" w:fill="DDDDDD"/>
          </w:tcPr>
          <w:p>
            <w:pPr>
              <w:spacing w:after="0"/>
              <w:rPr>
                <w:sz w:val="21"/>
                <w:szCs w:val="21"/>
                <w:color w:val="auto"/>
              </w:rPr>
            </w:pPr>
          </w:p>
        </w:tc>
        <w:tc>
          <w:tcPr>
            <w:tcW w:w="130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420" w:type="dxa"/>
            <w:vAlign w:val="bottom"/>
            <w:shd w:val="clear" w:color="auto" w:fill="DDDDDD"/>
          </w:tcPr>
          <w:p>
            <w:pPr>
              <w:spacing w:after="0"/>
              <w:rPr>
                <w:sz w:val="21"/>
                <w:szCs w:val="21"/>
                <w:color w:val="auto"/>
              </w:rPr>
            </w:pPr>
          </w:p>
        </w:tc>
        <w:tc>
          <w:tcPr>
            <w:tcW w:w="1280" w:type="dxa"/>
            <w:vAlign w:val="bottom"/>
            <w:shd w:val="clear" w:color="auto" w:fill="DDDDDD"/>
          </w:tcPr>
          <w:p>
            <w:pPr>
              <w:jc w:val="center"/>
              <w:ind w:left="677"/>
              <w:spacing w:after="0"/>
              <w:rPr>
                <w:sz w:val="20"/>
                <w:szCs w:val="20"/>
                <w:color w:val="auto"/>
              </w:rPr>
            </w:pPr>
            <w:r>
              <w:rPr>
                <w:rFonts w:ascii="Arial" w:cs="Arial" w:eastAsia="Arial" w:hAnsi="Arial"/>
                <w:sz w:val="17"/>
                <w:szCs w:val="17"/>
                <w:color w:val="2573BA"/>
                <w:w w:val="99"/>
              </w:rPr>
              <w:t>39.0%</w:t>
            </w:r>
          </w:p>
        </w:tc>
      </w:tr>
      <w:tr>
        <w:trPr>
          <w:trHeight w:val="236"/>
        </w:trPr>
        <w:tc>
          <w:tcPr>
            <w:tcW w:w="6060" w:type="dxa"/>
            <w:vAlign w:val="bottom"/>
          </w:tcPr>
          <w:p>
            <w:pPr>
              <w:ind w:left="20"/>
              <w:spacing w:after="0"/>
              <w:rPr>
                <w:sz w:val="20"/>
                <w:szCs w:val="20"/>
                <w:color w:val="auto"/>
              </w:rPr>
            </w:pPr>
            <w:r>
              <w:rPr>
                <w:rFonts w:ascii="Arial" w:cs="Arial" w:eastAsia="Arial" w:hAnsi="Arial"/>
                <w:sz w:val="17"/>
                <w:szCs w:val="17"/>
                <w:color w:val="2573BA"/>
              </w:rPr>
              <w:t>After First GAZYVA Threshold Date until Second GAZYVA Threshold Date</w:t>
            </w:r>
          </w:p>
        </w:tc>
        <w:tc>
          <w:tcPr>
            <w:tcW w:w="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center"/>
              <w:ind w:left="677"/>
              <w:spacing w:after="0"/>
              <w:rPr>
                <w:sz w:val="20"/>
                <w:szCs w:val="20"/>
                <w:color w:val="auto"/>
              </w:rPr>
            </w:pPr>
            <w:r>
              <w:rPr>
                <w:rFonts w:ascii="Arial" w:cs="Arial" w:eastAsia="Arial" w:hAnsi="Arial"/>
                <w:sz w:val="17"/>
                <w:szCs w:val="17"/>
                <w:color w:val="2573BA"/>
                <w:w w:val="99"/>
              </w:rPr>
              <w:t>37.5%</w:t>
            </w:r>
          </w:p>
        </w:tc>
      </w:tr>
      <w:tr>
        <w:trPr>
          <w:trHeight w:val="250"/>
        </w:trPr>
        <w:tc>
          <w:tcPr>
            <w:tcW w:w="606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After Second GAZYVA Threshold Date</w:t>
            </w:r>
          </w:p>
        </w:tc>
        <w:tc>
          <w:tcPr>
            <w:tcW w:w="420" w:type="dxa"/>
            <w:vAlign w:val="bottom"/>
            <w:shd w:val="clear" w:color="auto" w:fill="DDDDDD"/>
          </w:tcPr>
          <w:p>
            <w:pPr>
              <w:spacing w:after="0"/>
              <w:rPr>
                <w:sz w:val="21"/>
                <w:szCs w:val="21"/>
                <w:color w:val="auto"/>
              </w:rPr>
            </w:pPr>
          </w:p>
        </w:tc>
        <w:tc>
          <w:tcPr>
            <w:tcW w:w="132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400" w:type="dxa"/>
            <w:vAlign w:val="bottom"/>
            <w:shd w:val="clear" w:color="auto" w:fill="DDDDDD"/>
          </w:tcPr>
          <w:p>
            <w:pPr>
              <w:spacing w:after="0"/>
              <w:rPr>
                <w:sz w:val="21"/>
                <w:szCs w:val="21"/>
                <w:color w:val="auto"/>
              </w:rPr>
            </w:pPr>
          </w:p>
        </w:tc>
        <w:tc>
          <w:tcPr>
            <w:tcW w:w="130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420" w:type="dxa"/>
            <w:vAlign w:val="bottom"/>
            <w:shd w:val="clear" w:color="auto" w:fill="DDDDDD"/>
          </w:tcPr>
          <w:p>
            <w:pPr>
              <w:spacing w:after="0"/>
              <w:rPr>
                <w:sz w:val="21"/>
                <w:szCs w:val="21"/>
                <w:color w:val="auto"/>
              </w:rPr>
            </w:pPr>
          </w:p>
        </w:tc>
        <w:tc>
          <w:tcPr>
            <w:tcW w:w="1280" w:type="dxa"/>
            <w:vAlign w:val="bottom"/>
            <w:shd w:val="clear" w:color="auto" w:fill="DDDDDD"/>
          </w:tcPr>
          <w:p>
            <w:pPr>
              <w:jc w:val="center"/>
              <w:ind w:left="677"/>
              <w:spacing w:after="0"/>
              <w:rPr>
                <w:sz w:val="20"/>
                <w:szCs w:val="20"/>
                <w:color w:val="auto"/>
              </w:rPr>
            </w:pPr>
            <w:r>
              <w:rPr>
                <w:rFonts w:ascii="Arial" w:cs="Arial" w:eastAsia="Arial" w:hAnsi="Arial"/>
                <w:sz w:val="17"/>
                <w:szCs w:val="17"/>
                <w:color w:val="2573BA"/>
                <w:w w:val="99"/>
              </w:rPr>
              <w:t>35.0%</w:t>
            </w:r>
          </w:p>
        </w:tc>
      </w:tr>
      <w:tr>
        <w:trPr>
          <w:trHeight w:val="281"/>
        </w:trPr>
        <w:tc>
          <w:tcPr>
            <w:tcW w:w="6480" w:type="dxa"/>
            <w:vAlign w:val="bottom"/>
            <w:gridSpan w:val="2"/>
          </w:tcPr>
          <w:p>
            <w:pPr>
              <w:ind w:left="420"/>
              <w:spacing w:after="0"/>
              <w:rPr>
                <w:sz w:val="20"/>
                <w:szCs w:val="20"/>
                <w:color w:val="auto"/>
              </w:rPr>
            </w:pPr>
            <w:r>
              <w:rPr>
                <w:rFonts w:ascii="Arial" w:cs="Arial" w:eastAsia="Arial" w:hAnsi="Arial"/>
                <w:sz w:val="17"/>
                <w:szCs w:val="17"/>
                <w:color w:val="auto"/>
              </w:rPr>
              <w:t>In 2017, 2016 and 2015 our share of operating profits on GAZYVA was 35%.</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59"/>
        </w:trPr>
        <w:tc>
          <w:tcPr>
            <w:tcW w:w="11420" w:type="dxa"/>
            <w:vAlign w:val="bottom"/>
            <w:gridSpan w:val="9"/>
          </w:tcPr>
          <w:p>
            <w:pPr>
              <w:ind w:left="420"/>
              <w:spacing w:after="0"/>
              <w:rPr>
                <w:sz w:val="20"/>
                <w:szCs w:val="20"/>
                <w:color w:val="auto"/>
              </w:rPr>
            </w:pPr>
            <w:r>
              <w:rPr>
                <w:rFonts w:ascii="Arial" w:cs="Arial" w:eastAsia="Arial" w:hAnsi="Arial"/>
                <w:sz w:val="17"/>
                <w:szCs w:val="17"/>
                <w:color w:val="auto"/>
              </w:rPr>
              <w:t>In November 2017 the FDA approved GAZYVA in combination with chemotherapy, followed by GAZYVA alone, for people with previously</w:t>
            </w: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untreated advanced follicular lymphoma.</w:t>
            </w: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359"/>
        </w:trPr>
        <w:tc>
          <w:tcPr>
            <w:tcW w:w="6060" w:type="dxa"/>
            <w:vAlign w:val="bottom"/>
          </w:tcPr>
          <w:p>
            <w:pPr>
              <w:ind w:left="240"/>
              <w:spacing w:after="0"/>
              <w:rPr>
                <w:sz w:val="20"/>
                <w:szCs w:val="20"/>
                <w:color w:val="auto"/>
              </w:rPr>
            </w:pPr>
            <w:r>
              <w:rPr>
                <w:rFonts w:ascii="Arial" w:cs="Arial" w:eastAsia="Arial" w:hAnsi="Arial"/>
                <w:sz w:val="17"/>
                <w:szCs w:val="17"/>
                <w:i w:val="1"/>
                <w:iCs w:val="1"/>
                <w:color w:val="538235"/>
              </w:rPr>
              <w:t>Revenues from Anti-CD20 Therapeutic Programs</w:t>
            </w: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82"/>
        </w:trPr>
        <w:tc>
          <w:tcPr>
            <w:tcW w:w="6480" w:type="dxa"/>
            <w:vAlign w:val="bottom"/>
            <w:gridSpan w:val="2"/>
          </w:tcPr>
          <w:p>
            <w:pPr>
              <w:ind w:left="420"/>
              <w:spacing w:after="0"/>
              <w:rPr>
                <w:sz w:val="20"/>
                <w:szCs w:val="20"/>
                <w:color w:val="auto"/>
              </w:rPr>
            </w:pPr>
            <w:r>
              <w:rPr>
                <w:rFonts w:ascii="Arial" w:cs="Arial" w:eastAsia="Arial" w:hAnsi="Arial"/>
                <w:sz w:val="17"/>
                <w:szCs w:val="17"/>
                <w:color w:val="auto"/>
              </w:rPr>
              <w:t>Revenues from anti-CD20 therapeutic programs are summarized as follows:</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29"/>
        </w:trPr>
        <w:tc>
          <w:tcPr>
            <w:tcW w:w="60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6"/>
          </w:tcPr>
          <w:p>
            <w:pPr>
              <w:jc w:val="right"/>
              <w:ind w:right="175"/>
              <w:spacing w:after="0"/>
              <w:rPr>
                <w:sz w:val="20"/>
                <w:szCs w:val="20"/>
                <w:color w:val="auto"/>
              </w:rPr>
            </w:pPr>
            <w:r>
              <w:rPr>
                <w:rFonts w:ascii="Arial" w:cs="Arial" w:eastAsia="Arial" w:hAnsi="Arial"/>
                <w:sz w:val="14"/>
                <w:szCs w:val="14"/>
                <w:b w:val="1"/>
                <w:bCs w:val="1"/>
                <w:color w:val="auto"/>
              </w:rPr>
              <w:t>For the Years Ended December 31,</w:t>
            </w:r>
          </w:p>
        </w:tc>
        <w:tc>
          <w:tcPr>
            <w:tcW w:w="1280" w:type="dxa"/>
            <w:vAlign w:val="bottom"/>
            <w:tcBorders>
              <w:bottom w:val="single" w:sz="8" w:color="auto"/>
            </w:tcBorders>
          </w:tcPr>
          <w:p>
            <w:pPr>
              <w:spacing w:after="0"/>
              <w:rPr>
                <w:sz w:val="24"/>
                <w:szCs w:val="24"/>
                <w:color w:val="auto"/>
              </w:rPr>
            </w:pPr>
          </w:p>
        </w:tc>
      </w:tr>
      <w:tr>
        <w:trPr>
          <w:trHeight w:val="249"/>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Borders>
              <w:bottom w:val="single" w:sz="8" w:color="auto"/>
            </w:tcBorders>
            <w:shd w:val="clear" w:color="auto" w:fill="DDDDDD"/>
          </w:tcPr>
          <w:p>
            <w:pPr>
              <w:spacing w:after="0"/>
              <w:rPr>
                <w:sz w:val="21"/>
                <w:szCs w:val="21"/>
                <w:color w:val="auto"/>
              </w:rPr>
            </w:pPr>
          </w:p>
        </w:tc>
        <w:tc>
          <w:tcPr>
            <w:tcW w:w="1320" w:type="dxa"/>
            <w:vAlign w:val="bottom"/>
            <w:tcBorders>
              <w:bottom w:val="single" w:sz="8" w:color="auto"/>
            </w:tcBorders>
            <w:shd w:val="clear" w:color="auto" w:fill="DDDDDD"/>
          </w:tcPr>
          <w:p>
            <w:pPr>
              <w:jc w:val="right"/>
              <w:ind w:right="641"/>
              <w:spacing w:after="0"/>
              <w:rPr>
                <w:sz w:val="20"/>
                <w:szCs w:val="20"/>
                <w:color w:val="auto"/>
              </w:rPr>
            </w:pPr>
            <w:r>
              <w:rPr>
                <w:rFonts w:ascii="Arial" w:cs="Arial" w:eastAsia="Arial" w:hAnsi="Arial"/>
                <w:sz w:val="14"/>
                <w:szCs w:val="14"/>
                <w:b w:val="1"/>
                <w:bCs w:val="1"/>
                <w:color w:val="2573BA"/>
              </w:rPr>
              <w:t>2017</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2015</w:t>
            </w:r>
          </w:p>
        </w:tc>
      </w:tr>
      <w:tr>
        <w:trPr>
          <w:trHeight w:val="215"/>
        </w:trPr>
        <w:tc>
          <w:tcPr>
            <w:tcW w:w="6060" w:type="dxa"/>
            <w:vAlign w:val="bottom"/>
          </w:tcPr>
          <w:p>
            <w:pPr>
              <w:ind w:left="20"/>
              <w:spacing w:after="0"/>
              <w:rPr>
                <w:sz w:val="20"/>
                <w:szCs w:val="20"/>
                <w:color w:val="auto"/>
              </w:rPr>
            </w:pPr>
            <w:r>
              <w:rPr>
                <w:rFonts w:ascii="Arial" w:cs="Arial" w:eastAsia="Arial" w:hAnsi="Arial"/>
                <w:sz w:val="17"/>
                <w:szCs w:val="17"/>
                <w:color w:val="auto"/>
              </w:rPr>
              <w:t>Biogen's share of pre-tax profits in the U.S. for RITUXAN and GAZYVA,</w:t>
            </w:r>
          </w:p>
        </w:tc>
        <w:tc>
          <w:tcPr>
            <w:tcW w:w="420" w:type="dxa"/>
            <w:vAlign w:val="bottom"/>
            <w:shd w:val="clear" w:color="auto" w:fill="DDDDDD"/>
          </w:tcPr>
          <w:p>
            <w:pPr>
              <w:spacing w:after="0"/>
              <w:rPr>
                <w:sz w:val="18"/>
                <w:szCs w:val="18"/>
                <w:color w:val="auto"/>
              </w:rPr>
            </w:pPr>
          </w:p>
        </w:tc>
        <w:tc>
          <w:tcPr>
            <w:tcW w:w="1320" w:type="dxa"/>
            <w:vAlign w:val="bottom"/>
            <w:shd w:val="clear" w:color="auto" w:fill="DDDDDD"/>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4"/>
        </w:trPr>
        <w:tc>
          <w:tcPr>
            <w:tcW w:w="6060" w:type="dxa"/>
            <w:vAlign w:val="bottom"/>
          </w:tcPr>
          <w:p>
            <w:pPr>
              <w:ind w:left="20"/>
              <w:spacing w:after="0"/>
              <w:rPr>
                <w:sz w:val="20"/>
                <w:szCs w:val="20"/>
                <w:color w:val="auto"/>
              </w:rPr>
            </w:pPr>
            <w:r>
              <w:rPr>
                <w:rFonts w:ascii="Arial" w:cs="Arial" w:eastAsia="Arial" w:hAnsi="Arial"/>
                <w:sz w:val="17"/>
                <w:szCs w:val="17"/>
                <w:color w:val="auto"/>
              </w:rPr>
              <w:t>including the reimbursement of selling and development expenses</w:t>
            </w:r>
          </w:p>
        </w:tc>
        <w:tc>
          <w:tcPr>
            <w:tcW w:w="420" w:type="dxa"/>
            <w:vAlign w:val="bottom"/>
            <w:shd w:val="clear" w:color="auto" w:fill="DDDDDD"/>
          </w:tcPr>
          <w:p>
            <w:pPr>
              <w:jc w:val="right"/>
              <w:ind w:right="215"/>
              <w:spacing w:after="0"/>
              <w:rPr>
                <w:sz w:val="20"/>
                <w:szCs w:val="20"/>
                <w:color w:val="auto"/>
              </w:rPr>
            </w:pPr>
            <w:r>
              <w:rPr>
                <w:rFonts w:ascii="Arial" w:cs="Arial" w:eastAsia="Arial" w:hAnsi="Arial"/>
                <w:sz w:val="17"/>
                <w:szCs w:val="17"/>
                <w:color w:val="2573BA"/>
              </w:rPr>
              <w:t>$</w:t>
            </w:r>
          </w:p>
        </w:tc>
        <w:tc>
          <w:tcPr>
            <w:tcW w:w="1320" w:type="dxa"/>
            <w:vAlign w:val="bottom"/>
            <w:shd w:val="clear" w:color="auto" w:fill="DDDDDD"/>
          </w:tcPr>
          <w:p>
            <w:pPr>
              <w:jc w:val="right"/>
              <w:ind w:right="41"/>
              <w:spacing w:after="0"/>
              <w:rPr>
                <w:sz w:val="20"/>
                <w:szCs w:val="20"/>
                <w:color w:val="auto"/>
              </w:rPr>
            </w:pPr>
            <w:r>
              <w:rPr>
                <w:rFonts w:ascii="Arial" w:cs="Arial" w:eastAsia="Arial" w:hAnsi="Arial"/>
                <w:sz w:val="17"/>
                <w:szCs w:val="17"/>
                <w:color w:val="2573BA"/>
              </w:rPr>
              <w:t>1,316.4</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9"/>
              <w:spacing w:after="0"/>
              <w:rPr>
                <w:sz w:val="20"/>
                <w:szCs w:val="20"/>
                <w:color w:val="auto"/>
              </w:rPr>
            </w:pPr>
            <w:r>
              <w:rPr>
                <w:rFonts w:ascii="Arial" w:cs="Arial" w:eastAsia="Arial" w:hAnsi="Arial"/>
                <w:sz w:val="17"/>
                <w:szCs w:val="17"/>
                <w:color w:val="auto"/>
              </w:rPr>
              <w:t>1,249.5</w:t>
            </w:r>
          </w:p>
        </w:tc>
        <w:tc>
          <w:tcPr>
            <w:tcW w:w="100" w:type="dxa"/>
            <w:vAlign w:val="bottom"/>
          </w:tcPr>
          <w:p>
            <w:pPr>
              <w:spacing w:after="0"/>
              <w:rPr>
                <w:sz w:val="17"/>
                <w:szCs w:val="17"/>
                <w:color w:val="auto"/>
              </w:rPr>
            </w:pP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1,269.8</w:t>
            </w:r>
          </w:p>
        </w:tc>
      </w:tr>
      <w:tr>
        <w:trPr>
          <w:trHeight w:val="263"/>
        </w:trPr>
        <w:tc>
          <w:tcPr>
            <w:tcW w:w="6060" w:type="dxa"/>
            <w:vAlign w:val="bottom"/>
          </w:tcPr>
          <w:p>
            <w:pPr>
              <w:ind w:left="20"/>
              <w:spacing w:after="0"/>
              <w:rPr>
                <w:sz w:val="20"/>
                <w:szCs w:val="20"/>
                <w:color w:val="auto"/>
              </w:rPr>
            </w:pPr>
            <w:r>
              <w:rPr>
                <w:rFonts w:ascii="Arial" w:cs="Arial" w:eastAsia="Arial" w:hAnsi="Arial"/>
                <w:sz w:val="17"/>
                <w:szCs w:val="17"/>
                <w:color w:val="auto"/>
              </w:rPr>
              <w:t>Other revenues from anti-CD20 therapeutic programs</w:t>
            </w:r>
          </w:p>
        </w:tc>
        <w:tc>
          <w:tcPr>
            <w:tcW w:w="420" w:type="dxa"/>
            <w:vAlign w:val="bottom"/>
            <w:tcBorders>
              <w:bottom w:val="single" w:sz="8" w:color="auto"/>
            </w:tcBorders>
            <w:shd w:val="clear" w:color="auto" w:fill="DDDDDD"/>
          </w:tcPr>
          <w:p>
            <w:pPr>
              <w:spacing w:after="0"/>
              <w:rPr>
                <w:sz w:val="22"/>
                <w:szCs w:val="22"/>
                <w:color w:val="auto"/>
              </w:rPr>
            </w:pPr>
          </w:p>
        </w:tc>
        <w:tc>
          <w:tcPr>
            <w:tcW w:w="1320" w:type="dxa"/>
            <w:vAlign w:val="bottom"/>
            <w:tcBorders>
              <w:bottom w:val="single" w:sz="8" w:color="auto"/>
            </w:tcBorders>
            <w:shd w:val="clear" w:color="auto" w:fill="DDDDDD"/>
          </w:tcPr>
          <w:p>
            <w:pPr>
              <w:jc w:val="right"/>
              <w:ind w:right="41"/>
              <w:spacing w:after="0"/>
              <w:rPr>
                <w:sz w:val="20"/>
                <w:szCs w:val="20"/>
                <w:color w:val="auto"/>
              </w:rPr>
            </w:pPr>
            <w:r>
              <w:rPr>
                <w:rFonts w:ascii="Arial" w:cs="Arial" w:eastAsia="Arial" w:hAnsi="Arial"/>
                <w:sz w:val="17"/>
                <w:szCs w:val="17"/>
                <w:color w:val="2573BA"/>
              </w:rPr>
              <w:t>242.8</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65.0</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left="677"/>
              <w:spacing w:after="0"/>
              <w:rPr>
                <w:sz w:val="20"/>
                <w:szCs w:val="20"/>
                <w:color w:val="auto"/>
              </w:rPr>
            </w:pPr>
            <w:r>
              <w:rPr>
                <w:rFonts w:ascii="Arial" w:cs="Arial" w:eastAsia="Arial" w:hAnsi="Arial"/>
                <w:sz w:val="17"/>
                <w:szCs w:val="17"/>
                <w:color w:val="auto"/>
                <w:w w:val="96"/>
              </w:rPr>
              <w:t>69.4</w:t>
            </w:r>
          </w:p>
        </w:tc>
      </w:tr>
      <w:tr>
        <w:trPr>
          <w:trHeight w:val="236"/>
        </w:trPr>
        <w:tc>
          <w:tcPr>
            <w:tcW w:w="6060" w:type="dxa"/>
            <w:vAlign w:val="bottom"/>
          </w:tcPr>
          <w:p>
            <w:pPr>
              <w:ind w:left="360"/>
              <w:spacing w:after="0"/>
              <w:rPr>
                <w:sz w:val="20"/>
                <w:szCs w:val="20"/>
                <w:color w:val="auto"/>
              </w:rPr>
            </w:pPr>
            <w:r>
              <w:rPr>
                <w:rFonts w:ascii="Arial" w:cs="Arial" w:eastAsia="Arial" w:hAnsi="Arial"/>
                <w:sz w:val="17"/>
                <w:szCs w:val="17"/>
                <w:color w:val="auto"/>
              </w:rPr>
              <w:t>Total revenues from anti-CD20 therapeutic programs</w:t>
            </w:r>
          </w:p>
        </w:tc>
        <w:tc>
          <w:tcPr>
            <w:tcW w:w="420" w:type="dxa"/>
            <w:vAlign w:val="bottom"/>
            <w:shd w:val="clear" w:color="auto" w:fill="DDDDDD"/>
          </w:tcPr>
          <w:p>
            <w:pPr>
              <w:jc w:val="right"/>
              <w:ind w:right="215"/>
              <w:spacing w:after="0"/>
              <w:rPr>
                <w:sz w:val="20"/>
                <w:szCs w:val="20"/>
                <w:color w:val="auto"/>
              </w:rPr>
            </w:pPr>
            <w:r>
              <w:rPr>
                <w:rFonts w:ascii="Arial" w:cs="Arial" w:eastAsia="Arial" w:hAnsi="Arial"/>
                <w:sz w:val="17"/>
                <w:szCs w:val="17"/>
                <w:color w:val="2573BA"/>
              </w:rPr>
              <w:t>$</w:t>
            </w:r>
          </w:p>
        </w:tc>
        <w:tc>
          <w:tcPr>
            <w:tcW w:w="1320" w:type="dxa"/>
            <w:vAlign w:val="bottom"/>
            <w:shd w:val="clear" w:color="auto" w:fill="DDDDDD"/>
          </w:tcPr>
          <w:p>
            <w:pPr>
              <w:jc w:val="right"/>
              <w:ind w:right="41"/>
              <w:spacing w:after="0"/>
              <w:rPr>
                <w:sz w:val="20"/>
                <w:szCs w:val="20"/>
                <w:color w:val="auto"/>
              </w:rPr>
            </w:pPr>
            <w:r>
              <w:rPr>
                <w:rFonts w:ascii="Arial" w:cs="Arial" w:eastAsia="Arial" w:hAnsi="Arial"/>
                <w:sz w:val="17"/>
                <w:szCs w:val="17"/>
                <w:color w:val="2573BA"/>
              </w:rPr>
              <w:t>1,559.2</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9"/>
              <w:spacing w:after="0"/>
              <w:rPr>
                <w:sz w:val="20"/>
                <w:szCs w:val="20"/>
                <w:color w:val="auto"/>
              </w:rPr>
            </w:pPr>
            <w:r>
              <w:rPr>
                <w:rFonts w:ascii="Arial" w:cs="Arial" w:eastAsia="Arial" w:hAnsi="Arial"/>
                <w:sz w:val="17"/>
                <w:szCs w:val="17"/>
                <w:color w:val="auto"/>
              </w:rPr>
              <w:t>1,314.5</w:t>
            </w:r>
          </w:p>
        </w:tc>
        <w:tc>
          <w:tcPr>
            <w:tcW w:w="100" w:type="dxa"/>
            <w:vAlign w:val="bottom"/>
          </w:tcPr>
          <w:p>
            <w:pPr>
              <w:spacing w:after="0"/>
              <w:rPr>
                <w:sz w:val="20"/>
                <w:szCs w:val="20"/>
                <w:color w:val="auto"/>
              </w:rPr>
            </w:pP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1,339.2</w:t>
            </w:r>
          </w:p>
        </w:tc>
      </w:tr>
      <w:tr>
        <w:trPr>
          <w:trHeight w:val="20"/>
        </w:trPr>
        <w:tc>
          <w:tcPr>
            <w:tcW w:w="60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2017 the 37.5% profit-sharing threshold was met during the third quarter and the 39% profit-sharing threshold was met during the first quarter.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In 2016 the 39% profit-sharing threshold was met during the first quarter. In 2015, the 40% profit-sharing threshold was met during the first quarter.</w:t>
      </w:r>
    </w:p>
    <w:p>
      <w:pPr>
        <w:spacing w:after="0" w:line="163"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Biogen's share of pre-tax profits in the U.S. for RITUXAN and GAZYVA, including the reimbursement of selling and development expenses for 2017, as depicted in the table above, excludes certain expenses charged to the collaboration by Genentech that we believe remain the responsibility of Genentech and that we are not obligated to pay under the terms of the collaboration agreement. Accordingly, we did not recognize the effect of those expenses in the determination of our share of pre-tax collaboration profits and Genentech has withheld approximately $120 million from amounts due to us in relation to collaboration activity for 2017, representing Genentech’s estimate of our share of these expenses. We remain in discussions with Genentech about a resolution relating to these amounts.</w:t>
      </w:r>
    </w:p>
    <w:p>
      <w:pPr>
        <w:spacing w:after="0" w:line="147" w:lineRule="exact"/>
        <w:rPr>
          <w:sz w:val="20"/>
          <w:szCs w:val="20"/>
          <w:color w:val="auto"/>
        </w:rPr>
      </w:pPr>
    </w:p>
    <w:p>
      <w:pPr>
        <w:jc w:val="both"/>
        <w:ind w:right="420" w:firstLine="410"/>
        <w:spacing w:after="0" w:line="257" w:lineRule="auto"/>
        <w:rPr>
          <w:sz w:val="20"/>
          <w:szCs w:val="20"/>
          <w:color w:val="auto"/>
        </w:rPr>
      </w:pPr>
      <w:r>
        <w:rPr>
          <w:rFonts w:ascii="Arial" w:cs="Arial" w:eastAsia="Arial" w:hAnsi="Arial"/>
          <w:sz w:val="17"/>
          <w:szCs w:val="17"/>
          <w:color w:val="auto"/>
        </w:rPr>
        <w:t>Prior to regulatory approval, we record our share of the expenses incurred by the collaboration for the development of anti-CD20 products in research and development expense in our consolidated statements of income. After an anti-CD20 product is approved, we record our share of the development expenses related to that product as a reduction of our share of pre-tax profits in revenues from anti-CD20 therapeutic programs.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F- 58</w:t>
      </w:r>
    </w:p>
    <w:p>
      <w:pPr>
        <w:sectPr>
          <w:pgSz w:w="11900" w:h="16838" w:orient="portrait"/>
          <w:cols w:equalWidth="0" w:num="1">
            <w:col w:w="11420"/>
          </w:cols>
          <w:pgMar w:left="240" w:top="139" w:right="239" w:bottom="1440" w:gutter="0" w:footer="0" w:header="0"/>
        </w:sectPr>
      </w:pPr>
    </w:p>
    <w:bookmarkStart w:id="160" w:name="page161"/>
    <w:bookmarkEnd w:id="16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AbbVie</w:t>
      </w:r>
    </w:p>
    <w:p>
      <w:pPr>
        <w:spacing w:after="0" w:line="106" w:lineRule="exact"/>
        <w:rPr>
          <w:sz w:val="20"/>
          <w:szCs w:val="20"/>
          <w:color w:val="auto"/>
        </w:rPr>
      </w:pPr>
    </w:p>
    <w:p>
      <w:pPr>
        <w:ind w:right="80" w:firstLine="384"/>
        <w:spacing w:after="0" w:line="254" w:lineRule="auto"/>
        <w:rPr>
          <w:sz w:val="20"/>
          <w:szCs w:val="20"/>
          <w:color w:val="auto"/>
        </w:rPr>
      </w:pPr>
      <w:r>
        <w:rPr>
          <w:rFonts w:ascii="Arial" w:cs="Arial" w:eastAsia="Arial" w:hAnsi="Arial"/>
          <w:sz w:val="17"/>
          <w:szCs w:val="17"/>
          <w:color w:val="auto"/>
        </w:rPr>
        <w:t>We have a collaboration agreement with AbbVie for the development and commercialization of ZINBRYTA, which was approved for the treatment of relapsing forms of MS in the U.S. in May 2016 and in the E.U. in July 2016. Under this agreement, we and AbbVie conduct ZINBRYTA co-promotion activities in the U.S., E.U. and Canadian territories (Collaboration Territory) where development and commercialization costs and profits are shared equally. Outside of the Collaboration Territory, we are solely responsible for development and commercialization of ZINBRYTA and will pay a tiered royalty to AbbVie as a percentage of net sales in the low to high teens.</w:t>
      </w:r>
    </w:p>
    <w:p>
      <w:pPr>
        <w:spacing w:after="0" w:line="144" w:lineRule="exact"/>
        <w:rPr>
          <w:sz w:val="20"/>
          <w:szCs w:val="20"/>
          <w:color w:val="auto"/>
        </w:rPr>
      </w:pPr>
    </w:p>
    <w:p>
      <w:pPr>
        <w:jc w:val="both"/>
        <w:ind w:right="240" w:firstLine="384"/>
        <w:spacing w:after="0" w:line="254" w:lineRule="auto"/>
        <w:rPr>
          <w:sz w:val="20"/>
          <w:szCs w:val="20"/>
          <w:color w:val="auto"/>
        </w:rPr>
      </w:pPr>
      <w:r>
        <w:rPr>
          <w:rFonts w:ascii="Arial" w:cs="Arial" w:eastAsia="Arial" w:hAnsi="Arial"/>
          <w:sz w:val="17"/>
          <w:szCs w:val="17"/>
          <w:color w:val="auto"/>
        </w:rPr>
        <w:t>We are responsible for manufacturing and research and development activities in both the Collaboration Territory and outside the Collaboration Territory and record these activities within their respective lines in our consolidated statements of income, net of any reimbursement of research and development expenditures received from AbbVie. For the years ended December 31, 2017, 2016 and 2015, the collaboration incurred $39.9 million, $48.6 million and $113.8 million for research and development activities, respectively, for which we recognized $19.9 million, $24.3 million and $60.8 million, respectively, in our consolidated statements of income.</w:t>
      </w:r>
    </w:p>
    <w:p>
      <w:pPr>
        <w:spacing w:after="0" w:line="144" w:lineRule="exact"/>
        <w:rPr>
          <w:sz w:val="20"/>
          <w:szCs w:val="20"/>
          <w:color w:val="auto"/>
        </w:rPr>
      </w:pPr>
    </w:p>
    <w:p>
      <w:pPr>
        <w:ind w:right="320" w:firstLine="384"/>
        <w:spacing w:after="0" w:line="255" w:lineRule="auto"/>
        <w:rPr>
          <w:sz w:val="20"/>
          <w:szCs w:val="20"/>
          <w:color w:val="auto"/>
        </w:rPr>
      </w:pPr>
      <w:r>
        <w:rPr>
          <w:rFonts w:ascii="Arial" w:cs="Arial" w:eastAsia="Arial" w:hAnsi="Arial"/>
          <w:sz w:val="17"/>
          <w:szCs w:val="17"/>
          <w:color w:val="auto"/>
        </w:rPr>
        <w:t xml:space="preserve">Prior to regulatory approval, we also recognized $22.0 million of pre-commercialization expenses within our selling, general and administrative expense, which represented 50% of the collaboration's pre-commercialization costs for 2016. After ZINBRYTA was approved by the FDA and European Medicines Agency (EMA) in 2016, we began to recognize our share of the collaboration activities within the U.S., E.U. and Canadian territories as described below under </w:t>
      </w:r>
      <w:r>
        <w:rPr>
          <w:rFonts w:ascii="Arial" w:cs="Arial" w:eastAsia="Arial" w:hAnsi="Arial"/>
          <w:sz w:val="17"/>
          <w:szCs w:val="17"/>
          <w:i w:val="1"/>
          <w:iCs w:val="1"/>
          <w:color w:val="auto"/>
        </w:rPr>
        <w:t>"Co-promotion Profits and Losses."</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Article 20 Procedure of ZINBRYTA</w:t>
      </w:r>
    </w:p>
    <w:p>
      <w:pPr>
        <w:spacing w:after="0" w:line="181" w:lineRule="exact"/>
        <w:rPr>
          <w:sz w:val="20"/>
          <w:szCs w:val="20"/>
          <w:color w:val="auto"/>
        </w:rPr>
      </w:pPr>
    </w:p>
    <w:p>
      <w:pPr>
        <w:ind w:right="260" w:firstLine="231"/>
        <w:spacing w:after="0" w:line="255" w:lineRule="auto"/>
        <w:rPr>
          <w:sz w:val="20"/>
          <w:szCs w:val="20"/>
          <w:color w:val="auto"/>
        </w:rPr>
      </w:pPr>
      <w:r>
        <w:rPr>
          <w:rFonts w:ascii="Arial" w:cs="Arial" w:eastAsia="Arial" w:hAnsi="Arial"/>
          <w:sz w:val="17"/>
          <w:szCs w:val="17"/>
          <w:color w:val="auto"/>
        </w:rPr>
        <w:t>In July 2017 the EMA announced that it had provisionally restricted the use of ZINBRYTA to adult patients with highly active relapsing disease despite a full and adequate course of treatment with at least one disease modifying therapy (DMT) or with rapidly evolving severe relapsing MS who are unsuitable for treatment with other DMTs. These restrictions followed the initiation of an EMA review (referred to as an Article 20 Procedure) of ZINBRYTA following the report of a case of fatal fulminant liver failure, as well as four cases of serious liver injury.</w:t>
      </w:r>
    </w:p>
    <w:p>
      <w:pPr>
        <w:spacing w:after="0" w:line="143" w:lineRule="exact"/>
        <w:rPr>
          <w:sz w:val="20"/>
          <w:szCs w:val="20"/>
          <w:color w:val="auto"/>
        </w:rPr>
      </w:pPr>
    </w:p>
    <w:p>
      <w:pPr>
        <w:jc w:val="both"/>
        <w:ind w:right="20" w:firstLine="231"/>
        <w:spacing w:after="0" w:line="262" w:lineRule="auto"/>
        <w:rPr>
          <w:sz w:val="20"/>
          <w:szCs w:val="20"/>
          <w:color w:val="auto"/>
        </w:rPr>
      </w:pPr>
      <w:r>
        <w:rPr>
          <w:rFonts w:ascii="Arial" w:cs="Arial" w:eastAsia="Arial" w:hAnsi="Arial"/>
          <w:sz w:val="17"/>
          <w:szCs w:val="17"/>
          <w:color w:val="auto"/>
        </w:rPr>
        <w:t>In October 2017, as part of this Article 20 Procedure of ZINBRYTA, the EMA Pharmacovigilance Risk Assessment Committee (PRAC) completed its assessment and recommended a further set of restrictions on the use of ZINBRYTA by MS patients.</w:t>
      </w:r>
    </w:p>
    <w:p>
      <w:pPr>
        <w:spacing w:after="0" w:line="137" w:lineRule="exact"/>
        <w:rPr>
          <w:sz w:val="20"/>
          <w:szCs w:val="20"/>
          <w:color w:val="auto"/>
        </w:rPr>
      </w:pPr>
    </w:p>
    <w:p>
      <w:pPr>
        <w:jc w:val="both"/>
        <w:ind w:right="20" w:firstLine="231"/>
        <w:spacing w:after="0" w:line="255" w:lineRule="auto"/>
        <w:rPr>
          <w:sz w:val="20"/>
          <w:szCs w:val="20"/>
          <w:color w:val="auto"/>
        </w:rPr>
      </w:pPr>
      <w:r>
        <w:rPr>
          <w:rFonts w:ascii="Arial" w:cs="Arial" w:eastAsia="Arial" w:hAnsi="Arial"/>
          <w:sz w:val="17"/>
          <w:szCs w:val="17"/>
          <w:color w:val="auto"/>
        </w:rPr>
        <w:t>In November 2017 the Committee for Medicinal Products for Human Use (CHMP) adopted an opinion, confirming the PRAC's recommendations, for further restrictions to minimize the risk of serious liver injury with ZINBRYTA, including restriction of its use to adult patients with relapsing forms of MS who have had an inadequate response to at least two DMTs and for whom treatment with any other DMT is contraindicated or otherwise unsuitable. In January 2018 the EC adopted a final and legally-binding decision, which concluded the Article 20 Procedure, confirming the CHMP opinion.</w:t>
      </w:r>
    </w:p>
    <w:p>
      <w:pPr>
        <w:spacing w:after="0" w:line="143" w:lineRule="exact"/>
        <w:rPr>
          <w:sz w:val="20"/>
          <w:szCs w:val="20"/>
          <w:color w:val="auto"/>
        </w:rPr>
      </w:pPr>
    </w:p>
    <w:p>
      <w:pPr>
        <w:ind w:firstLine="231"/>
        <w:spacing w:after="0" w:line="254" w:lineRule="auto"/>
        <w:rPr>
          <w:sz w:val="20"/>
          <w:szCs w:val="20"/>
          <w:color w:val="auto"/>
        </w:rPr>
      </w:pPr>
      <w:r>
        <w:rPr>
          <w:rFonts w:ascii="Arial" w:cs="Arial" w:eastAsia="Arial" w:hAnsi="Arial"/>
          <w:sz w:val="17"/>
          <w:szCs w:val="17"/>
          <w:color w:val="auto"/>
        </w:rPr>
        <w:t>The recommendation of these restrictions by the CHMP resulted in the impairment of substantially all of our assets related to ZINBRYTA as we have determined that these amounts may not be recoverable. As a result, we recorded net impairment charges related to intangible assets, inventory, property, plant and equipment and prepaid tax assets, totaling approximately $190.8 million. Inventory related losses are subject to our profit share with AbbVie and are included above net of expected reimbursement. Offsetting these amounts was an unrecorded tax benefit related to certain ZINBRYTA related assets totaling approximately $93.8 million.</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Co-promotion Profits and Losses</w:t>
      </w:r>
    </w:p>
    <w:p>
      <w:pPr>
        <w:spacing w:after="0" w:line="104" w:lineRule="exact"/>
        <w:rPr>
          <w:sz w:val="20"/>
          <w:szCs w:val="20"/>
          <w:color w:val="auto"/>
        </w:rPr>
      </w:pPr>
    </w:p>
    <w:p>
      <w:pPr>
        <w:ind w:right="140" w:firstLine="384"/>
        <w:spacing w:after="0" w:line="255" w:lineRule="auto"/>
        <w:rPr>
          <w:sz w:val="20"/>
          <w:szCs w:val="20"/>
          <w:color w:val="auto"/>
        </w:rPr>
      </w:pPr>
      <w:r>
        <w:rPr>
          <w:rFonts w:ascii="Arial" w:cs="Arial" w:eastAsia="Arial" w:hAnsi="Arial"/>
          <w:sz w:val="17"/>
          <w:szCs w:val="17"/>
          <w:color w:val="auto"/>
        </w:rPr>
        <w:t>In the U.S., AbbVie recognizes revenues on sales to third parties and we recognize our 50% share of the co-promotion profits or losses as a component of total revenues in our consolidated statements of income. The collaboration began selling ZINBRYTA in the U.S. in the third quarter of 2016. For the years ended December 31, 2017 and 2016, we recognized a net reduction in revenue of $16.9 million and $21.9 million, respectively, to reflect our share of an overall net loss within the collaboration.</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F- 59</w:t>
      </w:r>
    </w:p>
    <w:p>
      <w:pPr>
        <w:sectPr>
          <w:pgSz w:w="11900" w:h="16838" w:orient="portrait"/>
          <w:cols w:equalWidth="0" w:num="1">
            <w:col w:w="11420"/>
          </w:cols>
          <w:pgMar w:left="240" w:top="139" w:right="239" w:bottom="1440" w:gutter="0" w:footer="0" w:header="0"/>
        </w:sectPr>
      </w:pPr>
    </w:p>
    <w:bookmarkStart w:id="161" w:name="page162"/>
    <w:bookmarkEnd w:id="16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9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provides a summary of the U.S. collaboration and our share of the co-promotion losses on ZINBRYTA in the U.S.: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298"/>
              <w:spacing w:after="0"/>
              <w:rPr>
                <w:sz w:val="20"/>
                <w:szCs w:val="20"/>
                <w:color w:val="auto"/>
              </w:rPr>
            </w:pPr>
            <w:r>
              <w:rPr>
                <w:rFonts w:ascii="Arial" w:cs="Arial" w:eastAsia="Arial" w:hAnsi="Arial"/>
                <w:sz w:val="14"/>
                <w:szCs w:val="14"/>
                <w:b w:val="1"/>
                <w:bCs w:val="1"/>
                <w:color w:val="auto"/>
              </w:rPr>
              <w:t>For the Year Ended December 31,</w:t>
            </w:r>
          </w:p>
        </w:tc>
      </w:tr>
      <w:tr>
        <w:trPr>
          <w:trHeight w:val="249"/>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shd w:val="clear" w:color="auto" w:fill="DDDDDD"/>
          </w:tcPr>
          <w:p>
            <w:pPr>
              <w:spacing w:after="0"/>
              <w:rPr>
                <w:sz w:val="21"/>
                <w:szCs w:val="21"/>
                <w:color w:val="auto"/>
              </w:rPr>
            </w:pPr>
          </w:p>
        </w:tc>
        <w:tc>
          <w:tcPr>
            <w:tcW w:w="1240" w:type="dxa"/>
            <w:vAlign w:val="bottom"/>
            <w:tcBorders>
              <w:bottom w:val="single" w:sz="8" w:color="auto"/>
            </w:tcBorders>
            <w:shd w:val="clear" w:color="auto" w:fill="DDDDDD"/>
          </w:tcPr>
          <w:p>
            <w:pPr>
              <w:jc w:val="right"/>
              <w:ind w:right="460"/>
              <w:spacing w:after="0"/>
              <w:rPr>
                <w:sz w:val="20"/>
                <w:szCs w:val="20"/>
                <w:color w:val="auto"/>
              </w:rPr>
            </w:pPr>
            <w:r>
              <w:rPr>
                <w:rFonts w:ascii="Arial" w:cs="Arial" w:eastAsia="Arial" w:hAnsi="Arial"/>
                <w:sz w:val="14"/>
                <w:szCs w:val="14"/>
                <w:b w:val="1"/>
                <w:bCs w:val="1"/>
                <w:color w:val="2573BA"/>
              </w:rPr>
              <w:t>2017</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2573BA"/>
              </w:rPr>
              <w:t>2016</w:t>
            </w:r>
          </w:p>
        </w:tc>
      </w:tr>
      <w:tr>
        <w:trPr>
          <w:trHeight w:val="228"/>
        </w:trPr>
        <w:tc>
          <w:tcPr>
            <w:tcW w:w="8460" w:type="dxa"/>
            <w:vAlign w:val="bottom"/>
          </w:tcPr>
          <w:p>
            <w:pPr>
              <w:ind w:left="20"/>
              <w:spacing w:after="0"/>
              <w:rPr>
                <w:sz w:val="20"/>
                <w:szCs w:val="20"/>
                <w:color w:val="auto"/>
              </w:rPr>
            </w:pPr>
            <w:r>
              <w:rPr>
                <w:rFonts w:ascii="Arial" w:cs="Arial" w:eastAsia="Arial" w:hAnsi="Arial"/>
                <w:sz w:val="17"/>
                <w:szCs w:val="17"/>
                <w:color w:val="auto"/>
              </w:rPr>
              <w:t>Product revenues, net</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53.1</w:t>
            </w:r>
          </w:p>
        </w:tc>
        <w:tc>
          <w:tcPr>
            <w:tcW w:w="460" w:type="dxa"/>
            <w:vAlign w:val="bottom"/>
            <w:gridSpan w:val="2"/>
          </w:tcPr>
          <w:p>
            <w:pPr>
              <w:jc w:val="right"/>
              <w:ind w:right="155"/>
              <w:spacing w:after="0"/>
              <w:rPr>
                <w:sz w:val="20"/>
                <w:szCs w:val="20"/>
                <w:color w:val="auto"/>
              </w:rPr>
            </w:pPr>
            <w:r>
              <w:rPr>
                <w:rFonts w:ascii="Arial" w:cs="Arial" w:eastAsia="Arial" w:hAnsi="Arial"/>
                <w:sz w:val="17"/>
                <w:szCs w:val="17"/>
                <w:color w:val="2573BA"/>
              </w:rPr>
              <w:t>$</w:t>
            </w:r>
          </w:p>
        </w:tc>
        <w:tc>
          <w:tcPr>
            <w:tcW w:w="1120" w:type="dxa"/>
            <w:vAlign w:val="bottom"/>
          </w:tcPr>
          <w:p>
            <w:pPr>
              <w:jc w:val="right"/>
              <w:ind w:right="18"/>
              <w:spacing w:after="0"/>
              <w:rPr>
                <w:sz w:val="20"/>
                <w:szCs w:val="20"/>
                <w:color w:val="auto"/>
              </w:rPr>
            </w:pPr>
            <w:r>
              <w:rPr>
                <w:rFonts w:ascii="Arial" w:cs="Arial" w:eastAsia="Arial" w:hAnsi="Arial"/>
                <w:sz w:val="17"/>
                <w:szCs w:val="17"/>
                <w:color w:val="2573BA"/>
              </w:rPr>
              <w:t>6.1</w:t>
            </w:r>
          </w:p>
        </w:tc>
      </w:tr>
      <w:tr>
        <w:trPr>
          <w:trHeight w:val="263"/>
        </w:trPr>
        <w:tc>
          <w:tcPr>
            <w:tcW w:w="8460" w:type="dxa"/>
            <w:vAlign w:val="bottom"/>
          </w:tcPr>
          <w:p>
            <w:pPr>
              <w:ind w:left="20"/>
              <w:spacing w:after="0"/>
              <w:rPr>
                <w:sz w:val="20"/>
                <w:szCs w:val="20"/>
                <w:color w:val="auto"/>
              </w:rPr>
            </w:pPr>
            <w:r>
              <w:rPr>
                <w:rFonts w:ascii="Arial" w:cs="Arial" w:eastAsia="Arial" w:hAnsi="Arial"/>
                <w:sz w:val="17"/>
                <w:szCs w:val="17"/>
                <w:color w:val="auto"/>
              </w:rPr>
              <w:t>Costs and expenses</w:t>
            </w:r>
          </w:p>
        </w:tc>
        <w:tc>
          <w:tcPr>
            <w:tcW w:w="140" w:type="dxa"/>
            <w:vAlign w:val="bottom"/>
            <w:tcBorders>
              <w:bottom w:val="single" w:sz="8" w:color="auto"/>
            </w:tcBorders>
            <w:shd w:val="clear" w:color="auto" w:fill="DDDDDD"/>
          </w:tcPr>
          <w:p>
            <w:pPr>
              <w:spacing w:after="0"/>
              <w:rPr>
                <w:sz w:val="22"/>
                <w:szCs w:val="22"/>
                <w:color w:val="auto"/>
              </w:rPr>
            </w:pPr>
          </w:p>
        </w:tc>
        <w:tc>
          <w:tcPr>
            <w:tcW w:w="1240" w:type="dxa"/>
            <w:vAlign w:val="bottom"/>
            <w:tcBorders>
              <w:bottom w:val="single" w:sz="8" w:color="auto"/>
            </w:tcBorders>
            <w:shd w:val="clear" w:color="auto" w:fill="DDDDDD"/>
          </w:tcPr>
          <w:p>
            <w:pPr>
              <w:jc w:val="right"/>
              <w:ind w:right="20"/>
              <w:spacing w:after="0"/>
              <w:rPr>
                <w:sz w:val="20"/>
                <w:szCs w:val="20"/>
                <w:color w:val="auto"/>
              </w:rPr>
            </w:pPr>
            <w:r>
              <w:rPr>
                <w:rFonts w:ascii="Arial" w:cs="Arial" w:eastAsia="Arial" w:hAnsi="Arial"/>
                <w:sz w:val="17"/>
                <w:szCs w:val="17"/>
                <w:color w:val="2573BA"/>
              </w:rPr>
              <w:t>92.6</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2573BA"/>
              </w:rPr>
              <w:t>50.0</w:t>
            </w:r>
          </w:p>
        </w:tc>
      </w:tr>
      <w:tr>
        <w:trPr>
          <w:trHeight w:val="283"/>
        </w:trPr>
        <w:tc>
          <w:tcPr>
            <w:tcW w:w="8460" w:type="dxa"/>
            <w:vAlign w:val="bottom"/>
          </w:tcPr>
          <w:p>
            <w:pPr>
              <w:ind w:left="20"/>
              <w:spacing w:after="0"/>
              <w:rPr>
                <w:sz w:val="20"/>
                <w:szCs w:val="20"/>
                <w:color w:val="auto"/>
              </w:rPr>
            </w:pPr>
            <w:r>
              <w:rPr>
                <w:rFonts w:ascii="Arial" w:cs="Arial" w:eastAsia="Arial" w:hAnsi="Arial"/>
                <w:sz w:val="17"/>
                <w:szCs w:val="17"/>
                <w:color w:val="auto"/>
              </w:rPr>
              <w:t>Co-promotion losses in the U.S.</w:t>
            </w:r>
          </w:p>
        </w:tc>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40" w:type="dxa"/>
            <w:vAlign w:val="bottom"/>
            <w:tcBorders>
              <w:bottom w:val="single" w:sz="8" w:color="auto"/>
            </w:tcBorders>
            <w:shd w:val="clear" w:color="auto" w:fill="DDDDDD"/>
          </w:tcPr>
          <w:p>
            <w:pPr>
              <w:jc w:val="right"/>
              <w:ind w:right="20"/>
              <w:spacing w:after="0"/>
              <w:rPr>
                <w:sz w:val="20"/>
                <w:szCs w:val="20"/>
                <w:color w:val="auto"/>
              </w:rPr>
            </w:pPr>
            <w:r>
              <w:rPr>
                <w:rFonts w:ascii="Arial" w:cs="Arial" w:eastAsia="Arial" w:hAnsi="Arial"/>
                <w:sz w:val="17"/>
                <w:szCs w:val="17"/>
                <w:color w:val="2573BA"/>
              </w:rPr>
              <w:t>39.5</w:t>
            </w:r>
          </w:p>
        </w:tc>
        <w:tc>
          <w:tcPr>
            <w:tcW w:w="100" w:type="dxa"/>
            <w:vAlign w:val="bottom"/>
          </w:tcPr>
          <w:p>
            <w:pPr>
              <w:spacing w:after="0"/>
              <w:rPr>
                <w:sz w:val="24"/>
                <w:szCs w:val="24"/>
                <w:color w:val="auto"/>
              </w:rPr>
            </w:pPr>
          </w:p>
        </w:tc>
        <w:tc>
          <w:tcPr>
            <w:tcW w:w="3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2573BA"/>
              </w:rPr>
              <w:t>$</w:t>
            </w:r>
          </w:p>
        </w:tc>
        <w:tc>
          <w:tcPr>
            <w:tcW w:w="11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2573BA"/>
              </w:rPr>
              <w:t>43.9</w:t>
            </w:r>
          </w:p>
        </w:tc>
      </w:tr>
      <w:tr>
        <w:trPr>
          <w:trHeight w:val="222"/>
        </w:trPr>
        <w:tc>
          <w:tcPr>
            <w:tcW w:w="8460" w:type="dxa"/>
            <w:vAlign w:val="bottom"/>
          </w:tcPr>
          <w:p>
            <w:pPr>
              <w:ind w:left="20"/>
              <w:spacing w:after="0"/>
              <w:rPr>
                <w:sz w:val="20"/>
                <w:szCs w:val="20"/>
                <w:color w:val="auto"/>
              </w:rPr>
            </w:pPr>
            <w:r>
              <w:rPr>
                <w:rFonts w:ascii="Arial" w:cs="Arial" w:eastAsia="Arial" w:hAnsi="Arial"/>
                <w:sz w:val="17"/>
                <w:szCs w:val="17"/>
                <w:color w:val="auto"/>
              </w:rPr>
              <w:t>Biogen's share of co-promotion losses in the U.S.</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16.9</w:t>
            </w:r>
          </w:p>
        </w:tc>
        <w:tc>
          <w:tcPr>
            <w:tcW w:w="460" w:type="dxa"/>
            <w:vAlign w:val="bottom"/>
            <w:gridSpan w:val="2"/>
          </w:tcPr>
          <w:p>
            <w:pPr>
              <w:jc w:val="right"/>
              <w:ind w:right="155"/>
              <w:spacing w:after="0"/>
              <w:rPr>
                <w:sz w:val="20"/>
                <w:szCs w:val="20"/>
                <w:color w:val="auto"/>
              </w:rPr>
            </w:pPr>
            <w:r>
              <w:rPr>
                <w:rFonts w:ascii="Arial" w:cs="Arial" w:eastAsia="Arial" w:hAnsi="Arial"/>
                <w:sz w:val="17"/>
                <w:szCs w:val="17"/>
                <w:color w:val="2573BA"/>
              </w:rPr>
              <w:t>$</w:t>
            </w:r>
          </w:p>
        </w:tc>
        <w:tc>
          <w:tcPr>
            <w:tcW w:w="1120" w:type="dxa"/>
            <w:vAlign w:val="bottom"/>
          </w:tcPr>
          <w:p>
            <w:pPr>
              <w:jc w:val="right"/>
              <w:ind w:right="18"/>
              <w:spacing w:after="0"/>
              <w:rPr>
                <w:sz w:val="20"/>
                <w:szCs w:val="20"/>
                <w:color w:val="auto"/>
              </w:rPr>
            </w:pPr>
            <w:r>
              <w:rPr>
                <w:rFonts w:ascii="Arial" w:cs="Arial" w:eastAsia="Arial" w:hAnsi="Arial"/>
                <w:sz w:val="17"/>
                <w:szCs w:val="17"/>
                <w:color w:val="2573BA"/>
              </w:rPr>
              <w:t>21.9</w:t>
            </w:r>
          </w:p>
        </w:tc>
      </w:tr>
      <w:tr>
        <w:trPr>
          <w:trHeight w:val="20"/>
        </w:trPr>
        <w:tc>
          <w:tcPr>
            <w:tcW w:w="8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firstLine="384"/>
        <w:spacing w:after="0" w:line="253" w:lineRule="auto"/>
        <w:rPr>
          <w:sz w:val="20"/>
          <w:szCs w:val="20"/>
          <w:color w:val="auto"/>
        </w:rPr>
      </w:pPr>
      <w:r>
        <w:rPr>
          <w:rFonts w:ascii="Arial" w:cs="Arial" w:eastAsia="Arial" w:hAnsi="Arial"/>
          <w:sz w:val="17"/>
          <w:szCs w:val="17"/>
          <w:color w:val="auto"/>
        </w:rPr>
        <w:t>In the E.U. and Canada, we recognize revenues on sales to third parties in product revenues, net in our consolidated statements of income. We also record the related cost of revenues and sales and marketing expenses to their respective line items in our consolidated statements of income as these costs are incurred. We reimburse AbbVie for their 50% share of the co-promotion profits or losses in the E.U. and Canada. This reimbursement is recognized in collaboration profit (loss) sharing in our consolidated statements of income. We began to recognize product revenues on sales of ZINBRYTA in the E.U. in the third quarter of 2016. For the year ended December 31, 2017, we recognized net expense of $1.3 million to reflect AbbVie's 50% sharing of the net collaboration profits in the E.U. and Canada, as compared to net income recognized of $4.9 million to reflect AbbVie's 50% sharing of the net collaboration losses in the E.U. and Canada in the prior year.</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Acorda</w:t>
      </w:r>
    </w:p>
    <w:p>
      <w:pPr>
        <w:spacing w:after="0" w:line="106" w:lineRule="exact"/>
        <w:rPr>
          <w:sz w:val="20"/>
          <w:szCs w:val="20"/>
          <w:color w:val="auto"/>
        </w:rPr>
      </w:pPr>
    </w:p>
    <w:p>
      <w:pPr>
        <w:ind w:right="260" w:firstLine="410"/>
        <w:spacing w:after="0" w:line="257" w:lineRule="auto"/>
        <w:rPr>
          <w:sz w:val="20"/>
          <w:szCs w:val="20"/>
          <w:color w:val="auto"/>
        </w:rPr>
      </w:pPr>
      <w:r>
        <w:rPr>
          <w:rFonts w:ascii="Arial" w:cs="Arial" w:eastAsia="Arial" w:hAnsi="Arial"/>
          <w:sz w:val="17"/>
          <w:szCs w:val="17"/>
          <w:color w:val="auto"/>
        </w:rPr>
        <w:t>In June 2009 we entered into a collaboration and license agreement with Acorda Therapeutics, Inc. (Acorda) to develop and commercialize products containing fampridine, such as FAMPYRA, in markets outside the U.S. We are responsible for all regulatory activities and the future clinical development of related products in those markets.</w:t>
      </w:r>
    </w:p>
    <w:p>
      <w:pPr>
        <w:spacing w:after="0" w:line="140" w:lineRule="exact"/>
        <w:rPr>
          <w:sz w:val="20"/>
          <w:szCs w:val="20"/>
          <w:color w:val="auto"/>
        </w:rPr>
      </w:pPr>
    </w:p>
    <w:p>
      <w:pPr>
        <w:ind w:firstLine="410"/>
        <w:spacing w:after="0" w:line="255" w:lineRule="auto"/>
        <w:rPr>
          <w:sz w:val="20"/>
          <w:szCs w:val="20"/>
          <w:color w:val="auto"/>
        </w:rPr>
      </w:pPr>
      <w:r>
        <w:rPr>
          <w:rFonts w:ascii="Arial" w:cs="Arial" w:eastAsia="Arial" w:hAnsi="Arial"/>
          <w:sz w:val="17"/>
          <w:szCs w:val="17"/>
          <w:color w:val="auto"/>
        </w:rPr>
        <w:t>Under this agreement, we pay tiered royalties based on the level of ex-U.S. net sales and potential milestone payments based on the successful achievement of certain regulatory and commercial milestones, which would be capitalized as intangible assets upon achievement of the milestones and amortized utilizing an economic consumption model. The next expected milestone would be $15.0 million, due if ex-U.S. net sales reach $100.0 million over a period of four consecutive quarters. Royalty payments are recognized in cost of sales within our consolidated statements of income.</w:t>
      </w:r>
    </w:p>
    <w:p>
      <w:pPr>
        <w:spacing w:after="0" w:line="143" w:lineRule="exact"/>
        <w:rPr>
          <w:sz w:val="20"/>
          <w:szCs w:val="20"/>
          <w:color w:val="auto"/>
        </w:rPr>
      </w:pPr>
    </w:p>
    <w:p>
      <w:pPr>
        <w:ind w:right="280" w:firstLine="410"/>
        <w:spacing w:after="0" w:line="257" w:lineRule="auto"/>
        <w:rPr>
          <w:sz w:val="20"/>
          <w:szCs w:val="20"/>
          <w:color w:val="auto"/>
        </w:rPr>
      </w:pPr>
      <w:r>
        <w:rPr>
          <w:rFonts w:ascii="Arial" w:cs="Arial" w:eastAsia="Arial" w:hAnsi="Arial"/>
          <w:sz w:val="17"/>
          <w:szCs w:val="17"/>
          <w:color w:val="auto"/>
        </w:rPr>
        <w:t>In connection with the collaboration and license agreement, we also entered into a supply agreement with Acorda for the commercial supply of FAMPYRA. This agreement is a sublicense arrangement of an existing agreement between Acorda and Alkermes, who acquired Elan Drug Technologies, the original party to the license with Acorda.</w:t>
      </w:r>
    </w:p>
    <w:p>
      <w:pPr>
        <w:spacing w:after="0" w:line="140" w:lineRule="exact"/>
        <w:rPr>
          <w:sz w:val="20"/>
          <w:szCs w:val="20"/>
          <w:color w:val="auto"/>
        </w:rPr>
      </w:pPr>
    </w:p>
    <w:p>
      <w:pPr>
        <w:ind w:right="80" w:firstLine="410"/>
        <w:spacing w:after="0" w:line="262" w:lineRule="auto"/>
        <w:rPr>
          <w:sz w:val="20"/>
          <w:szCs w:val="20"/>
          <w:color w:val="auto"/>
        </w:rPr>
      </w:pPr>
      <w:r>
        <w:rPr>
          <w:rFonts w:ascii="Arial" w:cs="Arial" w:eastAsia="Arial" w:hAnsi="Arial"/>
          <w:sz w:val="17"/>
          <w:szCs w:val="17"/>
          <w:color w:val="auto"/>
        </w:rPr>
        <w:t>For the years ending December 31, 2017, 2016 and 2015, total cost of sales related to royalties and commercial supply of FAMPYRA reflected in our consolidated statements of income were $34.0 million, $31.5 million and $30.6 million, respectively.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Ionis Pharmaceuticals, Inc.</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Product Collaborations</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SPINRAZA</w:t>
      </w:r>
    </w:p>
    <w:p>
      <w:pPr>
        <w:spacing w:after="0" w:line="104" w:lineRule="exact"/>
        <w:rPr>
          <w:sz w:val="20"/>
          <w:szCs w:val="20"/>
          <w:color w:val="auto"/>
        </w:rPr>
      </w:pPr>
    </w:p>
    <w:p>
      <w:pPr>
        <w:ind w:right="80" w:firstLine="410"/>
        <w:spacing w:after="0" w:line="254" w:lineRule="auto"/>
        <w:rPr>
          <w:sz w:val="20"/>
          <w:szCs w:val="20"/>
          <w:color w:val="auto"/>
        </w:rPr>
      </w:pPr>
      <w:r>
        <w:rPr>
          <w:rFonts w:ascii="Arial" w:cs="Arial" w:eastAsia="Arial" w:hAnsi="Arial"/>
          <w:sz w:val="17"/>
          <w:szCs w:val="17"/>
          <w:color w:val="auto"/>
        </w:rPr>
        <w:t>In January 2012 we entered into an exclusive worldwide option and collaboration agreement with Ionis to develop and commercialize SPINRAZA for the treatment of SMA. During 2014 we amended this agreement to adjust the amount of potential additional payments and terms of the exercise of our opt-in right to license SPINRAZA, which included providing for additional opt-in scenarios, based on the filing or acceptance of a New Drug Application (NDA) with the FDA or marketing authorization application with the EMA. Consistent with the initial agreement, Ionis remained responsible for conducting the pivotal/Phase 3 trials and we provided input on the clinical trial design and regulatory strategy for the development of SPINRAZA.</w:t>
      </w:r>
    </w:p>
    <w:p>
      <w:pPr>
        <w:spacing w:after="0" w:line="144"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SPINRAZA was approved for the treatment of SMA in the U.S., E.U. and Japan in December 2016, June 2017 and July 2017, respectively.</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F- 60</w:t>
      </w:r>
    </w:p>
    <w:p>
      <w:pPr>
        <w:sectPr>
          <w:pgSz w:w="11900" w:h="16838" w:orient="portrait"/>
          <w:cols w:equalWidth="0" w:num="1">
            <w:col w:w="11420"/>
          </w:cols>
          <w:pgMar w:left="240" w:top="139" w:right="239" w:bottom="1440" w:gutter="0" w:footer="0" w:header="0"/>
        </w:sectPr>
      </w:pPr>
    </w:p>
    <w:bookmarkStart w:id="162" w:name="page163"/>
    <w:bookmarkEnd w:id="16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90" w:lineRule="exact"/>
        <w:rPr>
          <w:sz w:val="20"/>
          <w:szCs w:val="20"/>
          <w:color w:val="auto"/>
        </w:rPr>
      </w:pPr>
    </w:p>
    <w:p>
      <w:pPr>
        <w:ind w:firstLine="410"/>
        <w:spacing w:after="0" w:line="255" w:lineRule="auto"/>
        <w:rPr>
          <w:sz w:val="20"/>
          <w:szCs w:val="20"/>
          <w:color w:val="auto"/>
        </w:rPr>
      </w:pPr>
      <w:r>
        <w:rPr>
          <w:rFonts w:ascii="Arial" w:cs="Arial" w:eastAsia="Arial" w:hAnsi="Arial"/>
          <w:sz w:val="17"/>
          <w:szCs w:val="17"/>
          <w:color w:val="auto"/>
        </w:rPr>
        <w:t>For the years ended December 31, 2017 and 2016, we recognized product revenues totaling $883.7 million and $4.6 million, respectively, on our sales of SPINRAZA. Under our agreement with Ionis, we make royalty payments to Ionis on annual worldwide net sales of SPINRAZA using a tiered royalty rate between 11% and 15%, which are recognized in cost of sales within our consolidated statements of income. Royalty cost of sales related to sales of SPINRAZA for the years ended December 31, 2017 and 2016 totaled $112.4 million and $0.5 million, respectively.</w:t>
      </w:r>
    </w:p>
    <w:p>
      <w:pPr>
        <w:spacing w:after="0" w:line="143" w:lineRule="exact"/>
        <w:rPr>
          <w:sz w:val="20"/>
          <w:szCs w:val="20"/>
          <w:color w:val="auto"/>
        </w:rPr>
      </w:pPr>
    </w:p>
    <w:p>
      <w:pPr>
        <w:ind w:right="80" w:firstLine="384"/>
        <w:spacing w:after="0" w:line="255" w:lineRule="auto"/>
        <w:rPr>
          <w:sz w:val="20"/>
          <w:szCs w:val="20"/>
          <w:color w:val="auto"/>
        </w:rPr>
      </w:pPr>
      <w:r>
        <w:rPr>
          <w:rFonts w:ascii="Arial" w:cs="Arial" w:eastAsia="Arial" w:hAnsi="Arial"/>
          <w:sz w:val="17"/>
          <w:szCs w:val="17"/>
          <w:color w:val="auto"/>
        </w:rPr>
        <w:t>Upon entering into this agreement, we made an upfront payment of $29.0 million to Ionis. In addition, during 2017 we made milestone payments to Ionis totaling $150.0 million related to the marketing approvals discussed above, which were capitalized in intangible assets, net in our consolidated balance sheets. During the third quarter of 2016, upon the exercise of our option to develop and commercialize SPINRAZA, we also paid a $75.0 million license fee to Ionis, which was recognized as research and development expense in our consolidated statements of income.</w:t>
      </w:r>
    </w:p>
    <w:p>
      <w:pPr>
        <w:spacing w:after="0" w:line="143" w:lineRule="exact"/>
        <w:rPr>
          <w:sz w:val="20"/>
          <w:szCs w:val="20"/>
          <w:color w:val="auto"/>
        </w:rPr>
      </w:pPr>
    </w:p>
    <w:p>
      <w:pPr>
        <w:ind w:right="200" w:firstLine="384"/>
        <w:spacing w:after="0" w:line="255" w:lineRule="auto"/>
        <w:rPr>
          <w:sz w:val="20"/>
          <w:szCs w:val="20"/>
          <w:color w:val="auto"/>
        </w:rPr>
      </w:pPr>
      <w:r>
        <w:rPr>
          <w:rFonts w:ascii="Arial" w:cs="Arial" w:eastAsia="Arial" w:hAnsi="Arial"/>
          <w:sz w:val="17"/>
          <w:szCs w:val="17"/>
          <w:color w:val="auto"/>
        </w:rPr>
        <w:t>During 2017 no clinical trial payments were made to Ionis due to the completion of study activities. During 2016 and 2015, we made clinical trial payments of $35.3 million and $42.8 million, respectively, related to the advancement of the program, which were recorded in investments and other assets in our consolidated balance sheets as they represented prepaid research and development expenditures. As of December 31, 2017, these prepaid research and development amounts were fully expensed as the services were provided.</w:t>
      </w:r>
    </w:p>
    <w:p>
      <w:pPr>
        <w:spacing w:after="0" w:line="143" w:lineRule="exact"/>
        <w:rPr>
          <w:sz w:val="20"/>
          <w:szCs w:val="20"/>
          <w:color w:val="auto"/>
        </w:rPr>
      </w:pPr>
    </w:p>
    <w:p>
      <w:pPr>
        <w:ind w:right="300" w:firstLine="410"/>
        <w:spacing w:after="0" w:line="262" w:lineRule="auto"/>
        <w:rPr>
          <w:sz w:val="20"/>
          <w:szCs w:val="20"/>
          <w:color w:val="auto"/>
        </w:rPr>
      </w:pPr>
      <w:r>
        <w:rPr>
          <w:rFonts w:ascii="Arial" w:cs="Arial" w:eastAsia="Arial" w:hAnsi="Arial"/>
          <w:sz w:val="17"/>
          <w:szCs w:val="17"/>
          <w:color w:val="auto"/>
        </w:rPr>
        <w:t>For the years ending December 31, 2017, 2016 and 2015, $234.5 million, $257.8 million and $74.9 million, respectively, were reflected in total costs and expenses in our consolidated statements of income related to the advancement and commercialization of the program.</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Antisense Therapeutics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December 2012 we entered into an agreement with Ionis for the development and commercialization of up to three therapeutic targets.</w:t>
      </w:r>
    </w:p>
    <w:p>
      <w:pPr>
        <w:spacing w:after="0" w:line="86" w:lineRule="exact"/>
        <w:rPr>
          <w:sz w:val="20"/>
          <w:szCs w:val="20"/>
          <w:color w:val="auto"/>
        </w:rPr>
      </w:pPr>
    </w:p>
    <w:p>
      <w:pPr>
        <w:ind w:right="120" w:firstLine="410"/>
        <w:spacing w:after="0" w:line="254" w:lineRule="auto"/>
        <w:rPr>
          <w:sz w:val="20"/>
          <w:szCs w:val="20"/>
          <w:color w:val="auto"/>
        </w:rPr>
      </w:pPr>
      <w:r>
        <w:rPr>
          <w:rFonts w:ascii="Arial" w:cs="Arial" w:eastAsia="Arial" w:hAnsi="Arial"/>
          <w:sz w:val="17"/>
          <w:szCs w:val="17"/>
          <w:color w:val="auto"/>
        </w:rPr>
        <w:t>Under this agreement, Ionis is responsible for global development of any product candidate through the completion of a Phase 2 trial and we will provide advice on the clinical trial design and regulatory strategy. We have an option to license the product candidate until completion of the Phase 2 trial. If we exercise our option, we will pay a license fee of up to $70.0 million to Ionis and assume global development, regulatory and commercialization responsibilities. Ionis is eligible to receive up to another $130.0 million in milestone payments upon the achievement of certain regulatory milestones as well as royalties on future sales if we successfully develop the product candidate after option exercise.</w:t>
      </w:r>
    </w:p>
    <w:p>
      <w:pPr>
        <w:spacing w:after="0" w:line="144" w:lineRule="exact"/>
        <w:rPr>
          <w:sz w:val="20"/>
          <w:szCs w:val="20"/>
          <w:color w:val="auto"/>
        </w:rPr>
      </w:pPr>
    </w:p>
    <w:p>
      <w:pPr>
        <w:ind w:right="60" w:firstLine="410"/>
        <w:spacing w:after="0" w:line="257" w:lineRule="auto"/>
        <w:rPr>
          <w:sz w:val="20"/>
          <w:szCs w:val="20"/>
          <w:color w:val="auto"/>
        </w:rPr>
      </w:pPr>
      <w:r>
        <w:rPr>
          <w:rFonts w:ascii="Arial" w:cs="Arial" w:eastAsia="Arial" w:hAnsi="Arial"/>
          <w:sz w:val="17"/>
          <w:szCs w:val="17"/>
          <w:color w:val="auto"/>
        </w:rPr>
        <w:t>Upon entering into this agreement, we made an upfront payment of $30.0 million to Ionis and agreed to make potential additional payments, prior to licensing, of up to $10.0 million based on the development of the selected product candidate as well as a mark-up of the cost estimate of the Phase 1 and Phase 2 trials. During 2015 we recognized this $10.0 million developmental milestone upon the selection of BIIB080 (also known as IONIS-MAPT</w:t>
      </w:r>
      <w:r>
        <w:rPr>
          <w:rFonts w:ascii="Arial" w:cs="Arial" w:eastAsia="Arial" w:hAnsi="Arial"/>
          <w:sz w:val="14"/>
          <w:szCs w:val="14"/>
          <w:color w:val="auto"/>
        </w:rPr>
        <w:t>Rx</w:t>
      </w:r>
      <w:r>
        <w:rPr>
          <w:rFonts w:ascii="Arial" w:cs="Arial" w:eastAsia="Arial" w:hAnsi="Arial"/>
          <w:sz w:val="17"/>
          <w:szCs w:val="17"/>
          <w:color w:val="auto"/>
        </w:rPr>
        <w:t>), which is currently in Phase 1 development.</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Research Collaborations</w:t>
      </w:r>
    </w:p>
    <w:p>
      <w:pPr>
        <w:spacing w:after="0" w:line="163"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2013 Long-term Strategic Research Agreement</w:t>
      </w:r>
    </w:p>
    <w:p>
      <w:pPr>
        <w:spacing w:after="0" w:line="104" w:lineRule="exact"/>
        <w:rPr>
          <w:sz w:val="20"/>
          <w:szCs w:val="20"/>
          <w:color w:val="auto"/>
        </w:rPr>
      </w:pPr>
    </w:p>
    <w:p>
      <w:pPr>
        <w:ind w:right="60" w:firstLine="384"/>
        <w:spacing w:after="0" w:line="253" w:lineRule="auto"/>
        <w:rPr>
          <w:sz w:val="20"/>
          <w:szCs w:val="20"/>
          <w:color w:val="auto"/>
        </w:rPr>
      </w:pPr>
      <w:r>
        <w:rPr>
          <w:rFonts w:ascii="Arial" w:cs="Arial" w:eastAsia="Arial" w:hAnsi="Arial"/>
          <w:sz w:val="17"/>
          <w:szCs w:val="17"/>
          <w:color w:val="auto"/>
        </w:rPr>
        <w:t>In September 2013 we entered into a six-year research collaboration agreement with Ionis under which both companies collaborate to perform discovery level research and subsequent development and commercialization activities of antisense or other therapeutics for the treatment of neurological disorders. Under the collaboration, Ionis will perform research on a set of neurological targets identified within this agreement. Once the research has reached a specific stage of development, we will make a determination whether antisense therapy is the preferred approach to developing a therapeutic candidate or whether another modality is preferred. If an antisense approach is selected, Ionis will continue development and identify a potential product candidate. If another modality is selected, we will assume responsibility for identifying a potential product candidate and assume development responsibility for development in that modality.</w:t>
      </w:r>
    </w:p>
    <w:p>
      <w:pPr>
        <w:spacing w:after="0" w:line="146" w:lineRule="exact"/>
        <w:rPr>
          <w:sz w:val="20"/>
          <w:szCs w:val="20"/>
          <w:color w:val="auto"/>
        </w:rPr>
      </w:pPr>
    </w:p>
    <w:p>
      <w:pPr>
        <w:ind w:right="60" w:firstLine="410"/>
        <w:spacing w:after="0" w:line="255" w:lineRule="auto"/>
        <w:rPr>
          <w:sz w:val="20"/>
          <w:szCs w:val="20"/>
          <w:color w:val="auto"/>
        </w:rPr>
      </w:pPr>
      <w:r>
        <w:rPr>
          <w:rFonts w:ascii="Arial" w:cs="Arial" w:eastAsia="Arial" w:hAnsi="Arial"/>
          <w:sz w:val="17"/>
          <w:szCs w:val="17"/>
          <w:color w:val="auto"/>
        </w:rPr>
        <w:t>Under this agreement, we made an upfront payment of $100.0 million to Ionis, of which $75.0 million was recorded as research and development expense representing the value of intellectual property purchased that had not reached technological feasibility. We recognized the remaining $25.0 million as prepaid research and discovery services, representing the value of the Ionis full time equivalent employee resources required by the collaboration to provide research and discovery services over the term of the collaboration.</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F- 61</w:t>
      </w:r>
    </w:p>
    <w:p>
      <w:pPr>
        <w:sectPr>
          <w:pgSz w:w="11900" w:h="16838" w:orient="portrait"/>
          <w:cols w:equalWidth="0" w:num="1">
            <w:col w:w="11400"/>
          </w:cols>
          <w:pgMar w:left="240" w:top="139" w:right="259" w:bottom="1440" w:gutter="0" w:footer="0" w:header="0"/>
        </w:sectPr>
      </w:pPr>
    </w:p>
    <w:bookmarkStart w:id="163" w:name="page164"/>
    <w:bookmarkEnd w:id="16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90" w:lineRule="exact"/>
        <w:rPr>
          <w:sz w:val="20"/>
          <w:szCs w:val="20"/>
          <w:color w:val="auto"/>
        </w:rPr>
      </w:pPr>
    </w:p>
    <w:p>
      <w:pPr>
        <w:ind w:right="140" w:firstLine="410"/>
        <w:spacing w:after="0" w:line="257" w:lineRule="auto"/>
        <w:rPr>
          <w:sz w:val="20"/>
          <w:szCs w:val="20"/>
          <w:color w:val="auto"/>
        </w:rPr>
      </w:pPr>
      <w:r>
        <w:rPr>
          <w:rFonts w:ascii="Arial" w:cs="Arial" w:eastAsia="Arial" w:hAnsi="Arial"/>
          <w:sz w:val="17"/>
          <w:szCs w:val="17"/>
          <w:color w:val="auto"/>
        </w:rPr>
        <w:t>Ionis is also eligible to receive milestone payments, license fees and royalty payments for all product candidates developed through this collaboration, with the specific amount dependent upon the modality of the product candidate advanced by us. During the years ending December 31, 2017, 2016 and 2015, we triggered milestones of $12.0 million, $5.5 million and $20.0 million, respectively, related to the advancement of IONIS-SOD1</w:t>
      </w:r>
      <w:r>
        <w:rPr>
          <w:rFonts w:ascii="Arial" w:cs="Arial" w:eastAsia="Arial" w:hAnsi="Arial"/>
          <w:sz w:val="14"/>
          <w:szCs w:val="14"/>
          <w:color w:val="auto"/>
        </w:rPr>
        <w:t>Rx</w:t>
      </w:r>
      <w:r>
        <w:rPr>
          <w:rFonts w:ascii="Arial" w:cs="Arial" w:eastAsia="Arial" w:hAnsi="Arial"/>
          <w:sz w:val="17"/>
          <w:szCs w:val="17"/>
          <w:color w:val="auto"/>
        </w:rPr>
        <w:t xml:space="preserve"> for the treatment of ALS and other neurological targets identified.</w:t>
      </w:r>
    </w:p>
    <w:p>
      <w:pPr>
        <w:spacing w:after="0" w:line="136"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For non-ALS antisense product candidates, Ionis will be responsible for global development through the completion of a Phase 2 trial and we will provide advice on the clinical trial design and regulatory strategy. For ALS antisense product candidates, we are responsible for global development, clinical trial design and regulatory strategy. We have an option to license a product candidate until completion of the Phase 2 trial. If we exercise our option, we will pay Ionis up to a $70.0 million license fee and assume global development, regulatory and commercialization responsibilities. Ionis could receive additional milestone payments upon the achievement of certain regulatory milestones of up to $130.0 million, plus additional amounts related to the cost of clinical trials conducted by Ionis under the collaboration, and royalties on future sales if we successfully develop the product candidate after option exercise.</w:t>
      </w:r>
    </w:p>
    <w:p>
      <w:pPr>
        <w:spacing w:after="0" w:line="146" w:lineRule="exact"/>
        <w:rPr>
          <w:sz w:val="20"/>
          <w:szCs w:val="20"/>
          <w:color w:val="auto"/>
        </w:rPr>
      </w:pPr>
    </w:p>
    <w:p>
      <w:pPr>
        <w:ind w:right="160" w:firstLine="410"/>
        <w:spacing w:after="0" w:line="262" w:lineRule="auto"/>
        <w:rPr>
          <w:sz w:val="20"/>
          <w:szCs w:val="20"/>
          <w:color w:val="auto"/>
        </w:rPr>
      </w:pPr>
      <w:r>
        <w:rPr>
          <w:rFonts w:ascii="Arial" w:cs="Arial" w:eastAsia="Arial" w:hAnsi="Arial"/>
          <w:sz w:val="17"/>
          <w:szCs w:val="17"/>
          <w:color w:val="auto"/>
        </w:rPr>
        <w:t>For product candidates using a different modality, we will be responsible for global development through all stages and will pay Ionis up to $90.0 million upon the achievement of certain regulatory milestones and royalties on future sales if we successfully develop the product candidate.</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2017 SMA Collaboration Agreement</w:t>
      </w:r>
    </w:p>
    <w:p>
      <w:pPr>
        <w:spacing w:after="0" w:line="104" w:lineRule="exact"/>
        <w:rPr>
          <w:sz w:val="20"/>
          <w:szCs w:val="20"/>
          <w:color w:val="auto"/>
        </w:rPr>
      </w:pPr>
    </w:p>
    <w:p>
      <w:pPr>
        <w:jc w:val="both"/>
        <w:ind w:right="260" w:firstLine="410"/>
        <w:spacing w:after="0" w:line="257" w:lineRule="auto"/>
        <w:rPr>
          <w:sz w:val="20"/>
          <w:szCs w:val="20"/>
          <w:color w:val="auto"/>
        </w:rPr>
      </w:pPr>
      <w:r>
        <w:rPr>
          <w:rFonts w:ascii="Arial" w:cs="Arial" w:eastAsia="Arial" w:hAnsi="Arial"/>
          <w:sz w:val="17"/>
          <w:szCs w:val="17"/>
          <w:color w:val="auto"/>
        </w:rPr>
        <w:t>In December 2017 we entered into a new collaboration agreement with Ionis to identify new antisense oligonucleotide drug candidates for the treatment of SMA. Under this agreement, we will have the option to license therapies arising out of this collaboration and will be responsible for their development and commercialization of these therapies.</w:t>
      </w:r>
    </w:p>
    <w:p>
      <w:pPr>
        <w:spacing w:after="0" w:line="140" w:lineRule="exact"/>
        <w:rPr>
          <w:sz w:val="20"/>
          <w:szCs w:val="20"/>
          <w:color w:val="auto"/>
        </w:rPr>
      </w:pPr>
    </w:p>
    <w:p>
      <w:pPr>
        <w:ind w:right="260" w:firstLine="384"/>
        <w:spacing w:after="0" w:line="257" w:lineRule="auto"/>
        <w:rPr>
          <w:sz w:val="20"/>
          <w:szCs w:val="20"/>
          <w:color w:val="auto"/>
        </w:rPr>
      </w:pPr>
      <w:r>
        <w:rPr>
          <w:rFonts w:ascii="Arial" w:cs="Arial" w:eastAsia="Arial" w:hAnsi="Arial"/>
          <w:sz w:val="17"/>
          <w:szCs w:val="17"/>
          <w:color w:val="auto"/>
        </w:rPr>
        <w:t>Upon entering into this agreement, we made a $25.0 million upfront payment to Ionis and we may pay Ionis up to $260.0 million in additional development and regulatory milestone payments if new drugs advance to marketing approval. Upon commercialization, we may also pay Ionis up to $800.0 million in additional performance-based milestone payments and tiered royalties on potential net sales of such therapies.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Eisai Co., Ltd.</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BAN2401 and E2609 Collaboration</w:t>
      </w:r>
    </w:p>
    <w:p>
      <w:pPr>
        <w:spacing w:after="0" w:line="104"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In March 2014 we entered into a collaboration agreement with Eisai (Eisai Collaboration Agreement) to jointly develop and commercialize two Eisai product candidates for the treatment of AD, BAN2401, a monoclonal antibody that targets amyloid-beta aggregates, and E2609, a BACE inhibitor. Under the Eisai Collaboration Agreement, Eisai serves as the global operational and regulatory lead for both compounds with all costs, including research, development, sales and marketing expenses shared equally by us and Eisai; and following marketing approval in major markets, such as the U.S., the E.U. and Japan, we and Eisai would co-promote BAN2401 and E2609 and share profits equally. In smaller markets, Eisai will distribute these products and pay us a royalty. In addition, the Eisai Collaboration Agreement provides both parties with certain rights and obligations in the event of a change in control of either party.</w:t>
      </w:r>
    </w:p>
    <w:p>
      <w:pPr>
        <w:spacing w:after="0" w:line="146" w:lineRule="exact"/>
        <w:rPr>
          <w:sz w:val="20"/>
          <w:szCs w:val="20"/>
          <w:color w:val="auto"/>
        </w:rPr>
      </w:pPr>
    </w:p>
    <w:p>
      <w:pPr>
        <w:ind w:right="100" w:firstLine="410"/>
        <w:spacing w:after="0" w:line="255" w:lineRule="auto"/>
        <w:rPr>
          <w:sz w:val="20"/>
          <w:szCs w:val="20"/>
          <w:color w:val="auto"/>
        </w:rPr>
      </w:pPr>
      <w:r>
        <w:rPr>
          <w:rFonts w:ascii="Arial" w:cs="Arial" w:eastAsia="Arial" w:hAnsi="Arial"/>
          <w:sz w:val="17"/>
          <w:szCs w:val="17"/>
          <w:color w:val="auto"/>
        </w:rPr>
        <w:t>The Eisai Collaboration Agreement also provided Eisai with an option to jointly develop and commercialize aducanumab (Aducanumab Option) and an option to jointly develop and commercialize one of our anti-tau monoclonal antibodies (Anti-Tau Option). Upon exercise of each of the Aducanumab Option and the Anti-Tau Option, a separate collaboration agreement would be entered into with Eisai on terms and conditions that mirror the Eisai Collaboration Agreement.</w:t>
      </w:r>
    </w:p>
    <w:p>
      <w:pPr>
        <w:spacing w:after="0" w:line="143" w:lineRule="exact"/>
        <w:rPr>
          <w:sz w:val="20"/>
          <w:szCs w:val="20"/>
          <w:color w:val="auto"/>
        </w:rPr>
      </w:pPr>
    </w:p>
    <w:p>
      <w:pPr>
        <w:ind w:right="580" w:firstLine="410"/>
        <w:spacing w:after="0" w:line="262" w:lineRule="auto"/>
        <w:rPr>
          <w:sz w:val="20"/>
          <w:szCs w:val="20"/>
          <w:color w:val="auto"/>
        </w:rPr>
      </w:pPr>
      <w:r>
        <w:rPr>
          <w:rFonts w:ascii="Arial" w:cs="Arial" w:eastAsia="Arial" w:hAnsi="Arial"/>
          <w:sz w:val="17"/>
          <w:szCs w:val="17"/>
          <w:color w:val="auto"/>
        </w:rPr>
        <w:t>In October 2017 Eisai exercised its Aducanumab Option and we entered into a new collaboration agreement for the joint development and commercialization of aducanumab (Aducanumab Collaboration Agreement). Eisai has not yet exercised its Anti-Tau Option.</w:t>
      </w:r>
    </w:p>
    <w:p>
      <w:pPr>
        <w:spacing w:after="0" w:line="137" w:lineRule="exact"/>
        <w:rPr>
          <w:sz w:val="20"/>
          <w:szCs w:val="20"/>
          <w:color w:val="auto"/>
        </w:rPr>
      </w:pPr>
    </w:p>
    <w:p>
      <w:pPr>
        <w:ind w:right="80" w:firstLine="410"/>
        <w:spacing w:after="0" w:line="257" w:lineRule="auto"/>
        <w:rPr>
          <w:sz w:val="20"/>
          <w:szCs w:val="20"/>
          <w:color w:val="auto"/>
        </w:rPr>
      </w:pPr>
      <w:r>
        <w:rPr>
          <w:rFonts w:ascii="Arial" w:cs="Arial" w:eastAsia="Arial" w:hAnsi="Arial"/>
          <w:sz w:val="17"/>
          <w:szCs w:val="17"/>
          <w:color w:val="auto"/>
        </w:rPr>
        <w:t>Under the Aducanumab Collaboration Agreement, both companies will continue to jointly develop BAN2401 and E2609 in accordance with the Eisai Collaboration Agreement; however, we are no longer required to pay Eisai any milestone payments for products containing BAN2401 and we are no longer entitled to any potential development and commercial milestone payments from Eisai in relation to aducanumab.</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F- 62</w:t>
      </w:r>
    </w:p>
    <w:p>
      <w:pPr>
        <w:sectPr>
          <w:pgSz w:w="11900" w:h="16838" w:orient="portrait"/>
          <w:cols w:equalWidth="0" w:num="1">
            <w:col w:w="11420"/>
          </w:cols>
          <w:pgMar w:left="240" w:top="139" w:right="239" w:bottom="1440" w:gutter="0" w:footer="0" w:header="0"/>
        </w:sectPr>
      </w:pPr>
    </w:p>
    <w:bookmarkStart w:id="164" w:name="page165"/>
    <w:bookmarkEnd w:id="16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9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 summary of activity related to the Eisai Collaboration Agreement is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6"/>
          </w:tcPr>
          <w:p>
            <w:pPr>
              <w:jc w:val="right"/>
              <w:ind w:right="115"/>
              <w:spacing w:after="0"/>
              <w:rPr>
                <w:sz w:val="20"/>
                <w:szCs w:val="20"/>
                <w:color w:val="auto"/>
              </w:rPr>
            </w:pPr>
            <w:r>
              <w:rPr>
                <w:rFonts w:ascii="Arial" w:cs="Arial" w:eastAsia="Arial" w:hAnsi="Arial"/>
                <w:sz w:val="14"/>
                <w:szCs w:val="14"/>
                <w:b w:val="1"/>
                <w:bCs w:val="1"/>
                <w:color w:val="auto"/>
              </w:rPr>
              <w:t>For the Years Ended December 31,</w:t>
            </w:r>
          </w:p>
        </w:tc>
        <w:tc>
          <w:tcPr>
            <w:tcW w:w="1160" w:type="dxa"/>
            <w:vAlign w:val="bottom"/>
            <w:tcBorders>
              <w:bottom w:val="single" w:sz="8" w:color="auto"/>
            </w:tcBorders>
          </w:tcPr>
          <w:p>
            <w:pPr>
              <w:spacing w:after="0"/>
              <w:rPr>
                <w:sz w:val="16"/>
                <w:szCs w:val="16"/>
                <w:color w:val="auto"/>
              </w:rPr>
            </w:pPr>
          </w:p>
        </w:tc>
      </w:tr>
      <w:tr>
        <w:trPr>
          <w:trHeight w:val="249"/>
        </w:trPr>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b w:val="1"/>
                <w:bCs w:val="1"/>
                <w:color w:val="2573BA"/>
              </w:rPr>
              <w:t>2017</w:t>
            </w:r>
          </w:p>
        </w:tc>
        <w:tc>
          <w:tcPr>
            <w:tcW w:w="600" w:type="dxa"/>
            <w:vAlign w:val="bottom"/>
            <w:tcBorders>
              <w:bottom w:val="single" w:sz="8" w:color="auto"/>
            </w:tcBorders>
            <w:shd w:val="clear" w:color="auto" w:fill="DDDDDD"/>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2015</w:t>
            </w:r>
          </w:p>
        </w:tc>
      </w:tr>
      <w:tr>
        <w:trPr>
          <w:trHeight w:val="215"/>
        </w:trPr>
        <w:tc>
          <w:tcPr>
            <w:tcW w:w="6400" w:type="dxa"/>
            <w:vAlign w:val="bottom"/>
          </w:tcPr>
          <w:p>
            <w:pPr>
              <w:ind w:left="20"/>
              <w:spacing w:after="0"/>
              <w:rPr>
                <w:sz w:val="20"/>
                <w:szCs w:val="20"/>
                <w:color w:val="auto"/>
              </w:rPr>
            </w:pPr>
            <w:r>
              <w:rPr>
                <w:rFonts w:ascii="Arial" w:cs="Arial" w:eastAsia="Arial" w:hAnsi="Arial"/>
                <w:sz w:val="17"/>
                <w:szCs w:val="17"/>
                <w:color w:val="auto"/>
              </w:rPr>
              <w:t>Total development expense incurred by the collaboration in development of</w:t>
            </w:r>
          </w:p>
        </w:tc>
        <w:tc>
          <w:tcPr>
            <w:tcW w:w="1020" w:type="dxa"/>
            <w:vAlign w:val="bottom"/>
            <w:shd w:val="clear" w:color="auto" w:fill="DDDDDD"/>
          </w:tcPr>
          <w:p>
            <w:pPr>
              <w:spacing w:after="0"/>
              <w:rPr>
                <w:sz w:val="18"/>
                <w:szCs w:val="18"/>
                <w:color w:val="auto"/>
              </w:rPr>
            </w:pPr>
          </w:p>
        </w:tc>
        <w:tc>
          <w:tcPr>
            <w:tcW w:w="600" w:type="dxa"/>
            <w:vAlign w:val="bottom"/>
            <w:shd w:val="clear" w:color="auto" w:fill="DDDDDD"/>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4"/>
        </w:trPr>
        <w:tc>
          <w:tcPr>
            <w:tcW w:w="6400" w:type="dxa"/>
            <w:vAlign w:val="bottom"/>
          </w:tcPr>
          <w:p>
            <w:pPr>
              <w:ind w:left="20"/>
              <w:spacing w:after="0"/>
              <w:rPr>
                <w:sz w:val="20"/>
                <w:szCs w:val="20"/>
                <w:color w:val="auto"/>
              </w:rPr>
            </w:pPr>
            <w:r>
              <w:rPr>
                <w:rFonts w:ascii="Arial" w:cs="Arial" w:eastAsia="Arial" w:hAnsi="Arial"/>
                <w:sz w:val="17"/>
                <w:szCs w:val="17"/>
                <w:color w:val="auto"/>
              </w:rPr>
              <w:t>BAN2401 and E2609</w:t>
            </w:r>
          </w:p>
        </w:tc>
        <w:tc>
          <w:tcPr>
            <w:tcW w:w="1020" w:type="dxa"/>
            <w:vAlign w:val="bottom"/>
            <w:shd w:val="clear" w:color="auto" w:fill="DDDDDD"/>
          </w:tcPr>
          <w:p>
            <w:pPr>
              <w:jc w:val="right"/>
              <w:ind w:right="820"/>
              <w:spacing w:after="0"/>
              <w:rPr>
                <w:sz w:val="20"/>
                <w:szCs w:val="20"/>
                <w:color w:val="auto"/>
              </w:rPr>
            </w:pPr>
            <w:r>
              <w:rPr>
                <w:rFonts w:ascii="Arial" w:cs="Arial" w:eastAsia="Arial" w:hAnsi="Arial"/>
                <w:sz w:val="17"/>
                <w:szCs w:val="17"/>
                <w:color w:val="2573BA"/>
              </w:rPr>
              <w:t>$</w:t>
            </w:r>
          </w:p>
        </w:tc>
        <w:tc>
          <w:tcPr>
            <w:tcW w:w="60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146.2</w:t>
            </w:r>
          </w:p>
        </w:tc>
        <w:tc>
          <w:tcPr>
            <w:tcW w:w="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20"/>
              <w:spacing w:after="0"/>
              <w:rPr>
                <w:sz w:val="20"/>
                <w:szCs w:val="20"/>
                <w:color w:val="auto"/>
              </w:rPr>
            </w:pPr>
            <w:r>
              <w:rPr>
                <w:rFonts w:ascii="Arial" w:cs="Arial" w:eastAsia="Arial" w:hAnsi="Arial"/>
                <w:sz w:val="17"/>
                <w:szCs w:val="17"/>
                <w:color w:val="auto"/>
              </w:rPr>
              <w:t>95.1</w:t>
            </w:r>
          </w:p>
        </w:tc>
        <w:tc>
          <w:tcPr>
            <w:tcW w:w="100" w:type="dxa"/>
            <w:vAlign w:val="bottom"/>
          </w:tcPr>
          <w:p>
            <w:pPr>
              <w:spacing w:after="0"/>
              <w:rPr>
                <w:sz w:val="17"/>
                <w:szCs w:val="17"/>
                <w:color w:val="auto"/>
              </w:rPr>
            </w:pPr>
          </w:p>
        </w:tc>
        <w:tc>
          <w:tcPr>
            <w:tcW w:w="440" w:type="dxa"/>
            <w:vAlign w:val="bottom"/>
          </w:tcPr>
          <w:p>
            <w:pPr>
              <w:jc w:val="right"/>
              <w:ind w:right="235"/>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20"/>
              <w:spacing w:after="0"/>
              <w:rPr>
                <w:sz w:val="20"/>
                <w:szCs w:val="20"/>
                <w:color w:val="auto"/>
              </w:rPr>
            </w:pPr>
            <w:r>
              <w:rPr>
                <w:rFonts w:ascii="Arial" w:cs="Arial" w:eastAsia="Arial" w:hAnsi="Arial"/>
                <w:sz w:val="17"/>
                <w:szCs w:val="17"/>
                <w:color w:val="auto"/>
              </w:rPr>
              <w:t>84.1</w:t>
            </w:r>
          </w:p>
        </w:tc>
      </w:tr>
      <w:tr>
        <w:trPr>
          <w:trHeight w:val="231"/>
        </w:trPr>
        <w:tc>
          <w:tcPr>
            <w:tcW w:w="6400" w:type="dxa"/>
            <w:vAlign w:val="bottom"/>
          </w:tcPr>
          <w:p>
            <w:pPr>
              <w:ind w:left="20"/>
              <w:spacing w:after="0"/>
              <w:rPr>
                <w:sz w:val="20"/>
                <w:szCs w:val="20"/>
                <w:color w:val="auto"/>
              </w:rPr>
            </w:pPr>
            <w:r>
              <w:rPr>
                <w:rFonts w:ascii="Arial" w:cs="Arial" w:eastAsia="Arial" w:hAnsi="Arial"/>
                <w:sz w:val="17"/>
                <w:szCs w:val="17"/>
                <w:color w:val="auto"/>
              </w:rPr>
              <w:t>Biogen's share of BAN2401 and E2609 development expense reflected in our</w:t>
            </w:r>
          </w:p>
        </w:tc>
        <w:tc>
          <w:tcPr>
            <w:tcW w:w="1020" w:type="dxa"/>
            <w:vAlign w:val="bottom"/>
            <w:shd w:val="clear" w:color="auto" w:fill="DDDDDD"/>
          </w:tcPr>
          <w:p>
            <w:pPr>
              <w:spacing w:after="0"/>
              <w:rPr>
                <w:sz w:val="20"/>
                <w:szCs w:val="20"/>
                <w:color w:val="auto"/>
              </w:rPr>
            </w:pPr>
          </w:p>
        </w:tc>
        <w:tc>
          <w:tcPr>
            <w:tcW w:w="600" w:type="dxa"/>
            <w:vAlign w:val="bottom"/>
            <w:shd w:val="clear" w:color="auto" w:fill="DDDDDD"/>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19"/>
        </w:trPr>
        <w:tc>
          <w:tcPr>
            <w:tcW w:w="6400" w:type="dxa"/>
            <w:vAlign w:val="bottom"/>
          </w:tcPr>
          <w:p>
            <w:pPr>
              <w:ind w:left="20"/>
              <w:spacing w:after="0"/>
              <w:rPr>
                <w:sz w:val="20"/>
                <w:szCs w:val="20"/>
                <w:color w:val="auto"/>
              </w:rPr>
            </w:pPr>
            <w:r>
              <w:rPr>
                <w:rFonts w:ascii="Arial" w:cs="Arial" w:eastAsia="Arial" w:hAnsi="Arial"/>
                <w:sz w:val="17"/>
                <w:szCs w:val="17"/>
                <w:color w:val="auto"/>
              </w:rPr>
              <w:t>consolidated statements of income, excluding upfront and milestone payments</w:t>
            </w:r>
          </w:p>
        </w:tc>
        <w:tc>
          <w:tcPr>
            <w:tcW w:w="1020" w:type="dxa"/>
            <w:vAlign w:val="bottom"/>
            <w:shd w:val="clear" w:color="auto" w:fill="DDDDDD"/>
          </w:tcPr>
          <w:p>
            <w:pPr>
              <w:jc w:val="right"/>
              <w:ind w:right="820"/>
              <w:spacing w:after="0"/>
              <w:rPr>
                <w:sz w:val="20"/>
                <w:szCs w:val="20"/>
                <w:color w:val="auto"/>
              </w:rPr>
            </w:pPr>
            <w:r>
              <w:rPr>
                <w:rFonts w:ascii="Arial" w:cs="Arial" w:eastAsia="Arial" w:hAnsi="Arial"/>
                <w:sz w:val="17"/>
                <w:szCs w:val="17"/>
                <w:color w:val="2573BA"/>
              </w:rPr>
              <w:t>$</w:t>
            </w:r>
          </w:p>
        </w:tc>
        <w:tc>
          <w:tcPr>
            <w:tcW w:w="60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74.3</w:t>
            </w:r>
          </w:p>
        </w:tc>
        <w:tc>
          <w:tcPr>
            <w:tcW w:w="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20"/>
              <w:spacing w:after="0"/>
              <w:rPr>
                <w:sz w:val="20"/>
                <w:szCs w:val="20"/>
                <w:color w:val="auto"/>
              </w:rPr>
            </w:pPr>
            <w:r>
              <w:rPr>
                <w:rFonts w:ascii="Arial" w:cs="Arial" w:eastAsia="Arial" w:hAnsi="Arial"/>
                <w:sz w:val="17"/>
                <w:szCs w:val="17"/>
                <w:color w:val="auto"/>
              </w:rPr>
              <w:t>50.5</w:t>
            </w:r>
          </w:p>
        </w:tc>
        <w:tc>
          <w:tcPr>
            <w:tcW w:w="100" w:type="dxa"/>
            <w:vAlign w:val="bottom"/>
          </w:tcPr>
          <w:p>
            <w:pPr>
              <w:spacing w:after="0"/>
              <w:rPr>
                <w:sz w:val="19"/>
                <w:szCs w:val="19"/>
                <w:color w:val="auto"/>
              </w:rPr>
            </w:pPr>
          </w:p>
        </w:tc>
        <w:tc>
          <w:tcPr>
            <w:tcW w:w="440" w:type="dxa"/>
            <w:vAlign w:val="bottom"/>
          </w:tcPr>
          <w:p>
            <w:pPr>
              <w:jc w:val="right"/>
              <w:ind w:right="235"/>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20"/>
              <w:spacing w:after="0"/>
              <w:rPr>
                <w:sz w:val="20"/>
                <w:szCs w:val="20"/>
                <w:color w:val="auto"/>
              </w:rPr>
            </w:pPr>
            <w:r>
              <w:rPr>
                <w:rFonts w:ascii="Arial" w:cs="Arial" w:eastAsia="Arial" w:hAnsi="Arial"/>
                <w:sz w:val="17"/>
                <w:szCs w:val="17"/>
                <w:color w:val="auto"/>
              </w:rPr>
              <w:t>40.4</w:t>
            </w:r>
          </w:p>
        </w:tc>
      </w:tr>
    </w:tbl>
    <w:p>
      <w:pPr>
        <w:spacing w:after="0" w:line="153" w:lineRule="exact"/>
        <w:rPr>
          <w:sz w:val="20"/>
          <w:szCs w:val="20"/>
          <w:color w:val="auto"/>
        </w:rPr>
      </w:pPr>
    </w:p>
    <w:p>
      <w:pPr>
        <w:ind w:right="120" w:firstLine="410"/>
        <w:spacing w:after="0" w:line="257" w:lineRule="auto"/>
        <w:rPr>
          <w:sz w:val="20"/>
          <w:szCs w:val="20"/>
          <w:color w:val="auto"/>
        </w:rPr>
      </w:pPr>
      <w:r>
        <w:rPr>
          <w:rFonts w:ascii="Arial" w:cs="Arial" w:eastAsia="Arial" w:hAnsi="Arial"/>
          <w:sz w:val="17"/>
          <w:szCs w:val="17"/>
          <w:color w:val="auto"/>
        </w:rPr>
        <w:t>During the fourth quarter of 2016 we recognized a $50.0 million milestone payment related to the initiation of a Phase 3 trial for E2609, which is included in research and development expense in our consolidated statements of income. We could pay Eisai up to an additional $625.0 million under the Eisai Collaboration Agreement based on the future achievement of certain development, regulatory and commercial milestones.</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Aducanumab Collaboration Agreement</w:t>
      </w:r>
    </w:p>
    <w:p>
      <w:pPr>
        <w:spacing w:after="0" w:line="181" w:lineRule="exact"/>
        <w:rPr>
          <w:sz w:val="20"/>
          <w:szCs w:val="20"/>
          <w:color w:val="auto"/>
        </w:rPr>
      </w:pPr>
    </w:p>
    <w:p>
      <w:pPr>
        <w:ind w:right="80" w:firstLine="384"/>
        <w:spacing w:after="0" w:line="251" w:lineRule="auto"/>
        <w:rPr>
          <w:sz w:val="20"/>
          <w:szCs w:val="20"/>
          <w:color w:val="auto"/>
        </w:rPr>
      </w:pPr>
      <w:r>
        <w:rPr>
          <w:rFonts w:ascii="Arial" w:cs="Arial" w:eastAsia="Arial" w:hAnsi="Arial"/>
          <w:sz w:val="17"/>
          <w:szCs w:val="17"/>
          <w:color w:val="auto"/>
        </w:rPr>
        <w:t>Under the Aducanumab Collaboration Agreement, we will continue to lead the ongoing Phase 3 development of aducanumab and will remain responsible for 100% of development costs for aducanumab incurred in support of this agreement until April 2018. Eisai will then reimburse us for 15% of aducanumab development expenses for the period April 2018 through December 2018, and 45% thereafter. Upon commercialization, both companies will co-promote aducanumab with a region-based profit split. We will receive a 55% share of the potential profits (losses) in the U.S., a</w:t>
      </w:r>
    </w:p>
    <w:p>
      <w:pPr>
        <w:spacing w:after="0" w:line="2"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68.5% share of the potential profits (losses) in the E.U. and a 20% share of the potential profits (losses) in Japan and Asia, excluding China and South Korea. The companies will continue to share equally in the potential profits (losses) in rest of world markets.</w:t>
      </w:r>
    </w:p>
    <w:p>
      <w:pPr>
        <w:spacing w:after="0" w:line="137" w:lineRule="exact"/>
        <w:rPr>
          <w:sz w:val="20"/>
          <w:szCs w:val="20"/>
          <w:color w:val="auto"/>
        </w:rPr>
      </w:pPr>
    </w:p>
    <w:p>
      <w:pPr>
        <w:ind w:right="440" w:firstLine="384"/>
        <w:spacing w:after="0" w:line="262" w:lineRule="auto"/>
        <w:rPr>
          <w:sz w:val="20"/>
          <w:szCs w:val="20"/>
          <w:color w:val="auto"/>
        </w:rPr>
      </w:pPr>
      <w:r>
        <w:rPr>
          <w:rFonts w:ascii="Arial" w:cs="Arial" w:eastAsia="Arial" w:hAnsi="Arial"/>
          <w:sz w:val="17"/>
          <w:szCs w:val="17"/>
          <w:color w:val="auto"/>
        </w:rPr>
        <w:t>We and Eisai also agreed to co-promote AVONEX, TYSABRI and TECFIDERA in Japan in certain settings and Eisai will distribute AVONEX, TYSABRI, TECFIDERA and PLEGRIDY in India and other Asia-Pacific markets, excluding China.</w:t>
      </w:r>
    </w:p>
    <w:p>
      <w:pPr>
        <w:spacing w:after="0" w:line="137" w:lineRule="exact"/>
        <w:rPr>
          <w:sz w:val="20"/>
          <w:szCs w:val="20"/>
          <w:color w:val="auto"/>
        </w:rPr>
      </w:pPr>
    </w:p>
    <w:p>
      <w:pPr>
        <w:ind w:right="100" w:firstLine="384"/>
        <w:spacing w:after="0" w:line="262" w:lineRule="auto"/>
        <w:rPr>
          <w:sz w:val="20"/>
          <w:szCs w:val="20"/>
          <w:color w:val="auto"/>
        </w:rPr>
      </w:pPr>
      <w:r>
        <w:rPr>
          <w:rFonts w:ascii="Arial" w:cs="Arial" w:eastAsia="Arial" w:hAnsi="Arial"/>
          <w:sz w:val="17"/>
          <w:szCs w:val="17"/>
          <w:color w:val="auto"/>
        </w:rPr>
        <w:t>During the year ended December 31, 2017, $263.4 million was reflected in research and development expense in our consolidated statements of income related to the advancement of our aducanumab program.</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Anti-Tau Option</w:t>
      </w:r>
    </w:p>
    <w:p>
      <w:pPr>
        <w:spacing w:after="0" w:line="104" w:lineRule="exact"/>
        <w:rPr>
          <w:sz w:val="20"/>
          <w:szCs w:val="20"/>
          <w:color w:val="auto"/>
        </w:rPr>
      </w:pPr>
    </w:p>
    <w:p>
      <w:pPr>
        <w:jc w:val="both"/>
        <w:ind w:right="380" w:firstLine="410"/>
        <w:spacing w:after="0" w:line="262" w:lineRule="auto"/>
        <w:rPr>
          <w:sz w:val="20"/>
          <w:szCs w:val="20"/>
          <w:color w:val="auto"/>
        </w:rPr>
      </w:pPr>
      <w:r>
        <w:rPr>
          <w:rFonts w:ascii="Arial" w:cs="Arial" w:eastAsia="Arial" w:hAnsi="Arial"/>
          <w:sz w:val="17"/>
          <w:szCs w:val="17"/>
          <w:color w:val="auto"/>
        </w:rPr>
        <w:t>Eisai may exercise the Anti-Tau Option after completion of the Phase 1 clinical trial of such anti-tau monoclonal antibody. If Eisai exercises its Anti-Tau Option, we will receive an upfront payment from Eisai and will be entitled to additional development and commercial milestone payments.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Bristol-Myers Squibb Company</w:t>
      </w:r>
    </w:p>
    <w:p>
      <w:pPr>
        <w:spacing w:after="0" w:line="106" w:lineRule="exact"/>
        <w:rPr>
          <w:sz w:val="20"/>
          <w:szCs w:val="20"/>
          <w:color w:val="auto"/>
        </w:rPr>
      </w:pPr>
    </w:p>
    <w:p>
      <w:pPr>
        <w:ind w:right="340" w:firstLine="410"/>
        <w:spacing w:after="0" w:line="257" w:lineRule="auto"/>
        <w:rPr>
          <w:sz w:val="20"/>
          <w:szCs w:val="20"/>
          <w:color w:val="auto"/>
        </w:rPr>
      </w:pPr>
      <w:r>
        <w:rPr>
          <w:rFonts w:ascii="Arial" w:cs="Arial" w:eastAsia="Arial" w:hAnsi="Arial"/>
          <w:sz w:val="17"/>
          <w:szCs w:val="17"/>
          <w:color w:val="auto"/>
        </w:rPr>
        <w:t>In June 2017 we completed an exclusive license agreement with Bristol-Myers Squibb Company (BMS) for BIIB092 (formerly known as BMS-986168), a Phase 2-ready experimental medicine with potential in AD and PSP. BIIB092 is an antibody targeting tau, the protein that forms the deposits, or tangles, in the brain associated with AD and other neurodegenerative tauopathies such as PSP.</w:t>
      </w:r>
    </w:p>
    <w:p>
      <w:pPr>
        <w:spacing w:after="0" w:line="140" w:lineRule="exact"/>
        <w:rPr>
          <w:sz w:val="20"/>
          <w:szCs w:val="20"/>
          <w:color w:val="auto"/>
        </w:rPr>
      </w:pPr>
    </w:p>
    <w:p>
      <w:pPr>
        <w:ind w:right="440" w:firstLine="410"/>
        <w:spacing w:after="0" w:line="262" w:lineRule="auto"/>
        <w:rPr>
          <w:sz w:val="20"/>
          <w:szCs w:val="20"/>
          <w:color w:val="auto"/>
        </w:rPr>
      </w:pPr>
      <w:r>
        <w:rPr>
          <w:rFonts w:ascii="Arial" w:cs="Arial" w:eastAsia="Arial" w:hAnsi="Arial"/>
          <w:sz w:val="17"/>
          <w:szCs w:val="17"/>
          <w:color w:val="auto"/>
        </w:rPr>
        <w:t>Under this agreement, we received worldwide rights to BIIB092 and are responsible for the full development and global commercialization of BIIB092 in AD and PSP.</w:t>
      </w:r>
    </w:p>
    <w:p>
      <w:pPr>
        <w:spacing w:after="0" w:line="137" w:lineRule="exact"/>
        <w:rPr>
          <w:sz w:val="20"/>
          <w:szCs w:val="20"/>
          <w:color w:val="auto"/>
        </w:rPr>
      </w:pPr>
    </w:p>
    <w:p>
      <w:pPr>
        <w:ind w:right="40" w:firstLine="410"/>
        <w:spacing w:after="0" w:line="254" w:lineRule="auto"/>
        <w:rPr>
          <w:sz w:val="20"/>
          <w:szCs w:val="20"/>
          <w:color w:val="auto"/>
        </w:rPr>
      </w:pPr>
      <w:r>
        <w:rPr>
          <w:rFonts w:ascii="Arial" w:cs="Arial" w:eastAsia="Arial" w:hAnsi="Arial"/>
          <w:sz w:val="17"/>
          <w:szCs w:val="17"/>
          <w:color w:val="auto"/>
        </w:rPr>
        <w:t>Upon entering into this agreement, we made an upfront payment of $300.0 million to BMS and we may pay BMS up to $410.0 million in additional milestone payments, and potential royalties. We also assumed all remaining obligations to the former shareholders of iPierian, Inc. (iPierian) related to BMS’s acquisition of iPierian in 2014. In June 2017 we recognized a $60.0 million developmental milestone payable to the former shareholders of iPierian upon dosing of the first patient in the Phase 2 PSP study for BIIB092 and we may pay the former shareholders of iPierian up to $490.0 million in remaining milestone payments, and potential royalties.</w:t>
      </w:r>
    </w:p>
    <w:p>
      <w:pPr>
        <w:spacing w:after="0" w:line="144" w:lineRule="exact"/>
        <w:rPr>
          <w:sz w:val="20"/>
          <w:szCs w:val="20"/>
          <w:color w:val="auto"/>
        </w:rPr>
      </w:pPr>
    </w:p>
    <w:p>
      <w:pPr>
        <w:ind w:right="140" w:firstLine="410"/>
        <w:spacing w:after="0" w:line="262" w:lineRule="auto"/>
        <w:rPr>
          <w:sz w:val="20"/>
          <w:szCs w:val="20"/>
          <w:color w:val="auto"/>
        </w:rPr>
      </w:pPr>
      <w:r>
        <w:rPr>
          <w:rFonts w:ascii="Arial" w:cs="Arial" w:eastAsia="Arial" w:hAnsi="Arial"/>
          <w:sz w:val="17"/>
          <w:szCs w:val="17"/>
          <w:color w:val="auto"/>
        </w:rPr>
        <w:t>Both the $300.0 million upfront payment and the $60.0 million developmental milestone payment were recognized as research and development expense in our consolidated statements of income for the year ended December 31, 2017.</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F- 63</w:t>
      </w:r>
    </w:p>
    <w:p>
      <w:pPr>
        <w:sectPr>
          <w:pgSz w:w="11900" w:h="16838" w:orient="portrait"/>
          <w:cols w:equalWidth="0" w:num="1">
            <w:col w:w="11420"/>
          </w:cols>
          <w:pgMar w:left="240" w:top="139" w:right="239" w:bottom="1440" w:gutter="0" w:footer="0" w:header="0"/>
        </w:sectPr>
      </w:pPr>
    </w:p>
    <w:bookmarkStart w:id="165" w:name="page166"/>
    <w:bookmarkEnd w:id="16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Alkermes</w:t>
      </w:r>
    </w:p>
    <w:p>
      <w:pPr>
        <w:spacing w:after="0" w:line="106" w:lineRule="exact"/>
        <w:rPr>
          <w:sz w:val="20"/>
          <w:szCs w:val="20"/>
          <w:color w:val="auto"/>
        </w:rPr>
      </w:pPr>
    </w:p>
    <w:p>
      <w:pPr>
        <w:ind w:right="40" w:firstLine="410"/>
        <w:spacing w:after="0" w:line="257" w:lineRule="auto"/>
        <w:rPr>
          <w:sz w:val="20"/>
          <w:szCs w:val="20"/>
          <w:color w:val="auto"/>
        </w:rPr>
      </w:pPr>
      <w:r>
        <w:rPr>
          <w:rFonts w:ascii="Arial" w:cs="Arial" w:eastAsia="Arial" w:hAnsi="Arial"/>
          <w:sz w:val="17"/>
          <w:szCs w:val="17"/>
          <w:color w:val="auto"/>
        </w:rPr>
        <w:t>In November 2017 we entered into an exclusive license and collaboration agreement with Alkermes Pharma Ireland Limited, a subsidiary of Alkermes plc (Alkermes), for BIIB098 (formerly known as ALKS 8700), an oral monomethyl fumarate prodrug in Phase 3 development for the treatment of relapsing forms of MS.</w:t>
      </w:r>
    </w:p>
    <w:p>
      <w:pPr>
        <w:spacing w:after="0" w:line="140" w:lineRule="exact"/>
        <w:rPr>
          <w:sz w:val="20"/>
          <w:szCs w:val="20"/>
          <w:color w:val="auto"/>
        </w:rPr>
      </w:pPr>
    </w:p>
    <w:p>
      <w:pPr>
        <w:ind w:right="100" w:firstLine="410"/>
        <w:spacing w:after="0" w:line="254" w:lineRule="auto"/>
        <w:rPr>
          <w:sz w:val="20"/>
          <w:szCs w:val="20"/>
          <w:color w:val="auto"/>
        </w:rPr>
      </w:pPr>
      <w:r>
        <w:rPr>
          <w:rFonts w:ascii="Arial" w:cs="Arial" w:eastAsia="Arial" w:hAnsi="Arial"/>
          <w:sz w:val="17"/>
          <w:szCs w:val="17"/>
          <w:color w:val="auto"/>
        </w:rPr>
        <w:t>Under this agreement, we received an exclusive, worldwide license to develop and commercialize BIIB098 and will pay Alkermes a mid-teens percentage royalty on potential worldwide net sales of BIIB098. Royalties payable on net sales of BIIB098 are subject to tiered minimum payment requirements for a period of five years following FDA approval. Alkermes is eligible to receive royalties in the mid-single digits to low-teen percentages of annual net sales upon successful development and commercialization of new product candidates other than BIIB098. Alkermes will maintain responsibility for regulatory interactions with the FDA through the potential approval of the NDA for BIIB098 for the treatment of MS.</w:t>
      </w:r>
    </w:p>
    <w:p>
      <w:pPr>
        <w:spacing w:after="0" w:line="144" w:lineRule="exact"/>
        <w:rPr>
          <w:sz w:val="20"/>
          <w:szCs w:val="20"/>
          <w:color w:val="auto"/>
        </w:rPr>
      </w:pPr>
    </w:p>
    <w:p>
      <w:pPr>
        <w:ind w:right="20" w:firstLine="410"/>
        <w:spacing w:after="0" w:line="254" w:lineRule="auto"/>
        <w:rPr>
          <w:sz w:val="20"/>
          <w:szCs w:val="20"/>
          <w:color w:val="auto"/>
        </w:rPr>
      </w:pPr>
      <w:r>
        <w:rPr>
          <w:rFonts w:ascii="Arial" w:cs="Arial" w:eastAsia="Arial" w:hAnsi="Arial"/>
          <w:sz w:val="17"/>
          <w:szCs w:val="17"/>
          <w:color w:val="auto"/>
        </w:rPr>
        <w:t>Upon entering into this agreement, we made a $28.0 million upfront payment to Alkermes representing our share of BIIB098 development costs already incurred in 2017. Beginning in 2018 we are responsible for all development expenses related to BIIB098. In December 2017 we also recognized a $50.0 million expense, which is expected to be paid to Alkermes in early 2018, enabling the continuation of the agreement to develop BIIB098. Both the $28.0 million upfront payment and $50.0 million continuation payment were recognized as research and development expense in our consolidated financial statements for the year ended December 31, 2017.</w:t>
      </w:r>
    </w:p>
    <w:p>
      <w:pPr>
        <w:spacing w:after="0" w:line="144" w:lineRule="exact"/>
        <w:rPr>
          <w:sz w:val="20"/>
          <w:szCs w:val="20"/>
          <w:color w:val="auto"/>
        </w:rPr>
      </w:pPr>
    </w:p>
    <w:p>
      <w:pPr>
        <w:ind w:right="180" w:firstLine="410"/>
        <w:spacing w:after="0" w:line="257" w:lineRule="auto"/>
        <w:rPr>
          <w:sz w:val="20"/>
          <w:szCs w:val="20"/>
          <w:color w:val="auto"/>
        </w:rPr>
      </w:pPr>
      <w:r>
        <w:rPr>
          <w:rFonts w:ascii="Arial" w:cs="Arial" w:eastAsia="Arial" w:hAnsi="Arial"/>
          <w:sz w:val="17"/>
          <w:szCs w:val="17"/>
          <w:color w:val="auto"/>
        </w:rPr>
        <w:t>We may also pay Alkermes up to approximately $150.0 million in additional future milestone payments upon certain regulatory achievements related to BIIB098 under this collaboration. For the year ended December 31, 2017, we recorded $80.3 million in research and development expense in our consolidated statements of income related to this collaboration.</w:t>
      </w:r>
    </w:p>
    <w:p>
      <w:pPr>
        <w:spacing w:after="0" w:line="140" w:lineRule="exact"/>
        <w:rPr>
          <w:sz w:val="20"/>
          <w:szCs w:val="20"/>
          <w:color w:val="auto"/>
        </w:rPr>
      </w:pPr>
    </w:p>
    <w:p>
      <w:pPr>
        <w:ind w:right="120" w:firstLine="410"/>
        <w:spacing w:after="0" w:line="262" w:lineRule="auto"/>
        <w:rPr>
          <w:sz w:val="20"/>
          <w:szCs w:val="20"/>
          <w:color w:val="auto"/>
        </w:rPr>
      </w:pPr>
      <w:r>
        <w:rPr>
          <w:rFonts w:ascii="Arial" w:cs="Arial" w:eastAsia="Arial" w:hAnsi="Arial"/>
          <w:sz w:val="17"/>
          <w:szCs w:val="17"/>
          <w:color w:val="auto"/>
        </w:rPr>
        <w:t>In connection with the license and collaboration agreement, we may also enter into a supply agreement with Alkermes for the commercial supply of BIIB098 and other products developed under the license and collaboration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Applied Genetic Technologies Corporation</w:t>
      </w:r>
    </w:p>
    <w:p>
      <w:pPr>
        <w:spacing w:after="0" w:line="106" w:lineRule="exact"/>
        <w:rPr>
          <w:sz w:val="20"/>
          <w:szCs w:val="20"/>
          <w:color w:val="auto"/>
        </w:rPr>
      </w:pPr>
    </w:p>
    <w:p>
      <w:pPr>
        <w:ind w:right="280" w:firstLine="410"/>
        <w:spacing w:after="0" w:line="254" w:lineRule="auto"/>
        <w:rPr>
          <w:sz w:val="20"/>
          <w:szCs w:val="20"/>
          <w:color w:val="auto"/>
        </w:rPr>
      </w:pPr>
      <w:r>
        <w:rPr>
          <w:rFonts w:ascii="Arial" w:cs="Arial" w:eastAsia="Arial" w:hAnsi="Arial"/>
          <w:sz w:val="17"/>
          <w:szCs w:val="17"/>
          <w:color w:val="auto"/>
        </w:rPr>
        <w:t>In July 2015 we entered into a collaboration and license agreement to develop gene-based therapies for multiple ophthalmic diseases with Applied Genetic Technologies Corporation (AGTC). This collaboration is focused on the development of a portfolio of AGTC’s therapeutic programs, including both a clinical-stage candidate for X-linked Retinoschisis (XLRS) and a pre-clinical candidate for the treatment of X-Linked Retinitis Pigmentosa (XLRP). This agreement also provides us with options for early stage discovery programs in two ophthalmic diseases and one non-ophthalmic condition, as well as an equity investment in AGTC.</w:t>
      </w:r>
    </w:p>
    <w:p>
      <w:pPr>
        <w:spacing w:after="0" w:line="144" w:lineRule="exact"/>
        <w:rPr>
          <w:sz w:val="20"/>
          <w:szCs w:val="20"/>
          <w:color w:val="auto"/>
        </w:rPr>
      </w:pPr>
    </w:p>
    <w:p>
      <w:pPr>
        <w:ind w:right="20" w:firstLine="410"/>
        <w:spacing w:after="0" w:line="254" w:lineRule="auto"/>
        <w:rPr>
          <w:sz w:val="20"/>
          <w:szCs w:val="20"/>
          <w:color w:val="auto"/>
        </w:rPr>
      </w:pPr>
      <w:r>
        <w:rPr>
          <w:rFonts w:ascii="Arial" w:cs="Arial" w:eastAsia="Arial" w:hAnsi="Arial"/>
          <w:sz w:val="17"/>
          <w:szCs w:val="17"/>
          <w:color w:val="auto"/>
        </w:rPr>
        <w:t>Under this agreement we received worldwide commercialization rights for the XLRS and XLRP programs. AGTC will lead the clinical development programs of XLRS through product approval and of XLRP through the completion of first-in-human trials and we will support the related clinical development costs, subject to certain conditions, following the first-in-human study for XLRS and IND-enabling studies for XLRP. AGTC has an option to share development costs and profits after the initial clinical trial data becomes available, and an option to co-promote the second of these products approved in the U.S.</w:t>
      </w:r>
    </w:p>
    <w:p>
      <w:pPr>
        <w:spacing w:after="0" w:line="144" w:lineRule="exact"/>
        <w:rPr>
          <w:sz w:val="20"/>
          <w:szCs w:val="20"/>
          <w:color w:val="auto"/>
        </w:rPr>
      </w:pPr>
    </w:p>
    <w:p>
      <w:pPr>
        <w:ind w:right="260" w:firstLine="410"/>
        <w:spacing w:after="0" w:line="255" w:lineRule="auto"/>
        <w:rPr>
          <w:sz w:val="20"/>
          <w:szCs w:val="20"/>
          <w:color w:val="auto"/>
        </w:rPr>
      </w:pPr>
      <w:r>
        <w:rPr>
          <w:rFonts w:ascii="Arial" w:cs="Arial" w:eastAsia="Arial" w:hAnsi="Arial"/>
          <w:sz w:val="17"/>
          <w:szCs w:val="17"/>
          <w:color w:val="auto"/>
        </w:rPr>
        <w:t>Upon entering into this agreement we made an upfront payment of $124.0 million to AGTC. AGTC is also eligible to receive development, regulatory and commercial milestone payments aggregating in excess of $1.1 billion, which includes up to $467.5 million collectively for the two lead programs and up to $592.5 million across the discovery programs. AGTC is also eligible to receive royalties in the mid-single digit to mid-teen percentages of annual net sales upon successful development and commercialization of new product candidates.</w:t>
      </w:r>
    </w:p>
    <w:p>
      <w:pPr>
        <w:spacing w:after="0" w:line="143"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The $124.0 million upfront payment reflected a $30.0 million equity investment in AGTC, prepaid research and development expenditures of $58.4 million and total licensing and other fees of $35.6 million. The $35.6 million in total licensing and other fees were recognized as a charge to research and development expense in our consolidated statements of income for the year ended December 31, 2015. The $30.0 million equity investment and the $58.4 million of prepaid research and development expenditures were recorded in investments and other assets in our consolidated balance sheets. These prepaid research and development amounts are being expensed as the services are provided, of which $11.1 million remains as a prepaid asset as of December 31, 2017.</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F- 64</w:t>
      </w:r>
    </w:p>
    <w:p>
      <w:pPr>
        <w:sectPr>
          <w:pgSz w:w="11900" w:h="16838" w:orient="portrait"/>
          <w:cols w:equalWidth="0" w:num="1">
            <w:col w:w="11420"/>
          </w:cols>
          <w:pgMar w:left="240" w:top="139" w:right="239" w:bottom="1440" w:gutter="0" w:footer="0" w:header="0"/>
        </w:sectPr>
      </w:pPr>
    </w:p>
    <w:bookmarkStart w:id="166" w:name="page167"/>
    <w:bookmarkEnd w:id="16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90" w:lineRule="exact"/>
        <w:rPr>
          <w:sz w:val="20"/>
          <w:szCs w:val="20"/>
          <w:color w:val="auto"/>
        </w:rPr>
      </w:pPr>
    </w:p>
    <w:p>
      <w:pPr>
        <w:ind w:right="360" w:firstLine="410"/>
        <w:spacing w:after="0" w:line="262" w:lineRule="auto"/>
        <w:rPr>
          <w:sz w:val="20"/>
          <w:szCs w:val="20"/>
          <w:color w:val="auto"/>
        </w:rPr>
      </w:pPr>
      <w:r>
        <w:rPr>
          <w:rFonts w:ascii="Arial" w:cs="Arial" w:eastAsia="Arial" w:hAnsi="Arial"/>
          <w:sz w:val="17"/>
          <w:szCs w:val="17"/>
          <w:color w:val="auto"/>
        </w:rPr>
        <w:t>For the years ended December 31, 2017, 2016 and 2015 we recorded $27.5 million, $26.5 million and $54.5 million, respectively, which were reflected in research and development expense in our consolidated statements of income related to this collaboration.</w:t>
      </w:r>
    </w:p>
    <w:p>
      <w:pPr>
        <w:spacing w:after="0" w:line="137" w:lineRule="exact"/>
        <w:rPr>
          <w:sz w:val="20"/>
          <w:szCs w:val="20"/>
          <w:color w:val="auto"/>
        </w:rPr>
      </w:pPr>
    </w:p>
    <w:p>
      <w:pPr>
        <w:ind w:right="180" w:firstLine="410"/>
        <w:spacing w:after="0" w:line="257" w:lineRule="auto"/>
        <w:rPr>
          <w:sz w:val="20"/>
          <w:szCs w:val="20"/>
          <w:color w:val="auto"/>
        </w:rPr>
      </w:pPr>
      <w:r>
        <w:rPr>
          <w:rFonts w:ascii="Arial" w:cs="Arial" w:eastAsia="Arial" w:hAnsi="Arial"/>
          <w:sz w:val="17"/>
          <w:szCs w:val="17"/>
          <w:color w:val="auto"/>
        </w:rPr>
        <w:t>In connection with the collaboration and license agreement, we also received a manufacturing license under which we received an exclusive license to use AGTC’s proprietary technology platform to make AAV vectors for up to six genes, three of which are in AGTC’s discretion, in exchange for payment of milestones and royalties.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University of Pennsylvania</w:t>
      </w:r>
    </w:p>
    <w:p>
      <w:pPr>
        <w:spacing w:after="0" w:line="106" w:lineRule="exact"/>
        <w:rPr>
          <w:sz w:val="20"/>
          <w:szCs w:val="20"/>
          <w:color w:val="auto"/>
        </w:rPr>
      </w:pPr>
    </w:p>
    <w:p>
      <w:pPr>
        <w:jc w:val="both"/>
        <w:ind w:right="60" w:firstLine="410"/>
        <w:spacing w:after="0" w:line="255" w:lineRule="auto"/>
        <w:rPr>
          <w:sz w:val="20"/>
          <w:szCs w:val="20"/>
          <w:color w:val="auto"/>
        </w:rPr>
      </w:pPr>
      <w:r>
        <w:rPr>
          <w:rFonts w:ascii="Arial" w:cs="Arial" w:eastAsia="Arial" w:hAnsi="Arial"/>
          <w:sz w:val="17"/>
          <w:szCs w:val="17"/>
          <w:color w:val="auto"/>
        </w:rPr>
        <w:t>In May 2016 we entered into a collaboration and alliance with the University of Pennsylvania (UPenn) to advance gene therapy and gene editing technologies. The collaboration is primarily focused on the development of therapeutic approaches that target the eye, skeletal muscle and the central nervous system. The alliance is also focused on the research and validation of next-generation gene transfer technology using adeno-associated virus gene delivery vectors and exploring the expanded use of genome editing technology as a potential therapeutic platform.</w:t>
      </w:r>
    </w:p>
    <w:p>
      <w:pPr>
        <w:spacing w:after="0" w:line="143"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Upon entering into this agreement we made an upfront payment of $20.0 million to UPenn, which was recorded as research and development expense in our consolidated statements of income, and made prepaid research and development expenditures of $15.0 million, which was recorded in investments and other assets in our consolidated balance sheets. During 2017, we made additional prepaid research and development expenditures to UPenn of $29.1 million related to the advancement of these programs. These prepaid research and development amounts are being expensed as the services are provided, of which $12.7 million remains as a prepaid asset as of December 31, 2017. We also expect to fund an additional $18.4 million in additional research and development costs in seven preclinical research and development programs, as well as the exploration of genome-editing technology.</w:t>
      </w:r>
    </w:p>
    <w:p>
      <w:pPr>
        <w:spacing w:after="0" w:line="146" w:lineRule="exact"/>
        <w:rPr>
          <w:sz w:val="20"/>
          <w:szCs w:val="20"/>
          <w:color w:val="auto"/>
        </w:rPr>
      </w:pPr>
    </w:p>
    <w:p>
      <w:pPr>
        <w:ind w:firstLine="410"/>
        <w:spacing w:after="0" w:line="257" w:lineRule="auto"/>
        <w:rPr>
          <w:sz w:val="20"/>
          <w:szCs w:val="20"/>
          <w:color w:val="auto"/>
        </w:rPr>
      </w:pPr>
      <w:r>
        <w:rPr>
          <w:rFonts w:ascii="Arial" w:cs="Arial" w:eastAsia="Arial" w:hAnsi="Arial"/>
          <w:sz w:val="17"/>
          <w:szCs w:val="17"/>
          <w:color w:val="auto"/>
        </w:rPr>
        <w:t>If all of the collaborations programs are successful and we exercise all of our options under the UPenn collaboration and alliance, we may be required to make future payments of over $2.0 billion in research funding, options and milestone payments. UPenn is also eligible to receive royalties in the mid-single digit to mid-teens percentages of annual net sales upon successful development and commercialization of new product candidates.</w:t>
      </w:r>
    </w:p>
    <w:p>
      <w:pPr>
        <w:spacing w:after="0" w:line="140" w:lineRule="exact"/>
        <w:rPr>
          <w:sz w:val="20"/>
          <w:szCs w:val="20"/>
          <w:color w:val="auto"/>
        </w:rPr>
      </w:pPr>
    </w:p>
    <w:p>
      <w:pPr>
        <w:ind w:right="500" w:firstLine="410"/>
        <w:spacing w:after="0" w:line="262" w:lineRule="auto"/>
        <w:rPr>
          <w:sz w:val="20"/>
          <w:szCs w:val="20"/>
          <w:color w:val="auto"/>
        </w:rPr>
      </w:pPr>
      <w:r>
        <w:rPr>
          <w:rFonts w:ascii="Arial" w:cs="Arial" w:eastAsia="Arial" w:hAnsi="Arial"/>
          <w:sz w:val="17"/>
          <w:szCs w:val="17"/>
          <w:color w:val="auto"/>
        </w:rPr>
        <w:t>For the years ended December 31, 2017 and 2016, we recorded $33.0 million and $27.8 million, respectively, in research and development expense in our consolidated statements of income related to this collaboration.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Other Research and Discovery Arrangements</w:t>
      </w:r>
    </w:p>
    <w:p>
      <w:pPr>
        <w:spacing w:after="0" w:line="106" w:lineRule="exact"/>
        <w:rPr>
          <w:sz w:val="20"/>
          <w:szCs w:val="20"/>
          <w:color w:val="auto"/>
        </w:rPr>
      </w:pPr>
    </w:p>
    <w:p>
      <w:pPr>
        <w:ind w:right="20" w:firstLine="410"/>
        <w:spacing w:after="0" w:line="257" w:lineRule="auto"/>
        <w:rPr>
          <w:sz w:val="20"/>
          <w:szCs w:val="20"/>
          <w:color w:val="auto"/>
        </w:rPr>
      </w:pPr>
      <w:r>
        <w:rPr>
          <w:rFonts w:ascii="Arial" w:cs="Arial" w:eastAsia="Arial" w:hAnsi="Arial"/>
          <w:sz w:val="17"/>
          <w:szCs w:val="17"/>
          <w:color w:val="auto"/>
        </w:rPr>
        <w:t>For the years ended December 31, 2017, 2016 and 2015, we entered into several research, discovery and other related arrangements that resulted in $10.0 million, $10.3 million and $9.7 million, respectively, recorded as research and development expense in our consolidated statements of income.</w:t>
      </w:r>
    </w:p>
    <w:p>
      <w:pPr>
        <w:spacing w:after="0" w:line="140" w:lineRule="exact"/>
        <w:rPr>
          <w:sz w:val="20"/>
          <w:szCs w:val="20"/>
          <w:color w:val="auto"/>
        </w:rPr>
      </w:pPr>
    </w:p>
    <w:p>
      <w:pPr>
        <w:ind w:right="580" w:firstLine="410"/>
        <w:spacing w:after="0" w:line="262" w:lineRule="auto"/>
        <w:rPr>
          <w:sz w:val="20"/>
          <w:szCs w:val="20"/>
          <w:color w:val="auto"/>
        </w:rPr>
      </w:pPr>
      <w:r>
        <w:rPr>
          <w:rFonts w:ascii="Arial" w:cs="Arial" w:eastAsia="Arial" w:hAnsi="Arial"/>
          <w:sz w:val="17"/>
          <w:szCs w:val="17"/>
          <w:color w:val="auto"/>
        </w:rPr>
        <w:t>These arrangements may include the potential for future milestone payments based on the achievement of certain clinical and commercial development payable over a period of several years.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Samsung Bioepis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Joint Venture Agreement</w:t>
      </w:r>
    </w:p>
    <w:p>
      <w:pPr>
        <w:spacing w:after="0" w:line="104" w:lineRule="exact"/>
        <w:rPr>
          <w:sz w:val="20"/>
          <w:szCs w:val="20"/>
          <w:color w:val="auto"/>
        </w:rPr>
      </w:pPr>
    </w:p>
    <w:p>
      <w:pPr>
        <w:ind w:right="20" w:firstLine="410"/>
        <w:spacing w:after="0" w:line="252" w:lineRule="auto"/>
        <w:rPr>
          <w:sz w:val="20"/>
          <w:szCs w:val="20"/>
          <w:color w:val="auto"/>
        </w:rPr>
      </w:pPr>
      <w:r>
        <w:rPr>
          <w:rFonts w:ascii="Arial" w:cs="Arial" w:eastAsia="Arial" w:hAnsi="Arial"/>
          <w:sz w:val="17"/>
          <w:szCs w:val="17"/>
          <w:color w:val="auto"/>
        </w:rPr>
        <w:t>In February 2012 we entered into a joint venture agreement with Samsung Biologics, establishing an entity, Samsung Bioepis, to develop, manufacture and market biosimilar pharmaceuticals. Samsung Biologics contributed 280.5 billion South Korean won (approximately $250.0 million) for an 85% stake in Samsung Bioepis and we contributed approximately 49.5 billion South Korean won (approximately $45.0 million) for the remaining 15% ownership interest. Under the joint venture agreement, we have no obligation to provide any additional funding and our ownership interest may be diluted due to financings in which we do not participate. As of December 31, 2017, our ownership interest is approximately 5%, which reflects the effect of additional equity financings in which we did not participate. We maintain an option to purchase additional stock in Samsung Bioepis that would allow us to increase our ownership percentage up to 49.9%. The exercise of this option is within our control and is based on paying for 49.9% of the total investment made by Samsung Biologics into Samsung Bioepis in excess of what we have already contributed under the joint venture agreement plus a rate that will represent their return on capital. If we do not exercise this option by mid-2018, this option will expire and Samsung Biologics will have the right to purchase all of Samsung Bioepis’ shares then held by us.</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F- 65</w:t>
      </w:r>
    </w:p>
    <w:p>
      <w:pPr>
        <w:sectPr>
          <w:pgSz w:w="11900" w:h="16838" w:orient="portrait"/>
          <w:cols w:equalWidth="0" w:num="1">
            <w:col w:w="11400"/>
          </w:cols>
          <w:pgMar w:left="240" w:top="139" w:right="259" w:bottom="1440" w:gutter="0" w:footer="0" w:header="0"/>
        </w:sectPr>
      </w:pPr>
    </w:p>
    <w:bookmarkStart w:id="167" w:name="page168"/>
    <w:bookmarkEnd w:id="16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90" w:lineRule="exact"/>
        <w:rPr>
          <w:sz w:val="20"/>
          <w:szCs w:val="20"/>
          <w:color w:val="auto"/>
        </w:rPr>
      </w:pPr>
    </w:p>
    <w:p>
      <w:pPr>
        <w:ind w:right="40" w:firstLine="410"/>
        <w:spacing w:after="0" w:line="253" w:lineRule="auto"/>
        <w:rPr>
          <w:sz w:val="20"/>
          <w:szCs w:val="20"/>
          <w:color w:val="auto"/>
        </w:rPr>
      </w:pPr>
      <w:r>
        <w:rPr>
          <w:rFonts w:ascii="Arial" w:cs="Arial" w:eastAsia="Arial" w:hAnsi="Arial"/>
          <w:sz w:val="17"/>
          <w:szCs w:val="17"/>
          <w:color w:val="auto"/>
        </w:rPr>
        <w:t>We account for this investment under the equity method of accounting as we maintain the ability to exercise significant influence over Samsung Bioepis through a presence on the entity’s Board of Directors and our contractual relationship. Under the equity method, we recorded our original investment at cost and subsequently adjust the carrying value of our investment for our share of equity in the entity’s income or losses according to our percentage of ownership. We recognize our share of the results of operations related to our investment in Samsung Bioepis one quarter in arrears when the results of the entity become available, which is reflected as equity in loss of investee, net of tax in our consolidated statements of income. During the year ended December 31, 2015, we recognized a loss on our investment of $12.5 million. During 2015, as our share of losses exceeded the carrying value of our investment, we suspended recognizing additional losses and will continue to do so unless we commit to providing additional funding.</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Commercial Agreement</w:t>
      </w:r>
    </w:p>
    <w:p>
      <w:pPr>
        <w:spacing w:after="0" w:line="104"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In December 2013 pursuant to our rights under the joint venture agreement with Samsung Biologics, we entered into an agreement with Samsung Bioepis to commercialize, over a 10-year term, three anti-tumor necrosis factor (TNF) biosimilar product candidates in Europe and in the case of one anti-TNF biosimilar, Japan. Under this agreement, we have made total upfront and clinical development milestone payments of $46.0 million, all of which have been recorded as research and development expense in our consolidated statements of income as the programs they relate to had not achieved regulatory approval. We also agreed to make additional milestone payments of $25.0 million upon regulatory approval in the E.U. for each of the three anti-TNF biosimilar product candidates. During the years ended December 31, 2017 and 2016, we paid $25.0 million and $50.0 million, respectively, in milestone payments, which have been capitalized in intangible assets, net in our consolidated balance sheets as IMRALDI received regulatory approval in the E.U. in August 2017, BENEPALI received regulatory approval in the E.U. in January 2016 and FLIXABI received regulatory approval in the E.U. in May 2016.</w:t>
      </w:r>
    </w:p>
    <w:p>
      <w:pPr>
        <w:spacing w:after="0" w:line="151"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We began to recognize revenues on sales of BENEPALI in the E.U. in the first quarter of 2016 and FLIXABI in the E.U. in the third quarter of 2016. We reflect revenues on sales of BENEPALI and FLIXABI to third parties in product revenues, net in our consolidated statements of income and record the related cost of revenues and sales and marketing expenses in our consolidated statements of income to their respective line items when these costs are incurred. We share 50% of the profit or loss related to our commercial agreement with Samsung Bioepis. This profit sharing with Samsung Bioepis is recognized in collaboration profit (loss) sharing in our consolidated statements of income. For the years ended December 31, 2017 and 2016, we recognized a net expense of $111.0 million and $15.1 million, respectively, to reflect Samsung Bioepis's 50% sharing of the net collaboration profits.</w:t>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Other Services</w:t>
      </w:r>
    </w:p>
    <w:p>
      <w:pPr>
        <w:spacing w:after="0" w:line="104"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Simultaneous with the formation of Samsung Bioepis, we also entered into a license agreement, a technical development services agreement and a manufacturing agreement with Samsung Bioepis. Under the license agreement, we granted Samsung Bioepis an exclusive license to use, develop, manufacture and commercialize biosimilar products created by Samsung Bioepis using Biogen product-specific technology. In exchange, we will receive single digit royalties on all biosimilar products developed and commercialized by Samsung Bioepis. Under the technical development services agreement, we provide Samsung Bioepis technical development and technology transfer services, which include, but are not limited to, cell culture development, purification process development, formulation development and analytical development. Under our manufacturing agreement, we manufacture clinical and commercial quantities of bulk drug substance of biosimilar products for Samsung Bioepis pursuant to contractual terms. Under limited circumstances, we may also supply Samsung Bioepis with quantities of drug product of biosimilar products for use in clinical trials through arrangements with third-party contract manufacturers.</w:t>
      </w:r>
    </w:p>
    <w:p>
      <w:pPr>
        <w:spacing w:after="0" w:line="151" w:lineRule="exact"/>
        <w:rPr>
          <w:sz w:val="20"/>
          <w:szCs w:val="20"/>
          <w:color w:val="auto"/>
        </w:rPr>
      </w:pPr>
    </w:p>
    <w:p>
      <w:pPr>
        <w:ind w:right="140" w:firstLine="410"/>
        <w:spacing w:after="0" w:line="262" w:lineRule="auto"/>
        <w:rPr>
          <w:sz w:val="20"/>
          <w:szCs w:val="20"/>
          <w:color w:val="auto"/>
        </w:rPr>
      </w:pPr>
      <w:r>
        <w:rPr>
          <w:rFonts w:ascii="Arial" w:cs="Arial" w:eastAsia="Arial" w:hAnsi="Arial"/>
          <w:sz w:val="17"/>
          <w:szCs w:val="17"/>
          <w:color w:val="auto"/>
        </w:rPr>
        <w:t>For the years ended December 31, 2017, 2016 and 2015, we recognized $42.7 million, $20.2 million and $62.9 million, respectively, in revenues in relation to these services, which is reflected as a component of other revenues in our consolidated statements of income.</w:t>
      </w:r>
    </w:p>
    <w:p>
      <w:pPr>
        <w:spacing w:after="0" w:line="195" w:lineRule="exact"/>
        <w:rPr>
          <w:sz w:val="20"/>
          <w:szCs w:val="20"/>
          <w:color w:val="auto"/>
        </w:rPr>
      </w:pPr>
    </w:p>
    <w:p>
      <w:pPr>
        <w:ind w:left="520" w:hanging="518"/>
        <w:spacing w:after="0"/>
        <w:tabs>
          <w:tab w:leader="none" w:pos="520" w:val="left"/>
        </w:tabs>
        <w:numPr>
          <w:ilvl w:val="0"/>
          <w:numId w:val="120"/>
        </w:numPr>
        <w:rPr>
          <w:rFonts w:ascii="Arial" w:cs="Arial" w:eastAsia="Arial" w:hAnsi="Arial"/>
          <w:sz w:val="20"/>
          <w:szCs w:val="20"/>
          <w:b w:val="1"/>
          <w:bCs w:val="1"/>
          <w:color w:val="578196"/>
        </w:rPr>
      </w:pPr>
      <w:r>
        <w:rPr>
          <w:rFonts w:ascii="Arial" w:cs="Arial" w:eastAsia="Arial" w:hAnsi="Arial"/>
          <w:sz w:val="20"/>
          <w:szCs w:val="20"/>
          <w:b w:val="1"/>
          <w:bCs w:val="1"/>
          <w:color w:val="578196"/>
        </w:rPr>
        <w:t>Litigation</w:t>
      </w:r>
    </w:p>
    <w:p>
      <w:pPr>
        <w:spacing w:after="0" w:line="109" w:lineRule="exact"/>
        <w:rPr>
          <w:sz w:val="20"/>
          <w:szCs w:val="20"/>
          <w:color w:val="auto"/>
        </w:rPr>
      </w:pPr>
    </w:p>
    <w:p>
      <w:pPr>
        <w:ind w:left="60" w:right="260" w:firstLine="384"/>
        <w:spacing w:after="0" w:line="257" w:lineRule="auto"/>
        <w:rPr>
          <w:sz w:val="20"/>
          <w:szCs w:val="20"/>
          <w:color w:val="auto"/>
        </w:rPr>
      </w:pPr>
      <w:r>
        <w:rPr>
          <w:rFonts w:ascii="Arial" w:cs="Arial" w:eastAsia="Arial" w:hAnsi="Arial"/>
          <w:sz w:val="17"/>
          <w:szCs w:val="17"/>
          <w:color w:val="auto"/>
        </w:rPr>
        <w:t xml:space="preserve">We are currently involved in various claims and legal proceedings, including the matters described below. For information as to our accounting policies relating to claims and legal proceedings, including use of estimates and contingencies, please read Note 1, </w:t>
      </w:r>
      <w:r>
        <w:rPr>
          <w:rFonts w:ascii="Arial" w:cs="Arial" w:eastAsia="Arial" w:hAnsi="Arial"/>
          <w:sz w:val="17"/>
          <w:szCs w:val="17"/>
          <w:i w:val="1"/>
          <w:iCs w:val="1"/>
          <w:color w:val="auto"/>
        </w:rPr>
        <w:t>Summary of Significant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Policies, </w:t>
      </w:r>
      <w:r>
        <w:rPr>
          <w:rFonts w:ascii="Arial" w:cs="Arial" w:eastAsia="Arial" w:hAnsi="Arial"/>
          <w:sz w:val="17"/>
          <w:szCs w:val="17"/>
          <w:color w:val="auto"/>
        </w:rPr>
        <w:t>to these consolidated financial statements.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F- 66</w:t>
      </w:r>
    </w:p>
    <w:p>
      <w:pPr>
        <w:sectPr>
          <w:pgSz w:w="11900" w:h="16838" w:orient="portrait"/>
          <w:cols w:equalWidth="0" w:num="1">
            <w:col w:w="11420"/>
          </w:cols>
          <w:pgMar w:left="240" w:top="139" w:right="239" w:bottom="1440" w:gutter="0" w:footer="0" w:header="0"/>
        </w:sectPr>
      </w:pPr>
    </w:p>
    <w:bookmarkStart w:id="168" w:name="page169"/>
    <w:bookmarkEnd w:id="16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90" w:lineRule="exact"/>
        <w:rPr>
          <w:sz w:val="20"/>
          <w:szCs w:val="20"/>
          <w:color w:val="auto"/>
        </w:rPr>
      </w:pPr>
    </w:p>
    <w:p>
      <w:pPr>
        <w:ind w:right="80" w:firstLine="384"/>
        <w:spacing w:after="0" w:line="257" w:lineRule="auto"/>
        <w:rPr>
          <w:sz w:val="20"/>
          <w:szCs w:val="20"/>
          <w:color w:val="auto"/>
        </w:rPr>
      </w:pPr>
      <w:r>
        <w:rPr>
          <w:rFonts w:ascii="Arial" w:cs="Arial" w:eastAsia="Arial" w:hAnsi="Arial"/>
          <w:sz w:val="17"/>
          <w:szCs w:val="17"/>
          <w:color w:val="auto"/>
        </w:rPr>
        <w:t>With respect to some loss contingencies, an estimate of the possible loss or range of loss cannot be made until management has further information, including, for example, (i) which claims, if any, will survive dispositive motion practice; (ii) information to be obtained through discovery; (iii) information as to the parties' damages claims and supporting evidence; (iv) the parties’ legal theories; and (v) the parties' settlement positions.</w:t>
      </w:r>
    </w:p>
    <w:p>
      <w:pPr>
        <w:spacing w:after="0" w:line="140" w:lineRule="exact"/>
        <w:rPr>
          <w:sz w:val="20"/>
          <w:szCs w:val="20"/>
          <w:color w:val="auto"/>
        </w:rPr>
      </w:pPr>
    </w:p>
    <w:p>
      <w:pPr>
        <w:ind w:right="60" w:firstLine="384"/>
        <w:spacing w:after="0" w:line="254" w:lineRule="auto"/>
        <w:rPr>
          <w:sz w:val="20"/>
          <w:szCs w:val="20"/>
          <w:color w:val="auto"/>
        </w:rPr>
      </w:pPr>
      <w:r>
        <w:rPr>
          <w:rFonts w:ascii="Arial" w:cs="Arial" w:eastAsia="Arial" w:hAnsi="Arial"/>
          <w:sz w:val="17"/>
          <w:szCs w:val="17"/>
          <w:color w:val="auto"/>
        </w:rPr>
        <w:t>The claims and legal proceedings in which we are involved also include challenges to the scope, validity or enforceability of the patents relating to our products, pipeline or processes, and challenges to the scope, validity or enforceability of the patents held by others. These include claims by third parties that we infringe their patents. An adverse outcome in any of these proceedings could result in one or more of the following and have a material impact on our business or consolidated results of operations and financial position: (i) loss of patent protection; (ii) inability to continue to engage in certain activities; and (iii) payment of significant damages, royalties, penalties and/or license fees to third parties.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Loss Contingencies</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538235"/>
        </w:rPr>
        <w:t>Qui Tam Litigation</w:t>
      </w:r>
    </w:p>
    <w:p>
      <w:pPr>
        <w:spacing w:after="0" w:line="104" w:lineRule="exact"/>
        <w:rPr>
          <w:sz w:val="20"/>
          <w:szCs w:val="20"/>
          <w:color w:val="auto"/>
        </w:rPr>
      </w:pPr>
    </w:p>
    <w:p>
      <w:pPr>
        <w:ind w:right="180" w:firstLine="384"/>
        <w:spacing w:after="0" w:line="255" w:lineRule="auto"/>
        <w:rPr>
          <w:sz w:val="20"/>
          <w:szCs w:val="20"/>
          <w:color w:val="auto"/>
        </w:rPr>
      </w:pPr>
      <w:r>
        <w:rPr>
          <w:rFonts w:ascii="Arial" w:cs="Arial" w:eastAsia="Arial" w:hAnsi="Arial"/>
          <w:sz w:val="17"/>
          <w:szCs w:val="17"/>
          <w:color w:val="auto"/>
        </w:rPr>
        <w:t>On July 6, 2015, a qui tam action filed on behalf of the United States and certain states was unsealed by the U.S. District Court for the District of Massachusetts. The action alleges sales and promotional activities in violation of the federal False Claims Act and state law counterparts, and seeks single and treble damages, civil penalties, interest, attorneys’ fees and costs. Our motion to dismiss is pending. The United States has not made an intervention decision. An estimate of the possible loss or range of loss cannot be made at this time.</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538235"/>
        </w:rPr>
        <w:t>Securities Litigation</w:t>
      </w:r>
    </w:p>
    <w:p>
      <w:pPr>
        <w:spacing w:after="0" w:line="104" w:lineRule="exact"/>
        <w:rPr>
          <w:sz w:val="20"/>
          <w:szCs w:val="20"/>
          <w:color w:val="auto"/>
        </w:rPr>
      </w:pPr>
    </w:p>
    <w:p>
      <w:pPr>
        <w:ind w:right="40" w:firstLine="384"/>
        <w:spacing w:after="0" w:line="255" w:lineRule="auto"/>
        <w:rPr>
          <w:sz w:val="20"/>
          <w:szCs w:val="20"/>
          <w:color w:val="auto"/>
        </w:rPr>
      </w:pPr>
      <w:r>
        <w:rPr>
          <w:rFonts w:ascii="Arial" w:cs="Arial" w:eastAsia="Arial" w:hAnsi="Arial"/>
          <w:sz w:val="17"/>
          <w:szCs w:val="17"/>
          <w:color w:val="auto"/>
        </w:rPr>
        <w:t>We and certain current and former officers are defendants in an action filed by a shareholder on October 20, 2016 in the U.S. District Court for the District of Massachusetts alleging violations of federal securities laws under 15 U.S.C §78j(b) and §78t(a) and 17 C.F.R. §240.10b-5 and seeking a declaration of the action as a class action and an award of damages, interest and attorneys' fees. An estimate of the possible loss or range of loss cannot be made at this time.</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Other Matters</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538235"/>
        </w:rPr>
        <w:t>Abbreviated New Drug Application (ANDA) Litigation relating to TECFIDERA</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 June, July, and September 2017 and January 2018, we initiated patent infringement proceedings pursuant to the Hatch-Waxman act in the U.S.</w:t>
      </w:r>
    </w:p>
    <w:p>
      <w:pPr>
        <w:spacing w:after="0" w:line="9"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District Court for the District of Delaware against Amneal Pharmaceuticals LLC, Aurobindo Pharma U.S.A., Inc., Caribe Holdings (Cayman) Co. Ltd. DBA Puracap Caribe, Puracap International LLC, Graviti Pharmaceuticals Pvt. Ltd., Hetero USA, Inc., Impax Laboratories, Inc., Prinston Pharmaceutical Inc., Slayback Pharma LLC, Teva Pharmaceuticals USA, Inc., Alkem Laboratories Ltd., Cipla Limited, Glenmark Pharmaceuticals Ltd., Lupin Atlantis Holdings SA, Macleods Pharmaceuticals, Ltd., MSN Laboratories Pvt. Ltd., Pharmathen S.A., Shipla Medicare Limited, Sun Pharma Global FZE, Torrent Pharmaceuticals Ltd., TWi Pharmaceuticals, Inc., Windlas Healthcare Pvt. Ltd., Accord Healthcare Inc., Par Pharmaceutical Inc., Sandoz Inc., Sawai USA, Inc. and Zydus Pharmaceuticals (USA) Inc. In addition, we initiated patent infringement proceedings pursuant to the Hatch-Waxman act against Stason Pharmaceuticals, Inc. in the U.S. District Court for the Central District of California, Zydus Pharmaceuticals (USA) Inc. in the U.S. District Court for the District of New Jersey, Accord Healthcare Inc. in the U.S. District Court for the Middle District of North Carolina, Par Pharmaceutical Inc. in the U.S. District Court for the Southern District of New York, Sandoz Inc. in the U.S. District Court for the District of Colorado and Mylan Pharmaceuticals Inc. in the U.S. District Court for the Northern District of West Virginia.</w:t>
      </w:r>
    </w:p>
    <w:p>
      <w:pPr>
        <w:spacing w:after="0" w:line="150" w:lineRule="exact"/>
        <w:rPr>
          <w:sz w:val="20"/>
          <w:szCs w:val="20"/>
          <w:color w:val="auto"/>
        </w:rPr>
      </w:pPr>
    </w:p>
    <w:p>
      <w:pPr>
        <w:ind w:right="100" w:firstLine="384"/>
        <w:spacing w:after="0" w:line="255" w:lineRule="auto"/>
        <w:rPr>
          <w:sz w:val="20"/>
          <w:szCs w:val="20"/>
          <w:color w:val="auto"/>
        </w:rPr>
      </w:pPr>
      <w:r>
        <w:rPr>
          <w:rFonts w:ascii="Arial" w:cs="Arial" w:eastAsia="Arial" w:hAnsi="Arial"/>
          <w:sz w:val="17"/>
          <w:szCs w:val="17"/>
          <w:color w:val="auto"/>
        </w:rPr>
        <w:t>The cases against Accord Healthcare Inc., Zydus Pharmaceuticals (USA) Inc. and Sandoz Inc. have been dismissed in the North Carolina, New Jersey and Colorado courts but will continue against those parties in Delaware. The cases against Par Pharmaceutical Inc. in both New York and Delaware have been dismissed because Par Pharmaceutical Inc.’s ANDA application has been withdrawn. The case against Stason Pharmaceuticals, Inc. in California has been dismissed, but the case against its partner Sawai USA, Inc. will proceed in Delaware.</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expect a trial in the Delaware actions in December 2019, and a trial has been set in the West Virginia action in February 2020.</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F- 67</w:t>
      </w:r>
    </w:p>
    <w:p>
      <w:pPr>
        <w:sectPr>
          <w:pgSz w:w="11900" w:h="16838" w:orient="portrait"/>
          <w:cols w:equalWidth="0" w:num="1">
            <w:col w:w="11420"/>
          </w:cols>
          <w:pgMar w:left="240" w:top="139" w:right="239" w:bottom="1440" w:gutter="0" w:footer="0" w:header="0"/>
        </w:sectPr>
      </w:pPr>
    </w:p>
    <w:bookmarkStart w:id="169" w:name="page170"/>
    <w:bookmarkEnd w:id="16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2"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538235"/>
        </w:rPr>
        <w:t>Interference Proceeding with Forward Pharma</w:t>
      </w:r>
    </w:p>
    <w:p>
      <w:pPr>
        <w:spacing w:after="0" w:line="104" w:lineRule="exact"/>
        <w:rPr>
          <w:sz w:val="20"/>
          <w:szCs w:val="20"/>
          <w:color w:val="auto"/>
        </w:rPr>
      </w:pPr>
    </w:p>
    <w:p>
      <w:pPr>
        <w:ind w:right="20" w:firstLine="384"/>
        <w:spacing w:after="0" w:line="254" w:lineRule="auto"/>
        <w:rPr>
          <w:sz w:val="20"/>
          <w:szCs w:val="20"/>
          <w:color w:val="auto"/>
        </w:rPr>
      </w:pPr>
      <w:r>
        <w:rPr>
          <w:rFonts w:ascii="Arial" w:cs="Arial" w:eastAsia="Arial" w:hAnsi="Arial"/>
          <w:sz w:val="17"/>
          <w:szCs w:val="17"/>
          <w:color w:val="auto"/>
        </w:rPr>
        <w:t xml:space="preserve">In April 2015 the U.S. Patent and Trademark Office (USPTO) declared an interference between Forward Pharma’s pending U.S. Patent Application No. 11/576,871 and our U.S. Patent No. 8,399,514 (the '514 patent). The '514 patent includes claims covering the treatment of MS with 480 mg of dimethyl fumarate as provided for in our TECFIDERA label. In March 2017 the USPTO ruled against Forward Pharma. Forward Pharma has appealed to the U.S. Court of Appeals for the Federal Circuit and the appeal is pending. For additional information regarding this matter, please read Note 7, </w:t>
      </w:r>
      <w:r>
        <w:rPr>
          <w:rFonts w:ascii="Arial" w:cs="Arial" w:eastAsia="Arial" w:hAnsi="Arial"/>
          <w:sz w:val="17"/>
          <w:szCs w:val="17"/>
          <w:i w:val="1"/>
          <w:iCs w:val="1"/>
          <w:color w:val="auto"/>
        </w:rPr>
        <w:t>Intangibles Assets and Goodwill,</w:t>
      </w:r>
      <w:r>
        <w:rPr>
          <w:rFonts w:ascii="Arial" w:cs="Arial" w:eastAsia="Arial" w:hAnsi="Arial"/>
          <w:sz w:val="17"/>
          <w:szCs w:val="17"/>
          <w:color w:val="auto"/>
        </w:rPr>
        <w:t xml:space="preserve"> to these consolidated financial statements.</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538235"/>
        </w:rPr>
        <w:t>European Patent Office Oppositions</w:t>
      </w:r>
    </w:p>
    <w:p>
      <w:pPr>
        <w:spacing w:after="0" w:line="104" w:lineRule="exact"/>
        <w:rPr>
          <w:sz w:val="20"/>
          <w:szCs w:val="20"/>
          <w:color w:val="auto"/>
        </w:rPr>
      </w:pPr>
    </w:p>
    <w:p>
      <w:pPr>
        <w:ind w:right="140" w:firstLine="384"/>
        <w:spacing w:after="0" w:line="262" w:lineRule="auto"/>
        <w:rPr>
          <w:sz w:val="20"/>
          <w:szCs w:val="20"/>
          <w:color w:val="auto"/>
        </w:rPr>
      </w:pPr>
      <w:r>
        <w:rPr>
          <w:rFonts w:ascii="Arial" w:cs="Arial" w:eastAsia="Arial" w:hAnsi="Arial"/>
          <w:sz w:val="17"/>
          <w:szCs w:val="17"/>
          <w:color w:val="auto"/>
        </w:rPr>
        <w:t>In 2016 the EPO decided to revoke our European patent number 2 137 537 (the '537 patent), which we have appealed. The '537 patent includes claims covering the treatment of MS with 480 mg of dimethyl fumarate as provided for in our TECFIDERA label.</w:t>
      </w:r>
    </w:p>
    <w:p>
      <w:pPr>
        <w:spacing w:after="0" w:line="137" w:lineRule="exact"/>
        <w:rPr>
          <w:sz w:val="20"/>
          <w:szCs w:val="20"/>
          <w:color w:val="auto"/>
        </w:rPr>
      </w:pPr>
    </w:p>
    <w:p>
      <w:pPr>
        <w:ind w:right="20" w:firstLine="384"/>
        <w:spacing w:after="0" w:line="254" w:lineRule="auto"/>
        <w:rPr>
          <w:sz w:val="20"/>
          <w:szCs w:val="20"/>
          <w:color w:val="auto"/>
        </w:rPr>
      </w:pPr>
      <w:r>
        <w:rPr>
          <w:rFonts w:ascii="Arial" w:cs="Arial" w:eastAsia="Arial" w:hAnsi="Arial"/>
          <w:sz w:val="17"/>
          <w:szCs w:val="17"/>
          <w:color w:val="auto"/>
        </w:rPr>
        <w:t xml:space="preserve">In January 2018 the EPO announced its decision revoking Forward Pharma’s European Patent No. 2 801 355, which was issued in May 2015 and expires in October 2025. Forward Pharma has stated that it expects to file an appeal to the Technical Board of Appeal of the EPO. The settlement and license agreement that we entered with Forward Pharma in January 2017 did not resolve the issues pending in this proceeding and we and Forward Pharma intend to permit the Technical Board of Appeal and the Enlarged Board of Appeal, as applicable, to make a final determination. For additional information regarding this matter, please read Note 7, </w:t>
      </w:r>
      <w:r>
        <w:rPr>
          <w:rFonts w:ascii="Arial" w:cs="Arial" w:eastAsia="Arial" w:hAnsi="Arial"/>
          <w:sz w:val="17"/>
          <w:szCs w:val="17"/>
          <w:i w:val="1"/>
          <w:iCs w:val="1"/>
          <w:color w:val="auto"/>
        </w:rPr>
        <w:t>Intangibles Assets and Goodwill,</w:t>
      </w:r>
      <w:r>
        <w:rPr>
          <w:rFonts w:ascii="Arial" w:cs="Arial" w:eastAsia="Arial" w:hAnsi="Arial"/>
          <w:sz w:val="17"/>
          <w:szCs w:val="17"/>
          <w:color w:val="auto"/>
        </w:rPr>
        <w:t xml:space="preserve"> to these consolidated financial statements.</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Patent Revocation Matter</w:t>
      </w:r>
    </w:p>
    <w:p>
      <w:pPr>
        <w:spacing w:after="0" w:line="104" w:lineRule="exact"/>
        <w:rPr>
          <w:sz w:val="20"/>
          <w:szCs w:val="20"/>
          <w:color w:val="auto"/>
        </w:rPr>
      </w:pPr>
    </w:p>
    <w:p>
      <w:pPr>
        <w:ind w:firstLine="384"/>
        <w:spacing w:after="0" w:line="253" w:lineRule="auto"/>
        <w:rPr>
          <w:sz w:val="20"/>
          <w:szCs w:val="20"/>
          <w:color w:val="auto"/>
        </w:rPr>
      </w:pPr>
      <w:r>
        <w:rPr>
          <w:rFonts w:ascii="Arial" w:cs="Arial" w:eastAsia="Arial" w:hAnsi="Arial"/>
          <w:sz w:val="17"/>
          <w:szCs w:val="17"/>
          <w:color w:val="auto"/>
        </w:rPr>
        <w:t>Swiss Pharma International AG filed actions in the District Court of The Hague (on January 11, 2016), the German Patents Court (on March 3, 2016) and the Commercial Court of Rome (November 2017) to invalidate the Dutch, German and Italian counterparts of our European Patent Number 1 485 127 (“Administration of agents to treat inflammation”) ('127 patent), which was issued in June 2011 and concerns administration of natalizumab (TYSABRI) to treat MS. The patent expires in February 2023. The Dutch counterpart was ruled invalid and we have appealed. In November 2018 Bioeq gmbh (an entity associated with Swiss Pharma and Polpharma) brought an action in the Polish Patent Office seeking to revoke the Polish counterpart of the ‘127 patent. In January 2018 the German court announced that the German counterpart was invalid. No date for a hearing on the merits has yet been set in the Italian action.</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538235"/>
        </w:rPr>
        <w:t>'755 Patent Litigation</w:t>
      </w:r>
    </w:p>
    <w:p>
      <w:pPr>
        <w:spacing w:after="0" w:line="104" w:lineRule="exact"/>
        <w:rPr>
          <w:sz w:val="20"/>
          <w:szCs w:val="20"/>
          <w:color w:val="auto"/>
        </w:rPr>
      </w:pPr>
    </w:p>
    <w:p>
      <w:pPr>
        <w:ind w:right="40" w:firstLine="384"/>
        <w:spacing w:after="0" w:line="253" w:lineRule="auto"/>
        <w:rPr>
          <w:sz w:val="20"/>
          <w:szCs w:val="20"/>
          <w:color w:val="auto"/>
        </w:rPr>
      </w:pPr>
      <w:r>
        <w:rPr>
          <w:rFonts w:ascii="Arial" w:cs="Arial" w:eastAsia="Arial" w:hAnsi="Arial"/>
          <w:sz w:val="17"/>
          <w:szCs w:val="17"/>
          <w:color w:val="auto"/>
        </w:rPr>
        <w:t>On May 28, 2010, Biogen MA Inc. (formerly Biogen Idec MA Inc.) filed a complaint in the U.S. District Court for the District of New Jersey alleging infringement by Bayer Healthcare Pharmaceuticals Inc. (Bayer) (manufacturer, marketer and seller of BETASERON and manufacturer of EXTAVIA), EMD Serono, Inc. (EMD Serono) (manufacturer, marketer and seller of REBIF), Pfizer Inc. (Pfizer) (co-marketer of REBIF) and Novartis Pharmaceuticals Corp. (Novartis) (marketer and seller of EXTAVIA) of our U.S. Patent No. 7,588,755 ('755 Patent), which claims the use of interferon beta for immunomodulation or treating a viral condition, viral disease, cancers or tumors. The complaint seeks monetary damages, including lost profits and royalties. Bayer had previously filed a complaint against us in the same court, on May 27, 2010, seeking a declaratory judgment that it does not infringe the '755 Patent and that the patent is invalid, and seeking monetary relief in the form of attorneys' fees, costs and expenses.</w:t>
      </w:r>
    </w:p>
    <w:p>
      <w:pPr>
        <w:spacing w:after="0" w:line="146" w:lineRule="exact"/>
        <w:rPr>
          <w:sz w:val="20"/>
          <w:szCs w:val="20"/>
          <w:color w:val="auto"/>
        </w:rPr>
      </w:pPr>
    </w:p>
    <w:p>
      <w:pPr>
        <w:ind w:right="80" w:firstLine="384"/>
        <w:spacing w:after="0" w:line="257" w:lineRule="auto"/>
        <w:rPr>
          <w:sz w:val="20"/>
          <w:szCs w:val="20"/>
          <w:color w:val="auto"/>
        </w:rPr>
      </w:pPr>
      <w:r>
        <w:rPr>
          <w:rFonts w:ascii="Arial" w:cs="Arial" w:eastAsia="Arial" w:hAnsi="Arial"/>
          <w:sz w:val="17"/>
          <w:szCs w:val="17"/>
          <w:color w:val="auto"/>
        </w:rPr>
        <w:t>Bayer, Pfizer, Novartis and EMD Serono have all filed counterclaims seeking declaratory judgments of patent invalidity and non-infringement, and seeking monetary relief in the form of costs and attorneys' fees. The trial against EMD Serono and Pfizer commenced in mid-January 2018 and is ongoing. A trial date against Bayer and Novartis has not yet been set.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F- 68</w:t>
      </w:r>
    </w:p>
    <w:p>
      <w:pPr>
        <w:sectPr>
          <w:pgSz w:w="11900" w:h="16838" w:orient="portrait"/>
          <w:cols w:equalWidth="0" w:num="1">
            <w:col w:w="11420"/>
          </w:cols>
          <w:pgMar w:left="240" w:top="139" w:right="239" w:bottom="1440" w:gutter="0" w:footer="0" w:header="0"/>
        </w:sectPr>
      </w:pPr>
    </w:p>
    <w:bookmarkStart w:id="170" w:name="page171"/>
    <w:bookmarkEnd w:id="17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2"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538235"/>
        </w:rPr>
        <w:t>Government Matters</w:t>
      </w:r>
    </w:p>
    <w:p>
      <w:pPr>
        <w:spacing w:after="0" w:line="104" w:lineRule="exact"/>
        <w:rPr>
          <w:sz w:val="20"/>
          <w:szCs w:val="20"/>
          <w:color w:val="auto"/>
        </w:rPr>
      </w:pPr>
    </w:p>
    <w:p>
      <w:pPr>
        <w:ind w:right="140" w:firstLine="384"/>
        <w:spacing w:after="0" w:line="262" w:lineRule="auto"/>
        <w:rPr>
          <w:sz w:val="20"/>
          <w:szCs w:val="20"/>
          <w:color w:val="auto"/>
        </w:rPr>
      </w:pPr>
      <w:r>
        <w:rPr>
          <w:rFonts w:ascii="Arial" w:cs="Arial" w:eastAsia="Arial" w:hAnsi="Arial"/>
          <w:sz w:val="17"/>
          <w:szCs w:val="17"/>
          <w:color w:val="auto"/>
        </w:rPr>
        <w:t>We have learned that state and federal governmental authorities are investigating our sales and promotional practices and have received related subpoenas. We are cooperating with the government.</w:t>
      </w:r>
    </w:p>
    <w:p>
      <w:pPr>
        <w:spacing w:after="0" w:line="137" w:lineRule="exact"/>
        <w:rPr>
          <w:sz w:val="20"/>
          <w:szCs w:val="20"/>
          <w:color w:val="auto"/>
        </w:rPr>
      </w:pPr>
    </w:p>
    <w:p>
      <w:pPr>
        <w:jc w:val="both"/>
        <w:ind w:right="20" w:firstLine="384"/>
        <w:spacing w:after="0" w:line="257" w:lineRule="auto"/>
        <w:rPr>
          <w:sz w:val="20"/>
          <w:szCs w:val="20"/>
          <w:color w:val="auto"/>
        </w:rPr>
      </w:pPr>
      <w:r>
        <w:rPr>
          <w:rFonts w:ascii="Arial" w:cs="Arial" w:eastAsia="Arial" w:hAnsi="Arial"/>
          <w:sz w:val="17"/>
          <w:szCs w:val="17"/>
          <w:color w:val="auto"/>
        </w:rPr>
        <w:t>We have received subpoenas and other requests from the federal government for documents and information relating to our relationship with non-profit organizations that provide assistance to patients taking drugs sold by Biogen and Biogen's co-pay assistance programs. We are cooperating with the government.</w:t>
      </w:r>
    </w:p>
    <w:p>
      <w:pPr>
        <w:spacing w:after="0" w:line="140" w:lineRule="exact"/>
        <w:rPr>
          <w:sz w:val="20"/>
          <w:szCs w:val="20"/>
          <w:color w:val="auto"/>
        </w:rPr>
      </w:pPr>
    </w:p>
    <w:p>
      <w:pPr>
        <w:ind w:right="20" w:firstLine="384"/>
        <w:spacing w:after="0" w:line="257" w:lineRule="auto"/>
        <w:rPr>
          <w:sz w:val="20"/>
          <w:szCs w:val="20"/>
          <w:color w:val="auto"/>
        </w:rPr>
      </w:pPr>
      <w:r>
        <w:rPr>
          <w:rFonts w:ascii="Arial" w:cs="Arial" w:eastAsia="Arial" w:hAnsi="Arial"/>
          <w:sz w:val="17"/>
          <w:szCs w:val="17"/>
          <w:color w:val="auto"/>
        </w:rPr>
        <w:t>On July 1, 2016, we received civil investigative demands from the federal government for documents and information relating to our treatment of certain service agreements with wholesalers when calculating and reporting Average Manufacturer Prices in connection with the Medicaid Drug Rebate Program. We are cooperating with the government.</w:t>
      </w:r>
    </w:p>
    <w:p>
      <w:pPr>
        <w:spacing w:after="0" w:line="140" w:lineRule="exact"/>
        <w:rPr>
          <w:sz w:val="20"/>
          <w:szCs w:val="20"/>
          <w:color w:val="auto"/>
        </w:rPr>
      </w:pPr>
    </w:p>
    <w:p>
      <w:pPr>
        <w:ind w:right="480" w:firstLine="384"/>
        <w:spacing w:after="0" w:line="262" w:lineRule="auto"/>
        <w:rPr>
          <w:sz w:val="20"/>
          <w:szCs w:val="20"/>
          <w:color w:val="auto"/>
        </w:rPr>
      </w:pPr>
      <w:r>
        <w:rPr>
          <w:rFonts w:ascii="Arial" w:cs="Arial" w:eastAsia="Arial" w:hAnsi="Arial"/>
          <w:sz w:val="17"/>
          <w:szCs w:val="17"/>
          <w:color w:val="auto"/>
        </w:rPr>
        <w:t>In July 2017 we learned that the Prosecution Office of Milan is investigating our interactions with certain healthcare providers in Italy. We are cooperating with the government.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Product Liability and Other Legal Proceedings</w:t>
      </w:r>
    </w:p>
    <w:p>
      <w:pPr>
        <w:spacing w:after="0" w:line="106" w:lineRule="exact"/>
        <w:rPr>
          <w:sz w:val="20"/>
          <w:szCs w:val="20"/>
          <w:color w:val="auto"/>
        </w:rPr>
      </w:pPr>
    </w:p>
    <w:p>
      <w:pPr>
        <w:ind w:right="200" w:firstLine="384"/>
        <w:spacing w:after="0" w:line="257" w:lineRule="auto"/>
        <w:rPr>
          <w:sz w:val="20"/>
          <w:szCs w:val="20"/>
          <w:color w:val="auto"/>
        </w:rPr>
      </w:pPr>
      <w:r>
        <w:rPr>
          <w:rFonts w:ascii="Arial" w:cs="Arial" w:eastAsia="Arial" w:hAnsi="Arial"/>
          <w:sz w:val="17"/>
          <w:szCs w:val="17"/>
          <w:color w:val="auto"/>
        </w:rPr>
        <w:t>We are also involved in product liability claims and other legal proceedings generally incidental to our normal business activities. While the outcome of any of these proceedings cannot be accurately predicted, we do not believe the ultimate resolution of any of these existing matters would have a material adverse effect on our business or financial condition.</w:t>
      </w:r>
    </w:p>
    <w:p>
      <w:pPr>
        <w:spacing w:after="0" w:line="199" w:lineRule="exact"/>
        <w:rPr>
          <w:sz w:val="20"/>
          <w:szCs w:val="20"/>
          <w:color w:val="auto"/>
        </w:rPr>
      </w:pPr>
    </w:p>
    <w:p>
      <w:pPr>
        <w:ind w:left="520" w:hanging="518"/>
        <w:spacing w:after="0"/>
        <w:tabs>
          <w:tab w:leader="none" w:pos="520" w:val="left"/>
        </w:tabs>
        <w:numPr>
          <w:ilvl w:val="0"/>
          <w:numId w:val="121"/>
        </w:numPr>
        <w:rPr>
          <w:rFonts w:ascii="Arial" w:cs="Arial" w:eastAsia="Arial" w:hAnsi="Arial"/>
          <w:sz w:val="20"/>
          <w:szCs w:val="20"/>
          <w:b w:val="1"/>
          <w:bCs w:val="1"/>
          <w:color w:val="578196"/>
        </w:rPr>
      </w:pPr>
      <w:r>
        <w:rPr>
          <w:rFonts w:ascii="Arial" w:cs="Arial" w:eastAsia="Arial" w:hAnsi="Arial"/>
          <w:sz w:val="20"/>
          <w:szCs w:val="20"/>
          <w:b w:val="1"/>
          <w:bCs w:val="1"/>
          <w:color w:val="578196"/>
        </w:rPr>
        <w:t>Commitments and Contingencies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TYSABRI Contingent Payments</w:t>
      </w:r>
    </w:p>
    <w:p>
      <w:pPr>
        <w:spacing w:after="0" w:line="106" w:lineRule="exact"/>
        <w:rPr>
          <w:sz w:val="20"/>
          <w:szCs w:val="20"/>
          <w:color w:val="auto"/>
        </w:rPr>
      </w:pPr>
    </w:p>
    <w:p>
      <w:pPr>
        <w:ind w:right="380" w:firstLine="410"/>
        <w:spacing w:after="0" w:line="254" w:lineRule="auto"/>
        <w:rPr>
          <w:sz w:val="20"/>
          <w:szCs w:val="20"/>
          <w:color w:val="auto"/>
        </w:rPr>
      </w:pPr>
      <w:r>
        <w:rPr>
          <w:rFonts w:ascii="Arial" w:cs="Arial" w:eastAsia="Arial" w:hAnsi="Arial"/>
          <w:sz w:val="17"/>
          <w:szCs w:val="17"/>
          <w:color w:val="auto"/>
        </w:rPr>
        <w:t>In 2013 we acquired from Elan full ownership of all remaining rights to TYSABRI that we did not already own or control. Under the acquisition agreement, we are obligated to make contingent payments to Elan of 18% on annual worldwide net sales up to $2.0 billion and 25% on annual worldwide net sales that exceed $2.0 billion. Royalty payments to Elan and other third parties are recognized as cost of sales in our consolidated statements of income. Elan was acquired by Perrigo Company plc (Perrigo) in December 2013, and Perrigo subsequently sold its rights to these payments to a third party effective January 2017.</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Contingent Consideration related to Business Combinations</w:t>
      </w:r>
    </w:p>
    <w:p>
      <w:pPr>
        <w:spacing w:after="0" w:line="106" w:lineRule="exact"/>
        <w:rPr>
          <w:sz w:val="20"/>
          <w:szCs w:val="20"/>
          <w:color w:val="auto"/>
        </w:rPr>
      </w:pPr>
    </w:p>
    <w:p>
      <w:pPr>
        <w:ind w:right="80" w:firstLine="410"/>
        <w:spacing w:after="0" w:line="262" w:lineRule="auto"/>
        <w:rPr>
          <w:sz w:val="20"/>
          <w:szCs w:val="20"/>
          <w:color w:val="auto"/>
        </w:rPr>
      </w:pPr>
      <w:r>
        <w:rPr>
          <w:rFonts w:ascii="Arial" w:cs="Arial" w:eastAsia="Arial" w:hAnsi="Arial"/>
          <w:sz w:val="17"/>
          <w:szCs w:val="17"/>
          <w:color w:val="auto"/>
        </w:rPr>
        <w:t>In connection with our acquisitions of Convergence, Stromedix and BIN, we agreed to make additional payments based upon the achievement of certain milestone events.</w:t>
      </w:r>
    </w:p>
    <w:p>
      <w:pPr>
        <w:spacing w:after="0" w:line="137" w:lineRule="exact"/>
        <w:rPr>
          <w:sz w:val="20"/>
          <w:szCs w:val="20"/>
          <w:color w:val="auto"/>
        </w:rPr>
      </w:pPr>
    </w:p>
    <w:p>
      <w:pPr>
        <w:ind w:right="280" w:firstLine="410"/>
        <w:spacing w:after="0" w:line="255" w:lineRule="auto"/>
        <w:rPr>
          <w:sz w:val="20"/>
          <w:szCs w:val="20"/>
          <w:color w:val="auto"/>
        </w:rPr>
      </w:pPr>
      <w:r>
        <w:rPr>
          <w:rFonts w:ascii="Arial" w:cs="Arial" w:eastAsia="Arial" w:hAnsi="Arial"/>
          <w:sz w:val="17"/>
          <w:szCs w:val="17"/>
          <w:color w:val="auto"/>
        </w:rPr>
        <w:t xml:space="preserve">As the acquisitions of Convergence, Stromedix and BIN, occurred after January 1, 2009, we recorded the contingent consideration liabilities associated with these transactions at their fair value on the acquisition date and revalue these obligations each reporting period. We may pay up to approximately $1.1 billion in remaining milestones related to these acquisitions. For additional information on our acquisition of Convergence please read Note 2, </w:t>
      </w:r>
      <w:r>
        <w:rPr>
          <w:rFonts w:ascii="Arial" w:cs="Arial" w:eastAsia="Arial" w:hAnsi="Arial"/>
          <w:sz w:val="17"/>
          <w:szCs w:val="17"/>
          <w:i w:val="1"/>
          <w:iCs w:val="1"/>
          <w:color w:val="auto"/>
        </w:rPr>
        <w:t>Acquisitions,</w:t>
      </w:r>
      <w:r>
        <w:rPr>
          <w:rFonts w:ascii="Arial" w:cs="Arial" w:eastAsia="Arial" w:hAnsi="Arial"/>
          <w:sz w:val="17"/>
          <w:szCs w:val="17"/>
          <w:color w:val="auto"/>
        </w:rPr>
        <w:t xml:space="preserve"> to these consolidated financial statements.</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Fumapharm AG</w:t>
      </w:r>
    </w:p>
    <w:p>
      <w:pPr>
        <w:spacing w:after="0" w:line="104"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In 2006 we acquired Fumapharm AG. As part of this acquisition we acquired FUMADERM and TECFIDERA (together, Fumapharm Products). We paid $220.0 million upon closing of the transaction and agreed to pay an additional $15.0 million if a Fumapharm Product was approved for MS in the U.S. or E.U. In the second quarter of 2013 we paid this $15.0 million contingent payment as TECFIDERA was approved in the U.S. for MS by the FDA. We are also required to make additional contingent payments to former shareholders of Fumapharm AG or holders of their rights based on the attainment of certain cumulative sales levels of Fumapharm Products and the level of total net sales of Fumapharm Products in the prior 12-month period, as defined in the acquisition agreement.</w:t>
      </w:r>
    </w:p>
    <w:p>
      <w:pPr>
        <w:spacing w:after="0" w:line="147" w:lineRule="exact"/>
        <w:rPr>
          <w:sz w:val="20"/>
          <w:szCs w:val="20"/>
          <w:color w:val="auto"/>
        </w:rPr>
      </w:pPr>
    </w:p>
    <w:p>
      <w:pPr>
        <w:ind w:right="40" w:firstLine="410"/>
        <w:spacing w:after="0" w:line="257" w:lineRule="auto"/>
        <w:rPr>
          <w:sz w:val="20"/>
          <w:szCs w:val="20"/>
          <w:color w:val="auto"/>
        </w:rPr>
      </w:pPr>
      <w:r>
        <w:rPr>
          <w:rFonts w:ascii="Arial" w:cs="Arial" w:eastAsia="Arial" w:hAnsi="Arial"/>
          <w:sz w:val="17"/>
          <w:szCs w:val="17"/>
          <w:color w:val="auto"/>
        </w:rPr>
        <w:t>During 2017 we paid $1.2 billion in contingent payments as we reached the $11.0 billion, $12.0 billion, $13.0 billion and $14.0 billion cumulative sales levels related to the Fumapharm Products in the fourth quarter of 2016 and the first, second and third quarters of 2017, respectively, and accrued $600.0 million upon reaching $15.0 billion and $16.0 billion in total cumulative sales of Fumapharm Products in the fourth quarter of 2017.</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F- 69</w:t>
      </w:r>
    </w:p>
    <w:p>
      <w:pPr>
        <w:sectPr>
          <w:pgSz w:w="11900" w:h="16838" w:orient="portrait"/>
          <w:cols w:equalWidth="0" w:num="1">
            <w:col w:w="11420"/>
          </w:cols>
          <w:pgMar w:left="240" w:top="139" w:right="239" w:bottom="1440" w:gutter="0" w:footer="0" w:header="0"/>
        </w:sectPr>
      </w:pPr>
    </w:p>
    <w:bookmarkStart w:id="171" w:name="page172"/>
    <w:bookmarkEnd w:id="17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90"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We will owe an additional $300.0 million contingent payment for every additional $1.0 billion in cumulative sales level of Fumapharm Products reached if the prior 12 months sales of the Fumapharm Products exceed $3.0 billion, until such time as the cumulative sales level reaches $20.0 billion, at which time no further contingent payments shall be due. If the prior 12 months sales of Fumapharm Products are less than $3.0 billion, contingent payments remain payable on a decreasing tiered basis. These payments will be accounted for as an increase to goodwill as incurred, in accordance with the accounting standard applicable to business combinations when we acquired Fumapharm. Any portion of the payment which is tax deductible will be recorded as a reduction to goodwill. Payments are due within 60 days following the end of the quarter in which the applicable cumulative sales level has been reached.</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Contingent Development, Regulatory and Commercial Milestone Payments</w:t>
      </w:r>
    </w:p>
    <w:p>
      <w:pPr>
        <w:spacing w:after="0" w:line="106" w:lineRule="exact"/>
        <w:rPr>
          <w:sz w:val="20"/>
          <w:szCs w:val="20"/>
          <w:color w:val="auto"/>
        </w:rPr>
      </w:pPr>
    </w:p>
    <w:p>
      <w:pPr>
        <w:ind w:right="40" w:firstLine="410"/>
        <w:spacing w:after="0" w:line="253" w:lineRule="auto"/>
        <w:rPr>
          <w:sz w:val="20"/>
          <w:szCs w:val="20"/>
          <w:color w:val="auto"/>
        </w:rPr>
      </w:pPr>
      <w:r>
        <w:rPr>
          <w:rFonts w:ascii="Arial" w:cs="Arial" w:eastAsia="Arial" w:hAnsi="Arial"/>
          <w:sz w:val="17"/>
          <w:szCs w:val="17"/>
          <w:color w:val="auto"/>
        </w:rPr>
        <w:t>Based on our development plans as of December 31, 2017, we could make potential future milestone payments to third parties of up to approximately $4.2 billion, including approximately $0.7 billion in development milestones, approximately $1.5 billion in regulatory milestones and approximately $2.0 billion in commercial milestones as part of our various collaborations, including licensing and development programs. Payments under these agreements generally become due and payable upon achievement of certain development, regulatory or commercial milestones. Because the achievement of these milestones was not considered probable as of December 31, 2017, such contingencies have not been recorded in our financial statements. Amounts related to contingent milestone payments are not considered contractual obligations as they are contingent on the successful achievement of certain development, regulatory approval and commercial milestones.</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Other Funding Commitments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December 31, 2017, we have several on-going clinical studies in various clinical trial stages. Our most significant clinical trial expenditures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are to CROs. The contracts with CROs are generally cancellable, with notice, at our option. We have recorded accrued expenses of approximately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$40.0 million in our consolidated balance sheet for expenditures incurred by CROs as of December 31, 2017. We have approximately $460.0 million in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cancellable future commitments based on existing CRO contracts as of December 31, 2017.</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Tax Related Obligations</w:t>
      </w:r>
    </w:p>
    <w:p>
      <w:pPr>
        <w:spacing w:after="0" w:line="106" w:lineRule="exact"/>
        <w:rPr>
          <w:sz w:val="20"/>
          <w:szCs w:val="20"/>
          <w:color w:val="auto"/>
        </w:rPr>
      </w:pPr>
    </w:p>
    <w:p>
      <w:pPr>
        <w:ind w:right="160" w:firstLine="410"/>
        <w:spacing w:after="0" w:line="257" w:lineRule="auto"/>
        <w:rPr>
          <w:sz w:val="20"/>
          <w:szCs w:val="20"/>
          <w:color w:val="auto"/>
        </w:rPr>
      </w:pPr>
      <w:r>
        <w:rPr>
          <w:rFonts w:ascii="Arial" w:cs="Arial" w:eastAsia="Arial" w:hAnsi="Arial"/>
          <w:sz w:val="17"/>
          <w:szCs w:val="17"/>
          <w:color w:val="auto"/>
        </w:rPr>
        <w:t>We exclude liabilities pertaining to uncertain tax positions from our summary of contractual obligations as we cannot make a reliable estimate of the period of cash settlement with the respective taxing authorities. As of December 31, 2017, we have approximately $77.3 million of net liabilities associated with uncertain tax positions.</w:t>
      </w:r>
    </w:p>
    <w:p>
      <w:pPr>
        <w:spacing w:after="0" w:line="140" w:lineRule="exact"/>
        <w:rPr>
          <w:sz w:val="20"/>
          <w:szCs w:val="20"/>
          <w:color w:val="auto"/>
        </w:rPr>
      </w:pPr>
    </w:p>
    <w:p>
      <w:pPr>
        <w:ind w:firstLine="410"/>
        <w:spacing w:after="0" w:line="262" w:lineRule="auto"/>
        <w:rPr>
          <w:sz w:val="20"/>
          <w:szCs w:val="20"/>
          <w:color w:val="auto"/>
        </w:rPr>
      </w:pPr>
      <w:r>
        <w:rPr>
          <w:rFonts w:ascii="Arial" w:cs="Arial" w:eastAsia="Arial" w:hAnsi="Arial"/>
          <w:sz w:val="17"/>
          <w:szCs w:val="17"/>
          <w:color w:val="auto"/>
        </w:rPr>
        <w:t>As of December 31, 2017, we have accrued income tax liabilities of $989.6 million under the Transition Toll Tax, of which $78.3 million is expected to be paid within one year. The Transition Toll Tax will be paid over an eight-year period, starting in 2018, and will not accrue interest.</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Solothurn, Switzerland Facility</w:t>
      </w:r>
    </w:p>
    <w:p>
      <w:pPr>
        <w:spacing w:after="0" w:line="106" w:lineRule="exact"/>
        <w:rPr>
          <w:sz w:val="20"/>
          <w:szCs w:val="20"/>
          <w:color w:val="auto"/>
        </w:rPr>
      </w:pPr>
    </w:p>
    <w:p>
      <w:pPr>
        <w:jc w:val="both"/>
        <w:ind w:right="300" w:firstLine="410"/>
        <w:spacing w:after="0" w:line="257" w:lineRule="auto"/>
        <w:rPr>
          <w:sz w:val="20"/>
          <w:szCs w:val="20"/>
          <w:color w:val="auto"/>
        </w:rPr>
      </w:pPr>
      <w:r>
        <w:rPr>
          <w:rFonts w:ascii="Arial" w:cs="Arial" w:eastAsia="Arial" w:hAnsi="Arial"/>
          <w:sz w:val="17"/>
          <w:szCs w:val="17"/>
          <w:color w:val="auto"/>
        </w:rPr>
        <w:t>In December 2015, we purchased land in Solothurn, Switzerland and are building a large-scale biologics manufacturing facility at this site. We expect this facility to be operational by the end of the decade. As of December 31, 2017, we had contractual commitments of $270.0 million for the construction of this facility.</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Leases</w:t>
      </w:r>
    </w:p>
    <w:p>
      <w:pPr>
        <w:spacing w:after="0" w:line="106" w:lineRule="exact"/>
        <w:rPr>
          <w:sz w:val="20"/>
          <w:szCs w:val="20"/>
          <w:color w:val="auto"/>
        </w:rPr>
      </w:pPr>
    </w:p>
    <w:p>
      <w:pPr>
        <w:ind w:right="40" w:firstLine="410"/>
        <w:spacing w:after="0" w:line="255" w:lineRule="auto"/>
        <w:rPr>
          <w:sz w:val="20"/>
          <w:szCs w:val="20"/>
          <w:color w:val="auto"/>
        </w:rPr>
      </w:pPr>
      <w:r>
        <w:rPr>
          <w:rFonts w:ascii="Arial" w:cs="Arial" w:eastAsia="Arial" w:hAnsi="Arial"/>
          <w:sz w:val="17"/>
          <w:szCs w:val="17"/>
          <w:color w:val="auto"/>
        </w:rPr>
        <w:t>We rent laboratory and office space and certain equipment under non-cancelable operating leases. These lease agreements contain various clauses for renewal at our option and, in certain cases, escalation clauses typically linked to rates of inflation. Rental expense, net of sublease income under these leases, which terminate at various dates through 2028, amounted to $65.3 million, $68.7 million and $68.6 million in 2017, 2016 and 2015, respectively. In addition to rent, the leases may require us to pay additional amounts for taxes, insurance, maintenance and other operating expenses.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F- 70</w:t>
      </w:r>
    </w:p>
    <w:p>
      <w:pPr>
        <w:sectPr>
          <w:pgSz w:w="11900" w:h="16838" w:orient="portrait"/>
          <w:cols w:equalWidth="0" w:num="1">
            <w:col w:w="11400"/>
          </w:cols>
          <w:pgMar w:left="240" w:top="139" w:right="259" w:bottom="1440" w:gutter="0" w:footer="0" w:header="0"/>
        </w:sectPr>
      </w:pPr>
    </w:p>
    <w:bookmarkStart w:id="172" w:name="page173"/>
    <w:bookmarkEnd w:id="17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90" w:lineRule="exact"/>
        <w:rPr>
          <w:sz w:val="20"/>
          <w:szCs w:val="20"/>
          <w:color w:val="auto"/>
        </w:rPr>
      </w:pPr>
    </w:p>
    <w:p>
      <w:pPr>
        <w:ind w:right="320" w:firstLine="410"/>
        <w:spacing w:after="0" w:line="262" w:lineRule="auto"/>
        <w:rPr>
          <w:sz w:val="20"/>
          <w:szCs w:val="20"/>
          <w:color w:val="auto"/>
        </w:rPr>
      </w:pPr>
      <w:r>
        <w:rPr>
          <w:rFonts w:ascii="Arial" w:cs="Arial" w:eastAsia="Arial" w:hAnsi="Arial"/>
          <w:sz w:val="17"/>
          <w:szCs w:val="17"/>
          <w:color w:val="auto"/>
        </w:rPr>
        <w:t>As of December 31, 2017, minimum rental commitments under non-cancelable leases, net of income from subleases, for each of the next five years and total thereafter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DDDDDD"/>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DDDDDD"/>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DDDDD"/>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DDDDD"/>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DDDDD"/>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9"/>
              </w:rPr>
              <w:t>Thereafter</w:t>
            </w:r>
          </w:p>
        </w:tc>
        <w:tc>
          <w:tcPr>
            <w:tcW w:w="100" w:type="dxa"/>
            <w:vAlign w:val="bottom"/>
            <w:tcBorders>
              <w:bottom w:val="single" w:sz="8" w:color="DDDDDD"/>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Total</w:t>
            </w:r>
          </w:p>
        </w:tc>
      </w:tr>
      <w:tr>
        <w:trPr>
          <w:trHeight w:val="228"/>
        </w:trPr>
        <w:tc>
          <w:tcPr>
            <w:tcW w:w="3540" w:type="dxa"/>
            <w:vAlign w:val="bottom"/>
          </w:tcPr>
          <w:p>
            <w:pPr>
              <w:ind w:left="20"/>
              <w:spacing w:after="0"/>
              <w:rPr>
                <w:sz w:val="20"/>
                <w:szCs w:val="20"/>
                <w:color w:val="auto"/>
              </w:rPr>
            </w:pPr>
            <w:r>
              <w:rPr>
                <w:rFonts w:ascii="Arial" w:cs="Arial" w:eastAsia="Arial" w:hAnsi="Arial"/>
                <w:sz w:val="17"/>
                <w:szCs w:val="17"/>
                <w:color w:val="auto"/>
              </w:rPr>
              <w:t>Minimum lease payments</w:t>
            </w:r>
          </w:p>
        </w:tc>
        <w:tc>
          <w:tcPr>
            <w:tcW w:w="260" w:type="dxa"/>
            <w:vAlign w:val="bottom"/>
            <w:shd w:val="clear" w:color="auto" w:fill="DDDDDD"/>
          </w:tcPr>
          <w:p>
            <w:pPr>
              <w:jc w:val="right"/>
              <w:ind w:right="35"/>
              <w:spacing w:after="0"/>
              <w:rPr>
                <w:sz w:val="20"/>
                <w:szCs w:val="20"/>
                <w:color w:val="auto"/>
              </w:rPr>
            </w:pPr>
            <w:r>
              <w:rPr>
                <w:rFonts w:ascii="Arial" w:cs="Arial" w:eastAsia="Arial" w:hAnsi="Arial"/>
                <w:sz w:val="17"/>
                <w:szCs w:val="17"/>
                <w:color w:val="2573BA"/>
              </w:rPr>
              <w:t>$</w:t>
            </w:r>
          </w:p>
        </w:tc>
        <w:tc>
          <w:tcPr>
            <w:tcW w:w="820" w:type="dxa"/>
            <w:vAlign w:val="bottom"/>
            <w:shd w:val="clear" w:color="auto" w:fill="DDDDDD"/>
          </w:tcPr>
          <w:p>
            <w:pPr>
              <w:jc w:val="right"/>
              <w:ind w:right="39"/>
              <w:spacing w:after="0"/>
              <w:rPr>
                <w:sz w:val="20"/>
                <w:szCs w:val="20"/>
                <w:color w:val="auto"/>
              </w:rPr>
            </w:pPr>
            <w:r>
              <w:rPr>
                <w:rFonts w:ascii="Arial" w:cs="Arial" w:eastAsia="Arial" w:hAnsi="Arial"/>
                <w:sz w:val="17"/>
                <w:szCs w:val="17"/>
                <w:color w:val="2573BA"/>
              </w:rPr>
              <w:t>72.6</w:t>
            </w:r>
          </w:p>
        </w:tc>
        <w:tc>
          <w:tcPr>
            <w:tcW w:w="360" w:type="dxa"/>
            <w:vAlign w:val="bottom"/>
            <w:gridSpan w:val="2"/>
            <w:shd w:val="clear" w:color="auto" w:fill="DDDDDD"/>
          </w:tcPr>
          <w:p>
            <w:pPr>
              <w:jc w:val="right"/>
              <w:ind w:right="140"/>
              <w:spacing w:after="0"/>
              <w:rPr>
                <w:sz w:val="20"/>
                <w:szCs w:val="20"/>
                <w:color w:val="auto"/>
              </w:rPr>
            </w:pPr>
            <w:r>
              <w:rPr>
                <w:rFonts w:ascii="Arial" w:cs="Arial" w:eastAsia="Arial" w:hAnsi="Arial"/>
                <w:sz w:val="17"/>
                <w:szCs w:val="17"/>
                <w:color w:val="2573BA"/>
              </w:rPr>
              <w:t>$</w:t>
            </w:r>
          </w:p>
        </w:tc>
        <w:tc>
          <w:tcPr>
            <w:tcW w:w="820" w:type="dxa"/>
            <w:vAlign w:val="bottom"/>
            <w:shd w:val="clear" w:color="auto" w:fill="DDDDDD"/>
          </w:tcPr>
          <w:p>
            <w:pPr>
              <w:jc w:val="right"/>
              <w:ind w:right="39"/>
              <w:spacing w:after="0"/>
              <w:rPr>
                <w:sz w:val="20"/>
                <w:szCs w:val="20"/>
                <w:color w:val="auto"/>
              </w:rPr>
            </w:pPr>
            <w:r>
              <w:rPr>
                <w:rFonts w:ascii="Arial" w:cs="Arial" w:eastAsia="Arial" w:hAnsi="Arial"/>
                <w:sz w:val="17"/>
                <w:szCs w:val="17"/>
                <w:color w:val="2573BA"/>
              </w:rPr>
              <w:t>72.3</w:t>
            </w:r>
          </w:p>
        </w:tc>
        <w:tc>
          <w:tcPr>
            <w:tcW w:w="100" w:type="dxa"/>
            <w:vAlign w:val="bottom"/>
            <w:shd w:val="clear" w:color="auto" w:fill="DDDDDD"/>
          </w:tcPr>
          <w:p>
            <w:pPr>
              <w:spacing w:after="0"/>
              <w:rPr>
                <w:sz w:val="19"/>
                <w:szCs w:val="19"/>
                <w:color w:val="auto"/>
              </w:rPr>
            </w:pPr>
          </w:p>
        </w:tc>
        <w:tc>
          <w:tcPr>
            <w:tcW w:w="240" w:type="dxa"/>
            <w:vAlign w:val="bottom"/>
            <w:shd w:val="clear" w:color="auto" w:fill="DDDDDD"/>
          </w:tcPr>
          <w:p>
            <w:pPr>
              <w:jc w:val="right"/>
              <w:ind w:right="35"/>
              <w:spacing w:after="0"/>
              <w:rPr>
                <w:sz w:val="20"/>
                <w:szCs w:val="20"/>
                <w:color w:val="auto"/>
              </w:rPr>
            </w:pPr>
            <w:r>
              <w:rPr>
                <w:rFonts w:ascii="Arial" w:cs="Arial" w:eastAsia="Arial" w:hAnsi="Arial"/>
                <w:sz w:val="17"/>
                <w:szCs w:val="17"/>
                <w:color w:val="2573BA"/>
              </w:rPr>
              <w:t>$</w:t>
            </w:r>
          </w:p>
        </w:tc>
        <w:tc>
          <w:tcPr>
            <w:tcW w:w="78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68.4</w:t>
            </w:r>
          </w:p>
        </w:tc>
        <w:tc>
          <w:tcPr>
            <w:tcW w:w="100" w:type="dxa"/>
            <w:vAlign w:val="bottom"/>
            <w:shd w:val="clear" w:color="auto" w:fill="DDDDDD"/>
          </w:tcPr>
          <w:p>
            <w:pPr>
              <w:spacing w:after="0"/>
              <w:rPr>
                <w:sz w:val="19"/>
                <w:szCs w:val="19"/>
                <w:color w:val="auto"/>
              </w:rPr>
            </w:pPr>
          </w:p>
        </w:tc>
        <w:tc>
          <w:tcPr>
            <w:tcW w:w="240" w:type="dxa"/>
            <w:vAlign w:val="bottom"/>
            <w:shd w:val="clear" w:color="auto" w:fill="DDDDDD"/>
          </w:tcPr>
          <w:p>
            <w:pPr>
              <w:jc w:val="right"/>
              <w:ind w:right="35"/>
              <w:spacing w:after="0"/>
              <w:rPr>
                <w:sz w:val="20"/>
                <w:szCs w:val="20"/>
                <w:color w:val="auto"/>
              </w:rPr>
            </w:pPr>
            <w:r>
              <w:rPr>
                <w:rFonts w:ascii="Arial" w:cs="Arial" w:eastAsia="Arial" w:hAnsi="Arial"/>
                <w:sz w:val="17"/>
                <w:szCs w:val="17"/>
                <w:color w:val="2573BA"/>
              </w:rPr>
              <w:t>$</w:t>
            </w:r>
          </w:p>
        </w:tc>
        <w:tc>
          <w:tcPr>
            <w:tcW w:w="78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66.9</w:t>
            </w:r>
          </w:p>
        </w:tc>
        <w:tc>
          <w:tcPr>
            <w:tcW w:w="100" w:type="dxa"/>
            <w:vAlign w:val="bottom"/>
            <w:shd w:val="clear" w:color="auto" w:fill="DDDDDD"/>
          </w:tcPr>
          <w:p>
            <w:pPr>
              <w:spacing w:after="0"/>
              <w:rPr>
                <w:sz w:val="19"/>
                <w:szCs w:val="19"/>
                <w:color w:val="auto"/>
              </w:rPr>
            </w:pPr>
          </w:p>
        </w:tc>
        <w:tc>
          <w:tcPr>
            <w:tcW w:w="240" w:type="dxa"/>
            <w:vAlign w:val="bottom"/>
            <w:shd w:val="clear" w:color="auto" w:fill="DDDDDD"/>
          </w:tcPr>
          <w:p>
            <w:pPr>
              <w:jc w:val="right"/>
              <w:ind w:right="35"/>
              <w:spacing w:after="0"/>
              <w:rPr>
                <w:sz w:val="20"/>
                <w:szCs w:val="20"/>
                <w:color w:val="auto"/>
              </w:rPr>
            </w:pPr>
            <w:r>
              <w:rPr>
                <w:rFonts w:ascii="Arial" w:cs="Arial" w:eastAsia="Arial" w:hAnsi="Arial"/>
                <w:sz w:val="17"/>
                <w:szCs w:val="17"/>
                <w:color w:val="2573BA"/>
              </w:rPr>
              <w:t>$</w:t>
            </w:r>
          </w:p>
        </w:tc>
        <w:tc>
          <w:tcPr>
            <w:tcW w:w="800" w:type="dxa"/>
            <w:vAlign w:val="bottom"/>
            <w:shd w:val="clear" w:color="auto" w:fill="DDDDDD"/>
          </w:tcPr>
          <w:p>
            <w:pPr>
              <w:jc w:val="right"/>
              <w:ind w:right="39"/>
              <w:spacing w:after="0"/>
              <w:rPr>
                <w:sz w:val="20"/>
                <w:szCs w:val="20"/>
                <w:color w:val="auto"/>
              </w:rPr>
            </w:pPr>
            <w:r>
              <w:rPr>
                <w:rFonts w:ascii="Arial" w:cs="Arial" w:eastAsia="Arial" w:hAnsi="Arial"/>
                <w:sz w:val="17"/>
                <w:szCs w:val="17"/>
                <w:color w:val="2573BA"/>
              </w:rPr>
              <w:t>65.7</w:t>
            </w:r>
          </w:p>
        </w:tc>
        <w:tc>
          <w:tcPr>
            <w:tcW w:w="100" w:type="dxa"/>
            <w:vAlign w:val="bottom"/>
            <w:shd w:val="clear" w:color="auto" w:fill="DDDDDD"/>
          </w:tcPr>
          <w:p>
            <w:pPr>
              <w:spacing w:after="0"/>
              <w:rPr>
                <w:sz w:val="19"/>
                <w:szCs w:val="19"/>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88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271.1</w:t>
            </w:r>
          </w:p>
        </w:tc>
        <w:tc>
          <w:tcPr>
            <w:tcW w:w="100" w:type="dxa"/>
            <w:vAlign w:val="bottom"/>
            <w:shd w:val="clear" w:color="auto" w:fill="DDDDDD"/>
          </w:tcPr>
          <w:p>
            <w:pPr>
              <w:spacing w:after="0"/>
              <w:rPr>
                <w:sz w:val="19"/>
                <w:szCs w:val="19"/>
                <w:color w:val="auto"/>
              </w:rPr>
            </w:pPr>
          </w:p>
        </w:tc>
        <w:tc>
          <w:tcPr>
            <w:tcW w:w="240" w:type="dxa"/>
            <w:vAlign w:val="bottom"/>
            <w:shd w:val="clear" w:color="auto" w:fill="DDDDDD"/>
          </w:tcPr>
          <w:p>
            <w:pPr>
              <w:jc w:val="right"/>
              <w:ind w:right="35"/>
              <w:spacing w:after="0"/>
              <w:rPr>
                <w:sz w:val="20"/>
                <w:szCs w:val="20"/>
                <w:color w:val="auto"/>
              </w:rPr>
            </w:pPr>
            <w:r>
              <w:rPr>
                <w:rFonts w:ascii="Arial" w:cs="Arial" w:eastAsia="Arial" w:hAnsi="Arial"/>
                <w:sz w:val="17"/>
                <w:szCs w:val="17"/>
                <w:color w:val="2573BA"/>
              </w:rPr>
              <w:t>$</w:t>
            </w:r>
          </w:p>
        </w:tc>
        <w:tc>
          <w:tcPr>
            <w:tcW w:w="78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617.0</w:t>
            </w:r>
          </w:p>
        </w:tc>
      </w:tr>
      <w:tr>
        <w:trPr>
          <w:trHeight w:val="263"/>
        </w:trPr>
        <w:tc>
          <w:tcPr>
            <w:tcW w:w="3540" w:type="dxa"/>
            <w:vAlign w:val="bottom"/>
          </w:tcPr>
          <w:p>
            <w:pPr>
              <w:ind w:left="20"/>
              <w:spacing w:after="0"/>
              <w:rPr>
                <w:sz w:val="20"/>
                <w:szCs w:val="20"/>
                <w:color w:val="auto"/>
              </w:rPr>
            </w:pPr>
            <w:r>
              <w:rPr>
                <w:rFonts w:ascii="Arial" w:cs="Arial" w:eastAsia="Arial" w:hAnsi="Arial"/>
                <w:sz w:val="17"/>
                <w:szCs w:val="17"/>
                <w:color w:val="auto"/>
              </w:rPr>
              <w:t>Less: income from subleases (1)</w:t>
            </w:r>
          </w:p>
        </w:tc>
        <w:tc>
          <w:tcPr>
            <w:tcW w:w="260" w:type="dxa"/>
            <w:vAlign w:val="bottom"/>
            <w:tcBorders>
              <w:bottom w:val="single" w:sz="8" w:color="auto"/>
            </w:tcBorders>
            <w:shd w:val="clear" w:color="auto" w:fill="DDDDDD"/>
          </w:tcPr>
          <w:p>
            <w:pPr>
              <w:spacing w:after="0"/>
              <w:rPr>
                <w:sz w:val="22"/>
                <w:szCs w:val="22"/>
                <w:color w:val="auto"/>
              </w:rPr>
            </w:pPr>
          </w:p>
        </w:tc>
        <w:tc>
          <w:tcPr>
            <w:tcW w:w="820" w:type="dxa"/>
            <w:vAlign w:val="bottom"/>
            <w:tcBorders>
              <w:bottom w:val="single" w:sz="8" w:color="auto"/>
            </w:tcBorders>
            <w:shd w:val="clear" w:color="auto" w:fill="DDDDDD"/>
          </w:tcPr>
          <w:p>
            <w:pPr>
              <w:jc w:val="right"/>
              <w:ind w:right="39"/>
              <w:spacing w:after="0"/>
              <w:rPr>
                <w:sz w:val="20"/>
                <w:szCs w:val="20"/>
                <w:color w:val="auto"/>
              </w:rPr>
            </w:pPr>
            <w:r>
              <w:rPr>
                <w:rFonts w:ascii="Arial" w:cs="Arial" w:eastAsia="Arial" w:hAnsi="Arial"/>
                <w:sz w:val="17"/>
                <w:szCs w:val="17"/>
                <w:color w:val="2573BA"/>
              </w:rPr>
              <w:t>(24.3)</w:t>
            </w:r>
          </w:p>
        </w:tc>
        <w:tc>
          <w:tcPr>
            <w:tcW w:w="100" w:type="dxa"/>
            <w:vAlign w:val="bottom"/>
            <w:tcBorders>
              <w:bottom w:val="single" w:sz="8" w:color="DDDDDD"/>
            </w:tcBorders>
            <w:shd w:val="clear" w:color="auto" w:fill="DDDDDD"/>
          </w:tcPr>
          <w:p>
            <w:pPr>
              <w:spacing w:after="0"/>
              <w:rPr>
                <w:sz w:val="22"/>
                <w:szCs w:val="22"/>
                <w:color w:val="auto"/>
              </w:rPr>
            </w:pPr>
          </w:p>
        </w:tc>
        <w:tc>
          <w:tcPr>
            <w:tcW w:w="260" w:type="dxa"/>
            <w:vAlign w:val="bottom"/>
            <w:tcBorders>
              <w:bottom w:val="single" w:sz="8" w:color="auto"/>
            </w:tcBorders>
            <w:shd w:val="clear" w:color="auto" w:fill="DDDDDD"/>
          </w:tcPr>
          <w:p>
            <w:pPr>
              <w:spacing w:after="0"/>
              <w:rPr>
                <w:sz w:val="22"/>
                <w:szCs w:val="22"/>
                <w:color w:val="auto"/>
              </w:rPr>
            </w:pPr>
          </w:p>
        </w:tc>
        <w:tc>
          <w:tcPr>
            <w:tcW w:w="8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(24.7)</w:t>
            </w:r>
          </w:p>
        </w:tc>
        <w:tc>
          <w:tcPr>
            <w:tcW w:w="100" w:type="dxa"/>
            <w:vAlign w:val="bottom"/>
            <w:tcBorders>
              <w:bottom w:val="single" w:sz="8" w:color="DDDDDD"/>
            </w:tcBorders>
            <w:shd w:val="clear" w:color="auto" w:fill="DDDDDD"/>
          </w:tcPr>
          <w:p>
            <w:pPr>
              <w:spacing w:after="0"/>
              <w:rPr>
                <w:sz w:val="22"/>
                <w:szCs w:val="22"/>
                <w:color w:val="auto"/>
              </w:rPr>
            </w:pPr>
          </w:p>
        </w:tc>
        <w:tc>
          <w:tcPr>
            <w:tcW w:w="240" w:type="dxa"/>
            <w:vAlign w:val="bottom"/>
            <w:tcBorders>
              <w:bottom w:val="single" w:sz="8" w:color="auto"/>
            </w:tcBorders>
            <w:shd w:val="clear" w:color="auto" w:fill="DDDDDD"/>
          </w:tcPr>
          <w:p>
            <w:pPr>
              <w:spacing w:after="0"/>
              <w:rPr>
                <w:sz w:val="22"/>
                <w:szCs w:val="22"/>
                <w:color w:val="auto"/>
              </w:rPr>
            </w:pPr>
          </w:p>
        </w:tc>
        <w:tc>
          <w:tcPr>
            <w:tcW w:w="7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(23.9)</w:t>
            </w:r>
          </w:p>
        </w:tc>
        <w:tc>
          <w:tcPr>
            <w:tcW w:w="100" w:type="dxa"/>
            <w:vAlign w:val="bottom"/>
            <w:tcBorders>
              <w:bottom w:val="single" w:sz="8" w:color="DDDDDD"/>
            </w:tcBorders>
            <w:shd w:val="clear" w:color="auto" w:fill="DDDDDD"/>
          </w:tcPr>
          <w:p>
            <w:pPr>
              <w:spacing w:after="0"/>
              <w:rPr>
                <w:sz w:val="22"/>
                <w:szCs w:val="22"/>
                <w:color w:val="auto"/>
              </w:rPr>
            </w:pPr>
          </w:p>
        </w:tc>
        <w:tc>
          <w:tcPr>
            <w:tcW w:w="240" w:type="dxa"/>
            <w:vAlign w:val="bottom"/>
            <w:tcBorders>
              <w:bottom w:val="single" w:sz="8" w:color="auto"/>
            </w:tcBorders>
            <w:shd w:val="clear" w:color="auto" w:fill="DDDDDD"/>
          </w:tcPr>
          <w:p>
            <w:pPr>
              <w:spacing w:after="0"/>
              <w:rPr>
                <w:sz w:val="22"/>
                <w:szCs w:val="22"/>
                <w:color w:val="auto"/>
              </w:rPr>
            </w:pPr>
          </w:p>
        </w:tc>
        <w:tc>
          <w:tcPr>
            <w:tcW w:w="7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(22.3)</w:t>
            </w:r>
          </w:p>
        </w:tc>
        <w:tc>
          <w:tcPr>
            <w:tcW w:w="100" w:type="dxa"/>
            <w:vAlign w:val="bottom"/>
            <w:tcBorders>
              <w:bottom w:val="single" w:sz="8" w:color="DDDDDD"/>
            </w:tcBorders>
            <w:shd w:val="clear" w:color="auto" w:fill="DDDDDD"/>
          </w:tcPr>
          <w:p>
            <w:pPr>
              <w:spacing w:after="0"/>
              <w:rPr>
                <w:sz w:val="22"/>
                <w:szCs w:val="22"/>
                <w:color w:val="auto"/>
              </w:rPr>
            </w:pPr>
          </w:p>
        </w:tc>
        <w:tc>
          <w:tcPr>
            <w:tcW w:w="240" w:type="dxa"/>
            <w:vAlign w:val="bottom"/>
            <w:tcBorders>
              <w:bottom w:val="single" w:sz="8" w:color="auto"/>
            </w:tcBorders>
            <w:shd w:val="clear" w:color="auto" w:fill="DDDDDD"/>
          </w:tcPr>
          <w:p>
            <w:pPr>
              <w:spacing w:after="0"/>
              <w:rPr>
                <w:sz w:val="22"/>
                <w:szCs w:val="22"/>
                <w:color w:val="auto"/>
              </w:rPr>
            </w:pPr>
          </w:p>
        </w:tc>
        <w:tc>
          <w:tcPr>
            <w:tcW w:w="8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(22.0)</w:t>
            </w:r>
          </w:p>
        </w:tc>
        <w:tc>
          <w:tcPr>
            <w:tcW w:w="100" w:type="dxa"/>
            <w:vAlign w:val="bottom"/>
            <w:tcBorders>
              <w:bottom w:val="single" w:sz="8" w:color="DDDDDD"/>
            </w:tcBorders>
            <w:shd w:val="clear" w:color="auto" w:fill="DDDDDD"/>
          </w:tcPr>
          <w:p>
            <w:pPr>
              <w:spacing w:after="0"/>
              <w:rPr>
                <w:sz w:val="22"/>
                <w:szCs w:val="22"/>
                <w:color w:val="auto"/>
              </w:rPr>
            </w:pPr>
          </w:p>
        </w:tc>
        <w:tc>
          <w:tcPr>
            <w:tcW w:w="140" w:type="dxa"/>
            <w:vAlign w:val="bottom"/>
            <w:tcBorders>
              <w:bottom w:val="single" w:sz="8" w:color="auto"/>
            </w:tcBorders>
            <w:shd w:val="clear" w:color="auto" w:fill="DDDDDD"/>
          </w:tcPr>
          <w:p>
            <w:pPr>
              <w:spacing w:after="0"/>
              <w:rPr>
                <w:sz w:val="22"/>
                <w:szCs w:val="22"/>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(71.3)</w:t>
            </w:r>
          </w:p>
        </w:tc>
        <w:tc>
          <w:tcPr>
            <w:tcW w:w="100" w:type="dxa"/>
            <w:vAlign w:val="bottom"/>
            <w:tcBorders>
              <w:bottom w:val="single" w:sz="8" w:color="DDDDDD"/>
            </w:tcBorders>
            <w:shd w:val="clear" w:color="auto" w:fill="DDDDDD"/>
          </w:tcPr>
          <w:p>
            <w:pPr>
              <w:spacing w:after="0"/>
              <w:rPr>
                <w:sz w:val="22"/>
                <w:szCs w:val="22"/>
                <w:color w:val="auto"/>
              </w:rPr>
            </w:pPr>
          </w:p>
        </w:tc>
        <w:tc>
          <w:tcPr>
            <w:tcW w:w="240" w:type="dxa"/>
            <w:vAlign w:val="bottom"/>
            <w:tcBorders>
              <w:bottom w:val="single" w:sz="8" w:color="auto"/>
            </w:tcBorders>
            <w:shd w:val="clear" w:color="auto" w:fill="DDDDDD"/>
          </w:tcPr>
          <w:p>
            <w:pPr>
              <w:spacing w:after="0"/>
              <w:rPr>
                <w:sz w:val="22"/>
                <w:szCs w:val="22"/>
                <w:color w:val="auto"/>
              </w:rPr>
            </w:pPr>
          </w:p>
        </w:tc>
        <w:tc>
          <w:tcPr>
            <w:tcW w:w="7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(188.5)</w:t>
            </w:r>
          </w:p>
        </w:tc>
      </w:tr>
      <w:tr>
        <w:trPr>
          <w:trHeight w:val="236"/>
        </w:trPr>
        <w:tc>
          <w:tcPr>
            <w:tcW w:w="3540" w:type="dxa"/>
            <w:vAlign w:val="bottom"/>
          </w:tcPr>
          <w:p>
            <w:pPr>
              <w:ind w:left="360"/>
              <w:spacing w:after="0"/>
              <w:rPr>
                <w:sz w:val="20"/>
                <w:szCs w:val="20"/>
                <w:color w:val="auto"/>
              </w:rPr>
            </w:pPr>
            <w:r>
              <w:rPr>
                <w:rFonts w:ascii="Arial" w:cs="Arial" w:eastAsia="Arial" w:hAnsi="Arial"/>
                <w:sz w:val="17"/>
                <w:szCs w:val="17"/>
                <w:color w:val="auto"/>
              </w:rPr>
              <w:t>Net minimum lease payments</w:t>
            </w:r>
          </w:p>
        </w:tc>
        <w:tc>
          <w:tcPr>
            <w:tcW w:w="260" w:type="dxa"/>
            <w:vAlign w:val="bottom"/>
            <w:shd w:val="clear" w:color="auto" w:fill="DDDDDD"/>
          </w:tcPr>
          <w:p>
            <w:pPr>
              <w:jc w:val="right"/>
              <w:ind w:right="35"/>
              <w:spacing w:after="0"/>
              <w:rPr>
                <w:sz w:val="20"/>
                <w:szCs w:val="20"/>
                <w:color w:val="auto"/>
              </w:rPr>
            </w:pPr>
            <w:r>
              <w:rPr>
                <w:rFonts w:ascii="Arial" w:cs="Arial" w:eastAsia="Arial" w:hAnsi="Arial"/>
                <w:sz w:val="17"/>
                <w:szCs w:val="17"/>
                <w:color w:val="2573BA"/>
              </w:rPr>
              <w:t>$</w:t>
            </w:r>
          </w:p>
        </w:tc>
        <w:tc>
          <w:tcPr>
            <w:tcW w:w="820" w:type="dxa"/>
            <w:vAlign w:val="bottom"/>
            <w:shd w:val="clear" w:color="auto" w:fill="DDDDDD"/>
          </w:tcPr>
          <w:p>
            <w:pPr>
              <w:jc w:val="right"/>
              <w:ind w:right="39"/>
              <w:spacing w:after="0"/>
              <w:rPr>
                <w:sz w:val="20"/>
                <w:szCs w:val="20"/>
                <w:color w:val="auto"/>
              </w:rPr>
            </w:pPr>
            <w:r>
              <w:rPr>
                <w:rFonts w:ascii="Arial" w:cs="Arial" w:eastAsia="Arial" w:hAnsi="Arial"/>
                <w:sz w:val="17"/>
                <w:szCs w:val="17"/>
                <w:color w:val="2573BA"/>
              </w:rPr>
              <w:t>48.3</w:t>
            </w:r>
          </w:p>
        </w:tc>
        <w:tc>
          <w:tcPr>
            <w:tcW w:w="360" w:type="dxa"/>
            <w:vAlign w:val="bottom"/>
            <w:gridSpan w:val="2"/>
            <w:shd w:val="clear" w:color="auto" w:fill="DDDDDD"/>
          </w:tcPr>
          <w:p>
            <w:pPr>
              <w:jc w:val="right"/>
              <w:ind w:right="140"/>
              <w:spacing w:after="0"/>
              <w:rPr>
                <w:sz w:val="20"/>
                <w:szCs w:val="20"/>
                <w:color w:val="auto"/>
              </w:rPr>
            </w:pPr>
            <w:r>
              <w:rPr>
                <w:rFonts w:ascii="Arial" w:cs="Arial" w:eastAsia="Arial" w:hAnsi="Arial"/>
                <w:sz w:val="17"/>
                <w:szCs w:val="17"/>
                <w:color w:val="2573BA"/>
              </w:rPr>
              <w:t>$</w:t>
            </w:r>
          </w:p>
        </w:tc>
        <w:tc>
          <w:tcPr>
            <w:tcW w:w="820" w:type="dxa"/>
            <w:vAlign w:val="bottom"/>
            <w:shd w:val="clear" w:color="auto" w:fill="DDDDDD"/>
          </w:tcPr>
          <w:p>
            <w:pPr>
              <w:jc w:val="right"/>
              <w:ind w:right="39"/>
              <w:spacing w:after="0"/>
              <w:rPr>
                <w:sz w:val="20"/>
                <w:szCs w:val="20"/>
                <w:color w:val="auto"/>
              </w:rPr>
            </w:pPr>
            <w:r>
              <w:rPr>
                <w:rFonts w:ascii="Arial" w:cs="Arial" w:eastAsia="Arial" w:hAnsi="Arial"/>
                <w:sz w:val="17"/>
                <w:szCs w:val="17"/>
                <w:color w:val="2573BA"/>
              </w:rPr>
              <w:t>47.6</w:t>
            </w:r>
          </w:p>
        </w:tc>
        <w:tc>
          <w:tcPr>
            <w:tcW w:w="100" w:type="dxa"/>
            <w:vAlign w:val="bottom"/>
            <w:shd w:val="clear" w:color="auto" w:fill="DDDDDD"/>
          </w:tcPr>
          <w:p>
            <w:pPr>
              <w:spacing w:after="0"/>
              <w:rPr>
                <w:sz w:val="20"/>
                <w:szCs w:val="20"/>
                <w:color w:val="auto"/>
              </w:rPr>
            </w:pPr>
          </w:p>
        </w:tc>
        <w:tc>
          <w:tcPr>
            <w:tcW w:w="240" w:type="dxa"/>
            <w:vAlign w:val="bottom"/>
            <w:shd w:val="clear" w:color="auto" w:fill="DDDDDD"/>
          </w:tcPr>
          <w:p>
            <w:pPr>
              <w:jc w:val="right"/>
              <w:ind w:right="35"/>
              <w:spacing w:after="0"/>
              <w:rPr>
                <w:sz w:val="20"/>
                <w:szCs w:val="20"/>
                <w:color w:val="auto"/>
              </w:rPr>
            </w:pPr>
            <w:r>
              <w:rPr>
                <w:rFonts w:ascii="Arial" w:cs="Arial" w:eastAsia="Arial" w:hAnsi="Arial"/>
                <w:sz w:val="17"/>
                <w:szCs w:val="17"/>
                <w:color w:val="2573BA"/>
              </w:rPr>
              <w:t>$</w:t>
            </w:r>
          </w:p>
        </w:tc>
        <w:tc>
          <w:tcPr>
            <w:tcW w:w="78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44.5</w:t>
            </w:r>
          </w:p>
        </w:tc>
        <w:tc>
          <w:tcPr>
            <w:tcW w:w="100" w:type="dxa"/>
            <w:vAlign w:val="bottom"/>
            <w:shd w:val="clear" w:color="auto" w:fill="DDDDDD"/>
          </w:tcPr>
          <w:p>
            <w:pPr>
              <w:spacing w:after="0"/>
              <w:rPr>
                <w:sz w:val="20"/>
                <w:szCs w:val="20"/>
                <w:color w:val="auto"/>
              </w:rPr>
            </w:pPr>
          </w:p>
        </w:tc>
        <w:tc>
          <w:tcPr>
            <w:tcW w:w="240" w:type="dxa"/>
            <w:vAlign w:val="bottom"/>
            <w:shd w:val="clear" w:color="auto" w:fill="DDDDDD"/>
          </w:tcPr>
          <w:p>
            <w:pPr>
              <w:jc w:val="right"/>
              <w:ind w:right="35"/>
              <w:spacing w:after="0"/>
              <w:rPr>
                <w:sz w:val="20"/>
                <w:szCs w:val="20"/>
                <w:color w:val="auto"/>
              </w:rPr>
            </w:pPr>
            <w:r>
              <w:rPr>
                <w:rFonts w:ascii="Arial" w:cs="Arial" w:eastAsia="Arial" w:hAnsi="Arial"/>
                <w:sz w:val="17"/>
                <w:szCs w:val="17"/>
                <w:color w:val="2573BA"/>
              </w:rPr>
              <w:t>$</w:t>
            </w:r>
          </w:p>
        </w:tc>
        <w:tc>
          <w:tcPr>
            <w:tcW w:w="78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44.6</w:t>
            </w:r>
          </w:p>
        </w:tc>
        <w:tc>
          <w:tcPr>
            <w:tcW w:w="100" w:type="dxa"/>
            <w:vAlign w:val="bottom"/>
            <w:shd w:val="clear" w:color="auto" w:fill="DDDDDD"/>
          </w:tcPr>
          <w:p>
            <w:pPr>
              <w:spacing w:after="0"/>
              <w:rPr>
                <w:sz w:val="20"/>
                <w:szCs w:val="20"/>
                <w:color w:val="auto"/>
              </w:rPr>
            </w:pPr>
          </w:p>
        </w:tc>
        <w:tc>
          <w:tcPr>
            <w:tcW w:w="240" w:type="dxa"/>
            <w:vAlign w:val="bottom"/>
            <w:shd w:val="clear" w:color="auto" w:fill="DDDDDD"/>
          </w:tcPr>
          <w:p>
            <w:pPr>
              <w:jc w:val="right"/>
              <w:ind w:right="35"/>
              <w:spacing w:after="0"/>
              <w:rPr>
                <w:sz w:val="20"/>
                <w:szCs w:val="20"/>
                <w:color w:val="auto"/>
              </w:rPr>
            </w:pPr>
            <w:r>
              <w:rPr>
                <w:rFonts w:ascii="Arial" w:cs="Arial" w:eastAsia="Arial" w:hAnsi="Arial"/>
                <w:sz w:val="17"/>
                <w:szCs w:val="17"/>
                <w:color w:val="2573BA"/>
              </w:rPr>
              <w:t>$</w:t>
            </w:r>
          </w:p>
        </w:tc>
        <w:tc>
          <w:tcPr>
            <w:tcW w:w="800" w:type="dxa"/>
            <w:vAlign w:val="bottom"/>
            <w:shd w:val="clear" w:color="auto" w:fill="DDDDDD"/>
          </w:tcPr>
          <w:p>
            <w:pPr>
              <w:jc w:val="right"/>
              <w:ind w:right="39"/>
              <w:spacing w:after="0"/>
              <w:rPr>
                <w:sz w:val="20"/>
                <w:szCs w:val="20"/>
                <w:color w:val="auto"/>
              </w:rPr>
            </w:pPr>
            <w:r>
              <w:rPr>
                <w:rFonts w:ascii="Arial" w:cs="Arial" w:eastAsia="Arial" w:hAnsi="Arial"/>
                <w:sz w:val="17"/>
                <w:szCs w:val="17"/>
                <w:color w:val="2573BA"/>
              </w:rPr>
              <w:t>43.7</w:t>
            </w:r>
          </w:p>
        </w:tc>
        <w:tc>
          <w:tcPr>
            <w:tcW w:w="100" w:type="dxa"/>
            <w:vAlign w:val="bottom"/>
            <w:shd w:val="clear" w:color="auto" w:fill="DDDDDD"/>
          </w:tcPr>
          <w:p>
            <w:pPr>
              <w:spacing w:after="0"/>
              <w:rPr>
                <w:sz w:val="20"/>
                <w:szCs w:val="20"/>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88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199.8</w:t>
            </w:r>
          </w:p>
        </w:tc>
        <w:tc>
          <w:tcPr>
            <w:tcW w:w="100" w:type="dxa"/>
            <w:vAlign w:val="bottom"/>
            <w:shd w:val="clear" w:color="auto" w:fill="DDDDDD"/>
          </w:tcPr>
          <w:p>
            <w:pPr>
              <w:spacing w:after="0"/>
              <w:rPr>
                <w:sz w:val="20"/>
                <w:szCs w:val="20"/>
                <w:color w:val="auto"/>
              </w:rPr>
            </w:pPr>
          </w:p>
        </w:tc>
        <w:tc>
          <w:tcPr>
            <w:tcW w:w="240" w:type="dxa"/>
            <w:vAlign w:val="bottom"/>
            <w:shd w:val="clear" w:color="auto" w:fill="DDDDDD"/>
          </w:tcPr>
          <w:p>
            <w:pPr>
              <w:jc w:val="right"/>
              <w:ind w:right="35"/>
              <w:spacing w:after="0"/>
              <w:rPr>
                <w:sz w:val="20"/>
                <w:szCs w:val="20"/>
                <w:color w:val="auto"/>
              </w:rPr>
            </w:pPr>
            <w:r>
              <w:rPr>
                <w:rFonts w:ascii="Arial" w:cs="Arial" w:eastAsia="Arial" w:hAnsi="Arial"/>
                <w:sz w:val="17"/>
                <w:szCs w:val="17"/>
                <w:color w:val="2573BA"/>
              </w:rPr>
              <w:t>$</w:t>
            </w:r>
          </w:p>
        </w:tc>
        <w:tc>
          <w:tcPr>
            <w:tcW w:w="78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428.5</w:t>
            </w:r>
          </w:p>
        </w:tc>
      </w:tr>
      <w:tr>
        <w:trPr>
          <w:trHeight w:val="20"/>
        </w:trPr>
        <w:tc>
          <w:tcPr>
            <w:tcW w:w="3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left="380" w:right="80" w:hanging="301"/>
        <w:spacing w:after="0" w:line="266" w:lineRule="auto"/>
        <w:tabs>
          <w:tab w:leader="none" w:pos="38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Represents sublease income expected to be received for the vacated manufacturing facility in Cambridge, MA, the vacated portion of our Weston, MA facility and other facilities throughout the world.</w:t>
      </w:r>
    </w:p>
    <w:p>
      <w:pPr>
        <w:spacing w:after="0" w:line="127" w:lineRule="exact"/>
        <w:rPr>
          <w:sz w:val="20"/>
          <w:szCs w:val="20"/>
          <w:color w:val="auto"/>
        </w:rPr>
      </w:pPr>
    </w:p>
    <w:p>
      <w:pPr>
        <w:ind w:left="60" w:firstLine="384"/>
        <w:spacing w:after="0" w:line="254" w:lineRule="auto"/>
        <w:rPr>
          <w:sz w:val="20"/>
          <w:szCs w:val="20"/>
          <w:color w:val="auto"/>
        </w:rPr>
      </w:pPr>
      <w:r>
        <w:rPr>
          <w:rFonts w:ascii="Arial" w:cs="Arial" w:eastAsia="Arial" w:hAnsi="Arial"/>
          <w:sz w:val="17"/>
          <w:szCs w:val="17"/>
          <w:color w:val="auto"/>
        </w:rPr>
        <w:t>Under certain of our lease agreements, we are contractually obligated to return leased space to its original condition upon termination of the lease agreement. At the inception of a lease with such conditions, we record an asset retirement obligation liability and a corresponding capital asset in an amount equal to the estimated fair value of the obligation. In subsequent periods, for each such lease, we record interest expense to accrete the asset retirement obligation liability to full value and depreciate each capitalized asset retirement obligation asset, both over the term of the associated lease agreement. Our asset retirement obligations were not significant as of December 31, 2017 or 2016.</w:t>
      </w:r>
    </w:p>
    <w:p>
      <w:pPr>
        <w:spacing w:after="0" w:line="202" w:lineRule="exact"/>
        <w:rPr>
          <w:sz w:val="20"/>
          <w:szCs w:val="20"/>
          <w:color w:val="auto"/>
        </w:rPr>
      </w:pPr>
    </w:p>
    <w:p>
      <w:pPr>
        <w:ind w:left="620" w:hanging="618"/>
        <w:spacing w:after="0"/>
        <w:tabs>
          <w:tab w:leader="none" w:pos="620" w:val="left"/>
        </w:tabs>
        <w:numPr>
          <w:ilvl w:val="0"/>
          <w:numId w:val="123"/>
        </w:numPr>
        <w:rPr>
          <w:rFonts w:ascii="Arial" w:cs="Arial" w:eastAsia="Arial" w:hAnsi="Arial"/>
          <w:sz w:val="20"/>
          <w:szCs w:val="20"/>
          <w:b w:val="1"/>
          <w:bCs w:val="1"/>
          <w:color w:val="578196"/>
        </w:rPr>
      </w:pPr>
      <w:r>
        <w:rPr>
          <w:rFonts w:ascii="Arial" w:cs="Arial" w:eastAsia="Arial" w:hAnsi="Arial"/>
          <w:sz w:val="20"/>
          <w:szCs w:val="20"/>
          <w:b w:val="1"/>
          <w:bCs w:val="1"/>
          <w:color w:val="578196"/>
        </w:rPr>
        <w:t>Guarantees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December 31, 2017 and 2016, we did not have significant liabilities recorded for guarantees.</w:t>
      </w:r>
    </w:p>
    <w:p>
      <w:pPr>
        <w:spacing w:after="0" w:line="163" w:lineRule="exact"/>
        <w:rPr>
          <w:sz w:val="20"/>
          <w:szCs w:val="20"/>
          <w:color w:val="auto"/>
        </w:rPr>
      </w:pPr>
    </w:p>
    <w:p>
      <w:pPr>
        <w:ind w:right="160" w:firstLine="410"/>
        <w:spacing w:after="0" w:line="253" w:lineRule="auto"/>
        <w:rPr>
          <w:sz w:val="20"/>
          <w:szCs w:val="20"/>
          <w:color w:val="auto"/>
        </w:rPr>
      </w:pPr>
      <w:r>
        <w:rPr>
          <w:rFonts w:ascii="Arial" w:cs="Arial" w:eastAsia="Arial" w:hAnsi="Arial"/>
          <w:sz w:val="17"/>
          <w:szCs w:val="17"/>
          <w:color w:val="auto"/>
        </w:rPr>
        <w:t>We enter into indemnification provisions under our agreements with other companies in the ordinary course of business, typically with business partners, contractors, clinical sites and customers. Under these provisions, we generally indemnify and hold harmless the indemnified party for losses suffered or incurred by the indemnified party as a result of our activities. These indemnification provisions generally survive termination of the underlying agreement. The maximum potential amount of future payments we could be required to make under these indemnification provisions is unlimited. However, to date we have not incurred material costs to defend lawsuits or settle claims related to these indemnification provisions. As a result, the estimated fair value of these agreements is minimal. Accordingly, we have no liabilities recorded for these agreements as of December 31, 2017 and 2016.</w:t>
      </w:r>
    </w:p>
    <w:p>
      <w:pPr>
        <w:spacing w:after="0" w:line="204" w:lineRule="exact"/>
        <w:rPr>
          <w:sz w:val="20"/>
          <w:szCs w:val="20"/>
          <w:color w:val="auto"/>
        </w:rPr>
      </w:pPr>
    </w:p>
    <w:p>
      <w:pPr>
        <w:ind w:left="620" w:hanging="618"/>
        <w:spacing w:after="0"/>
        <w:tabs>
          <w:tab w:leader="none" w:pos="620" w:val="left"/>
        </w:tabs>
        <w:numPr>
          <w:ilvl w:val="0"/>
          <w:numId w:val="124"/>
        </w:numPr>
        <w:rPr>
          <w:rFonts w:ascii="Arial" w:cs="Arial" w:eastAsia="Arial" w:hAnsi="Arial"/>
          <w:sz w:val="20"/>
          <w:szCs w:val="20"/>
          <w:b w:val="1"/>
          <w:bCs w:val="1"/>
          <w:color w:val="578196"/>
        </w:rPr>
      </w:pPr>
      <w:r>
        <w:rPr>
          <w:rFonts w:ascii="Arial" w:cs="Arial" w:eastAsia="Arial" w:hAnsi="Arial"/>
          <w:sz w:val="20"/>
          <w:szCs w:val="20"/>
          <w:b w:val="1"/>
          <w:bCs w:val="1"/>
          <w:color w:val="578196"/>
        </w:rPr>
        <w:t>Employee Benefit Plans</w:t>
      </w:r>
    </w:p>
    <w:p>
      <w:pPr>
        <w:spacing w:after="0" w:line="109" w:lineRule="exact"/>
        <w:rPr>
          <w:sz w:val="20"/>
          <w:szCs w:val="20"/>
          <w:color w:val="auto"/>
        </w:rPr>
      </w:pPr>
    </w:p>
    <w:p>
      <w:pPr>
        <w:ind w:right="20" w:firstLine="410"/>
        <w:spacing w:after="0" w:line="262" w:lineRule="auto"/>
        <w:rPr>
          <w:sz w:val="20"/>
          <w:szCs w:val="20"/>
          <w:color w:val="auto"/>
        </w:rPr>
      </w:pPr>
      <w:r>
        <w:rPr>
          <w:rFonts w:ascii="Arial" w:cs="Arial" w:eastAsia="Arial" w:hAnsi="Arial"/>
          <w:sz w:val="17"/>
          <w:szCs w:val="17"/>
          <w:color w:val="auto"/>
        </w:rPr>
        <w:t>We sponsor various retirement and pension plans. Our estimates of liabilities and expenses for these plans incorporate a number of assumptions, including expected rates of return on plan assets and interest rates used to discount future benefits.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401(k) Savings Plan</w:t>
      </w:r>
    </w:p>
    <w:p>
      <w:pPr>
        <w:spacing w:after="0" w:line="106" w:lineRule="exact"/>
        <w:rPr>
          <w:sz w:val="20"/>
          <w:szCs w:val="20"/>
          <w:color w:val="auto"/>
        </w:rPr>
      </w:pPr>
    </w:p>
    <w:p>
      <w:pPr>
        <w:ind w:right="320" w:firstLine="410"/>
        <w:spacing w:after="0" w:line="254" w:lineRule="auto"/>
        <w:rPr>
          <w:sz w:val="20"/>
          <w:szCs w:val="20"/>
          <w:color w:val="auto"/>
        </w:rPr>
      </w:pPr>
      <w:r>
        <w:rPr>
          <w:rFonts w:ascii="Arial" w:cs="Arial" w:eastAsia="Arial" w:hAnsi="Arial"/>
          <w:sz w:val="17"/>
          <w:szCs w:val="17"/>
          <w:color w:val="auto"/>
        </w:rPr>
        <w:t>We maintain a 401(k) Savings Plan, which is available to substantially all regular employees in the U.S. over the age of 21. Participants may make voluntary contributions. We make matching contributions according to the 401(k) Savings Plan’s matching formula. All matching contributions and participant contributions vest immediately. The 401(k) Savings Plan also holds certain transition contributions on behalf of participants who previously participated in the Biogen, Inc. Retirement Plan. The expense related to our 401(k) Savings Plan primarily consists of our matching contributions.</w:t>
      </w:r>
    </w:p>
    <w:p>
      <w:pPr>
        <w:spacing w:after="0" w:line="144" w:lineRule="exact"/>
        <w:rPr>
          <w:sz w:val="20"/>
          <w:szCs w:val="20"/>
          <w:color w:val="auto"/>
        </w:rPr>
      </w:pPr>
    </w:p>
    <w:p>
      <w:pPr>
        <w:ind w:right="220" w:firstLine="410"/>
        <w:spacing w:after="0" w:line="262" w:lineRule="auto"/>
        <w:rPr>
          <w:sz w:val="20"/>
          <w:szCs w:val="20"/>
          <w:color w:val="auto"/>
        </w:rPr>
      </w:pPr>
      <w:r>
        <w:rPr>
          <w:rFonts w:ascii="Arial" w:cs="Arial" w:eastAsia="Arial" w:hAnsi="Arial"/>
          <w:sz w:val="17"/>
          <w:szCs w:val="17"/>
          <w:color w:val="auto"/>
        </w:rPr>
        <w:t>Expense related to our 401(k) Savings Plan totaled $42.6 million, $45.2 million and $51.8 million for the years ended December 31, 2017, 2016 and 2015, respectively.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F- 71</w:t>
      </w:r>
    </w:p>
    <w:p>
      <w:pPr>
        <w:sectPr>
          <w:pgSz w:w="11900" w:h="16838" w:orient="portrait"/>
          <w:cols w:equalWidth="0" w:num="1">
            <w:col w:w="11420"/>
          </w:cols>
          <w:pgMar w:left="240" w:top="139" w:right="239" w:bottom="1440" w:gutter="0" w:footer="0" w:header="0"/>
        </w:sectPr>
      </w:pPr>
    </w:p>
    <w:bookmarkStart w:id="173" w:name="page174"/>
    <w:bookmarkEnd w:id="17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Deferred Compensation Plan</w:t>
      </w:r>
    </w:p>
    <w:p>
      <w:pPr>
        <w:spacing w:after="0" w:line="106" w:lineRule="exact"/>
        <w:rPr>
          <w:sz w:val="20"/>
          <w:szCs w:val="20"/>
          <w:color w:val="auto"/>
        </w:rPr>
      </w:pPr>
    </w:p>
    <w:p>
      <w:pPr>
        <w:ind w:right="40" w:firstLine="410"/>
        <w:spacing w:after="0" w:line="253" w:lineRule="auto"/>
        <w:rPr>
          <w:sz w:val="20"/>
          <w:szCs w:val="20"/>
          <w:color w:val="auto"/>
        </w:rPr>
      </w:pPr>
      <w:r>
        <w:rPr>
          <w:rFonts w:ascii="Arial" w:cs="Arial" w:eastAsia="Arial" w:hAnsi="Arial"/>
          <w:sz w:val="17"/>
          <w:szCs w:val="17"/>
          <w:color w:val="auto"/>
        </w:rPr>
        <w:t>We maintain a non-qualified deferred compensation plan, known as the Supplemental Savings Plan (SSP), which allows a select group of management employees in the U.S. to defer a portion of their compensation. The SSP also provides certain credits to highly compensated U.S. employees that are paid by the company. These credits are known as the Restoration Match. The deferred compensation amounts are accrued when earned. Such deferred compensation is distributable in cash in accordance with the rules of the SSP. Deferred compensation amounts under such plan as of December 31, 2017 and 2016 totaled approximately $109.8 million and $128.5 million, respectively, and are included in other long-term liabilities in our consolidated balance sheets. The SSP also holds certain transition contributions on behalf of participants who previously participated in the Biogen, Inc. Retirement Plan. The Restoration Match and participant contributions vest immediately. Distributions to participants can be either in one lump sum payment or annual installments as elected by the participants.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Pension Plans</w:t>
      </w:r>
    </w:p>
    <w:p>
      <w:pPr>
        <w:spacing w:after="0" w:line="106" w:lineRule="exact"/>
        <w:rPr>
          <w:sz w:val="20"/>
          <w:szCs w:val="20"/>
          <w:color w:val="auto"/>
        </w:rPr>
      </w:pPr>
    </w:p>
    <w:p>
      <w:pPr>
        <w:ind w:right="340" w:firstLine="410"/>
        <w:spacing w:after="0" w:line="262" w:lineRule="auto"/>
        <w:rPr>
          <w:sz w:val="20"/>
          <w:szCs w:val="20"/>
          <w:color w:val="auto"/>
        </w:rPr>
      </w:pPr>
      <w:r>
        <w:rPr>
          <w:rFonts w:ascii="Arial" w:cs="Arial" w:eastAsia="Arial" w:hAnsi="Arial"/>
          <w:sz w:val="17"/>
          <w:szCs w:val="17"/>
          <w:color w:val="auto"/>
        </w:rPr>
        <w:t>Our retiree benefit plans include defined benefit plans for employees in our affiliates in Switzerland and Germany as well as other insignificant defined benefit plans in certain other countries where we maintain an operating presence.</w:t>
      </w:r>
    </w:p>
    <w:p>
      <w:pPr>
        <w:spacing w:after="0" w:line="137" w:lineRule="exact"/>
        <w:rPr>
          <w:sz w:val="20"/>
          <w:szCs w:val="20"/>
          <w:color w:val="auto"/>
        </w:rPr>
      </w:pPr>
    </w:p>
    <w:p>
      <w:pPr>
        <w:ind w:right="80" w:firstLine="410"/>
        <w:spacing w:after="0" w:line="254" w:lineRule="auto"/>
        <w:rPr>
          <w:sz w:val="20"/>
          <w:szCs w:val="20"/>
          <w:color w:val="auto"/>
        </w:rPr>
      </w:pPr>
      <w:r>
        <w:rPr>
          <w:rFonts w:ascii="Arial" w:cs="Arial" w:eastAsia="Arial" w:hAnsi="Arial"/>
          <w:sz w:val="17"/>
          <w:szCs w:val="17"/>
          <w:color w:val="auto"/>
        </w:rPr>
        <w:t>Our Swiss plan is a government-mandated retirement fund that provides employees with a minimum investment return. The minimum investment return is determined annually by the Swiss government and was 1.00% in 2017 and 1.25% in 2016 and 1.75% in 2015, respectively. Under the Swiss plan, both we and certain of our employees with annual earnings in excess of government determined amounts are required to make contributions into a fund managed by an independent investment fiduciary. Employer contributions must be in an amount at least equal to the employee’s contribution. Minimum employee contributions are based on the respective employee’s age, salary and gender.</w:t>
      </w:r>
    </w:p>
    <w:p>
      <w:pPr>
        <w:spacing w:after="0" w:line="144" w:lineRule="exact"/>
        <w:rPr>
          <w:sz w:val="20"/>
          <w:szCs w:val="20"/>
          <w:color w:val="auto"/>
        </w:rPr>
      </w:pPr>
    </w:p>
    <w:p>
      <w:pPr>
        <w:ind w:right="120" w:firstLine="410"/>
        <w:spacing w:after="0" w:line="257" w:lineRule="auto"/>
        <w:rPr>
          <w:sz w:val="20"/>
          <w:szCs w:val="20"/>
          <w:color w:val="auto"/>
        </w:rPr>
      </w:pPr>
      <w:r>
        <w:rPr>
          <w:rFonts w:ascii="Arial" w:cs="Arial" w:eastAsia="Arial" w:hAnsi="Arial"/>
          <w:sz w:val="17"/>
          <w:szCs w:val="17"/>
          <w:color w:val="auto"/>
        </w:rPr>
        <w:t>As of December 31, 2017 and 2016, the Swiss plan had an unfunded net pension obligation of approximately $48.3 million and $39.1 million, respectively, and plan assets that totaled approximately $83.7 million and $68.6 million, respectively. In 2017, 2016 and 2015, we recognized expense totaling $12.3 million, $15.3 million and $12.9 million, respectively, related to our Swiss plan.</w:t>
      </w:r>
    </w:p>
    <w:p>
      <w:pPr>
        <w:spacing w:after="0" w:line="140" w:lineRule="exact"/>
        <w:rPr>
          <w:sz w:val="20"/>
          <w:szCs w:val="20"/>
          <w:color w:val="auto"/>
        </w:rPr>
      </w:pPr>
    </w:p>
    <w:p>
      <w:pPr>
        <w:ind w:right="40" w:firstLine="410"/>
        <w:spacing w:after="0" w:line="257" w:lineRule="auto"/>
        <w:rPr>
          <w:sz w:val="20"/>
          <w:szCs w:val="20"/>
          <w:color w:val="auto"/>
        </w:rPr>
      </w:pPr>
      <w:r>
        <w:rPr>
          <w:rFonts w:ascii="Arial" w:cs="Arial" w:eastAsia="Arial" w:hAnsi="Arial"/>
          <w:sz w:val="17"/>
          <w:szCs w:val="17"/>
          <w:color w:val="auto"/>
        </w:rPr>
        <w:t>The obligations under the German plans are unfunded and totaled $43.5 million and $35.4 million as of December 31, 2017 and 2016, respectively. Net periodic pension cost related to the German plans totaled $5.2 million, $4.2 million and $4.0 million for the years ended December 31, 2017, 2016 and 2015, respectively.</w:t>
      </w:r>
    </w:p>
    <w:p>
      <w:pPr>
        <w:spacing w:after="0" w:line="199" w:lineRule="exact"/>
        <w:rPr>
          <w:sz w:val="20"/>
          <w:szCs w:val="20"/>
          <w:color w:val="auto"/>
        </w:rPr>
      </w:pPr>
    </w:p>
    <w:p>
      <w:pPr>
        <w:ind w:left="620" w:hanging="618"/>
        <w:spacing w:after="0"/>
        <w:tabs>
          <w:tab w:leader="none" w:pos="620" w:val="left"/>
        </w:tabs>
        <w:numPr>
          <w:ilvl w:val="0"/>
          <w:numId w:val="125"/>
        </w:numPr>
        <w:rPr>
          <w:rFonts w:ascii="Arial" w:cs="Arial" w:eastAsia="Arial" w:hAnsi="Arial"/>
          <w:sz w:val="20"/>
          <w:szCs w:val="20"/>
          <w:b w:val="1"/>
          <w:bCs w:val="1"/>
          <w:color w:val="578196"/>
        </w:rPr>
      </w:pPr>
      <w:r>
        <w:rPr>
          <w:rFonts w:ascii="Arial" w:cs="Arial" w:eastAsia="Arial" w:hAnsi="Arial"/>
          <w:sz w:val="20"/>
          <w:szCs w:val="20"/>
          <w:b w:val="1"/>
          <w:bCs w:val="1"/>
          <w:color w:val="578196"/>
        </w:rPr>
        <w:t>Segment Information</w:t>
      </w:r>
    </w:p>
    <w:p>
      <w:pPr>
        <w:spacing w:after="0" w:line="109"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We operate as one operating segment, focused on discovering, developing and delivering worldwide innovative therapies for people living with serious neurological and neurodegenerative diseases. Our Chief Executive Officer (CEO), as the chief operating decision-maker, manages and allocates resources to the operations of our company on a total company basis. Our research and development organization is responsible for the research and discovery of new product candidates and supports development and registration efforts for potential future products. Our pharmaceutical, operations and technology organization manages the development of the manufacturing processes, clinical trial supply, commercial product supply, distribution, buildings and facilities. Our commercial organization is responsible for U.S. and international development of our commercial products. The company is also supported by corporate staff functions. Managing and allocating resources on a total company basis enables our CEO to assess the overall level of resources available and how to best deploy these resources across functions, therapeutic areas and research and development projects that are in line with our long-term company-wide strategic goals. Consistent with this decision-making process, our CEO uses consolidated, single-segment financial information for purposes of evaluating performance, forecasting future period financial results, allocating resources and setting incentive targets.</w:t>
      </w:r>
    </w:p>
    <w:p>
      <w:pPr>
        <w:spacing w:after="0" w:line="150" w:lineRule="exact"/>
        <w:rPr>
          <w:sz w:val="20"/>
          <w:szCs w:val="20"/>
          <w:color w:val="auto"/>
        </w:rPr>
      </w:pPr>
    </w:p>
    <w:p>
      <w:pPr>
        <w:ind w:right="220" w:firstLine="384"/>
        <w:spacing w:after="0" w:line="262" w:lineRule="auto"/>
        <w:rPr>
          <w:sz w:val="20"/>
          <w:szCs w:val="20"/>
          <w:color w:val="auto"/>
        </w:rPr>
      </w:pPr>
      <w:r>
        <w:rPr>
          <w:rFonts w:ascii="Arial" w:cs="Arial" w:eastAsia="Arial" w:hAnsi="Arial"/>
          <w:sz w:val="17"/>
          <w:szCs w:val="17"/>
          <w:color w:val="auto"/>
        </w:rPr>
        <w:t>Enterprise-wide disclosures about product revenues, other revenues and long-lived assets by geographic area and information relating to major customers are presented below. Revenues are primarily attributed to individual countries based on location of the customer or licensee.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F- 72</w:t>
      </w:r>
    </w:p>
    <w:p>
      <w:pPr>
        <w:sectPr>
          <w:pgSz w:w="11900" w:h="16838" w:orient="portrait"/>
          <w:cols w:equalWidth="0" w:num="1">
            <w:col w:w="11420"/>
          </w:cols>
          <w:pgMar w:left="240" w:top="139" w:right="239" w:bottom="1440" w:gutter="0" w:footer="0" w:header="0"/>
        </w:sectPr>
      </w:pPr>
    </w:p>
    <w:bookmarkStart w:id="174" w:name="page175"/>
    <w:bookmarkEnd w:id="17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9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Revenues by product are summarized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8"/>
          </w:tcPr>
          <w:p>
            <w:pPr>
              <w:ind w:left="140"/>
              <w:spacing w:after="0"/>
              <w:rPr>
                <w:sz w:val="20"/>
                <w:szCs w:val="20"/>
                <w:color w:val="auto"/>
              </w:rPr>
            </w:pPr>
            <w:r>
              <w:rPr>
                <w:rFonts w:ascii="Arial" w:cs="Arial" w:eastAsia="Arial" w:hAnsi="Arial"/>
                <w:sz w:val="14"/>
                <w:szCs w:val="14"/>
                <w:b w:val="1"/>
                <w:bCs w:val="1"/>
                <w:color w:val="auto"/>
              </w:rPr>
              <w:t>For the Years Ended December 31,</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60" w:type="dxa"/>
            <w:vAlign w:val="bottom"/>
          </w:tcPr>
          <w:p>
            <w:pPr>
              <w:spacing w:after="0"/>
              <w:rPr>
                <w:sz w:val="21"/>
                <w:szCs w:val="21"/>
                <w:color w:val="auto"/>
              </w:rPr>
            </w:pPr>
          </w:p>
        </w:tc>
        <w:tc>
          <w:tcPr>
            <w:tcW w:w="180" w:type="dxa"/>
            <w:vAlign w:val="bottom"/>
            <w:tcBorders>
              <w:bottom w:val="single" w:sz="8" w:color="auto"/>
            </w:tcBorders>
            <w:shd w:val="clear" w:color="auto" w:fill="DDDDDD"/>
          </w:tcPr>
          <w:p>
            <w:pPr>
              <w:spacing w:after="0"/>
              <w:rPr>
                <w:sz w:val="21"/>
                <w:szCs w:val="21"/>
                <w:color w:val="auto"/>
              </w:rPr>
            </w:pPr>
          </w:p>
        </w:tc>
        <w:tc>
          <w:tcPr>
            <w:tcW w:w="640" w:type="dxa"/>
            <w:vAlign w:val="bottom"/>
            <w:tcBorders>
              <w:bottom w:val="single" w:sz="8" w:color="auto"/>
            </w:tcBorders>
            <w:shd w:val="clear" w:color="auto" w:fill="DDDDDD"/>
          </w:tcPr>
          <w:p>
            <w:pPr>
              <w:spacing w:after="0"/>
              <w:rPr>
                <w:sz w:val="21"/>
                <w:szCs w:val="21"/>
                <w:color w:val="auto"/>
              </w:rPr>
            </w:pPr>
          </w:p>
        </w:tc>
        <w:tc>
          <w:tcPr>
            <w:tcW w:w="100" w:type="dxa"/>
            <w:vAlign w:val="bottom"/>
            <w:tcBorders>
              <w:bottom w:val="single" w:sz="8" w:color="auto"/>
            </w:tcBorders>
            <w:shd w:val="clear" w:color="auto" w:fill="DDDDDD"/>
          </w:tcPr>
          <w:p>
            <w:pPr>
              <w:spacing w:after="0"/>
              <w:rPr>
                <w:sz w:val="21"/>
                <w:szCs w:val="21"/>
                <w:color w:val="auto"/>
              </w:rPr>
            </w:pPr>
          </w:p>
        </w:tc>
        <w:tc>
          <w:tcPr>
            <w:tcW w:w="120" w:type="dxa"/>
            <w:vAlign w:val="bottom"/>
            <w:tcBorders>
              <w:bottom w:val="single" w:sz="8" w:color="auto"/>
            </w:tcBorders>
            <w:shd w:val="clear" w:color="auto" w:fill="DDDDDD"/>
          </w:tcPr>
          <w:p>
            <w:pPr>
              <w:spacing w:after="0"/>
              <w:rPr>
                <w:sz w:val="21"/>
                <w:szCs w:val="21"/>
                <w:color w:val="auto"/>
              </w:rPr>
            </w:pPr>
          </w:p>
        </w:tc>
        <w:tc>
          <w:tcPr>
            <w:tcW w:w="200" w:type="dxa"/>
            <w:vAlign w:val="bottom"/>
            <w:tcBorders>
              <w:bottom w:val="single" w:sz="8" w:color="auto"/>
            </w:tcBorders>
            <w:shd w:val="clear" w:color="auto" w:fill="DDDDDD"/>
          </w:tcPr>
          <w:p>
            <w:pPr>
              <w:spacing w:after="0"/>
              <w:rPr>
                <w:sz w:val="21"/>
                <w:szCs w:val="21"/>
                <w:color w:val="auto"/>
              </w:rPr>
            </w:pPr>
          </w:p>
        </w:tc>
        <w:tc>
          <w:tcPr>
            <w:tcW w:w="72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2573BA"/>
                <w:w w:val="96"/>
              </w:rPr>
              <w:t>2017</w:t>
            </w:r>
          </w:p>
        </w:tc>
        <w:tc>
          <w:tcPr>
            <w:tcW w:w="120" w:type="dxa"/>
            <w:vAlign w:val="bottom"/>
            <w:tcBorders>
              <w:bottom w:val="single" w:sz="8" w:color="auto"/>
            </w:tcBorders>
            <w:shd w:val="clear" w:color="auto" w:fill="DDDDDD"/>
          </w:tcPr>
          <w:p>
            <w:pPr>
              <w:spacing w:after="0"/>
              <w:rPr>
                <w:sz w:val="21"/>
                <w:szCs w:val="21"/>
                <w:color w:val="auto"/>
              </w:rPr>
            </w:pPr>
          </w:p>
        </w:tc>
        <w:tc>
          <w:tcPr>
            <w:tcW w:w="120" w:type="dxa"/>
            <w:vAlign w:val="bottom"/>
            <w:tcBorders>
              <w:bottom w:val="single" w:sz="8" w:color="auto"/>
            </w:tcBorders>
            <w:shd w:val="clear" w:color="auto" w:fill="DDDDDD"/>
          </w:tcPr>
          <w:p>
            <w:pPr>
              <w:spacing w:after="0"/>
              <w:rPr>
                <w:sz w:val="21"/>
                <w:szCs w:val="21"/>
                <w:color w:val="auto"/>
              </w:rPr>
            </w:pPr>
          </w:p>
        </w:tc>
        <w:tc>
          <w:tcPr>
            <w:tcW w:w="180" w:type="dxa"/>
            <w:vAlign w:val="bottom"/>
            <w:tcBorders>
              <w:bottom w:val="single" w:sz="8" w:color="auto"/>
            </w:tcBorders>
            <w:shd w:val="clear" w:color="auto" w:fill="DDDDDD"/>
          </w:tcPr>
          <w:p>
            <w:pPr>
              <w:spacing w:after="0"/>
              <w:rPr>
                <w:sz w:val="21"/>
                <w:szCs w:val="21"/>
                <w:color w:val="auto"/>
              </w:rPr>
            </w:pPr>
          </w:p>
        </w:tc>
        <w:tc>
          <w:tcPr>
            <w:tcW w:w="620" w:type="dxa"/>
            <w:vAlign w:val="bottom"/>
            <w:tcBorders>
              <w:bottom w:val="single" w:sz="8" w:color="auto"/>
            </w:tcBorders>
            <w:shd w:val="clear" w:color="auto" w:fill="DDDDDD"/>
          </w:tcPr>
          <w:p>
            <w:pPr>
              <w:spacing w:after="0"/>
              <w:rPr>
                <w:sz w:val="21"/>
                <w:szCs w:val="21"/>
                <w:color w:val="auto"/>
              </w:rPr>
            </w:pPr>
          </w:p>
        </w:tc>
        <w:tc>
          <w:tcPr>
            <w:tcW w:w="120" w:type="dxa"/>
            <w:vAlign w:val="bottom"/>
            <w:tcBorders>
              <w:bottom w:val="single" w:sz="8" w:color="auto"/>
            </w:tcBorders>
            <w:shd w:val="clear" w:color="auto" w:fill="DDDDDD"/>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2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United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Rest of</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United</w:t>
            </w:r>
          </w:p>
        </w:tc>
        <w:tc>
          <w:tcPr>
            <w:tcW w:w="16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Rest of</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United</w:t>
            </w:r>
          </w:p>
        </w:tc>
        <w:tc>
          <w:tcPr>
            <w:tcW w:w="16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Rest of</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6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6"/>
                <w:szCs w:val="16"/>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States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World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States</w:t>
            </w:r>
          </w:p>
        </w:tc>
        <w:tc>
          <w:tcPr>
            <w:tcW w:w="16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World</w:t>
            </w:r>
          </w:p>
        </w:tc>
        <w:tc>
          <w:tcPr>
            <w:tcW w:w="200" w:type="dxa"/>
            <w:vAlign w:val="bottom"/>
          </w:tcPr>
          <w:p>
            <w:pPr>
              <w:spacing w:after="0"/>
              <w:rPr>
                <w:sz w:val="16"/>
                <w:szCs w:val="16"/>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6"/>
                <w:szCs w:val="16"/>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States</w:t>
            </w:r>
          </w:p>
        </w:tc>
        <w:tc>
          <w:tcPr>
            <w:tcW w:w="160" w:type="dxa"/>
            <w:vAlign w:val="bottom"/>
          </w:tcPr>
          <w:p>
            <w:pPr>
              <w:spacing w:after="0"/>
              <w:rPr>
                <w:sz w:val="16"/>
                <w:szCs w:val="16"/>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World</w:t>
            </w:r>
          </w:p>
        </w:tc>
        <w:tc>
          <w:tcPr>
            <w:tcW w:w="200" w:type="dxa"/>
            <w:vAlign w:val="bottom"/>
          </w:tcPr>
          <w:p>
            <w:pPr>
              <w:spacing w:after="0"/>
              <w:rPr>
                <w:sz w:val="16"/>
                <w:szCs w:val="16"/>
                <w:color w:val="auto"/>
              </w:rPr>
            </w:pPr>
          </w:p>
        </w:tc>
        <w:tc>
          <w:tcPr>
            <w:tcW w:w="680" w:type="dxa"/>
            <w:vAlign w:val="bottom"/>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Multiple Sclerosis (MS):</w:t>
            </w:r>
          </w:p>
        </w:tc>
        <w:tc>
          <w:tcPr>
            <w:tcW w:w="180" w:type="dxa"/>
            <w:vAlign w:val="bottom"/>
            <w:tcBorders>
              <w:top w:val="single" w:sz="8" w:color="auto"/>
            </w:tcBorders>
            <w:shd w:val="clear" w:color="auto" w:fill="DDDDDD"/>
          </w:tcPr>
          <w:p>
            <w:pPr>
              <w:spacing w:after="0"/>
              <w:rPr>
                <w:sz w:val="16"/>
                <w:szCs w:val="16"/>
                <w:color w:val="auto"/>
              </w:rPr>
            </w:pPr>
          </w:p>
        </w:tc>
        <w:tc>
          <w:tcPr>
            <w:tcW w:w="640" w:type="dxa"/>
            <w:vAlign w:val="bottom"/>
            <w:tcBorders>
              <w:top w:val="single" w:sz="8" w:color="auto"/>
            </w:tcBorders>
            <w:shd w:val="clear" w:color="auto" w:fill="DDDDDD"/>
          </w:tcPr>
          <w:p>
            <w:pPr>
              <w:spacing w:after="0"/>
              <w:rPr>
                <w:sz w:val="16"/>
                <w:szCs w:val="16"/>
                <w:color w:val="auto"/>
              </w:rPr>
            </w:pPr>
          </w:p>
        </w:tc>
        <w:tc>
          <w:tcPr>
            <w:tcW w:w="100" w:type="dxa"/>
            <w:vAlign w:val="bottom"/>
            <w:tcBorders>
              <w:top w:val="single" w:sz="8" w:color="auto"/>
            </w:tcBorders>
            <w:shd w:val="clear" w:color="auto" w:fill="DDDDDD"/>
          </w:tcPr>
          <w:p>
            <w:pPr>
              <w:spacing w:after="0"/>
              <w:rPr>
                <w:sz w:val="16"/>
                <w:szCs w:val="16"/>
                <w:color w:val="auto"/>
              </w:rPr>
            </w:pPr>
          </w:p>
        </w:tc>
        <w:tc>
          <w:tcPr>
            <w:tcW w:w="120" w:type="dxa"/>
            <w:vAlign w:val="bottom"/>
            <w:tcBorders>
              <w:top w:val="single" w:sz="8" w:color="DDDDDD"/>
            </w:tcBorders>
            <w:shd w:val="clear" w:color="auto" w:fill="DDDDDD"/>
          </w:tcPr>
          <w:p>
            <w:pPr>
              <w:spacing w:after="0"/>
              <w:rPr>
                <w:sz w:val="16"/>
                <w:szCs w:val="16"/>
                <w:color w:val="auto"/>
              </w:rPr>
            </w:pPr>
          </w:p>
        </w:tc>
        <w:tc>
          <w:tcPr>
            <w:tcW w:w="200" w:type="dxa"/>
            <w:vAlign w:val="bottom"/>
            <w:tcBorders>
              <w:top w:val="single" w:sz="8" w:color="auto"/>
            </w:tcBorders>
            <w:shd w:val="clear" w:color="auto" w:fill="DDDDDD"/>
          </w:tcPr>
          <w:p>
            <w:pPr>
              <w:spacing w:after="0"/>
              <w:rPr>
                <w:sz w:val="16"/>
                <w:szCs w:val="16"/>
                <w:color w:val="auto"/>
              </w:rPr>
            </w:pPr>
          </w:p>
        </w:tc>
        <w:tc>
          <w:tcPr>
            <w:tcW w:w="720" w:type="dxa"/>
            <w:vAlign w:val="bottom"/>
            <w:tcBorders>
              <w:top w:val="single" w:sz="8" w:color="auto"/>
            </w:tcBorders>
            <w:shd w:val="clear" w:color="auto" w:fill="DDDDDD"/>
          </w:tcPr>
          <w:p>
            <w:pPr>
              <w:spacing w:after="0"/>
              <w:rPr>
                <w:sz w:val="16"/>
                <w:szCs w:val="16"/>
                <w:color w:val="auto"/>
              </w:rPr>
            </w:pPr>
          </w:p>
        </w:tc>
        <w:tc>
          <w:tcPr>
            <w:tcW w:w="120" w:type="dxa"/>
            <w:vAlign w:val="bottom"/>
            <w:tcBorders>
              <w:top w:val="single" w:sz="8" w:color="auto"/>
            </w:tcBorders>
            <w:shd w:val="clear" w:color="auto" w:fill="DDDDDD"/>
          </w:tcPr>
          <w:p>
            <w:pPr>
              <w:spacing w:after="0"/>
              <w:rPr>
                <w:sz w:val="16"/>
                <w:szCs w:val="16"/>
                <w:color w:val="auto"/>
              </w:rPr>
            </w:pPr>
          </w:p>
        </w:tc>
        <w:tc>
          <w:tcPr>
            <w:tcW w:w="120" w:type="dxa"/>
            <w:vAlign w:val="bottom"/>
            <w:tcBorders>
              <w:top w:val="single" w:sz="8" w:color="DDDDDD"/>
            </w:tcBorders>
            <w:shd w:val="clear" w:color="auto" w:fill="DDDDDD"/>
          </w:tcPr>
          <w:p>
            <w:pPr>
              <w:spacing w:after="0"/>
              <w:rPr>
                <w:sz w:val="16"/>
                <w:szCs w:val="16"/>
                <w:color w:val="auto"/>
              </w:rPr>
            </w:pPr>
          </w:p>
        </w:tc>
        <w:tc>
          <w:tcPr>
            <w:tcW w:w="180" w:type="dxa"/>
            <w:vAlign w:val="bottom"/>
            <w:tcBorders>
              <w:top w:val="single" w:sz="8" w:color="auto"/>
            </w:tcBorders>
            <w:shd w:val="clear" w:color="auto" w:fill="DDDDDD"/>
          </w:tcPr>
          <w:p>
            <w:pPr>
              <w:spacing w:after="0"/>
              <w:rPr>
                <w:sz w:val="16"/>
                <w:szCs w:val="16"/>
                <w:color w:val="auto"/>
              </w:rPr>
            </w:pPr>
          </w:p>
        </w:tc>
        <w:tc>
          <w:tcPr>
            <w:tcW w:w="620" w:type="dxa"/>
            <w:vAlign w:val="bottom"/>
            <w:tcBorders>
              <w:top w:val="single" w:sz="8" w:color="auto"/>
            </w:tcBorders>
            <w:shd w:val="clear" w:color="auto" w:fill="DDDDDD"/>
          </w:tcPr>
          <w:p>
            <w:pPr>
              <w:spacing w:after="0"/>
              <w:rPr>
                <w:sz w:val="16"/>
                <w:szCs w:val="16"/>
                <w:color w:val="auto"/>
              </w:rPr>
            </w:pPr>
          </w:p>
        </w:tc>
        <w:tc>
          <w:tcPr>
            <w:tcW w:w="120" w:type="dxa"/>
            <w:vAlign w:val="bottom"/>
            <w:tcBorders>
              <w:top w:val="single" w:sz="8" w:color="auto"/>
            </w:tcBorders>
            <w:shd w:val="clear" w:color="auto" w:fill="DDDDDD"/>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60" w:type="dxa"/>
            <w:vAlign w:val="bottom"/>
          </w:tcPr>
          <w:p>
            <w:pPr>
              <w:ind w:left="160"/>
              <w:spacing w:after="0"/>
              <w:rPr>
                <w:sz w:val="20"/>
                <w:szCs w:val="20"/>
                <w:color w:val="auto"/>
              </w:rPr>
            </w:pPr>
            <w:r>
              <w:rPr>
                <w:rFonts w:ascii="Arial" w:cs="Arial" w:eastAsia="Arial" w:hAnsi="Arial"/>
                <w:sz w:val="14"/>
                <w:szCs w:val="14"/>
                <w:color w:val="auto"/>
              </w:rPr>
              <w:t>TECFIDERA</w:t>
            </w:r>
          </w:p>
        </w:tc>
        <w:tc>
          <w:tcPr>
            <w:tcW w:w="180" w:type="dxa"/>
            <w:vAlign w:val="bottom"/>
            <w:vMerge w:val="restart"/>
            <w:shd w:val="clear" w:color="auto" w:fill="DDDDDD"/>
          </w:tcPr>
          <w:p>
            <w:pPr>
              <w:jc w:val="right"/>
              <w:ind w:right="12"/>
              <w:spacing w:after="0"/>
              <w:rPr>
                <w:sz w:val="20"/>
                <w:szCs w:val="20"/>
                <w:color w:val="auto"/>
              </w:rPr>
            </w:pPr>
            <w:r>
              <w:rPr>
                <w:rFonts w:ascii="Arial" w:cs="Arial" w:eastAsia="Arial" w:hAnsi="Arial"/>
                <w:sz w:val="14"/>
                <w:szCs w:val="14"/>
                <w:color w:val="2573BA"/>
              </w:rPr>
              <w:t>$</w:t>
            </w:r>
          </w:p>
        </w:tc>
        <w:tc>
          <w:tcPr>
            <w:tcW w:w="6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3,294.0</w:t>
            </w:r>
          </w:p>
        </w:tc>
        <w:tc>
          <w:tcPr>
            <w:tcW w:w="100" w:type="dxa"/>
            <w:vAlign w:val="bottom"/>
            <w:shd w:val="clear" w:color="auto" w:fill="DDDDDD"/>
          </w:tcPr>
          <w:p>
            <w:pPr>
              <w:spacing w:after="0"/>
              <w:rPr>
                <w:sz w:val="22"/>
                <w:szCs w:val="22"/>
                <w:color w:val="auto"/>
              </w:rPr>
            </w:pPr>
          </w:p>
        </w:tc>
        <w:tc>
          <w:tcPr>
            <w:tcW w:w="320" w:type="dxa"/>
            <w:vAlign w:val="bottom"/>
            <w:gridSpan w:val="2"/>
            <w:vMerge w:val="restart"/>
            <w:shd w:val="clear" w:color="auto" w:fill="DDDDDD"/>
          </w:tcPr>
          <w:p>
            <w:pPr>
              <w:jc w:val="right"/>
              <w:ind w:right="32"/>
              <w:spacing w:after="0"/>
              <w:rPr>
                <w:sz w:val="20"/>
                <w:szCs w:val="20"/>
                <w:color w:val="auto"/>
              </w:rPr>
            </w:pPr>
            <w:r>
              <w:rPr>
                <w:rFonts w:ascii="Arial" w:cs="Arial" w:eastAsia="Arial" w:hAnsi="Arial"/>
                <w:sz w:val="14"/>
                <w:szCs w:val="14"/>
                <w:color w:val="2573BA"/>
              </w:rPr>
              <w:t>$</w:t>
            </w:r>
          </w:p>
        </w:tc>
        <w:tc>
          <w:tcPr>
            <w:tcW w:w="840" w:type="dxa"/>
            <w:vAlign w:val="bottom"/>
            <w:gridSpan w:val="2"/>
            <w:vMerge w:val="restart"/>
            <w:shd w:val="clear" w:color="auto" w:fill="DDDDDD"/>
          </w:tcPr>
          <w:p>
            <w:pPr>
              <w:jc w:val="right"/>
              <w:ind w:right="120"/>
              <w:spacing w:after="0"/>
              <w:rPr>
                <w:sz w:val="20"/>
                <w:szCs w:val="20"/>
                <w:color w:val="auto"/>
              </w:rPr>
            </w:pPr>
            <w:r>
              <w:rPr>
                <w:rFonts w:ascii="Arial" w:cs="Arial" w:eastAsia="Arial" w:hAnsi="Arial"/>
                <w:sz w:val="14"/>
                <w:szCs w:val="14"/>
                <w:color w:val="2573BA"/>
              </w:rPr>
              <w:t>920.0</w:t>
            </w:r>
          </w:p>
        </w:tc>
        <w:tc>
          <w:tcPr>
            <w:tcW w:w="300" w:type="dxa"/>
            <w:vAlign w:val="bottom"/>
            <w:gridSpan w:val="2"/>
            <w:vMerge w:val="restart"/>
            <w:shd w:val="clear" w:color="auto" w:fill="DDDDDD"/>
          </w:tcPr>
          <w:p>
            <w:pPr>
              <w:jc w:val="right"/>
              <w:ind w:right="12"/>
              <w:spacing w:after="0"/>
              <w:rPr>
                <w:sz w:val="20"/>
                <w:szCs w:val="20"/>
                <w:color w:val="auto"/>
              </w:rPr>
            </w:pPr>
            <w:r>
              <w:rPr>
                <w:rFonts w:ascii="Arial" w:cs="Arial" w:eastAsia="Arial" w:hAnsi="Arial"/>
                <w:sz w:val="14"/>
                <w:szCs w:val="14"/>
                <w:color w:val="2573BA"/>
              </w:rPr>
              <w:t>$</w:t>
            </w:r>
          </w:p>
        </w:tc>
        <w:tc>
          <w:tcPr>
            <w:tcW w:w="740" w:type="dxa"/>
            <w:vAlign w:val="bottom"/>
            <w:gridSpan w:val="2"/>
            <w:vMerge w:val="restart"/>
            <w:shd w:val="clear" w:color="auto" w:fill="DDDDDD"/>
          </w:tcPr>
          <w:p>
            <w:pPr>
              <w:jc w:val="right"/>
              <w:ind w:right="120"/>
              <w:spacing w:after="0"/>
              <w:rPr>
                <w:sz w:val="20"/>
                <w:szCs w:val="20"/>
                <w:color w:val="auto"/>
              </w:rPr>
            </w:pPr>
            <w:r>
              <w:rPr>
                <w:rFonts w:ascii="Arial" w:cs="Arial" w:eastAsia="Arial" w:hAnsi="Arial"/>
                <w:sz w:val="14"/>
                <w:szCs w:val="14"/>
                <w:color w:val="2573BA"/>
              </w:rPr>
              <w:t>4,214.0</w:t>
            </w:r>
          </w:p>
        </w:tc>
        <w:tc>
          <w:tcPr>
            <w:tcW w:w="3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32"/>
              <w:spacing w:after="0"/>
              <w:rPr>
                <w:sz w:val="20"/>
                <w:szCs w:val="20"/>
                <w:color w:val="auto"/>
              </w:rPr>
            </w:pPr>
            <w:r>
              <w:rPr>
                <w:rFonts w:ascii="Arial" w:cs="Arial" w:eastAsia="Arial" w:hAnsi="Arial"/>
                <w:sz w:val="14"/>
                <w:szCs w:val="14"/>
                <w:color w:val="auto"/>
              </w:rPr>
              <w:t>3,169.4</w:t>
            </w:r>
          </w:p>
        </w:tc>
        <w:tc>
          <w:tcPr>
            <w:tcW w:w="120" w:type="dxa"/>
            <w:vAlign w:val="bottom"/>
          </w:tcPr>
          <w:p>
            <w:pPr>
              <w:spacing w:after="0"/>
              <w:rPr>
                <w:sz w:val="22"/>
                <w:szCs w:val="22"/>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32"/>
              <w:spacing w:after="0"/>
              <w:rPr>
                <w:sz w:val="20"/>
                <w:szCs w:val="20"/>
                <w:color w:val="auto"/>
              </w:rPr>
            </w:pPr>
            <w:r>
              <w:rPr>
                <w:rFonts w:ascii="Arial" w:cs="Arial" w:eastAsia="Arial" w:hAnsi="Arial"/>
                <w:sz w:val="14"/>
                <w:szCs w:val="14"/>
                <w:color w:val="auto"/>
              </w:rPr>
              <w:t>798.7</w:t>
            </w:r>
          </w:p>
        </w:tc>
        <w:tc>
          <w:tcPr>
            <w:tcW w:w="120" w:type="dxa"/>
            <w:vAlign w:val="bottom"/>
          </w:tcPr>
          <w:p>
            <w:pPr>
              <w:spacing w:after="0"/>
              <w:rPr>
                <w:sz w:val="22"/>
                <w:szCs w:val="22"/>
                <w:color w:val="auto"/>
              </w:rPr>
            </w:pPr>
          </w:p>
        </w:tc>
        <w:tc>
          <w:tcPr>
            <w:tcW w:w="200" w:type="dxa"/>
            <w:vAlign w:val="bottom"/>
            <w:vMerge w:val="restart"/>
          </w:tcPr>
          <w:p>
            <w:pPr>
              <w:jc w:val="right"/>
              <w:ind w:right="32"/>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52"/>
              <w:spacing w:after="0"/>
              <w:rPr>
                <w:sz w:val="20"/>
                <w:szCs w:val="20"/>
                <w:color w:val="auto"/>
              </w:rPr>
            </w:pPr>
            <w:r>
              <w:rPr>
                <w:rFonts w:ascii="Arial" w:cs="Arial" w:eastAsia="Arial" w:hAnsi="Arial"/>
                <w:sz w:val="14"/>
                <w:szCs w:val="14"/>
                <w:color w:val="auto"/>
              </w:rPr>
              <w:t>3,968.1</w:t>
            </w:r>
          </w:p>
        </w:tc>
        <w:tc>
          <w:tcPr>
            <w:tcW w:w="120" w:type="dxa"/>
            <w:vAlign w:val="bottom"/>
          </w:tcPr>
          <w:p>
            <w:pPr>
              <w:spacing w:after="0"/>
              <w:rPr>
                <w:sz w:val="22"/>
                <w:szCs w:val="22"/>
                <w:color w:val="auto"/>
              </w:rPr>
            </w:pPr>
          </w:p>
        </w:tc>
        <w:tc>
          <w:tcPr>
            <w:tcW w:w="18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52"/>
              <w:spacing w:after="0"/>
              <w:rPr>
                <w:sz w:val="20"/>
                <w:szCs w:val="20"/>
                <w:color w:val="auto"/>
              </w:rPr>
            </w:pPr>
            <w:r>
              <w:rPr>
                <w:rFonts w:ascii="Arial" w:cs="Arial" w:eastAsia="Arial" w:hAnsi="Arial"/>
                <w:sz w:val="14"/>
                <w:szCs w:val="14"/>
                <w:color w:val="auto"/>
              </w:rPr>
              <w:t>2,908.2</w:t>
            </w:r>
          </w:p>
        </w:tc>
        <w:tc>
          <w:tcPr>
            <w:tcW w:w="120" w:type="dxa"/>
            <w:vAlign w:val="bottom"/>
          </w:tcPr>
          <w:p>
            <w:pPr>
              <w:spacing w:after="0"/>
              <w:rPr>
                <w:sz w:val="22"/>
                <w:szCs w:val="22"/>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32"/>
              <w:spacing w:after="0"/>
              <w:rPr>
                <w:sz w:val="20"/>
                <w:szCs w:val="20"/>
                <w:color w:val="auto"/>
              </w:rPr>
            </w:pPr>
            <w:r>
              <w:rPr>
                <w:rFonts w:ascii="Arial" w:cs="Arial" w:eastAsia="Arial" w:hAnsi="Arial"/>
                <w:sz w:val="14"/>
                <w:szCs w:val="14"/>
                <w:color w:val="auto"/>
              </w:rPr>
              <w:t>730.2</w:t>
            </w:r>
          </w:p>
        </w:tc>
        <w:tc>
          <w:tcPr>
            <w:tcW w:w="100" w:type="dxa"/>
            <w:vAlign w:val="bottom"/>
          </w:tcPr>
          <w:p>
            <w:pPr>
              <w:spacing w:after="0"/>
              <w:rPr>
                <w:sz w:val="22"/>
                <w:szCs w:val="22"/>
                <w:color w:val="auto"/>
              </w:rPr>
            </w:pPr>
          </w:p>
        </w:tc>
        <w:tc>
          <w:tcPr>
            <w:tcW w:w="200" w:type="dxa"/>
            <w:vAlign w:val="bottom"/>
            <w:vMerge w:val="restart"/>
          </w:tcPr>
          <w:p>
            <w:pPr>
              <w:jc w:val="right"/>
              <w:ind w:right="32"/>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31"/>
              <w:spacing w:after="0"/>
              <w:rPr>
                <w:sz w:val="20"/>
                <w:szCs w:val="20"/>
                <w:color w:val="auto"/>
              </w:rPr>
            </w:pPr>
            <w:r>
              <w:rPr>
                <w:rFonts w:ascii="Arial" w:cs="Arial" w:eastAsia="Arial" w:hAnsi="Arial"/>
                <w:sz w:val="14"/>
                <w:szCs w:val="14"/>
                <w:color w:val="auto"/>
              </w:rPr>
              <w:t>3,638.4</w:t>
            </w:r>
          </w:p>
        </w:tc>
        <w:tc>
          <w:tcPr>
            <w:tcW w:w="0" w:type="dxa"/>
            <w:vAlign w:val="bottom"/>
          </w:tcPr>
          <w:p>
            <w:pPr>
              <w:spacing w:after="0"/>
              <w:rPr>
                <w:sz w:val="1"/>
                <w:szCs w:val="1"/>
                <w:color w:val="auto"/>
              </w:rPr>
            </w:pPr>
          </w:p>
        </w:tc>
      </w:tr>
      <w:tr>
        <w:trPr>
          <w:trHeight w:val="51"/>
        </w:trPr>
        <w:tc>
          <w:tcPr>
            <w:tcW w:w="2060" w:type="dxa"/>
            <w:vAlign w:val="bottom"/>
          </w:tcPr>
          <w:p>
            <w:pPr>
              <w:spacing w:after="0"/>
              <w:rPr>
                <w:sz w:val="4"/>
                <w:szCs w:val="4"/>
                <w:color w:val="auto"/>
              </w:rPr>
            </w:pPr>
          </w:p>
        </w:tc>
        <w:tc>
          <w:tcPr>
            <w:tcW w:w="180" w:type="dxa"/>
            <w:vAlign w:val="bottom"/>
            <w:vMerge w:val="continue"/>
            <w:shd w:val="clear" w:color="auto" w:fill="DDDDDD"/>
          </w:tcPr>
          <w:p>
            <w:pPr>
              <w:spacing w:after="0"/>
              <w:rPr>
                <w:sz w:val="4"/>
                <w:szCs w:val="4"/>
                <w:color w:val="auto"/>
              </w:rPr>
            </w:pPr>
          </w:p>
        </w:tc>
        <w:tc>
          <w:tcPr>
            <w:tcW w:w="640" w:type="dxa"/>
            <w:vAlign w:val="bottom"/>
            <w:vMerge w:val="continue"/>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320" w:type="dxa"/>
            <w:vAlign w:val="bottom"/>
            <w:gridSpan w:val="2"/>
            <w:vMerge w:val="continue"/>
            <w:shd w:val="clear" w:color="auto" w:fill="DDDDDD"/>
          </w:tcPr>
          <w:p>
            <w:pPr>
              <w:spacing w:after="0"/>
              <w:rPr>
                <w:sz w:val="4"/>
                <w:szCs w:val="4"/>
                <w:color w:val="auto"/>
              </w:rPr>
            </w:pPr>
          </w:p>
        </w:tc>
        <w:tc>
          <w:tcPr>
            <w:tcW w:w="840" w:type="dxa"/>
            <w:vAlign w:val="bottom"/>
            <w:gridSpan w:val="2"/>
            <w:vMerge w:val="continue"/>
            <w:shd w:val="clear" w:color="auto" w:fill="DDDDDD"/>
          </w:tcPr>
          <w:p>
            <w:pPr>
              <w:spacing w:after="0"/>
              <w:rPr>
                <w:sz w:val="4"/>
                <w:szCs w:val="4"/>
                <w:color w:val="auto"/>
              </w:rPr>
            </w:pPr>
          </w:p>
        </w:tc>
        <w:tc>
          <w:tcPr>
            <w:tcW w:w="300" w:type="dxa"/>
            <w:vAlign w:val="bottom"/>
            <w:gridSpan w:val="2"/>
            <w:vMerge w:val="continue"/>
            <w:shd w:val="clear" w:color="auto" w:fill="DDDDDD"/>
          </w:tcPr>
          <w:p>
            <w:pPr>
              <w:spacing w:after="0"/>
              <w:rPr>
                <w:sz w:val="4"/>
                <w:szCs w:val="4"/>
                <w:color w:val="auto"/>
              </w:rPr>
            </w:pPr>
          </w:p>
        </w:tc>
        <w:tc>
          <w:tcPr>
            <w:tcW w:w="740" w:type="dxa"/>
            <w:vAlign w:val="bottom"/>
            <w:gridSpan w:val="2"/>
            <w:vMerge w:val="continue"/>
            <w:shd w:val="clear" w:color="auto" w:fill="DDDDDD"/>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2060" w:type="dxa"/>
            <w:vAlign w:val="bottom"/>
          </w:tcPr>
          <w:p>
            <w:pPr>
              <w:ind w:left="160"/>
              <w:spacing w:after="0"/>
              <w:rPr>
                <w:sz w:val="20"/>
                <w:szCs w:val="20"/>
                <w:color w:val="auto"/>
              </w:rPr>
            </w:pPr>
            <w:r>
              <w:rPr>
                <w:rFonts w:ascii="Arial" w:cs="Arial" w:eastAsia="Arial" w:hAnsi="Arial"/>
                <w:sz w:val="14"/>
                <w:szCs w:val="14"/>
                <w:color w:val="auto"/>
              </w:rPr>
              <w:t>AVONEX</w:t>
            </w:r>
          </w:p>
        </w:tc>
        <w:tc>
          <w:tcPr>
            <w:tcW w:w="180" w:type="dxa"/>
            <w:vAlign w:val="bottom"/>
            <w:shd w:val="clear" w:color="auto" w:fill="DDDDDD"/>
          </w:tcPr>
          <w:p>
            <w:pPr>
              <w:spacing w:after="0"/>
              <w:rPr>
                <w:sz w:val="17"/>
                <w:szCs w:val="17"/>
                <w:color w:val="auto"/>
              </w:rPr>
            </w:pPr>
          </w:p>
        </w:tc>
        <w:tc>
          <w:tcPr>
            <w:tcW w:w="6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1,593.6</w:t>
            </w: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840" w:type="dxa"/>
            <w:vAlign w:val="bottom"/>
            <w:gridSpan w:val="2"/>
            <w:vMerge w:val="restart"/>
            <w:shd w:val="clear" w:color="auto" w:fill="DDDDDD"/>
          </w:tcPr>
          <w:p>
            <w:pPr>
              <w:jc w:val="right"/>
              <w:ind w:right="120"/>
              <w:spacing w:after="0"/>
              <w:rPr>
                <w:sz w:val="20"/>
                <w:szCs w:val="20"/>
                <w:color w:val="auto"/>
              </w:rPr>
            </w:pPr>
            <w:r>
              <w:rPr>
                <w:rFonts w:ascii="Arial" w:cs="Arial" w:eastAsia="Arial" w:hAnsi="Arial"/>
                <w:sz w:val="14"/>
                <w:szCs w:val="14"/>
                <w:color w:val="2573BA"/>
              </w:rPr>
              <w:t>557.9</w:t>
            </w:r>
          </w:p>
        </w:tc>
        <w:tc>
          <w:tcPr>
            <w:tcW w:w="12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740" w:type="dxa"/>
            <w:vAlign w:val="bottom"/>
            <w:gridSpan w:val="2"/>
            <w:vMerge w:val="restart"/>
            <w:shd w:val="clear" w:color="auto" w:fill="DDDDDD"/>
          </w:tcPr>
          <w:p>
            <w:pPr>
              <w:jc w:val="right"/>
              <w:ind w:right="120"/>
              <w:spacing w:after="0"/>
              <w:rPr>
                <w:sz w:val="20"/>
                <w:szCs w:val="20"/>
                <w:color w:val="auto"/>
              </w:rPr>
            </w:pPr>
            <w:r>
              <w:rPr>
                <w:rFonts w:ascii="Arial" w:cs="Arial" w:eastAsia="Arial" w:hAnsi="Arial"/>
                <w:sz w:val="14"/>
                <w:szCs w:val="14"/>
                <w:color w:val="2573BA"/>
              </w:rPr>
              <w:t>2,151.5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restart"/>
          </w:tcPr>
          <w:p>
            <w:pPr>
              <w:jc w:val="right"/>
              <w:ind w:right="32"/>
              <w:spacing w:after="0"/>
              <w:rPr>
                <w:sz w:val="20"/>
                <w:szCs w:val="20"/>
                <w:color w:val="auto"/>
              </w:rPr>
            </w:pPr>
            <w:r>
              <w:rPr>
                <w:rFonts w:ascii="Arial" w:cs="Arial" w:eastAsia="Arial" w:hAnsi="Arial"/>
                <w:sz w:val="14"/>
                <w:szCs w:val="14"/>
                <w:color w:val="auto"/>
              </w:rPr>
              <w:t>1,675.3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4"/>
                <w:szCs w:val="14"/>
                <w:color w:val="auto"/>
              </w:rPr>
              <w:t>638.2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restart"/>
          </w:tcPr>
          <w:p>
            <w:pPr>
              <w:jc w:val="right"/>
              <w:ind w:right="52"/>
              <w:spacing w:after="0"/>
              <w:rPr>
                <w:sz w:val="20"/>
                <w:szCs w:val="20"/>
                <w:color w:val="auto"/>
              </w:rPr>
            </w:pPr>
            <w:r>
              <w:rPr>
                <w:rFonts w:ascii="Arial" w:cs="Arial" w:eastAsia="Arial" w:hAnsi="Arial"/>
                <w:sz w:val="14"/>
                <w:szCs w:val="14"/>
                <w:color w:val="auto"/>
              </w:rPr>
              <w:t>2,313.5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restart"/>
          </w:tcPr>
          <w:p>
            <w:pPr>
              <w:jc w:val="right"/>
              <w:ind w:right="52"/>
              <w:spacing w:after="0"/>
              <w:rPr>
                <w:sz w:val="20"/>
                <w:szCs w:val="20"/>
                <w:color w:val="auto"/>
              </w:rPr>
            </w:pPr>
            <w:r>
              <w:rPr>
                <w:rFonts w:ascii="Arial" w:cs="Arial" w:eastAsia="Arial" w:hAnsi="Arial"/>
                <w:sz w:val="14"/>
                <w:szCs w:val="14"/>
                <w:color w:val="auto"/>
              </w:rPr>
              <w:t>1,790.2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restart"/>
          </w:tcPr>
          <w:p>
            <w:pPr>
              <w:jc w:val="right"/>
              <w:ind w:right="32"/>
              <w:spacing w:after="0"/>
              <w:rPr>
                <w:sz w:val="20"/>
                <w:szCs w:val="20"/>
                <w:color w:val="auto"/>
              </w:rPr>
            </w:pPr>
            <w:r>
              <w:rPr>
                <w:rFonts w:ascii="Arial" w:cs="Arial" w:eastAsia="Arial" w:hAnsi="Arial"/>
                <w:sz w:val="14"/>
                <w:szCs w:val="14"/>
                <w:color w:val="auto"/>
              </w:rPr>
              <w:t>840.0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restart"/>
          </w:tcPr>
          <w:p>
            <w:pPr>
              <w:jc w:val="right"/>
              <w:ind w:right="31"/>
              <w:spacing w:after="0"/>
              <w:rPr>
                <w:sz w:val="20"/>
                <w:szCs w:val="20"/>
                <w:color w:val="auto"/>
              </w:rPr>
            </w:pPr>
            <w:r>
              <w:rPr>
                <w:rFonts w:ascii="Arial" w:cs="Arial" w:eastAsia="Arial" w:hAnsi="Arial"/>
                <w:sz w:val="14"/>
                <w:szCs w:val="14"/>
                <w:color w:val="auto"/>
              </w:rPr>
              <w:t>2,630.2</w:t>
            </w:r>
          </w:p>
        </w:tc>
        <w:tc>
          <w:tcPr>
            <w:tcW w:w="0" w:type="dxa"/>
            <w:vAlign w:val="bottom"/>
          </w:tcPr>
          <w:p>
            <w:pPr>
              <w:spacing w:after="0"/>
              <w:rPr>
                <w:sz w:val="1"/>
                <w:szCs w:val="1"/>
                <w:color w:val="auto"/>
              </w:rPr>
            </w:pPr>
          </w:p>
        </w:tc>
      </w:tr>
      <w:tr>
        <w:trPr>
          <w:trHeight w:val="51"/>
        </w:trPr>
        <w:tc>
          <w:tcPr>
            <w:tcW w:w="2060" w:type="dxa"/>
            <w:vAlign w:val="bottom"/>
          </w:tcPr>
          <w:p>
            <w:pPr>
              <w:spacing w:after="0"/>
              <w:rPr>
                <w:sz w:val="4"/>
                <w:szCs w:val="4"/>
                <w:color w:val="auto"/>
              </w:rPr>
            </w:pPr>
          </w:p>
        </w:tc>
        <w:tc>
          <w:tcPr>
            <w:tcW w:w="180" w:type="dxa"/>
            <w:vAlign w:val="bottom"/>
            <w:shd w:val="clear" w:color="auto" w:fill="DDDDDD"/>
          </w:tcPr>
          <w:p>
            <w:pPr>
              <w:spacing w:after="0"/>
              <w:rPr>
                <w:sz w:val="4"/>
                <w:szCs w:val="4"/>
                <w:color w:val="auto"/>
              </w:rPr>
            </w:pPr>
          </w:p>
        </w:tc>
        <w:tc>
          <w:tcPr>
            <w:tcW w:w="640" w:type="dxa"/>
            <w:vAlign w:val="bottom"/>
            <w:vMerge w:val="continue"/>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200" w:type="dxa"/>
            <w:vAlign w:val="bottom"/>
            <w:shd w:val="clear" w:color="auto" w:fill="DDDDDD"/>
          </w:tcPr>
          <w:p>
            <w:pPr>
              <w:spacing w:after="0"/>
              <w:rPr>
                <w:sz w:val="4"/>
                <w:szCs w:val="4"/>
                <w:color w:val="auto"/>
              </w:rPr>
            </w:pPr>
          </w:p>
        </w:tc>
        <w:tc>
          <w:tcPr>
            <w:tcW w:w="840" w:type="dxa"/>
            <w:vAlign w:val="bottom"/>
            <w:gridSpan w:val="2"/>
            <w:vMerge w:val="continue"/>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180" w:type="dxa"/>
            <w:vAlign w:val="bottom"/>
            <w:shd w:val="clear" w:color="auto" w:fill="DDDDDD"/>
          </w:tcPr>
          <w:p>
            <w:pPr>
              <w:spacing w:after="0"/>
              <w:rPr>
                <w:sz w:val="4"/>
                <w:szCs w:val="4"/>
                <w:color w:val="auto"/>
              </w:rPr>
            </w:pPr>
          </w:p>
        </w:tc>
        <w:tc>
          <w:tcPr>
            <w:tcW w:w="740" w:type="dxa"/>
            <w:vAlign w:val="bottom"/>
            <w:gridSpan w:val="2"/>
            <w:vMerge w:val="continue"/>
            <w:shd w:val="clear" w:color="auto" w:fill="DDDDDD"/>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2060" w:type="dxa"/>
            <w:vAlign w:val="bottom"/>
          </w:tcPr>
          <w:p>
            <w:pPr>
              <w:ind w:left="160"/>
              <w:spacing w:after="0"/>
              <w:rPr>
                <w:sz w:val="20"/>
                <w:szCs w:val="20"/>
                <w:color w:val="auto"/>
              </w:rPr>
            </w:pPr>
            <w:r>
              <w:rPr>
                <w:rFonts w:ascii="Arial" w:cs="Arial" w:eastAsia="Arial" w:hAnsi="Arial"/>
                <w:sz w:val="14"/>
                <w:szCs w:val="14"/>
                <w:color w:val="auto"/>
              </w:rPr>
              <w:t>PLEGRIDY</w:t>
            </w:r>
          </w:p>
        </w:tc>
        <w:tc>
          <w:tcPr>
            <w:tcW w:w="180" w:type="dxa"/>
            <w:vAlign w:val="bottom"/>
            <w:shd w:val="clear" w:color="auto" w:fill="DDDDDD"/>
          </w:tcPr>
          <w:p>
            <w:pPr>
              <w:spacing w:after="0"/>
              <w:rPr>
                <w:sz w:val="17"/>
                <w:szCs w:val="17"/>
                <w:color w:val="auto"/>
              </w:rPr>
            </w:pPr>
          </w:p>
        </w:tc>
        <w:tc>
          <w:tcPr>
            <w:tcW w:w="6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295.5</w:t>
            </w: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840" w:type="dxa"/>
            <w:vAlign w:val="bottom"/>
            <w:gridSpan w:val="2"/>
            <w:vMerge w:val="restart"/>
            <w:shd w:val="clear" w:color="auto" w:fill="DDDDDD"/>
          </w:tcPr>
          <w:p>
            <w:pPr>
              <w:jc w:val="right"/>
              <w:ind w:right="120"/>
              <w:spacing w:after="0"/>
              <w:rPr>
                <w:sz w:val="20"/>
                <w:szCs w:val="20"/>
                <w:color w:val="auto"/>
              </w:rPr>
            </w:pPr>
            <w:r>
              <w:rPr>
                <w:rFonts w:ascii="Arial" w:cs="Arial" w:eastAsia="Arial" w:hAnsi="Arial"/>
                <w:sz w:val="14"/>
                <w:szCs w:val="14"/>
                <w:color w:val="2573BA"/>
              </w:rPr>
              <w:t>198.8</w:t>
            </w:r>
          </w:p>
        </w:tc>
        <w:tc>
          <w:tcPr>
            <w:tcW w:w="12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740" w:type="dxa"/>
            <w:vAlign w:val="bottom"/>
            <w:gridSpan w:val="2"/>
            <w:vMerge w:val="restart"/>
            <w:shd w:val="clear" w:color="auto" w:fill="DDDDDD"/>
          </w:tcPr>
          <w:p>
            <w:pPr>
              <w:jc w:val="right"/>
              <w:ind w:right="120"/>
              <w:spacing w:after="0"/>
              <w:rPr>
                <w:sz w:val="20"/>
                <w:szCs w:val="20"/>
                <w:color w:val="auto"/>
              </w:rPr>
            </w:pPr>
            <w:r>
              <w:rPr>
                <w:rFonts w:ascii="Arial" w:cs="Arial" w:eastAsia="Arial" w:hAnsi="Arial"/>
                <w:sz w:val="14"/>
                <w:szCs w:val="14"/>
                <w:color w:val="2573BA"/>
              </w:rPr>
              <w:t>494.3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restart"/>
          </w:tcPr>
          <w:p>
            <w:pPr>
              <w:jc w:val="right"/>
              <w:ind w:right="32"/>
              <w:spacing w:after="0"/>
              <w:rPr>
                <w:sz w:val="20"/>
                <w:szCs w:val="20"/>
                <w:color w:val="auto"/>
              </w:rPr>
            </w:pPr>
            <w:r>
              <w:rPr>
                <w:rFonts w:ascii="Arial" w:cs="Arial" w:eastAsia="Arial" w:hAnsi="Arial"/>
                <w:sz w:val="14"/>
                <w:szCs w:val="14"/>
                <w:color w:val="auto"/>
              </w:rPr>
              <w:t>305.0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4"/>
                <w:szCs w:val="14"/>
                <w:color w:val="auto"/>
              </w:rPr>
              <w:t>176.7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restart"/>
          </w:tcPr>
          <w:p>
            <w:pPr>
              <w:jc w:val="right"/>
              <w:ind w:right="52"/>
              <w:spacing w:after="0"/>
              <w:rPr>
                <w:sz w:val="20"/>
                <w:szCs w:val="20"/>
                <w:color w:val="auto"/>
              </w:rPr>
            </w:pPr>
            <w:r>
              <w:rPr>
                <w:rFonts w:ascii="Arial" w:cs="Arial" w:eastAsia="Arial" w:hAnsi="Arial"/>
                <w:sz w:val="14"/>
                <w:szCs w:val="14"/>
                <w:color w:val="auto"/>
              </w:rPr>
              <w:t>481.7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restart"/>
          </w:tcPr>
          <w:p>
            <w:pPr>
              <w:jc w:val="right"/>
              <w:ind w:right="52"/>
              <w:spacing w:after="0"/>
              <w:rPr>
                <w:sz w:val="20"/>
                <w:szCs w:val="20"/>
                <w:color w:val="auto"/>
              </w:rPr>
            </w:pPr>
            <w:r>
              <w:rPr>
                <w:rFonts w:ascii="Arial" w:cs="Arial" w:eastAsia="Arial" w:hAnsi="Arial"/>
                <w:sz w:val="14"/>
                <w:szCs w:val="14"/>
                <w:color w:val="auto"/>
              </w:rPr>
              <w:t>227.1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restart"/>
          </w:tcPr>
          <w:p>
            <w:pPr>
              <w:jc w:val="right"/>
              <w:ind w:right="32"/>
              <w:spacing w:after="0"/>
              <w:rPr>
                <w:sz w:val="20"/>
                <w:szCs w:val="20"/>
                <w:color w:val="auto"/>
              </w:rPr>
            </w:pPr>
            <w:r>
              <w:rPr>
                <w:rFonts w:ascii="Arial" w:cs="Arial" w:eastAsia="Arial" w:hAnsi="Arial"/>
                <w:sz w:val="14"/>
                <w:szCs w:val="14"/>
                <w:color w:val="auto"/>
              </w:rPr>
              <w:t>111.4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restart"/>
          </w:tcPr>
          <w:p>
            <w:pPr>
              <w:jc w:val="right"/>
              <w:ind w:right="31"/>
              <w:spacing w:after="0"/>
              <w:rPr>
                <w:sz w:val="20"/>
                <w:szCs w:val="20"/>
                <w:color w:val="auto"/>
              </w:rPr>
            </w:pPr>
            <w:r>
              <w:rPr>
                <w:rFonts w:ascii="Arial" w:cs="Arial" w:eastAsia="Arial" w:hAnsi="Arial"/>
                <w:sz w:val="14"/>
                <w:szCs w:val="14"/>
                <w:color w:val="auto"/>
              </w:rPr>
              <w:t>338.5</w:t>
            </w:r>
          </w:p>
        </w:tc>
        <w:tc>
          <w:tcPr>
            <w:tcW w:w="0" w:type="dxa"/>
            <w:vAlign w:val="bottom"/>
          </w:tcPr>
          <w:p>
            <w:pPr>
              <w:spacing w:after="0"/>
              <w:rPr>
                <w:sz w:val="1"/>
                <w:szCs w:val="1"/>
                <w:color w:val="auto"/>
              </w:rPr>
            </w:pPr>
          </w:p>
        </w:tc>
      </w:tr>
      <w:tr>
        <w:trPr>
          <w:trHeight w:val="51"/>
        </w:trPr>
        <w:tc>
          <w:tcPr>
            <w:tcW w:w="2060" w:type="dxa"/>
            <w:vAlign w:val="bottom"/>
          </w:tcPr>
          <w:p>
            <w:pPr>
              <w:spacing w:after="0"/>
              <w:rPr>
                <w:sz w:val="4"/>
                <w:szCs w:val="4"/>
                <w:color w:val="auto"/>
              </w:rPr>
            </w:pPr>
          </w:p>
        </w:tc>
        <w:tc>
          <w:tcPr>
            <w:tcW w:w="180" w:type="dxa"/>
            <w:vAlign w:val="bottom"/>
            <w:shd w:val="clear" w:color="auto" w:fill="DDDDDD"/>
          </w:tcPr>
          <w:p>
            <w:pPr>
              <w:spacing w:after="0"/>
              <w:rPr>
                <w:sz w:val="4"/>
                <w:szCs w:val="4"/>
                <w:color w:val="auto"/>
              </w:rPr>
            </w:pPr>
          </w:p>
        </w:tc>
        <w:tc>
          <w:tcPr>
            <w:tcW w:w="640" w:type="dxa"/>
            <w:vAlign w:val="bottom"/>
            <w:vMerge w:val="continue"/>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200" w:type="dxa"/>
            <w:vAlign w:val="bottom"/>
            <w:shd w:val="clear" w:color="auto" w:fill="DDDDDD"/>
          </w:tcPr>
          <w:p>
            <w:pPr>
              <w:spacing w:after="0"/>
              <w:rPr>
                <w:sz w:val="4"/>
                <w:szCs w:val="4"/>
                <w:color w:val="auto"/>
              </w:rPr>
            </w:pPr>
          </w:p>
        </w:tc>
        <w:tc>
          <w:tcPr>
            <w:tcW w:w="840" w:type="dxa"/>
            <w:vAlign w:val="bottom"/>
            <w:gridSpan w:val="2"/>
            <w:vMerge w:val="continue"/>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180" w:type="dxa"/>
            <w:vAlign w:val="bottom"/>
            <w:shd w:val="clear" w:color="auto" w:fill="DDDDDD"/>
          </w:tcPr>
          <w:p>
            <w:pPr>
              <w:spacing w:after="0"/>
              <w:rPr>
                <w:sz w:val="4"/>
                <w:szCs w:val="4"/>
                <w:color w:val="auto"/>
              </w:rPr>
            </w:pPr>
          </w:p>
        </w:tc>
        <w:tc>
          <w:tcPr>
            <w:tcW w:w="740" w:type="dxa"/>
            <w:vAlign w:val="bottom"/>
            <w:gridSpan w:val="2"/>
            <w:vMerge w:val="continue"/>
            <w:shd w:val="clear" w:color="auto" w:fill="DDDDDD"/>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2060" w:type="dxa"/>
            <w:vAlign w:val="bottom"/>
          </w:tcPr>
          <w:p>
            <w:pPr>
              <w:ind w:left="160"/>
              <w:spacing w:after="0"/>
              <w:rPr>
                <w:sz w:val="20"/>
                <w:szCs w:val="20"/>
                <w:color w:val="auto"/>
              </w:rPr>
            </w:pPr>
            <w:r>
              <w:rPr>
                <w:rFonts w:ascii="Arial" w:cs="Arial" w:eastAsia="Arial" w:hAnsi="Arial"/>
                <w:sz w:val="14"/>
                <w:szCs w:val="14"/>
                <w:color w:val="auto"/>
              </w:rPr>
              <w:t>TYSABRI</w:t>
            </w:r>
          </w:p>
        </w:tc>
        <w:tc>
          <w:tcPr>
            <w:tcW w:w="180" w:type="dxa"/>
            <w:vAlign w:val="bottom"/>
            <w:shd w:val="clear" w:color="auto" w:fill="DDDDDD"/>
          </w:tcPr>
          <w:p>
            <w:pPr>
              <w:spacing w:after="0"/>
              <w:rPr>
                <w:sz w:val="17"/>
                <w:szCs w:val="17"/>
                <w:color w:val="auto"/>
              </w:rPr>
            </w:pPr>
          </w:p>
        </w:tc>
        <w:tc>
          <w:tcPr>
            <w:tcW w:w="6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1,113.8</w:t>
            </w: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72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859.3</w:t>
            </w:r>
          </w:p>
        </w:tc>
        <w:tc>
          <w:tcPr>
            <w:tcW w:w="1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740" w:type="dxa"/>
            <w:vAlign w:val="bottom"/>
            <w:gridSpan w:val="2"/>
            <w:vMerge w:val="restart"/>
            <w:shd w:val="clear" w:color="auto" w:fill="DDDDDD"/>
          </w:tcPr>
          <w:p>
            <w:pPr>
              <w:jc w:val="right"/>
              <w:ind w:right="120"/>
              <w:spacing w:after="0"/>
              <w:rPr>
                <w:sz w:val="20"/>
                <w:szCs w:val="20"/>
                <w:color w:val="auto"/>
              </w:rPr>
            </w:pPr>
            <w:r>
              <w:rPr>
                <w:rFonts w:ascii="Arial" w:cs="Arial" w:eastAsia="Arial" w:hAnsi="Arial"/>
                <w:sz w:val="14"/>
                <w:szCs w:val="14"/>
                <w:color w:val="2573BA"/>
              </w:rPr>
              <w:t>1,973.1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restart"/>
          </w:tcPr>
          <w:p>
            <w:pPr>
              <w:jc w:val="right"/>
              <w:ind w:right="32"/>
              <w:spacing w:after="0"/>
              <w:rPr>
                <w:sz w:val="20"/>
                <w:szCs w:val="20"/>
                <w:color w:val="auto"/>
              </w:rPr>
            </w:pPr>
            <w:r>
              <w:rPr>
                <w:rFonts w:ascii="Arial" w:cs="Arial" w:eastAsia="Arial" w:hAnsi="Arial"/>
                <w:sz w:val="14"/>
                <w:szCs w:val="14"/>
                <w:color w:val="auto"/>
              </w:rPr>
              <w:t>1,182.9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4"/>
                <w:szCs w:val="14"/>
                <w:color w:val="auto"/>
              </w:rPr>
              <w:t>780.9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restart"/>
          </w:tcPr>
          <w:p>
            <w:pPr>
              <w:jc w:val="right"/>
              <w:ind w:right="52"/>
              <w:spacing w:after="0"/>
              <w:rPr>
                <w:sz w:val="20"/>
                <w:szCs w:val="20"/>
                <w:color w:val="auto"/>
              </w:rPr>
            </w:pPr>
            <w:r>
              <w:rPr>
                <w:rFonts w:ascii="Arial" w:cs="Arial" w:eastAsia="Arial" w:hAnsi="Arial"/>
                <w:sz w:val="14"/>
                <w:szCs w:val="14"/>
                <w:color w:val="auto"/>
              </w:rPr>
              <w:t>1,963.8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restart"/>
          </w:tcPr>
          <w:p>
            <w:pPr>
              <w:jc w:val="right"/>
              <w:ind w:right="52"/>
              <w:spacing w:after="0"/>
              <w:rPr>
                <w:sz w:val="20"/>
                <w:szCs w:val="20"/>
                <w:color w:val="auto"/>
              </w:rPr>
            </w:pPr>
            <w:r>
              <w:rPr>
                <w:rFonts w:ascii="Arial" w:cs="Arial" w:eastAsia="Arial" w:hAnsi="Arial"/>
                <w:sz w:val="14"/>
                <w:szCs w:val="14"/>
                <w:color w:val="auto"/>
              </w:rPr>
              <w:t>1,103.1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restart"/>
          </w:tcPr>
          <w:p>
            <w:pPr>
              <w:jc w:val="right"/>
              <w:ind w:right="32"/>
              <w:spacing w:after="0"/>
              <w:rPr>
                <w:sz w:val="20"/>
                <w:szCs w:val="20"/>
                <w:color w:val="auto"/>
              </w:rPr>
            </w:pPr>
            <w:r>
              <w:rPr>
                <w:rFonts w:ascii="Arial" w:cs="Arial" w:eastAsia="Arial" w:hAnsi="Arial"/>
                <w:sz w:val="14"/>
                <w:szCs w:val="14"/>
                <w:color w:val="auto"/>
              </w:rPr>
              <w:t>783.0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restart"/>
          </w:tcPr>
          <w:p>
            <w:pPr>
              <w:jc w:val="right"/>
              <w:ind w:right="31"/>
              <w:spacing w:after="0"/>
              <w:rPr>
                <w:sz w:val="20"/>
                <w:szCs w:val="20"/>
                <w:color w:val="auto"/>
              </w:rPr>
            </w:pPr>
            <w:r>
              <w:rPr>
                <w:rFonts w:ascii="Arial" w:cs="Arial" w:eastAsia="Arial" w:hAnsi="Arial"/>
                <w:sz w:val="14"/>
                <w:szCs w:val="14"/>
                <w:color w:val="auto"/>
              </w:rPr>
              <w:t>1,886.1</w:t>
            </w:r>
          </w:p>
        </w:tc>
        <w:tc>
          <w:tcPr>
            <w:tcW w:w="0" w:type="dxa"/>
            <w:vAlign w:val="bottom"/>
          </w:tcPr>
          <w:p>
            <w:pPr>
              <w:spacing w:after="0"/>
              <w:rPr>
                <w:sz w:val="1"/>
                <w:szCs w:val="1"/>
                <w:color w:val="auto"/>
              </w:rPr>
            </w:pPr>
          </w:p>
        </w:tc>
      </w:tr>
      <w:tr>
        <w:trPr>
          <w:trHeight w:val="51"/>
        </w:trPr>
        <w:tc>
          <w:tcPr>
            <w:tcW w:w="2060" w:type="dxa"/>
            <w:vAlign w:val="bottom"/>
          </w:tcPr>
          <w:p>
            <w:pPr>
              <w:spacing w:after="0"/>
              <w:rPr>
                <w:sz w:val="4"/>
                <w:szCs w:val="4"/>
                <w:color w:val="auto"/>
              </w:rPr>
            </w:pPr>
          </w:p>
        </w:tc>
        <w:tc>
          <w:tcPr>
            <w:tcW w:w="180" w:type="dxa"/>
            <w:vAlign w:val="bottom"/>
            <w:shd w:val="clear" w:color="auto" w:fill="DDDDDD"/>
          </w:tcPr>
          <w:p>
            <w:pPr>
              <w:spacing w:after="0"/>
              <w:rPr>
                <w:sz w:val="4"/>
                <w:szCs w:val="4"/>
                <w:color w:val="auto"/>
              </w:rPr>
            </w:pPr>
          </w:p>
        </w:tc>
        <w:tc>
          <w:tcPr>
            <w:tcW w:w="640" w:type="dxa"/>
            <w:vAlign w:val="bottom"/>
            <w:vMerge w:val="continue"/>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200" w:type="dxa"/>
            <w:vAlign w:val="bottom"/>
            <w:shd w:val="clear" w:color="auto" w:fill="DDDDDD"/>
          </w:tcPr>
          <w:p>
            <w:pPr>
              <w:spacing w:after="0"/>
              <w:rPr>
                <w:sz w:val="4"/>
                <w:szCs w:val="4"/>
                <w:color w:val="auto"/>
              </w:rPr>
            </w:pPr>
          </w:p>
        </w:tc>
        <w:tc>
          <w:tcPr>
            <w:tcW w:w="720" w:type="dxa"/>
            <w:vAlign w:val="bottom"/>
            <w:vMerge w:val="continue"/>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180" w:type="dxa"/>
            <w:vAlign w:val="bottom"/>
            <w:shd w:val="clear" w:color="auto" w:fill="DDDDDD"/>
          </w:tcPr>
          <w:p>
            <w:pPr>
              <w:spacing w:after="0"/>
              <w:rPr>
                <w:sz w:val="4"/>
                <w:szCs w:val="4"/>
                <w:color w:val="auto"/>
              </w:rPr>
            </w:pPr>
          </w:p>
        </w:tc>
        <w:tc>
          <w:tcPr>
            <w:tcW w:w="740" w:type="dxa"/>
            <w:vAlign w:val="bottom"/>
            <w:gridSpan w:val="2"/>
            <w:vMerge w:val="continue"/>
            <w:shd w:val="clear" w:color="auto" w:fill="DDDDDD"/>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2060" w:type="dxa"/>
            <w:vAlign w:val="bottom"/>
          </w:tcPr>
          <w:p>
            <w:pPr>
              <w:ind w:left="160"/>
              <w:spacing w:after="0"/>
              <w:rPr>
                <w:sz w:val="20"/>
                <w:szCs w:val="20"/>
                <w:color w:val="auto"/>
              </w:rPr>
            </w:pPr>
            <w:r>
              <w:rPr>
                <w:rFonts w:ascii="Arial" w:cs="Arial" w:eastAsia="Arial" w:hAnsi="Arial"/>
                <w:sz w:val="14"/>
                <w:szCs w:val="14"/>
                <w:color w:val="auto"/>
              </w:rPr>
              <w:t>FAMPYRA</w:t>
            </w:r>
          </w:p>
        </w:tc>
        <w:tc>
          <w:tcPr>
            <w:tcW w:w="180" w:type="dxa"/>
            <w:vAlign w:val="bottom"/>
            <w:shd w:val="clear" w:color="auto" w:fill="DDDDDD"/>
          </w:tcPr>
          <w:p>
            <w:pPr>
              <w:spacing w:after="0"/>
              <w:rPr>
                <w:sz w:val="17"/>
                <w:szCs w:val="17"/>
                <w:color w:val="auto"/>
              </w:rPr>
            </w:pPr>
          </w:p>
        </w:tc>
        <w:tc>
          <w:tcPr>
            <w:tcW w:w="6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72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91.6</w:t>
            </w:r>
          </w:p>
        </w:tc>
        <w:tc>
          <w:tcPr>
            <w:tcW w:w="1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740" w:type="dxa"/>
            <w:vAlign w:val="bottom"/>
            <w:gridSpan w:val="2"/>
            <w:vMerge w:val="restart"/>
            <w:shd w:val="clear" w:color="auto" w:fill="DDDDDD"/>
          </w:tcPr>
          <w:p>
            <w:pPr>
              <w:jc w:val="right"/>
              <w:ind w:right="120"/>
              <w:spacing w:after="0"/>
              <w:rPr>
                <w:sz w:val="20"/>
                <w:szCs w:val="20"/>
                <w:color w:val="auto"/>
              </w:rPr>
            </w:pPr>
            <w:r>
              <w:rPr>
                <w:rFonts w:ascii="Arial" w:cs="Arial" w:eastAsia="Arial" w:hAnsi="Arial"/>
                <w:sz w:val="14"/>
                <w:szCs w:val="14"/>
                <w:color w:val="2573BA"/>
              </w:rPr>
              <w:t>91.6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4"/>
                <w:szCs w:val="14"/>
                <w:color w:val="auto"/>
              </w:rPr>
              <w:t>84.9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restart"/>
          </w:tcPr>
          <w:p>
            <w:pPr>
              <w:jc w:val="right"/>
              <w:ind w:right="52"/>
              <w:spacing w:after="0"/>
              <w:rPr>
                <w:sz w:val="20"/>
                <w:szCs w:val="20"/>
                <w:color w:val="auto"/>
              </w:rPr>
            </w:pPr>
            <w:r>
              <w:rPr>
                <w:rFonts w:ascii="Arial" w:cs="Arial" w:eastAsia="Arial" w:hAnsi="Arial"/>
                <w:sz w:val="14"/>
                <w:szCs w:val="14"/>
                <w:color w:val="auto"/>
              </w:rPr>
              <w:t>84.9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20" w:type="dxa"/>
            <w:vAlign w:val="bottom"/>
            <w:vMerge w:val="restart"/>
          </w:tcPr>
          <w:p>
            <w:pPr>
              <w:jc w:val="right"/>
              <w:ind w:right="32"/>
              <w:spacing w:after="0"/>
              <w:rPr>
                <w:sz w:val="20"/>
                <w:szCs w:val="20"/>
                <w:color w:val="auto"/>
              </w:rPr>
            </w:pPr>
            <w:r>
              <w:rPr>
                <w:rFonts w:ascii="Arial" w:cs="Arial" w:eastAsia="Arial" w:hAnsi="Arial"/>
                <w:sz w:val="14"/>
                <w:szCs w:val="14"/>
                <w:color w:val="auto"/>
              </w:rPr>
              <w:t>89.7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restart"/>
          </w:tcPr>
          <w:p>
            <w:pPr>
              <w:jc w:val="right"/>
              <w:ind w:right="31"/>
              <w:spacing w:after="0"/>
              <w:rPr>
                <w:sz w:val="20"/>
                <w:szCs w:val="20"/>
                <w:color w:val="auto"/>
              </w:rPr>
            </w:pPr>
            <w:r>
              <w:rPr>
                <w:rFonts w:ascii="Arial" w:cs="Arial" w:eastAsia="Arial" w:hAnsi="Arial"/>
                <w:sz w:val="14"/>
                <w:szCs w:val="14"/>
                <w:color w:val="auto"/>
              </w:rPr>
              <w:t>89.7</w:t>
            </w:r>
          </w:p>
        </w:tc>
        <w:tc>
          <w:tcPr>
            <w:tcW w:w="0" w:type="dxa"/>
            <w:vAlign w:val="bottom"/>
          </w:tcPr>
          <w:p>
            <w:pPr>
              <w:spacing w:after="0"/>
              <w:rPr>
                <w:sz w:val="1"/>
                <w:szCs w:val="1"/>
                <w:color w:val="auto"/>
              </w:rPr>
            </w:pPr>
          </w:p>
        </w:tc>
      </w:tr>
      <w:tr>
        <w:trPr>
          <w:trHeight w:val="51"/>
        </w:trPr>
        <w:tc>
          <w:tcPr>
            <w:tcW w:w="2060" w:type="dxa"/>
            <w:vAlign w:val="bottom"/>
          </w:tcPr>
          <w:p>
            <w:pPr>
              <w:spacing w:after="0"/>
              <w:rPr>
                <w:sz w:val="4"/>
                <w:szCs w:val="4"/>
                <w:color w:val="auto"/>
              </w:rPr>
            </w:pPr>
          </w:p>
        </w:tc>
        <w:tc>
          <w:tcPr>
            <w:tcW w:w="180" w:type="dxa"/>
            <w:vAlign w:val="bottom"/>
            <w:shd w:val="clear" w:color="auto" w:fill="DDDDDD"/>
          </w:tcPr>
          <w:p>
            <w:pPr>
              <w:spacing w:after="0"/>
              <w:rPr>
                <w:sz w:val="4"/>
                <w:szCs w:val="4"/>
                <w:color w:val="auto"/>
              </w:rPr>
            </w:pPr>
          </w:p>
        </w:tc>
        <w:tc>
          <w:tcPr>
            <w:tcW w:w="640" w:type="dxa"/>
            <w:vAlign w:val="bottom"/>
            <w:vMerge w:val="continue"/>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200" w:type="dxa"/>
            <w:vAlign w:val="bottom"/>
            <w:shd w:val="clear" w:color="auto" w:fill="DDDDDD"/>
          </w:tcPr>
          <w:p>
            <w:pPr>
              <w:spacing w:after="0"/>
              <w:rPr>
                <w:sz w:val="4"/>
                <w:szCs w:val="4"/>
                <w:color w:val="auto"/>
              </w:rPr>
            </w:pPr>
          </w:p>
        </w:tc>
        <w:tc>
          <w:tcPr>
            <w:tcW w:w="720" w:type="dxa"/>
            <w:vAlign w:val="bottom"/>
            <w:vMerge w:val="continue"/>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180" w:type="dxa"/>
            <w:vAlign w:val="bottom"/>
            <w:shd w:val="clear" w:color="auto" w:fill="DDDDDD"/>
          </w:tcPr>
          <w:p>
            <w:pPr>
              <w:spacing w:after="0"/>
              <w:rPr>
                <w:sz w:val="4"/>
                <w:szCs w:val="4"/>
                <w:color w:val="auto"/>
              </w:rPr>
            </w:pPr>
          </w:p>
        </w:tc>
        <w:tc>
          <w:tcPr>
            <w:tcW w:w="740" w:type="dxa"/>
            <w:vAlign w:val="bottom"/>
            <w:gridSpan w:val="2"/>
            <w:vMerge w:val="continue"/>
            <w:shd w:val="clear" w:color="auto" w:fill="DDDDDD"/>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2060" w:type="dxa"/>
            <w:vAlign w:val="bottom"/>
          </w:tcPr>
          <w:p>
            <w:pPr>
              <w:ind w:left="160"/>
              <w:spacing w:after="0"/>
              <w:rPr>
                <w:sz w:val="20"/>
                <w:szCs w:val="20"/>
                <w:color w:val="auto"/>
              </w:rPr>
            </w:pPr>
            <w:r>
              <w:rPr>
                <w:rFonts w:ascii="Arial" w:cs="Arial" w:eastAsia="Arial" w:hAnsi="Arial"/>
                <w:sz w:val="14"/>
                <w:szCs w:val="14"/>
                <w:color w:val="auto"/>
              </w:rPr>
              <w:t>ZINBRYTA</w:t>
            </w:r>
          </w:p>
        </w:tc>
        <w:tc>
          <w:tcPr>
            <w:tcW w:w="180" w:type="dxa"/>
            <w:vAlign w:val="bottom"/>
            <w:shd w:val="clear" w:color="auto" w:fill="DDDDDD"/>
          </w:tcPr>
          <w:p>
            <w:pPr>
              <w:spacing w:after="0"/>
              <w:rPr>
                <w:sz w:val="17"/>
                <w:szCs w:val="17"/>
                <w:color w:val="auto"/>
              </w:rPr>
            </w:pPr>
          </w:p>
        </w:tc>
        <w:tc>
          <w:tcPr>
            <w:tcW w:w="6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72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52.7</w:t>
            </w:r>
          </w:p>
        </w:tc>
        <w:tc>
          <w:tcPr>
            <w:tcW w:w="1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740" w:type="dxa"/>
            <w:vAlign w:val="bottom"/>
            <w:gridSpan w:val="2"/>
            <w:vMerge w:val="restart"/>
            <w:shd w:val="clear" w:color="auto" w:fill="DDDDDD"/>
          </w:tcPr>
          <w:p>
            <w:pPr>
              <w:jc w:val="right"/>
              <w:ind w:right="120"/>
              <w:spacing w:after="0"/>
              <w:rPr>
                <w:sz w:val="20"/>
                <w:szCs w:val="20"/>
                <w:color w:val="auto"/>
              </w:rPr>
            </w:pPr>
            <w:r>
              <w:rPr>
                <w:rFonts w:ascii="Arial" w:cs="Arial" w:eastAsia="Arial" w:hAnsi="Arial"/>
                <w:sz w:val="14"/>
                <w:szCs w:val="14"/>
                <w:color w:val="2573BA"/>
              </w:rPr>
              <w:t>52.7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restart"/>
          </w:tcPr>
          <w:p>
            <w:pPr>
              <w:jc w:val="right"/>
              <w:ind w:right="52"/>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680" w:type="dxa"/>
            <w:vAlign w:val="bottom"/>
            <w:vMerge w:val="restart"/>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1"/>
        </w:trPr>
        <w:tc>
          <w:tcPr>
            <w:tcW w:w="2060" w:type="dxa"/>
            <w:vAlign w:val="bottom"/>
          </w:tcPr>
          <w:p>
            <w:pPr>
              <w:spacing w:after="0"/>
              <w:rPr>
                <w:sz w:val="4"/>
                <w:szCs w:val="4"/>
                <w:color w:val="auto"/>
              </w:rPr>
            </w:pPr>
          </w:p>
        </w:tc>
        <w:tc>
          <w:tcPr>
            <w:tcW w:w="180" w:type="dxa"/>
            <w:vAlign w:val="bottom"/>
            <w:shd w:val="clear" w:color="auto" w:fill="DDDDDD"/>
          </w:tcPr>
          <w:p>
            <w:pPr>
              <w:spacing w:after="0"/>
              <w:rPr>
                <w:sz w:val="4"/>
                <w:szCs w:val="4"/>
                <w:color w:val="auto"/>
              </w:rPr>
            </w:pPr>
          </w:p>
        </w:tc>
        <w:tc>
          <w:tcPr>
            <w:tcW w:w="640" w:type="dxa"/>
            <w:vAlign w:val="bottom"/>
            <w:vMerge w:val="continue"/>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200" w:type="dxa"/>
            <w:vAlign w:val="bottom"/>
            <w:shd w:val="clear" w:color="auto" w:fill="DDDDDD"/>
          </w:tcPr>
          <w:p>
            <w:pPr>
              <w:spacing w:after="0"/>
              <w:rPr>
                <w:sz w:val="4"/>
                <w:szCs w:val="4"/>
                <w:color w:val="auto"/>
              </w:rPr>
            </w:pPr>
          </w:p>
        </w:tc>
        <w:tc>
          <w:tcPr>
            <w:tcW w:w="720" w:type="dxa"/>
            <w:vAlign w:val="bottom"/>
            <w:vMerge w:val="continue"/>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180" w:type="dxa"/>
            <w:vAlign w:val="bottom"/>
            <w:shd w:val="clear" w:color="auto" w:fill="DDDDDD"/>
          </w:tcPr>
          <w:p>
            <w:pPr>
              <w:spacing w:after="0"/>
              <w:rPr>
                <w:sz w:val="4"/>
                <w:szCs w:val="4"/>
                <w:color w:val="auto"/>
              </w:rPr>
            </w:pPr>
          </w:p>
        </w:tc>
        <w:tc>
          <w:tcPr>
            <w:tcW w:w="740" w:type="dxa"/>
            <w:vAlign w:val="bottom"/>
            <w:gridSpan w:val="2"/>
            <w:vMerge w:val="continue"/>
            <w:shd w:val="clear" w:color="auto" w:fill="DDDDDD"/>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2060" w:type="dxa"/>
            <w:vAlign w:val="bottom"/>
          </w:tcPr>
          <w:p>
            <w:pPr>
              <w:ind w:left="20"/>
              <w:spacing w:after="0"/>
              <w:rPr>
                <w:sz w:val="20"/>
                <w:szCs w:val="20"/>
                <w:color w:val="auto"/>
              </w:rPr>
            </w:pPr>
            <w:r>
              <w:rPr>
                <w:rFonts w:ascii="Arial" w:cs="Arial" w:eastAsia="Arial" w:hAnsi="Arial"/>
                <w:sz w:val="14"/>
                <w:szCs w:val="14"/>
                <w:color w:val="auto"/>
              </w:rPr>
              <w:t>Spinal Muscular Atrophy:</w:t>
            </w:r>
          </w:p>
        </w:tc>
        <w:tc>
          <w:tcPr>
            <w:tcW w:w="180" w:type="dxa"/>
            <w:vAlign w:val="bottom"/>
            <w:shd w:val="clear" w:color="auto" w:fill="DDDDDD"/>
          </w:tcPr>
          <w:p>
            <w:pPr>
              <w:spacing w:after="0"/>
              <w:rPr>
                <w:sz w:val="17"/>
                <w:szCs w:val="17"/>
                <w:color w:val="auto"/>
              </w:rPr>
            </w:pPr>
          </w:p>
        </w:tc>
        <w:tc>
          <w:tcPr>
            <w:tcW w:w="64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7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6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60" w:type="dxa"/>
            <w:vAlign w:val="bottom"/>
          </w:tcPr>
          <w:p>
            <w:pPr>
              <w:ind w:left="160"/>
              <w:spacing w:after="0"/>
              <w:rPr>
                <w:sz w:val="20"/>
                <w:szCs w:val="20"/>
                <w:color w:val="auto"/>
              </w:rPr>
            </w:pPr>
            <w:r>
              <w:rPr>
                <w:rFonts w:ascii="Arial" w:cs="Arial" w:eastAsia="Arial" w:hAnsi="Arial"/>
                <w:sz w:val="14"/>
                <w:szCs w:val="14"/>
                <w:b w:val="1"/>
                <w:bCs w:val="1"/>
                <w:color w:val="auto"/>
              </w:rPr>
              <w:t>SPINRAZA</w:t>
            </w:r>
          </w:p>
        </w:tc>
        <w:tc>
          <w:tcPr>
            <w:tcW w:w="180" w:type="dxa"/>
            <w:vAlign w:val="bottom"/>
            <w:shd w:val="clear" w:color="auto" w:fill="DDDDDD"/>
          </w:tcPr>
          <w:p>
            <w:pPr>
              <w:spacing w:after="0"/>
              <w:rPr>
                <w:sz w:val="22"/>
                <w:szCs w:val="22"/>
                <w:color w:val="auto"/>
              </w:rPr>
            </w:pPr>
          </w:p>
        </w:tc>
        <w:tc>
          <w:tcPr>
            <w:tcW w:w="740" w:type="dxa"/>
            <w:vAlign w:val="bottom"/>
            <w:gridSpan w:val="2"/>
            <w:vMerge w:val="restart"/>
            <w:shd w:val="clear" w:color="auto" w:fill="DDDDDD"/>
          </w:tcPr>
          <w:p>
            <w:pPr>
              <w:jc w:val="right"/>
              <w:ind w:right="100"/>
              <w:spacing w:after="0"/>
              <w:rPr>
                <w:sz w:val="20"/>
                <w:szCs w:val="20"/>
                <w:color w:val="auto"/>
              </w:rPr>
            </w:pPr>
            <w:r>
              <w:rPr>
                <w:rFonts w:ascii="Arial" w:cs="Arial" w:eastAsia="Arial" w:hAnsi="Arial"/>
                <w:sz w:val="14"/>
                <w:szCs w:val="14"/>
                <w:color w:val="2573BA"/>
              </w:rPr>
              <w:t>657.0</w:t>
            </w:r>
          </w:p>
        </w:tc>
        <w:tc>
          <w:tcPr>
            <w:tcW w:w="120" w:type="dxa"/>
            <w:vAlign w:val="bottom"/>
            <w:shd w:val="clear" w:color="auto" w:fill="DDDDDD"/>
          </w:tcPr>
          <w:p>
            <w:pPr>
              <w:spacing w:after="0"/>
              <w:rPr>
                <w:sz w:val="22"/>
                <w:szCs w:val="22"/>
                <w:color w:val="auto"/>
              </w:rPr>
            </w:pPr>
          </w:p>
        </w:tc>
        <w:tc>
          <w:tcPr>
            <w:tcW w:w="200" w:type="dxa"/>
            <w:vAlign w:val="bottom"/>
            <w:shd w:val="clear" w:color="auto" w:fill="DDDDDD"/>
          </w:tcPr>
          <w:p>
            <w:pPr>
              <w:spacing w:after="0"/>
              <w:rPr>
                <w:sz w:val="22"/>
                <w:szCs w:val="22"/>
                <w:color w:val="auto"/>
              </w:rPr>
            </w:pPr>
          </w:p>
        </w:tc>
        <w:tc>
          <w:tcPr>
            <w:tcW w:w="840" w:type="dxa"/>
            <w:vAlign w:val="bottom"/>
            <w:gridSpan w:val="2"/>
            <w:vMerge w:val="restart"/>
            <w:shd w:val="clear" w:color="auto" w:fill="DDDDDD"/>
          </w:tcPr>
          <w:p>
            <w:pPr>
              <w:jc w:val="right"/>
              <w:ind w:right="120"/>
              <w:spacing w:after="0"/>
              <w:rPr>
                <w:sz w:val="20"/>
                <w:szCs w:val="20"/>
                <w:color w:val="auto"/>
              </w:rPr>
            </w:pPr>
            <w:r>
              <w:rPr>
                <w:rFonts w:ascii="Arial" w:cs="Arial" w:eastAsia="Arial" w:hAnsi="Arial"/>
                <w:sz w:val="14"/>
                <w:szCs w:val="14"/>
                <w:color w:val="2573BA"/>
              </w:rPr>
              <w:t>226.7</w:t>
            </w:r>
          </w:p>
        </w:tc>
        <w:tc>
          <w:tcPr>
            <w:tcW w:w="120" w:type="dxa"/>
            <w:vAlign w:val="bottom"/>
            <w:shd w:val="clear" w:color="auto" w:fill="DDDDDD"/>
          </w:tcPr>
          <w:p>
            <w:pPr>
              <w:spacing w:after="0"/>
              <w:rPr>
                <w:sz w:val="22"/>
                <w:szCs w:val="22"/>
                <w:color w:val="auto"/>
              </w:rPr>
            </w:pPr>
          </w:p>
        </w:tc>
        <w:tc>
          <w:tcPr>
            <w:tcW w:w="180" w:type="dxa"/>
            <w:vAlign w:val="bottom"/>
            <w:shd w:val="clear" w:color="auto" w:fill="DDDDDD"/>
          </w:tcPr>
          <w:p>
            <w:pPr>
              <w:spacing w:after="0"/>
              <w:rPr>
                <w:sz w:val="22"/>
                <w:szCs w:val="22"/>
                <w:color w:val="auto"/>
              </w:rPr>
            </w:pPr>
          </w:p>
        </w:tc>
        <w:tc>
          <w:tcPr>
            <w:tcW w:w="740" w:type="dxa"/>
            <w:vAlign w:val="bottom"/>
            <w:gridSpan w:val="2"/>
            <w:vMerge w:val="restart"/>
            <w:shd w:val="clear" w:color="auto" w:fill="DDDDDD"/>
          </w:tcPr>
          <w:p>
            <w:pPr>
              <w:jc w:val="right"/>
              <w:ind w:right="120"/>
              <w:spacing w:after="0"/>
              <w:rPr>
                <w:sz w:val="20"/>
                <w:szCs w:val="20"/>
                <w:color w:val="auto"/>
              </w:rPr>
            </w:pPr>
            <w:r>
              <w:rPr>
                <w:rFonts w:ascii="Arial" w:cs="Arial" w:eastAsia="Arial" w:hAnsi="Arial"/>
                <w:sz w:val="14"/>
                <w:szCs w:val="14"/>
                <w:color w:val="2573BA"/>
              </w:rPr>
              <w:t>883.7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vMerge w:val="restart"/>
          </w:tcPr>
          <w:p>
            <w:pPr>
              <w:jc w:val="right"/>
              <w:ind w:right="32"/>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20" w:type="dxa"/>
            <w:vAlign w:val="bottom"/>
            <w:vMerge w:val="restart"/>
          </w:tcPr>
          <w:p>
            <w:pPr>
              <w:jc w:val="right"/>
              <w:ind w:right="52"/>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80" w:type="dxa"/>
            <w:vAlign w:val="bottom"/>
            <w:vMerge w:val="restart"/>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1"/>
        </w:trPr>
        <w:tc>
          <w:tcPr>
            <w:tcW w:w="2060" w:type="dxa"/>
            <w:vAlign w:val="bottom"/>
          </w:tcPr>
          <w:p>
            <w:pPr>
              <w:spacing w:after="0"/>
              <w:rPr>
                <w:sz w:val="4"/>
                <w:szCs w:val="4"/>
                <w:color w:val="auto"/>
              </w:rPr>
            </w:pPr>
          </w:p>
        </w:tc>
        <w:tc>
          <w:tcPr>
            <w:tcW w:w="180" w:type="dxa"/>
            <w:vAlign w:val="bottom"/>
            <w:shd w:val="clear" w:color="auto" w:fill="DDDDDD"/>
          </w:tcPr>
          <w:p>
            <w:pPr>
              <w:spacing w:after="0"/>
              <w:rPr>
                <w:sz w:val="4"/>
                <w:szCs w:val="4"/>
                <w:color w:val="auto"/>
              </w:rPr>
            </w:pPr>
          </w:p>
        </w:tc>
        <w:tc>
          <w:tcPr>
            <w:tcW w:w="740" w:type="dxa"/>
            <w:vAlign w:val="bottom"/>
            <w:gridSpan w:val="2"/>
            <w:vMerge w:val="continue"/>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200" w:type="dxa"/>
            <w:vAlign w:val="bottom"/>
            <w:shd w:val="clear" w:color="auto" w:fill="DDDDDD"/>
          </w:tcPr>
          <w:p>
            <w:pPr>
              <w:spacing w:after="0"/>
              <w:rPr>
                <w:sz w:val="4"/>
                <w:szCs w:val="4"/>
                <w:color w:val="auto"/>
              </w:rPr>
            </w:pPr>
          </w:p>
        </w:tc>
        <w:tc>
          <w:tcPr>
            <w:tcW w:w="840" w:type="dxa"/>
            <w:vAlign w:val="bottom"/>
            <w:gridSpan w:val="2"/>
            <w:vMerge w:val="continue"/>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180" w:type="dxa"/>
            <w:vAlign w:val="bottom"/>
            <w:shd w:val="clear" w:color="auto" w:fill="DDDDDD"/>
          </w:tcPr>
          <w:p>
            <w:pPr>
              <w:spacing w:after="0"/>
              <w:rPr>
                <w:sz w:val="4"/>
                <w:szCs w:val="4"/>
                <w:color w:val="auto"/>
              </w:rPr>
            </w:pPr>
          </w:p>
        </w:tc>
        <w:tc>
          <w:tcPr>
            <w:tcW w:w="740" w:type="dxa"/>
            <w:vAlign w:val="bottom"/>
            <w:gridSpan w:val="2"/>
            <w:vMerge w:val="continue"/>
            <w:shd w:val="clear" w:color="auto" w:fill="DDDDDD"/>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2060" w:type="dxa"/>
            <w:vAlign w:val="bottom"/>
          </w:tcPr>
          <w:p>
            <w:pPr>
              <w:ind w:left="20"/>
              <w:spacing w:after="0"/>
              <w:rPr>
                <w:sz w:val="20"/>
                <w:szCs w:val="20"/>
                <w:color w:val="auto"/>
              </w:rPr>
            </w:pPr>
            <w:r>
              <w:rPr>
                <w:rFonts w:ascii="Arial" w:cs="Arial" w:eastAsia="Arial" w:hAnsi="Arial"/>
                <w:sz w:val="14"/>
                <w:szCs w:val="14"/>
                <w:color w:val="auto"/>
              </w:rPr>
              <w:t>Hemophilia:</w:t>
            </w:r>
          </w:p>
        </w:tc>
        <w:tc>
          <w:tcPr>
            <w:tcW w:w="180" w:type="dxa"/>
            <w:vAlign w:val="bottom"/>
            <w:shd w:val="clear" w:color="auto" w:fill="DDDDDD"/>
          </w:tcPr>
          <w:p>
            <w:pPr>
              <w:spacing w:after="0"/>
              <w:rPr>
                <w:sz w:val="17"/>
                <w:szCs w:val="17"/>
                <w:color w:val="auto"/>
              </w:rPr>
            </w:pPr>
          </w:p>
        </w:tc>
        <w:tc>
          <w:tcPr>
            <w:tcW w:w="64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7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6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60" w:type="dxa"/>
            <w:vAlign w:val="bottom"/>
          </w:tcPr>
          <w:p>
            <w:pPr>
              <w:ind w:left="160"/>
              <w:spacing w:after="0"/>
              <w:rPr>
                <w:sz w:val="20"/>
                <w:szCs w:val="20"/>
                <w:color w:val="auto"/>
              </w:rPr>
            </w:pPr>
            <w:r>
              <w:rPr>
                <w:rFonts w:ascii="Arial" w:cs="Arial" w:eastAsia="Arial" w:hAnsi="Arial"/>
                <w:sz w:val="14"/>
                <w:szCs w:val="14"/>
                <w:color w:val="auto"/>
              </w:rPr>
              <w:t>ELOCTATE</w:t>
            </w:r>
          </w:p>
        </w:tc>
        <w:tc>
          <w:tcPr>
            <w:tcW w:w="180" w:type="dxa"/>
            <w:vAlign w:val="bottom"/>
            <w:shd w:val="clear" w:color="auto" w:fill="DDDDDD"/>
          </w:tcPr>
          <w:p>
            <w:pPr>
              <w:spacing w:after="0"/>
              <w:rPr>
                <w:sz w:val="22"/>
                <w:szCs w:val="22"/>
                <w:color w:val="auto"/>
              </w:rPr>
            </w:pPr>
          </w:p>
        </w:tc>
        <w:tc>
          <w:tcPr>
            <w:tcW w:w="6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42.2</w:t>
            </w:r>
          </w:p>
        </w:tc>
        <w:tc>
          <w:tcPr>
            <w:tcW w:w="100" w:type="dxa"/>
            <w:vAlign w:val="bottom"/>
            <w:shd w:val="clear" w:color="auto" w:fill="DDDDDD"/>
          </w:tcPr>
          <w:p>
            <w:pPr>
              <w:spacing w:after="0"/>
              <w:rPr>
                <w:sz w:val="22"/>
                <w:szCs w:val="22"/>
                <w:color w:val="auto"/>
              </w:rPr>
            </w:pPr>
          </w:p>
        </w:tc>
        <w:tc>
          <w:tcPr>
            <w:tcW w:w="120" w:type="dxa"/>
            <w:vAlign w:val="bottom"/>
            <w:shd w:val="clear" w:color="auto" w:fill="DDDDDD"/>
          </w:tcPr>
          <w:p>
            <w:pPr>
              <w:spacing w:after="0"/>
              <w:rPr>
                <w:sz w:val="22"/>
                <w:szCs w:val="22"/>
                <w:color w:val="auto"/>
              </w:rPr>
            </w:pPr>
          </w:p>
        </w:tc>
        <w:tc>
          <w:tcPr>
            <w:tcW w:w="200" w:type="dxa"/>
            <w:vAlign w:val="bottom"/>
            <w:shd w:val="clear" w:color="auto" w:fill="DDDDDD"/>
          </w:tcPr>
          <w:p>
            <w:pPr>
              <w:spacing w:after="0"/>
              <w:rPr>
                <w:sz w:val="22"/>
                <w:szCs w:val="22"/>
                <w:color w:val="auto"/>
              </w:rPr>
            </w:pPr>
          </w:p>
        </w:tc>
        <w:tc>
          <w:tcPr>
            <w:tcW w:w="72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6.2</w:t>
            </w:r>
          </w:p>
        </w:tc>
        <w:tc>
          <w:tcPr>
            <w:tcW w:w="120" w:type="dxa"/>
            <w:vAlign w:val="bottom"/>
            <w:shd w:val="clear" w:color="auto" w:fill="DDDDDD"/>
          </w:tcPr>
          <w:p>
            <w:pPr>
              <w:spacing w:after="0"/>
              <w:rPr>
                <w:sz w:val="22"/>
                <w:szCs w:val="22"/>
                <w:color w:val="auto"/>
              </w:rPr>
            </w:pPr>
          </w:p>
        </w:tc>
        <w:tc>
          <w:tcPr>
            <w:tcW w:w="120" w:type="dxa"/>
            <w:vAlign w:val="bottom"/>
            <w:shd w:val="clear" w:color="auto" w:fill="DDDDDD"/>
          </w:tcPr>
          <w:p>
            <w:pPr>
              <w:spacing w:after="0"/>
              <w:rPr>
                <w:sz w:val="22"/>
                <w:szCs w:val="22"/>
                <w:color w:val="auto"/>
              </w:rPr>
            </w:pPr>
          </w:p>
        </w:tc>
        <w:tc>
          <w:tcPr>
            <w:tcW w:w="180" w:type="dxa"/>
            <w:vAlign w:val="bottom"/>
            <w:shd w:val="clear" w:color="auto" w:fill="DDDDDD"/>
          </w:tcPr>
          <w:p>
            <w:pPr>
              <w:spacing w:after="0"/>
              <w:rPr>
                <w:sz w:val="22"/>
                <w:szCs w:val="22"/>
                <w:color w:val="auto"/>
              </w:rPr>
            </w:pPr>
          </w:p>
        </w:tc>
        <w:tc>
          <w:tcPr>
            <w:tcW w:w="62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48.4</w:t>
            </w:r>
          </w:p>
        </w:tc>
        <w:tc>
          <w:tcPr>
            <w:tcW w:w="120" w:type="dxa"/>
            <w:vAlign w:val="bottom"/>
            <w:shd w:val="clear" w:color="auto" w:fill="DDDDDD"/>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vMerge w:val="restart"/>
          </w:tcPr>
          <w:p>
            <w:pPr>
              <w:jc w:val="right"/>
              <w:ind w:right="32"/>
              <w:spacing w:after="0"/>
              <w:rPr>
                <w:sz w:val="20"/>
                <w:szCs w:val="20"/>
                <w:color w:val="auto"/>
              </w:rPr>
            </w:pPr>
            <w:r>
              <w:rPr>
                <w:rFonts w:ascii="Arial" w:cs="Arial" w:eastAsia="Arial" w:hAnsi="Arial"/>
                <w:sz w:val="14"/>
                <w:szCs w:val="14"/>
                <w:color w:val="auto"/>
              </w:rPr>
              <w:t>445.2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4"/>
                <w:szCs w:val="14"/>
                <w:color w:val="auto"/>
              </w:rPr>
              <w:t>68.0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vMerge w:val="restart"/>
          </w:tcPr>
          <w:p>
            <w:pPr>
              <w:jc w:val="right"/>
              <w:ind w:right="52"/>
              <w:spacing w:after="0"/>
              <w:rPr>
                <w:sz w:val="20"/>
                <w:szCs w:val="20"/>
                <w:color w:val="auto"/>
              </w:rPr>
            </w:pPr>
            <w:r>
              <w:rPr>
                <w:rFonts w:ascii="Arial" w:cs="Arial" w:eastAsia="Arial" w:hAnsi="Arial"/>
                <w:sz w:val="14"/>
                <w:szCs w:val="14"/>
                <w:color w:val="auto"/>
              </w:rPr>
              <w:t>513.2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vMerge w:val="restart"/>
          </w:tcPr>
          <w:p>
            <w:pPr>
              <w:jc w:val="right"/>
              <w:ind w:right="52"/>
              <w:spacing w:after="0"/>
              <w:rPr>
                <w:sz w:val="20"/>
                <w:szCs w:val="20"/>
                <w:color w:val="auto"/>
              </w:rPr>
            </w:pPr>
            <w:r>
              <w:rPr>
                <w:rFonts w:ascii="Arial" w:cs="Arial" w:eastAsia="Arial" w:hAnsi="Arial"/>
                <w:sz w:val="14"/>
                <w:szCs w:val="14"/>
                <w:color w:val="auto"/>
              </w:rPr>
              <w:t>308.3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vMerge w:val="restart"/>
          </w:tcPr>
          <w:p>
            <w:pPr>
              <w:jc w:val="right"/>
              <w:ind w:right="32"/>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vMerge w:val="restart"/>
          </w:tcPr>
          <w:p>
            <w:pPr>
              <w:jc w:val="right"/>
              <w:ind w:right="31"/>
              <w:spacing w:after="0"/>
              <w:rPr>
                <w:sz w:val="20"/>
                <w:szCs w:val="20"/>
                <w:color w:val="auto"/>
              </w:rPr>
            </w:pPr>
            <w:r>
              <w:rPr>
                <w:rFonts w:ascii="Arial" w:cs="Arial" w:eastAsia="Arial" w:hAnsi="Arial"/>
                <w:sz w:val="14"/>
                <w:szCs w:val="14"/>
                <w:color w:val="auto"/>
              </w:rPr>
              <w:t>319.7</w:t>
            </w:r>
          </w:p>
        </w:tc>
        <w:tc>
          <w:tcPr>
            <w:tcW w:w="0" w:type="dxa"/>
            <w:vAlign w:val="bottom"/>
          </w:tcPr>
          <w:p>
            <w:pPr>
              <w:spacing w:after="0"/>
              <w:rPr>
                <w:sz w:val="1"/>
                <w:szCs w:val="1"/>
                <w:color w:val="auto"/>
              </w:rPr>
            </w:pPr>
          </w:p>
        </w:tc>
      </w:tr>
      <w:tr>
        <w:trPr>
          <w:trHeight w:val="51"/>
        </w:trPr>
        <w:tc>
          <w:tcPr>
            <w:tcW w:w="2060" w:type="dxa"/>
            <w:vAlign w:val="bottom"/>
          </w:tcPr>
          <w:p>
            <w:pPr>
              <w:spacing w:after="0"/>
              <w:rPr>
                <w:sz w:val="4"/>
                <w:szCs w:val="4"/>
                <w:color w:val="auto"/>
              </w:rPr>
            </w:pPr>
          </w:p>
        </w:tc>
        <w:tc>
          <w:tcPr>
            <w:tcW w:w="180" w:type="dxa"/>
            <w:vAlign w:val="bottom"/>
            <w:shd w:val="clear" w:color="auto" w:fill="DDDDDD"/>
          </w:tcPr>
          <w:p>
            <w:pPr>
              <w:spacing w:after="0"/>
              <w:rPr>
                <w:sz w:val="4"/>
                <w:szCs w:val="4"/>
                <w:color w:val="auto"/>
              </w:rPr>
            </w:pPr>
          </w:p>
        </w:tc>
        <w:tc>
          <w:tcPr>
            <w:tcW w:w="640" w:type="dxa"/>
            <w:vAlign w:val="bottom"/>
            <w:vMerge w:val="continue"/>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200" w:type="dxa"/>
            <w:vAlign w:val="bottom"/>
            <w:shd w:val="clear" w:color="auto" w:fill="DDDDDD"/>
          </w:tcPr>
          <w:p>
            <w:pPr>
              <w:spacing w:after="0"/>
              <w:rPr>
                <w:sz w:val="4"/>
                <w:szCs w:val="4"/>
                <w:color w:val="auto"/>
              </w:rPr>
            </w:pPr>
          </w:p>
        </w:tc>
        <w:tc>
          <w:tcPr>
            <w:tcW w:w="720" w:type="dxa"/>
            <w:vAlign w:val="bottom"/>
            <w:vMerge w:val="continue"/>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180" w:type="dxa"/>
            <w:vAlign w:val="bottom"/>
            <w:shd w:val="clear" w:color="auto" w:fill="DDDDDD"/>
          </w:tcPr>
          <w:p>
            <w:pPr>
              <w:spacing w:after="0"/>
              <w:rPr>
                <w:sz w:val="4"/>
                <w:szCs w:val="4"/>
                <w:color w:val="auto"/>
              </w:rPr>
            </w:pPr>
          </w:p>
        </w:tc>
        <w:tc>
          <w:tcPr>
            <w:tcW w:w="620" w:type="dxa"/>
            <w:vAlign w:val="bottom"/>
            <w:vMerge w:val="continue"/>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2060" w:type="dxa"/>
            <w:vAlign w:val="bottom"/>
          </w:tcPr>
          <w:p>
            <w:pPr>
              <w:ind w:left="160"/>
              <w:spacing w:after="0"/>
              <w:rPr>
                <w:sz w:val="20"/>
                <w:szCs w:val="20"/>
                <w:color w:val="auto"/>
              </w:rPr>
            </w:pPr>
            <w:r>
              <w:rPr>
                <w:rFonts w:ascii="Arial" w:cs="Arial" w:eastAsia="Arial" w:hAnsi="Arial"/>
                <w:sz w:val="14"/>
                <w:szCs w:val="14"/>
                <w:color w:val="auto"/>
              </w:rPr>
              <w:t>ALPROLIX</w:t>
            </w:r>
          </w:p>
        </w:tc>
        <w:tc>
          <w:tcPr>
            <w:tcW w:w="180" w:type="dxa"/>
            <w:vAlign w:val="bottom"/>
            <w:shd w:val="clear" w:color="auto" w:fill="DDDDDD"/>
          </w:tcPr>
          <w:p>
            <w:pPr>
              <w:spacing w:after="0"/>
              <w:rPr>
                <w:sz w:val="17"/>
                <w:szCs w:val="17"/>
                <w:color w:val="auto"/>
              </w:rPr>
            </w:pPr>
          </w:p>
        </w:tc>
        <w:tc>
          <w:tcPr>
            <w:tcW w:w="6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21.0</w:t>
            </w: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72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5.0</w:t>
            </w:r>
          </w:p>
        </w:tc>
        <w:tc>
          <w:tcPr>
            <w:tcW w:w="1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62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26.0</w:t>
            </w:r>
          </w:p>
        </w:tc>
        <w:tc>
          <w:tcPr>
            <w:tcW w:w="120" w:type="dxa"/>
            <w:vAlign w:val="bottom"/>
            <w:shd w:val="clear" w:color="auto" w:fill="DDDDDD"/>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restart"/>
          </w:tcPr>
          <w:p>
            <w:pPr>
              <w:jc w:val="right"/>
              <w:ind w:right="32"/>
              <w:spacing w:after="0"/>
              <w:rPr>
                <w:sz w:val="20"/>
                <w:szCs w:val="20"/>
                <w:color w:val="auto"/>
              </w:rPr>
            </w:pPr>
            <w:r>
              <w:rPr>
                <w:rFonts w:ascii="Arial" w:cs="Arial" w:eastAsia="Arial" w:hAnsi="Arial"/>
                <w:sz w:val="14"/>
                <w:szCs w:val="14"/>
                <w:color w:val="auto"/>
              </w:rPr>
              <w:t>268.0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4"/>
                <w:szCs w:val="14"/>
                <w:color w:val="auto"/>
              </w:rPr>
              <w:t>65.7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restart"/>
          </w:tcPr>
          <w:p>
            <w:pPr>
              <w:jc w:val="right"/>
              <w:ind w:right="52"/>
              <w:spacing w:after="0"/>
              <w:rPr>
                <w:sz w:val="20"/>
                <w:szCs w:val="20"/>
                <w:color w:val="auto"/>
              </w:rPr>
            </w:pPr>
            <w:r>
              <w:rPr>
                <w:rFonts w:ascii="Arial" w:cs="Arial" w:eastAsia="Arial" w:hAnsi="Arial"/>
                <w:sz w:val="14"/>
                <w:szCs w:val="14"/>
                <w:color w:val="auto"/>
              </w:rPr>
              <w:t>333.7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restart"/>
          </w:tcPr>
          <w:p>
            <w:pPr>
              <w:jc w:val="right"/>
              <w:ind w:right="52"/>
              <w:spacing w:after="0"/>
              <w:rPr>
                <w:sz w:val="20"/>
                <w:szCs w:val="20"/>
                <w:color w:val="auto"/>
              </w:rPr>
            </w:pPr>
            <w:r>
              <w:rPr>
                <w:rFonts w:ascii="Arial" w:cs="Arial" w:eastAsia="Arial" w:hAnsi="Arial"/>
                <w:sz w:val="14"/>
                <w:szCs w:val="14"/>
                <w:color w:val="auto"/>
              </w:rPr>
              <w:t>208.9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restart"/>
          </w:tcPr>
          <w:p>
            <w:pPr>
              <w:jc w:val="right"/>
              <w:ind w:right="32"/>
              <w:spacing w:after="0"/>
              <w:rPr>
                <w:sz w:val="20"/>
                <w:szCs w:val="20"/>
                <w:color w:val="auto"/>
              </w:rPr>
            </w:pPr>
            <w:r>
              <w:rPr>
                <w:rFonts w:ascii="Arial" w:cs="Arial" w:eastAsia="Arial" w:hAnsi="Arial"/>
                <w:sz w:val="14"/>
                <w:szCs w:val="14"/>
                <w:color w:val="auto"/>
              </w:rPr>
              <w:t>25.6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restart"/>
          </w:tcPr>
          <w:p>
            <w:pPr>
              <w:jc w:val="right"/>
              <w:ind w:right="31"/>
              <w:spacing w:after="0"/>
              <w:rPr>
                <w:sz w:val="20"/>
                <w:szCs w:val="20"/>
                <w:color w:val="auto"/>
              </w:rPr>
            </w:pPr>
            <w:r>
              <w:rPr>
                <w:rFonts w:ascii="Arial" w:cs="Arial" w:eastAsia="Arial" w:hAnsi="Arial"/>
                <w:sz w:val="14"/>
                <w:szCs w:val="14"/>
                <w:color w:val="auto"/>
              </w:rPr>
              <w:t>234.5</w:t>
            </w:r>
          </w:p>
        </w:tc>
        <w:tc>
          <w:tcPr>
            <w:tcW w:w="0" w:type="dxa"/>
            <w:vAlign w:val="bottom"/>
          </w:tcPr>
          <w:p>
            <w:pPr>
              <w:spacing w:after="0"/>
              <w:rPr>
                <w:sz w:val="1"/>
                <w:szCs w:val="1"/>
                <w:color w:val="auto"/>
              </w:rPr>
            </w:pPr>
          </w:p>
        </w:tc>
      </w:tr>
      <w:tr>
        <w:trPr>
          <w:trHeight w:val="51"/>
        </w:trPr>
        <w:tc>
          <w:tcPr>
            <w:tcW w:w="2060" w:type="dxa"/>
            <w:vAlign w:val="bottom"/>
          </w:tcPr>
          <w:p>
            <w:pPr>
              <w:spacing w:after="0"/>
              <w:rPr>
                <w:sz w:val="4"/>
                <w:szCs w:val="4"/>
                <w:color w:val="auto"/>
              </w:rPr>
            </w:pPr>
          </w:p>
        </w:tc>
        <w:tc>
          <w:tcPr>
            <w:tcW w:w="180" w:type="dxa"/>
            <w:vAlign w:val="bottom"/>
            <w:shd w:val="clear" w:color="auto" w:fill="DDDDDD"/>
          </w:tcPr>
          <w:p>
            <w:pPr>
              <w:spacing w:after="0"/>
              <w:rPr>
                <w:sz w:val="4"/>
                <w:szCs w:val="4"/>
                <w:color w:val="auto"/>
              </w:rPr>
            </w:pPr>
          </w:p>
        </w:tc>
        <w:tc>
          <w:tcPr>
            <w:tcW w:w="640" w:type="dxa"/>
            <w:vAlign w:val="bottom"/>
            <w:vMerge w:val="continue"/>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200" w:type="dxa"/>
            <w:vAlign w:val="bottom"/>
            <w:shd w:val="clear" w:color="auto" w:fill="DDDDDD"/>
          </w:tcPr>
          <w:p>
            <w:pPr>
              <w:spacing w:after="0"/>
              <w:rPr>
                <w:sz w:val="4"/>
                <w:szCs w:val="4"/>
                <w:color w:val="auto"/>
              </w:rPr>
            </w:pPr>
          </w:p>
        </w:tc>
        <w:tc>
          <w:tcPr>
            <w:tcW w:w="720" w:type="dxa"/>
            <w:vAlign w:val="bottom"/>
            <w:vMerge w:val="continue"/>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180" w:type="dxa"/>
            <w:vAlign w:val="bottom"/>
            <w:shd w:val="clear" w:color="auto" w:fill="DDDDDD"/>
          </w:tcPr>
          <w:p>
            <w:pPr>
              <w:spacing w:after="0"/>
              <w:rPr>
                <w:sz w:val="4"/>
                <w:szCs w:val="4"/>
                <w:color w:val="auto"/>
              </w:rPr>
            </w:pPr>
          </w:p>
        </w:tc>
        <w:tc>
          <w:tcPr>
            <w:tcW w:w="620" w:type="dxa"/>
            <w:vAlign w:val="bottom"/>
            <w:vMerge w:val="continue"/>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2060" w:type="dxa"/>
            <w:vAlign w:val="bottom"/>
          </w:tcPr>
          <w:p>
            <w:pPr>
              <w:ind w:left="20"/>
              <w:spacing w:after="0"/>
              <w:rPr>
                <w:sz w:val="20"/>
                <w:szCs w:val="20"/>
                <w:color w:val="auto"/>
              </w:rPr>
            </w:pPr>
            <w:r>
              <w:rPr>
                <w:rFonts w:ascii="Arial" w:cs="Arial" w:eastAsia="Arial" w:hAnsi="Arial"/>
                <w:sz w:val="14"/>
                <w:szCs w:val="14"/>
                <w:color w:val="auto"/>
              </w:rPr>
              <w:t>Other product revenues:</w:t>
            </w:r>
          </w:p>
        </w:tc>
        <w:tc>
          <w:tcPr>
            <w:tcW w:w="180" w:type="dxa"/>
            <w:vAlign w:val="bottom"/>
            <w:shd w:val="clear" w:color="auto" w:fill="DDDDDD"/>
          </w:tcPr>
          <w:p>
            <w:pPr>
              <w:spacing w:after="0"/>
              <w:rPr>
                <w:sz w:val="17"/>
                <w:szCs w:val="17"/>
                <w:color w:val="auto"/>
              </w:rPr>
            </w:pPr>
          </w:p>
        </w:tc>
        <w:tc>
          <w:tcPr>
            <w:tcW w:w="64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7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6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60" w:type="dxa"/>
            <w:vAlign w:val="bottom"/>
          </w:tcPr>
          <w:p>
            <w:pPr>
              <w:ind w:left="160"/>
              <w:spacing w:after="0"/>
              <w:rPr>
                <w:sz w:val="20"/>
                <w:szCs w:val="20"/>
                <w:color w:val="auto"/>
              </w:rPr>
            </w:pPr>
            <w:r>
              <w:rPr>
                <w:rFonts w:ascii="Arial" w:cs="Arial" w:eastAsia="Arial" w:hAnsi="Arial"/>
                <w:sz w:val="14"/>
                <w:szCs w:val="14"/>
                <w:color w:val="auto"/>
              </w:rPr>
              <w:t>FUMADERM</w:t>
            </w:r>
          </w:p>
        </w:tc>
        <w:tc>
          <w:tcPr>
            <w:tcW w:w="180" w:type="dxa"/>
            <w:vAlign w:val="bottom"/>
            <w:shd w:val="clear" w:color="auto" w:fill="DDDDDD"/>
          </w:tcPr>
          <w:p>
            <w:pPr>
              <w:spacing w:after="0"/>
              <w:rPr>
                <w:sz w:val="22"/>
                <w:szCs w:val="22"/>
                <w:color w:val="auto"/>
              </w:rPr>
            </w:pPr>
          </w:p>
        </w:tc>
        <w:tc>
          <w:tcPr>
            <w:tcW w:w="6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00" w:type="dxa"/>
            <w:vAlign w:val="bottom"/>
            <w:shd w:val="clear" w:color="auto" w:fill="DDDDDD"/>
          </w:tcPr>
          <w:p>
            <w:pPr>
              <w:spacing w:after="0"/>
              <w:rPr>
                <w:sz w:val="22"/>
                <w:szCs w:val="22"/>
                <w:color w:val="auto"/>
              </w:rPr>
            </w:pPr>
          </w:p>
        </w:tc>
        <w:tc>
          <w:tcPr>
            <w:tcW w:w="120" w:type="dxa"/>
            <w:vAlign w:val="bottom"/>
            <w:shd w:val="clear" w:color="auto" w:fill="DDDDDD"/>
          </w:tcPr>
          <w:p>
            <w:pPr>
              <w:spacing w:after="0"/>
              <w:rPr>
                <w:sz w:val="22"/>
                <w:szCs w:val="22"/>
                <w:color w:val="auto"/>
              </w:rPr>
            </w:pPr>
          </w:p>
        </w:tc>
        <w:tc>
          <w:tcPr>
            <w:tcW w:w="200" w:type="dxa"/>
            <w:vAlign w:val="bottom"/>
            <w:shd w:val="clear" w:color="auto" w:fill="DDDDDD"/>
          </w:tcPr>
          <w:p>
            <w:pPr>
              <w:spacing w:after="0"/>
              <w:rPr>
                <w:sz w:val="22"/>
                <w:szCs w:val="22"/>
                <w:color w:val="auto"/>
              </w:rPr>
            </w:pPr>
          </w:p>
        </w:tc>
        <w:tc>
          <w:tcPr>
            <w:tcW w:w="72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39.6</w:t>
            </w:r>
          </w:p>
        </w:tc>
        <w:tc>
          <w:tcPr>
            <w:tcW w:w="120" w:type="dxa"/>
            <w:vAlign w:val="bottom"/>
            <w:shd w:val="clear" w:color="auto" w:fill="DDDDDD"/>
          </w:tcPr>
          <w:p>
            <w:pPr>
              <w:spacing w:after="0"/>
              <w:rPr>
                <w:sz w:val="22"/>
                <w:szCs w:val="22"/>
                <w:color w:val="auto"/>
              </w:rPr>
            </w:pPr>
          </w:p>
        </w:tc>
        <w:tc>
          <w:tcPr>
            <w:tcW w:w="120" w:type="dxa"/>
            <w:vAlign w:val="bottom"/>
            <w:shd w:val="clear" w:color="auto" w:fill="DDDDDD"/>
          </w:tcPr>
          <w:p>
            <w:pPr>
              <w:spacing w:after="0"/>
              <w:rPr>
                <w:sz w:val="22"/>
                <w:szCs w:val="22"/>
                <w:color w:val="auto"/>
              </w:rPr>
            </w:pPr>
          </w:p>
        </w:tc>
        <w:tc>
          <w:tcPr>
            <w:tcW w:w="180" w:type="dxa"/>
            <w:vAlign w:val="bottom"/>
            <w:shd w:val="clear" w:color="auto" w:fill="DDDDDD"/>
          </w:tcPr>
          <w:p>
            <w:pPr>
              <w:spacing w:after="0"/>
              <w:rPr>
                <w:sz w:val="22"/>
                <w:szCs w:val="22"/>
                <w:color w:val="auto"/>
              </w:rPr>
            </w:pPr>
          </w:p>
        </w:tc>
        <w:tc>
          <w:tcPr>
            <w:tcW w:w="62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39.6</w:t>
            </w:r>
          </w:p>
        </w:tc>
        <w:tc>
          <w:tcPr>
            <w:tcW w:w="120" w:type="dxa"/>
            <w:vAlign w:val="bottom"/>
            <w:shd w:val="clear" w:color="auto" w:fill="DDDDDD"/>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4"/>
                <w:szCs w:val="14"/>
                <w:color w:val="auto"/>
              </w:rPr>
              <w:t>45.9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vMerge w:val="restart"/>
          </w:tcPr>
          <w:p>
            <w:pPr>
              <w:jc w:val="right"/>
              <w:ind w:right="52"/>
              <w:spacing w:after="0"/>
              <w:rPr>
                <w:sz w:val="20"/>
                <w:szCs w:val="20"/>
                <w:color w:val="auto"/>
              </w:rPr>
            </w:pPr>
            <w:r>
              <w:rPr>
                <w:rFonts w:ascii="Arial" w:cs="Arial" w:eastAsia="Arial" w:hAnsi="Arial"/>
                <w:sz w:val="14"/>
                <w:szCs w:val="14"/>
                <w:color w:val="auto"/>
              </w:rPr>
              <w:t>45.9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vMerge w:val="restart"/>
          </w:tcPr>
          <w:p>
            <w:pPr>
              <w:jc w:val="right"/>
              <w:ind w:right="32"/>
              <w:spacing w:after="0"/>
              <w:rPr>
                <w:sz w:val="20"/>
                <w:szCs w:val="20"/>
                <w:color w:val="auto"/>
              </w:rPr>
            </w:pPr>
            <w:r>
              <w:rPr>
                <w:rFonts w:ascii="Arial" w:cs="Arial" w:eastAsia="Arial" w:hAnsi="Arial"/>
                <w:sz w:val="14"/>
                <w:szCs w:val="14"/>
                <w:color w:val="auto"/>
              </w:rPr>
              <w:t>51.4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vMerge w:val="restart"/>
          </w:tcPr>
          <w:p>
            <w:pPr>
              <w:jc w:val="right"/>
              <w:ind w:right="31"/>
              <w:spacing w:after="0"/>
              <w:rPr>
                <w:sz w:val="20"/>
                <w:szCs w:val="20"/>
                <w:color w:val="auto"/>
              </w:rPr>
            </w:pPr>
            <w:r>
              <w:rPr>
                <w:rFonts w:ascii="Arial" w:cs="Arial" w:eastAsia="Arial" w:hAnsi="Arial"/>
                <w:sz w:val="14"/>
                <w:szCs w:val="14"/>
                <w:color w:val="auto"/>
              </w:rPr>
              <w:t>51.4</w:t>
            </w:r>
          </w:p>
        </w:tc>
        <w:tc>
          <w:tcPr>
            <w:tcW w:w="0" w:type="dxa"/>
            <w:vAlign w:val="bottom"/>
          </w:tcPr>
          <w:p>
            <w:pPr>
              <w:spacing w:after="0"/>
              <w:rPr>
                <w:sz w:val="1"/>
                <w:szCs w:val="1"/>
                <w:color w:val="auto"/>
              </w:rPr>
            </w:pPr>
          </w:p>
        </w:tc>
      </w:tr>
      <w:tr>
        <w:trPr>
          <w:trHeight w:val="51"/>
        </w:trPr>
        <w:tc>
          <w:tcPr>
            <w:tcW w:w="2060" w:type="dxa"/>
            <w:vAlign w:val="bottom"/>
          </w:tcPr>
          <w:p>
            <w:pPr>
              <w:spacing w:after="0"/>
              <w:rPr>
                <w:sz w:val="4"/>
                <w:szCs w:val="4"/>
                <w:color w:val="auto"/>
              </w:rPr>
            </w:pPr>
          </w:p>
        </w:tc>
        <w:tc>
          <w:tcPr>
            <w:tcW w:w="180" w:type="dxa"/>
            <w:vAlign w:val="bottom"/>
            <w:shd w:val="clear" w:color="auto" w:fill="DDDDDD"/>
          </w:tcPr>
          <w:p>
            <w:pPr>
              <w:spacing w:after="0"/>
              <w:rPr>
                <w:sz w:val="4"/>
                <w:szCs w:val="4"/>
                <w:color w:val="auto"/>
              </w:rPr>
            </w:pPr>
          </w:p>
        </w:tc>
        <w:tc>
          <w:tcPr>
            <w:tcW w:w="640" w:type="dxa"/>
            <w:vAlign w:val="bottom"/>
            <w:vMerge w:val="continue"/>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200" w:type="dxa"/>
            <w:vAlign w:val="bottom"/>
            <w:shd w:val="clear" w:color="auto" w:fill="DDDDDD"/>
          </w:tcPr>
          <w:p>
            <w:pPr>
              <w:spacing w:after="0"/>
              <w:rPr>
                <w:sz w:val="4"/>
                <w:szCs w:val="4"/>
                <w:color w:val="auto"/>
              </w:rPr>
            </w:pPr>
          </w:p>
        </w:tc>
        <w:tc>
          <w:tcPr>
            <w:tcW w:w="720" w:type="dxa"/>
            <w:vAlign w:val="bottom"/>
            <w:vMerge w:val="continue"/>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180" w:type="dxa"/>
            <w:vAlign w:val="bottom"/>
            <w:shd w:val="clear" w:color="auto" w:fill="DDDDDD"/>
          </w:tcPr>
          <w:p>
            <w:pPr>
              <w:spacing w:after="0"/>
              <w:rPr>
                <w:sz w:val="4"/>
                <w:szCs w:val="4"/>
                <w:color w:val="auto"/>
              </w:rPr>
            </w:pPr>
          </w:p>
        </w:tc>
        <w:tc>
          <w:tcPr>
            <w:tcW w:w="620" w:type="dxa"/>
            <w:vAlign w:val="bottom"/>
            <w:vMerge w:val="continue"/>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2060" w:type="dxa"/>
            <w:vAlign w:val="bottom"/>
          </w:tcPr>
          <w:p>
            <w:pPr>
              <w:ind w:left="160"/>
              <w:spacing w:after="0"/>
              <w:rPr>
                <w:sz w:val="20"/>
                <w:szCs w:val="20"/>
                <w:color w:val="auto"/>
              </w:rPr>
            </w:pPr>
            <w:r>
              <w:rPr>
                <w:rFonts w:ascii="Arial" w:cs="Arial" w:eastAsia="Arial" w:hAnsi="Arial"/>
                <w:sz w:val="14"/>
                <w:szCs w:val="14"/>
                <w:color w:val="auto"/>
              </w:rPr>
              <w:t>BENEPALI</w:t>
            </w:r>
          </w:p>
        </w:tc>
        <w:tc>
          <w:tcPr>
            <w:tcW w:w="180" w:type="dxa"/>
            <w:vAlign w:val="bottom"/>
            <w:shd w:val="clear" w:color="auto" w:fill="DDDDDD"/>
          </w:tcPr>
          <w:p>
            <w:pPr>
              <w:spacing w:after="0"/>
              <w:rPr>
                <w:sz w:val="17"/>
                <w:szCs w:val="17"/>
                <w:color w:val="auto"/>
              </w:rPr>
            </w:pPr>
          </w:p>
        </w:tc>
        <w:tc>
          <w:tcPr>
            <w:tcW w:w="6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72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370.8</w:t>
            </w:r>
          </w:p>
        </w:tc>
        <w:tc>
          <w:tcPr>
            <w:tcW w:w="1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62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370.8</w:t>
            </w:r>
          </w:p>
        </w:tc>
        <w:tc>
          <w:tcPr>
            <w:tcW w:w="120" w:type="dxa"/>
            <w:vAlign w:val="bottom"/>
            <w:shd w:val="clear" w:color="auto" w:fill="DDDDDD"/>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4"/>
                <w:szCs w:val="14"/>
                <w:color w:val="auto"/>
              </w:rPr>
              <w:t>100.6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restart"/>
          </w:tcPr>
          <w:p>
            <w:pPr>
              <w:jc w:val="right"/>
              <w:ind w:right="52"/>
              <w:spacing w:after="0"/>
              <w:rPr>
                <w:sz w:val="20"/>
                <w:szCs w:val="20"/>
                <w:color w:val="auto"/>
              </w:rPr>
            </w:pPr>
            <w:r>
              <w:rPr>
                <w:rFonts w:ascii="Arial" w:cs="Arial" w:eastAsia="Arial" w:hAnsi="Arial"/>
                <w:sz w:val="14"/>
                <w:szCs w:val="14"/>
                <w:color w:val="auto"/>
              </w:rPr>
              <w:t>100.6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680" w:type="dxa"/>
            <w:vAlign w:val="bottom"/>
            <w:vMerge w:val="restart"/>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1"/>
        </w:trPr>
        <w:tc>
          <w:tcPr>
            <w:tcW w:w="2060" w:type="dxa"/>
            <w:vAlign w:val="bottom"/>
          </w:tcPr>
          <w:p>
            <w:pPr>
              <w:spacing w:after="0"/>
              <w:rPr>
                <w:sz w:val="4"/>
                <w:szCs w:val="4"/>
                <w:color w:val="auto"/>
              </w:rPr>
            </w:pPr>
          </w:p>
        </w:tc>
        <w:tc>
          <w:tcPr>
            <w:tcW w:w="180" w:type="dxa"/>
            <w:vAlign w:val="bottom"/>
            <w:shd w:val="clear" w:color="auto" w:fill="DDDDDD"/>
          </w:tcPr>
          <w:p>
            <w:pPr>
              <w:spacing w:after="0"/>
              <w:rPr>
                <w:sz w:val="4"/>
                <w:szCs w:val="4"/>
                <w:color w:val="auto"/>
              </w:rPr>
            </w:pPr>
          </w:p>
        </w:tc>
        <w:tc>
          <w:tcPr>
            <w:tcW w:w="640" w:type="dxa"/>
            <w:vAlign w:val="bottom"/>
            <w:vMerge w:val="continue"/>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200" w:type="dxa"/>
            <w:vAlign w:val="bottom"/>
            <w:shd w:val="clear" w:color="auto" w:fill="DDDDDD"/>
          </w:tcPr>
          <w:p>
            <w:pPr>
              <w:spacing w:after="0"/>
              <w:rPr>
                <w:sz w:val="4"/>
                <w:szCs w:val="4"/>
                <w:color w:val="auto"/>
              </w:rPr>
            </w:pPr>
          </w:p>
        </w:tc>
        <w:tc>
          <w:tcPr>
            <w:tcW w:w="720" w:type="dxa"/>
            <w:vAlign w:val="bottom"/>
            <w:vMerge w:val="continue"/>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180" w:type="dxa"/>
            <w:vAlign w:val="bottom"/>
            <w:shd w:val="clear" w:color="auto" w:fill="DDDDDD"/>
          </w:tcPr>
          <w:p>
            <w:pPr>
              <w:spacing w:after="0"/>
              <w:rPr>
                <w:sz w:val="4"/>
                <w:szCs w:val="4"/>
                <w:color w:val="auto"/>
              </w:rPr>
            </w:pPr>
          </w:p>
        </w:tc>
        <w:tc>
          <w:tcPr>
            <w:tcW w:w="620" w:type="dxa"/>
            <w:vAlign w:val="bottom"/>
            <w:vMerge w:val="continue"/>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60" w:type="dxa"/>
            <w:vAlign w:val="bottom"/>
          </w:tcPr>
          <w:p>
            <w:pPr>
              <w:ind w:left="160"/>
              <w:spacing w:after="0"/>
              <w:rPr>
                <w:sz w:val="20"/>
                <w:szCs w:val="20"/>
                <w:color w:val="auto"/>
              </w:rPr>
            </w:pPr>
            <w:r>
              <w:rPr>
                <w:rFonts w:ascii="Arial" w:cs="Arial" w:eastAsia="Arial" w:hAnsi="Arial"/>
                <w:sz w:val="14"/>
                <w:szCs w:val="14"/>
                <w:color w:val="auto"/>
              </w:rPr>
              <w:t>FLIXABI</w:t>
            </w:r>
          </w:p>
        </w:tc>
        <w:tc>
          <w:tcPr>
            <w:tcW w:w="180" w:type="dxa"/>
            <w:vAlign w:val="bottom"/>
            <w:tcBorders>
              <w:bottom w:val="single" w:sz="8" w:color="auto"/>
            </w:tcBorders>
            <w:shd w:val="clear" w:color="auto" w:fill="DDDDDD"/>
          </w:tcPr>
          <w:p>
            <w:pPr>
              <w:spacing w:after="0"/>
              <w:rPr>
                <w:sz w:val="22"/>
                <w:szCs w:val="22"/>
                <w:color w:val="auto"/>
              </w:rPr>
            </w:pPr>
          </w:p>
        </w:tc>
        <w:tc>
          <w:tcPr>
            <w:tcW w:w="6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00" w:type="dxa"/>
            <w:vAlign w:val="bottom"/>
            <w:tcBorders>
              <w:bottom w:val="single" w:sz="8" w:color="auto"/>
            </w:tcBorders>
            <w:shd w:val="clear" w:color="auto" w:fill="DDDDDD"/>
          </w:tcPr>
          <w:p>
            <w:pPr>
              <w:spacing w:after="0"/>
              <w:rPr>
                <w:sz w:val="22"/>
                <w:szCs w:val="22"/>
                <w:color w:val="auto"/>
              </w:rPr>
            </w:pPr>
          </w:p>
        </w:tc>
        <w:tc>
          <w:tcPr>
            <w:tcW w:w="120" w:type="dxa"/>
            <w:vAlign w:val="bottom"/>
            <w:tcBorders>
              <w:bottom w:val="single" w:sz="8" w:color="auto"/>
            </w:tcBorders>
            <w:shd w:val="clear" w:color="auto" w:fill="DDDDDD"/>
          </w:tcPr>
          <w:p>
            <w:pPr>
              <w:spacing w:after="0"/>
              <w:rPr>
                <w:sz w:val="22"/>
                <w:szCs w:val="22"/>
                <w:color w:val="auto"/>
              </w:rPr>
            </w:pPr>
          </w:p>
        </w:tc>
        <w:tc>
          <w:tcPr>
            <w:tcW w:w="200" w:type="dxa"/>
            <w:vAlign w:val="bottom"/>
            <w:tcBorders>
              <w:bottom w:val="single" w:sz="8" w:color="auto"/>
            </w:tcBorders>
            <w:shd w:val="clear" w:color="auto" w:fill="DDDDDD"/>
          </w:tcPr>
          <w:p>
            <w:pPr>
              <w:spacing w:after="0"/>
              <w:rPr>
                <w:sz w:val="22"/>
                <w:szCs w:val="22"/>
                <w:color w:val="auto"/>
              </w:rPr>
            </w:pPr>
          </w:p>
        </w:tc>
        <w:tc>
          <w:tcPr>
            <w:tcW w:w="7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9.0</w:t>
            </w:r>
          </w:p>
        </w:tc>
        <w:tc>
          <w:tcPr>
            <w:tcW w:w="120" w:type="dxa"/>
            <w:vAlign w:val="bottom"/>
            <w:tcBorders>
              <w:bottom w:val="single" w:sz="8" w:color="auto"/>
            </w:tcBorders>
            <w:shd w:val="clear" w:color="auto" w:fill="DDDDDD"/>
          </w:tcPr>
          <w:p>
            <w:pPr>
              <w:spacing w:after="0"/>
              <w:rPr>
                <w:sz w:val="22"/>
                <w:szCs w:val="22"/>
                <w:color w:val="auto"/>
              </w:rPr>
            </w:pPr>
          </w:p>
        </w:tc>
        <w:tc>
          <w:tcPr>
            <w:tcW w:w="120" w:type="dxa"/>
            <w:vAlign w:val="bottom"/>
            <w:tcBorders>
              <w:bottom w:val="single" w:sz="8" w:color="auto"/>
            </w:tcBorders>
            <w:shd w:val="clear" w:color="auto" w:fill="DDDDDD"/>
          </w:tcPr>
          <w:p>
            <w:pPr>
              <w:spacing w:after="0"/>
              <w:rPr>
                <w:sz w:val="22"/>
                <w:szCs w:val="22"/>
                <w:color w:val="auto"/>
              </w:rPr>
            </w:pPr>
          </w:p>
        </w:tc>
        <w:tc>
          <w:tcPr>
            <w:tcW w:w="180" w:type="dxa"/>
            <w:vAlign w:val="bottom"/>
            <w:tcBorders>
              <w:bottom w:val="single" w:sz="8" w:color="auto"/>
            </w:tcBorders>
            <w:shd w:val="clear" w:color="auto" w:fill="DDDDDD"/>
          </w:tcPr>
          <w:p>
            <w:pPr>
              <w:spacing w:after="0"/>
              <w:rPr>
                <w:sz w:val="22"/>
                <w:szCs w:val="22"/>
                <w:color w:val="auto"/>
              </w:rPr>
            </w:pPr>
          </w:p>
        </w:tc>
        <w:tc>
          <w:tcPr>
            <w:tcW w:w="6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9.0</w:t>
            </w:r>
          </w:p>
        </w:tc>
        <w:tc>
          <w:tcPr>
            <w:tcW w:w="120" w:type="dxa"/>
            <w:vAlign w:val="bottom"/>
            <w:tcBorders>
              <w:bottom w:val="single" w:sz="8" w:color="auto"/>
            </w:tcBorders>
            <w:shd w:val="clear" w:color="auto" w:fill="DDDDDD"/>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1"/>
        </w:trPr>
        <w:tc>
          <w:tcPr>
            <w:tcW w:w="2060" w:type="dxa"/>
            <w:vAlign w:val="bottom"/>
          </w:tcPr>
          <w:p>
            <w:pPr>
              <w:ind w:left="260"/>
              <w:spacing w:after="0"/>
              <w:rPr>
                <w:sz w:val="20"/>
                <w:szCs w:val="20"/>
                <w:color w:val="auto"/>
              </w:rPr>
            </w:pPr>
            <w:r>
              <w:rPr>
                <w:rFonts w:ascii="Arial" w:cs="Arial" w:eastAsia="Arial" w:hAnsi="Arial"/>
                <w:sz w:val="14"/>
                <w:szCs w:val="14"/>
                <w:color w:val="auto"/>
              </w:rPr>
              <w:t>Total product revenues</w:t>
            </w:r>
          </w:p>
        </w:tc>
        <w:tc>
          <w:tcPr>
            <w:tcW w:w="180" w:type="dxa"/>
            <w:vAlign w:val="bottom"/>
            <w:vMerge w:val="restart"/>
            <w:shd w:val="clear" w:color="auto" w:fill="DDDDDD"/>
          </w:tcPr>
          <w:p>
            <w:pPr>
              <w:jc w:val="right"/>
              <w:ind w:right="12"/>
              <w:spacing w:after="0"/>
              <w:rPr>
                <w:sz w:val="20"/>
                <w:szCs w:val="20"/>
                <w:color w:val="auto"/>
              </w:rPr>
            </w:pPr>
            <w:r>
              <w:rPr>
                <w:rFonts w:ascii="Arial" w:cs="Arial" w:eastAsia="Arial" w:hAnsi="Arial"/>
                <w:sz w:val="14"/>
                <w:szCs w:val="14"/>
                <w:color w:val="2573BA"/>
              </w:rPr>
              <w:t>$</w:t>
            </w:r>
          </w:p>
        </w:tc>
        <w:tc>
          <w:tcPr>
            <w:tcW w:w="6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7,017.1</w:t>
            </w:r>
          </w:p>
        </w:tc>
        <w:tc>
          <w:tcPr>
            <w:tcW w:w="10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200" w:type="dxa"/>
            <w:vAlign w:val="bottom"/>
            <w:vMerge w:val="restart"/>
            <w:shd w:val="clear" w:color="auto" w:fill="DDDDDD"/>
          </w:tcPr>
          <w:p>
            <w:pPr>
              <w:jc w:val="right"/>
              <w:ind w:right="32"/>
              <w:spacing w:after="0"/>
              <w:rPr>
                <w:sz w:val="20"/>
                <w:szCs w:val="20"/>
                <w:color w:val="auto"/>
              </w:rPr>
            </w:pPr>
            <w:r>
              <w:rPr>
                <w:rFonts w:ascii="Arial" w:cs="Arial" w:eastAsia="Arial" w:hAnsi="Arial"/>
                <w:sz w:val="14"/>
                <w:szCs w:val="14"/>
                <w:color w:val="2573BA"/>
              </w:rPr>
              <w:t>$</w:t>
            </w:r>
          </w:p>
        </w:tc>
        <w:tc>
          <w:tcPr>
            <w:tcW w:w="72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3,337.6</w:t>
            </w:r>
          </w:p>
        </w:tc>
        <w:tc>
          <w:tcPr>
            <w:tcW w:w="12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180" w:type="dxa"/>
            <w:vAlign w:val="bottom"/>
            <w:vMerge w:val="restart"/>
            <w:shd w:val="clear" w:color="auto" w:fill="DDDDDD"/>
          </w:tcPr>
          <w:p>
            <w:pPr>
              <w:jc w:val="right"/>
              <w:ind w:right="12"/>
              <w:spacing w:after="0"/>
              <w:rPr>
                <w:sz w:val="20"/>
                <w:szCs w:val="20"/>
                <w:color w:val="auto"/>
              </w:rPr>
            </w:pPr>
            <w:r>
              <w:rPr>
                <w:rFonts w:ascii="Arial" w:cs="Arial" w:eastAsia="Arial" w:hAnsi="Arial"/>
                <w:sz w:val="14"/>
                <w:szCs w:val="14"/>
                <w:color w:val="2573BA"/>
              </w:rPr>
              <w:t>$</w:t>
            </w:r>
          </w:p>
        </w:tc>
        <w:tc>
          <w:tcPr>
            <w:tcW w:w="62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10,354.7</w:t>
            </w:r>
          </w:p>
        </w:tc>
        <w:tc>
          <w:tcPr>
            <w:tcW w:w="120" w:type="dxa"/>
            <w:vAlign w:val="bottom"/>
            <w:shd w:val="clear" w:color="auto" w:fill="DDDDDD"/>
          </w:tcPr>
          <w:p>
            <w:pPr>
              <w:spacing w:after="0"/>
              <w:rPr>
                <w:sz w:val="15"/>
                <w:szCs w:val="15"/>
                <w:color w:val="auto"/>
              </w:rPr>
            </w:pPr>
          </w:p>
        </w:tc>
        <w:tc>
          <w:tcPr>
            <w:tcW w:w="3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32"/>
              <w:spacing w:after="0"/>
              <w:rPr>
                <w:sz w:val="20"/>
                <w:szCs w:val="20"/>
                <w:color w:val="auto"/>
              </w:rPr>
            </w:pPr>
            <w:r>
              <w:rPr>
                <w:rFonts w:ascii="Arial" w:cs="Arial" w:eastAsia="Arial" w:hAnsi="Arial"/>
                <w:sz w:val="14"/>
                <w:szCs w:val="14"/>
                <w:color w:val="auto"/>
              </w:rPr>
              <w:t>7,050.4</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32"/>
              <w:spacing w:after="0"/>
              <w:rPr>
                <w:sz w:val="20"/>
                <w:szCs w:val="20"/>
                <w:color w:val="auto"/>
              </w:rPr>
            </w:pPr>
            <w:r>
              <w:rPr>
                <w:rFonts w:ascii="Arial" w:cs="Arial" w:eastAsia="Arial" w:hAnsi="Arial"/>
                <w:sz w:val="14"/>
                <w:szCs w:val="14"/>
                <w:color w:val="auto"/>
              </w:rPr>
              <w:t>2,767.5</w:t>
            </w:r>
          </w:p>
        </w:tc>
        <w:tc>
          <w:tcPr>
            <w:tcW w:w="120" w:type="dxa"/>
            <w:vAlign w:val="bottom"/>
          </w:tcPr>
          <w:p>
            <w:pPr>
              <w:spacing w:after="0"/>
              <w:rPr>
                <w:sz w:val="15"/>
                <w:szCs w:val="15"/>
                <w:color w:val="auto"/>
              </w:rPr>
            </w:pPr>
          </w:p>
        </w:tc>
        <w:tc>
          <w:tcPr>
            <w:tcW w:w="200" w:type="dxa"/>
            <w:vAlign w:val="bottom"/>
            <w:vMerge w:val="restart"/>
          </w:tcPr>
          <w:p>
            <w:pPr>
              <w:jc w:val="right"/>
              <w:ind w:right="32"/>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52"/>
              <w:spacing w:after="0"/>
              <w:rPr>
                <w:sz w:val="20"/>
                <w:szCs w:val="20"/>
                <w:color w:val="auto"/>
              </w:rPr>
            </w:pPr>
            <w:r>
              <w:rPr>
                <w:rFonts w:ascii="Arial" w:cs="Arial" w:eastAsia="Arial" w:hAnsi="Arial"/>
                <w:sz w:val="14"/>
                <w:szCs w:val="14"/>
                <w:color w:val="auto"/>
              </w:rPr>
              <w:t>9,817.9</w:t>
            </w:r>
          </w:p>
        </w:tc>
        <w:tc>
          <w:tcPr>
            <w:tcW w:w="120" w:type="dxa"/>
            <w:vAlign w:val="bottom"/>
          </w:tcPr>
          <w:p>
            <w:pPr>
              <w:spacing w:after="0"/>
              <w:rPr>
                <w:sz w:val="15"/>
                <w:szCs w:val="15"/>
                <w:color w:val="auto"/>
              </w:rPr>
            </w:pPr>
          </w:p>
        </w:tc>
        <w:tc>
          <w:tcPr>
            <w:tcW w:w="18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52"/>
              <w:spacing w:after="0"/>
              <w:rPr>
                <w:sz w:val="20"/>
                <w:szCs w:val="20"/>
                <w:color w:val="auto"/>
              </w:rPr>
            </w:pPr>
            <w:r>
              <w:rPr>
                <w:rFonts w:ascii="Arial" w:cs="Arial" w:eastAsia="Arial" w:hAnsi="Arial"/>
                <w:sz w:val="14"/>
                <w:szCs w:val="14"/>
                <w:color w:val="auto"/>
              </w:rPr>
              <w:t>6,545.8</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32"/>
              <w:spacing w:after="0"/>
              <w:rPr>
                <w:sz w:val="20"/>
                <w:szCs w:val="20"/>
                <w:color w:val="auto"/>
              </w:rPr>
            </w:pPr>
            <w:r>
              <w:rPr>
                <w:rFonts w:ascii="Arial" w:cs="Arial" w:eastAsia="Arial" w:hAnsi="Arial"/>
                <w:sz w:val="14"/>
                <w:szCs w:val="14"/>
                <w:color w:val="auto"/>
              </w:rPr>
              <w:t>2,642.7</w:t>
            </w:r>
          </w:p>
        </w:tc>
        <w:tc>
          <w:tcPr>
            <w:tcW w:w="100" w:type="dxa"/>
            <w:vAlign w:val="bottom"/>
          </w:tcPr>
          <w:p>
            <w:pPr>
              <w:spacing w:after="0"/>
              <w:rPr>
                <w:sz w:val="15"/>
                <w:szCs w:val="15"/>
                <w:color w:val="auto"/>
              </w:rPr>
            </w:pPr>
          </w:p>
        </w:tc>
        <w:tc>
          <w:tcPr>
            <w:tcW w:w="200" w:type="dxa"/>
            <w:vAlign w:val="bottom"/>
            <w:vMerge w:val="restart"/>
          </w:tcPr>
          <w:p>
            <w:pPr>
              <w:jc w:val="right"/>
              <w:ind w:right="32"/>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31"/>
              <w:spacing w:after="0"/>
              <w:rPr>
                <w:sz w:val="20"/>
                <w:szCs w:val="20"/>
                <w:color w:val="auto"/>
              </w:rPr>
            </w:pPr>
            <w:r>
              <w:rPr>
                <w:rFonts w:ascii="Arial" w:cs="Arial" w:eastAsia="Arial" w:hAnsi="Arial"/>
                <w:sz w:val="14"/>
                <w:szCs w:val="14"/>
                <w:color w:val="auto"/>
              </w:rPr>
              <w:t>9,188.5</w:t>
            </w:r>
          </w:p>
        </w:tc>
        <w:tc>
          <w:tcPr>
            <w:tcW w:w="0" w:type="dxa"/>
            <w:vAlign w:val="bottom"/>
          </w:tcPr>
          <w:p>
            <w:pPr>
              <w:spacing w:after="0"/>
              <w:rPr>
                <w:sz w:val="1"/>
                <w:szCs w:val="1"/>
                <w:color w:val="auto"/>
              </w:rPr>
            </w:pPr>
          </w:p>
        </w:tc>
      </w:tr>
      <w:tr>
        <w:trPr>
          <w:trHeight w:val="70"/>
        </w:trPr>
        <w:tc>
          <w:tcPr>
            <w:tcW w:w="2060" w:type="dxa"/>
            <w:vAlign w:val="bottom"/>
          </w:tcPr>
          <w:p>
            <w:pPr>
              <w:spacing w:after="0"/>
              <w:rPr>
                <w:sz w:val="6"/>
                <w:szCs w:val="6"/>
                <w:color w:val="auto"/>
              </w:rPr>
            </w:pPr>
          </w:p>
        </w:tc>
        <w:tc>
          <w:tcPr>
            <w:tcW w:w="180" w:type="dxa"/>
            <w:vAlign w:val="bottom"/>
            <w:tcBorders>
              <w:bottom w:val="single" w:sz="8" w:color="auto"/>
            </w:tcBorders>
            <w:vMerge w:val="continue"/>
            <w:shd w:val="clear" w:color="auto" w:fill="DDDDDD"/>
          </w:tcPr>
          <w:p>
            <w:pPr>
              <w:spacing w:after="0"/>
              <w:rPr>
                <w:sz w:val="6"/>
                <w:szCs w:val="6"/>
                <w:color w:val="auto"/>
              </w:rPr>
            </w:pPr>
          </w:p>
        </w:tc>
        <w:tc>
          <w:tcPr>
            <w:tcW w:w="640" w:type="dxa"/>
            <w:vAlign w:val="bottom"/>
            <w:tcBorders>
              <w:bottom w:val="single" w:sz="8" w:color="auto"/>
            </w:tcBorders>
            <w:vMerge w:val="continue"/>
            <w:shd w:val="clear" w:color="auto" w:fill="DDDDDD"/>
          </w:tcPr>
          <w:p>
            <w:pPr>
              <w:spacing w:after="0"/>
              <w:rPr>
                <w:sz w:val="6"/>
                <w:szCs w:val="6"/>
                <w:color w:val="auto"/>
              </w:rPr>
            </w:pPr>
          </w:p>
        </w:tc>
        <w:tc>
          <w:tcPr>
            <w:tcW w:w="100" w:type="dxa"/>
            <w:vAlign w:val="bottom"/>
            <w:tcBorders>
              <w:bottom w:val="single" w:sz="8" w:color="auto"/>
            </w:tcBorders>
            <w:shd w:val="clear" w:color="auto" w:fill="DDDDDD"/>
          </w:tcPr>
          <w:p>
            <w:pPr>
              <w:spacing w:after="0"/>
              <w:rPr>
                <w:sz w:val="6"/>
                <w:szCs w:val="6"/>
                <w:color w:val="auto"/>
              </w:rPr>
            </w:pPr>
          </w:p>
        </w:tc>
        <w:tc>
          <w:tcPr>
            <w:tcW w:w="120" w:type="dxa"/>
            <w:vAlign w:val="bottom"/>
            <w:tcBorders>
              <w:bottom w:val="single" w:sz="8" w:color="auto"/>
            </w:tcBorders>
            <w:shd w:val="clear" w:color="auto" w:fill="DDDDDD"/>
          </w:tcPr>
          <w:p>
            <w:pPr>
              <w:spacing w:after="0"/>
              <w:rPr>
                <w:sz w:val="6"/>
                <w:szCs w:val="6"/>
                <w:color w:val="auto"/>
              </w:rPr>
            </w:pPr>
          </w:p>
        </w:tc>
        <w:tc>
          <w:tcPr>
            <w:tcW w:w="200" w:type="dxa"/>
            <w:vAlign w:val="bottom"/>
            <w:tcBorders>
              <w:bottom w:val="single" w:sz="8" w:color="auto"/>
            </w:tcBorders>
            <w:vMerge w:val="continue"/>
            <w:shd w:val="clear" w:color="auto" w:fill="DDDDDD"/>
          </w:tcPr>
          <w:p>
            <w:pPr>
              <w:spacing w:after="0"/>
              <w:rPr>
                <w:sz w:val="6"/>
                <w:szCs w:val="6"/>
                <w:color w:val="auto"/>
              </w:rPr>
            </w:pPr>
          </w:p>
        </w:tc>
        <w:tc>
          <w:tcPr>
            <w:tcW w:w="720" w:type="dxa"/>
            <w:vAlign w:val="bottom"/>
            <w:tcBorders>
              <w:bottom w:val="single" w:sz="8" w:color="auto"/>
            </w:tcBorders>
            <w:vMerge w:val="continue"/>
            <w:shd w:val="clear" w:color="auto" w:fill="DDDDDD"/>
          </w:tcPr>
          <w:p>
            <w:pPr>
              <w:spacing w:after="0"/>
              <w:rPr>
                <w:sz w:val="6"/>
                <w:szCs w:val="6"/>
                <w:color w:val="auto"/>
              </w:rPr>
            </w:pPr>
          </w:p>
        </w:tc>
        <w:tc>
          <w:tcPr>
            <w:tcW w:w="120" w:type="dxa"/>
            <w:vAlign w:val="bottom"/>
            <w:tcBorders>
              <w:bottom w:val="single" w:sz="8" w:color="auto"/>
            </w:tcBorders>
            <w:shd w:val="clear" w:color="auto" w:fill="DDDDDD"/>
          </w:tcPr>
          <w:p>
            <w:pPr>
              <w:spacing w:after="0"/>
              <w:rPr>
                <w:sz w:val="6"/>
                <w:szCs w:val="6"/>
                <w:color w:val="auto"/>
              </w:rPr>
            </w:pPr>
          </w:p>
        </w:tc>
        <w:tc>
          <w:tcPr>
            <w:tcW w:w="120" w:type="dxa"/>
            <w:vAlign w:val="bottom"/>
            <w:tcBorders>
              <w:bottom w:val="single" w:sz="8" w:color="auto"/>
            </w:tcBorders>
            <w:shd w:val="clear" w:color="auto" w:fill="DDDDDD"/>
          </w:tcPr>
          <w:p>
            <w:pPr>
              <w:spacing w:after="0"/>
              <w:rPr>
                <w:sz w:val="6"/>
                <w:szCs w:val="6"/>
                <w:color w:val="auto"/>
              </w:rPr>
            </w:pPr>
          </w:p>
        </w:tc>
        <w:tc>
          <w:tcPr>
            <w:tcW w:w="180" w:type="dxa"/>
            <w:vAlign w:val="bottom"/>
            <w:tcBorders>
              <w:bottom w:val="single" w:sz="8" w:color="auto"/>
            </w:tcBorders>
            <w:vMerge w:val="continue"/>
            <w:shd w:val="clear" w:color="auto" w:fill="DDDDDD"/>
          </w:tcPr>
          <w:p>
            <w:pPr>
              <w:spacing w:after="0"/>
              <w:rPr>
                <w:sz w:val="6"/>
                <w:szCs w:val="6"/>
                <w:color w:val="auto"/>
              </w:rPr>
            </w:pPr>
          </w:p>
        </w:tc>
        <w:tc>
          <w:tcPr>
            <w:tcW w:w="620" w:type="dxa"/>
            <w:vAlign w:val="bottom"/>
            <w:tcBorders>
              <w:bottom w:val="single" w:sz="8" w:color="auto"/>
            </w:tcBorders>
            <w:vMerge w:val="continue"/>
            <w:shd w:val="clear" w:color="auto" w:fill="DDDDDD"/>
          </w:tcPr>
          <w:p>
            <w:pPr>
              <w:spacing w:after="0"/>
              <w:rPr>
                <w:sz w:val="6"/>
                <w:szCs w:val="6"/>
                <w:color w:val="auto"/>
              </w:rPr>
            </w:pPr>
          </w:p>
        </w:tc>
        <w:tc>
          <w:tcPr>
            <w:tcW w:w="120" w:type="dxa"/>
            <w:vAlign w:val="bottom"/>
            <w:tcBorders>
              <w:bottom w:val="single" w:sz="8" w:color="auto"/>
            </w:tcBorders>
            <w:shd w:val="clear" w:color="auto" w:fill="DDDDDD"/>
          </w:tcPr>
          <w:p>
            <w:pPr>
              <w:spacing w:after="0"/>
              <w:rPr>
                <w:sz w:val="6"/>
                <w:szCs w:val="6"/>
                <w:color w:val="auto"/>
              </w:rPr>
            </w:pPr>
          </w:p>
        </w:tc>
        <w:tc>
          <w:tcPr>
            <w:tcW w:w="320" w:type="dxa"/>
            <w:vAlign w:val="bottom"/>
            <w:tcBorders>
              <w:bottom w:val="single" w:sz="8" w:color="auto"/>
            </w:tcBorders>
            <w:gridSpan w:val="2"/>
            <w:vMerge w:val="continue"/>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vMerge w:val="continue"/>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vMerge w:val="continue"/>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vMerge w:val="continue"/>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vMerge w:val="continue"/>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vMerge w:val="continue"/>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Geographic Information</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tables contain certain financial information by geographic area:</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680" w:type="dxa"/>
            <w:vAlign w:val="bottom"/>
            <w:tcBorders>
              <w:bottom w:val="single" w:sz="8" w:color="auto"/>
            </w:tcBorders>
            <w:shd w:val="clear" w:color="auto" w:fill="DDDDDD"/>
          </w:tcPr>
          <w:p>
            <w:pPr>
              <w:ind w:left="20"/>
              <w:spacing w:after="0"/>
              <w:rPr>
                <w:sz w:val="20"/>
                <w:szCs w:val="20"/>
                <w:color w:val="auto"/>
              </w:rPr>
            </w:pPr>
            <w:r>
              <w:rPr>
                <w:rFonts w:ascii="Arial" w:cs="Arial" w:eastAsia="Arial" w:hAnsi="Arial"/>
                <w:sz w:val="14"/>
                <w:szCs w:val="14"/>
                <w:b w:val="1"/>
                <w:bCs w:val="1"/>
                <w:color w:val="2573BA"/>
              </w:rPr>
              <w:t>December 31, 2017 (In millions)</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U.S.</w:t>
            </w:r>
          </w:p>
        </w:tc>
        <w:tc>
          <w:tcPr>
            <w:tcW w:w="120" w:type="dxa"/>
            <w:vAlign w:val="bottom"/>
            <w:tcBorders>
              <w:bottom w:val="single" w:sz="8" w:color="DDDDDD"/>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Europe</w:t>
            </w:r>
          </w:p>
        </w:tc>
        <w:tc>
          <w:tcPr>
            <w:tcW w:w="100" w:type="dxa"/>
            <w:vAlign w:val="bottom"/>
            <w:tcBorders>
              <w:bottom w:val="single" w:sz="8" w:color="DDDDDD"/>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Asia</w:t>
            </w:r>
          </w:p>
        </w:tc>
        <w:tc>
          <w:tcPr>
            <w:tcW w:w="100" w:type="dxa"/>
            <w:vAlign w:val="bottom"/>
            <w:tcBorders>
              <w:bottom w:val="single" w:sz="8" w:color="DDDDDD"/>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Other</w:t>
            </w:r>
          </w:p>
        </w:tc>
        <w:tc>
          <w:tcPr>
            <w:tcW w:w="120" w:type="dxa"/>
            <w:vAlign w:val="bottom"/>
            <w:tcBorders>
              <w:bottom w:val="single" w:sz="8" w:color="DDDDDD"/>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Total</w:t>
            </w:r>
          </w:p>
        </w:tc>
      </w:tr>
      <w:tr>
        <w:trPr>
          <w:trHeight w:val="228"/>
        </w:trPr>
        <w:tc>
          <w:tcPr>
            <w:tcW w:w="4680" w:type="dxa"/>
            <w:vAlign w:val="bottom"/>
          </w:tcPr>
          <w:p>
            <w:pPr>
              <w:ind w:left="20"/>
              <w:spacing w:after="0"/>
              <w:rPr>
                <w:sz w:val="20"/>
                <w:szCs w:val="20"/>
                <w:color w:val="auto"/>
              </w:rPr>
            </w:pPr>
            <w:r>
              <w:rPr>
                <w:rFonts w:ascii="Arial" w:cs="Arial" w:eastAsia="Arial" w:hAnsi="Arial"/>
                <w:sz w:val="17"/>
                <w:szCs w:val="17"/>
                <w:color w:val="auto"/>
              </w:rPr>
              <w:t>Product revenues from external customers</w:t>
            </w:r>
          </w:p>
        </w:tc>
        <w:tc>
          <w:tcPr>
            <w:tcW w:w="1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140" w:type="dxa"/>
            <w:vAlign w:val="bottom"/>
            <w:shd w:val="clear" w:color="auto" w:fill="DDDDDD"/>
          </w:tcPr>
          <w:p>
            <w:pPr>
              <w:jc w:val="right"/>
              <w:ind w:right="38"/>
              <w:spacing w:after="0"/>
              <w:rPr>
                <w:sz w:val="20"/>
                <w:szCs w:val="20"/>
                <w:color w:val="auto"/>
              </w:rPr>
            </w:pPr>
            <w:r>
              <w:rPr>
                <w:rFonts w:ascii="Arial" w:cs="Arial" w:eastAsia="Arial" w:hAnsi="Arial"/>
                <w:sz w:val="17"/>
                <w:szCs w:val="17"/>
                <w:color w:val="2573BA"/>
              </w:rPr>
              <w:t>7,017.1</w:t>
            </w:r>
          </w:p>
        </w:tc>
        <w:tc>
          <w:tcPr>
            <w:tcW w:w="380" w:type="dxa"/>
            <w:vAlign w:val="bottom"/>
            <w:gridSpan w:val="2"/>
            <w:shd w:val="clear" w:color="auto" w:fill="DDDDDD"/>
          </w:tcPr>
          <w:p>
            <w:pPr>
              <w:jc w:val="right"/>
              <w:ind w:right="140"/>
              <w:spacing w:after="0"/>
              <w:rPr>
                <w:sz w:val="20"/>
                <w:szCs w:val="20"/>
                <w:color w:val="auto"/>
              </w:rPr>
            </w:pPr>
            <w:r>
              <w:rPr>
                <w:rFonts w:ascii="Arial" w:cs="Arial" w:eastAsia="Arial" w:hAnsi="Arial"/>
                <w:sz w:val="17"/>
                <w:szCs w:val="17"/>
                <w:color w:val="2573BA"/>
              </w:rPr>
              <w:t>$</w:t>
            </w:r>
          </w:p>
        </w:tc>
        <w:tc>
          <w:tcPr>
            <w:tcW w:w="10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2,844.8</w:t>
            </w: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jc w:val="right"/>
              <w:ind w:right="95"/>
              <w:spacing w:after="0"/>
              <w:rPr>
                <w:sz w:val="20"/>
                <w:szCs w:val="20"/>
                <w:color w:val="auto"/>
              </w:rPr>
            </w:pPr>
            <w:r>
              <w:rPr>
                <w:rFonts w:ascii="Arial" w:cs="Arial" w:eastAsia="Arial" w:hAnsi="Arial"/>
                <w:sz w:val="17"/>
                <w:szCs w:val="17"/>
                <w:color w:val="2573BA"/>
              </w:rPr>
              <w:t>$</w:t>
            </w:r>
          </w:p>
        </w:tc>
        <w:tc>
          <w:tcPr>
            <w:tcW w:w="960" w:type="dxa"/>
            <w:vAlign w:val="bottom"/>
            <w:shd w:val="clear" w:color="auto" w:fill="DDDDDD"/>
          </w:tcPr>
          <w:p>
            <w:pPr>
              <w:jc w:val="right"/>
              <w:ind w:right="38"/>
              <w:spacing w:after="0"/>
              <w:rPr>
                <w:sz w:val="20"/>
                <w:szCs w:val="20"/>
                <w:color w:val="auto"/>
              </w:rPr>
            </w:pPr>
            <w:r>
              <w:rPr>
                <w:rFonts w:ascii="Arial" w:cs="Arial" w:eastAsia="Arial" w:hAnsi="Arial"/>
                <w:sz w:val="17"/>
                <w:szCs w:val="17"/>
                <w:color w:val="2573BA"/>
              </w:rPr>
              <w:t>160.1</w:t>
            </w:r>
          </w:p>
        </w:tc>
        <w:tc>
          <w:tcPr>
            <w:tcW w:w="100" w:type="dxa"/>
            <w:vAlign w:val="bottom"/>
            <w:shd w:val="clear" w:color="auto" w:fill="DDDDDD"/>
          </w:tcPr>
          <w:p>
            <w:pPr>
              <w:spacing w:after="0"/>
              <w:rPr>
                <w:sz w:val="19"/>
                <w:szCs w:val="19"/>
                <w:color w:val="auto"/>
              </w:rPr>
            </w:pP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96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332.7</w:t>
            </w:r>
          </w:p>
        </w:tc>
        <w:tc>
          <w:tcPr>
            <w:tcW w:w="120" w:type="dxa"/>
            <w:vAlign w:val="bottom"/>
            <w:shd w:val="clear" w:color="auto" w:fill="DDDDDD"/>
          </w:tcPr>
          <w:p>
            <w:pPr>
              <w:spacing w:after="0"/>
              <w:rPr>
                <w:sz w:val="19"/>
                <w:szCs w:val="19"/>
                <w:color w:val="auto"/>
              </w:rPr>
            </w:pP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96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10,354.7</w:t>
            </w:r>
          </w:p>
        </w:tc>
      </w:tr>
      <w:tr>
        <w:trPr>
          <w:trHeight w:val="256"/>
        </w:trPr>
        <w:tc>
          <w:tcPr>
            <w:tcW w:w="4680" w:type="dxa"/>
            <w:vAlign w:val="bottom"/>
          </w:tcPr>
          <w:p>
            <w:pPr>
              <w:ind w:left="20"/>
              <w:spacing w:after="0"/>
              <w:rPr>
                <w:sz w:val="20"/>
                <w:szCs w:val="20"/>
                <w:color w:val="auto"/>
              </w:rPr>
            </w:pPr>
            <w:r>
              <w:rPr>
                <w:rFonts w:ascii="Arial" w:cs="Arial" w:eastAsia="Arial" w:hAnsi="Arial"/>
                <w:sz w:val="17"/>
                <w:szCs w:val="17"/>
                <w:color w:val="auto"/>
              </w:rPr>
              <w:t>Revenues from anti-CD20 therapeutic programs</w:t>
            </w:r>
          </w:p>
        </w:tc>
        <w:tc>
          <w:tcPr>
            <w:tcW w:w="1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140" w:type="dxa"/>
            <w:vAlign w:val="bottom"/>
            <w:shd w:val="clear" w:color="auto" w:fill="DDDDDD"/>
          </w:tcPr>
          <w:p>
            <w:pPr>
              <w:jc w:val="right"/>
              <w:ind w:right="38"/>
              <w:spacing w:after="0"/>
              <w:rPr>
                <w:sz w:val="20"/>
                <w:szCs w:val="20"/>
                <w:color w:val="auto"/>
              </w:rPr>
            </w:pPr>
            <w:r>
              <w:rPr>
                <w:rFonts w:ascii="Arial" w:cs="Arial" w:eastAsia="Arial" w:hAnsi="Arial"/>
                <w:sz w:val="17"/>
                <w:szCs w:val="17"/>
                <w:color w:val="2573BA"/>
              </w:rPr>
              <w:t>1,475.6</w:t>
            </w:r>
          </w:p>
        </w:tc>
        <w:tc>
          <w:tcPr>
            <w:tcW w:w="380" w:type="dxa"/>
            <w:vAlign w:val="bottom"/>
            <w:gridSpan w:val="2"/>
            <w:shd w:val="clear" w:color="auto" w:fill="DDDDDD"/>
          </w:tcPr>
          <w:p>
            <w:pPr>
              <w:jc w:val="right"/>
              <w:ind w:right="140"/>
              <w:spacing w:after="0"/>
              <w:rPr>
                <w:sz w:val="20"/>
                <w:szCs w:val="20"/>
                <w:color w:val="auto"/>
              </w:rPr>
            </w:pPr>
            <w:r>
              <w:rPr>
                <w:rFonts w:ascii="Arial" w:cs="Arial" w:eastAsia="Arial" w:hAnsi="Arial"/>
                <w:sz w:val="17"/>
                <w:szCs w:val="17"/>
                <w:color w:val="2573BA"/>
              </w:rPr>
              <w:t>$</w:t>
            </w:r>
          </w:p>
        </w:tc>
        <w:tc>
          <w:tcPr>
            <w:tcW w:w="10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0.6</w:t>
            </w:r>
          </w:p>
        </w:tc>
        <w:tc>
          <w:tcPr>
            <w:tcW w:w="100" w:type="dxa"/>
            <w:vAlign w:val="bottom"/>
            <w:shd w:val="clear" w:color="auto" w:fill="DDDDDD"/>
          </w:tcPr>
          <w:p>
            <w:pPr>
              <w:spacing w:after="0"/>
              <w:rPr>
                <w:sz w:val="22"/>
                <w:szCs w:val="22"/>
                <w:color w:val="auto"/>
              </w:rPr>
            </w:pPr>
          </w:p>
        </w:tc>
        <w:tc>
          <w:tcPr>
            <w:tcW w:w="300" w:type="dxa"/>
            <w:vAlign w:val="bottom"/>
            <w:shd w:val="clear" w:color="auto" w:fill="DDDDDD"/>
          </w:tcPr>
          <w:p>
            <w:pPr>
              <w:jc w:val="right"/>
              <w:ind w:right="95"/>
              <w:spacing w:after="0"/>
              <w:rPr>
                <w:sz w:val="20"/>
                <w:szCs w:val="20"/>
                <w:color w:val="auto"/>
              </w:rPr>
            </w:pPr>
            <w:r>
              <w:rPr>
                <w:rFonts w:ascii="Arial" w:cs="Arial" w:eastAsia="Arial" w:hAnsi="Arial"/>
                <w:sz w:val="17"/>
                <w:szCs w:val="17"/>
                <w:color w:val="2573BA"/>
              </w:rPr>
              <w:t>$</w:t>
            </w:r>
          </w:p>
        </w:tc>
        <w:tc>
          <w:tcPr>
            <w:tcW w:w="1060" w:type="dxa"/>
            <w:vAlign w:val="bottom"/>
            <w:gridSpan w:val="2"/>
            <w:shd w:val="clear" w:color="auto" w:fill="DDDDDD"/>
          </w:tcPr>
          <w:p>
            <w:pPr>
              <w:jc w:val="right"/>
              <w:ind w:right="220"/>
              <w:spacing w:after="0"/>
              <w:rPr>
                <w:sz w:val="20"/>
                <w:szCs w:val="20"/>
                <w:color w:val="auto"/>
              </w:rPr>
            </w:pPr>
            <w:r>
              <w:rPr>
                <w:rFonts w:ascii="Arial" w:cs="Arial" w:eastAsia="Arial" w:hAnsi="Arial"/>
                <w:sz w:val="17"/>
                <w:szCs w:val="17"/>
                <w:color w:val="2573BA"/>
              </w:rPr>
              <w:t>—</w:t>
            </w: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96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83.0</w:t>
            </w:r>
          </w:p>
        </w:tc>
        <w:tc>
          <w:tcPr>
            <w:tcW w:w="120" w:type="dxa"/>
            <w:vAlign w:val="bottom"/>
            <w:shd w:val="clear" w:color="auto" w:fill="DDDDDD"/>
          </w:tcPr>
          <w:p>
            <w:pPr>
              <w:spacing w:after="0"/>
              <w:rPr>
                <w:sz w:val="22"/>
                <w:szCs w:val="22"/>
                <w:color w:val="auto"/>
              </w:rPr>
            </w:pP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96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1,559.2</w:t>
            </w:r>
          </w:p>
        </w:tc>
      </w:tr>
      <w:tr>
        <w:trPr>
          <w:trHeight w:val="256"/>
        </w:trPr>
        <w:tc>
          <w:tcPr>
            <w:tcW w:w="4680" w:type="dxa"/>
            <w:vAlign w:val="bottom"/>
          </w:tcPr>
          <w:p>
            <w:pPr>
              <w:ind w:left="20"/>
              <w:spacing w:after="0"/>
              <w:rPr>
                <w:sz w:val="20"/>
                <w:szCs w:val="20"/>
                <w:color w:val="auto"/>
              </w:rPr>
            </w:pPr>
            <w:r>
              <w:rPr>
                <w:rFonts w:ascii="Arial" w:cs="Arial" w:eastAsia="Arial" w:hAnsi="Arial"/>
                <w:sz w:val="17"/>
                <w:szCs w:val="17"/>
                <w:color w:val="auto"/>
              </w:rPr>
              <w:t>Other revenues from external customers</w:t>
            </w:r>
          </w:p>
        </w:tc>
        <w:tc>
          <w:tcPr>
            <w:tcW w:w="1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140" w:type="dxa"/>
            <w:vAlign w:val="bottom"/>
            <w:shd w:val="clear" w:color="auto" w:fill="DDDDDD"/>
          </w:tcPr>
          <w:p>
            <w:pPr>
              <w:jc w:val="right"/>
              <w:ind w:right="38"/>
              <w:spacing w:after="0"/>
              <w:rPr>
                <w:sz w:val="20"/>
                <w:szCs w:val="20"/>
                <w:color w:val="auto"/>
              </w:rPr>
            </w:pPr>
            <w:r>
              <w:rPr>
                <w:rFonts w:ascii="Arial" w:cs="Arial" w:eastAsia="Arial" w:hAnsi="Arial"/>
                <w:sz w:val="17"/>
                <w:szCs w:val="17"/>
                <w:color w:val="2573BA"/>
              </w:rPr>
              <w:t>249.5</w:t>
            </w:r>
          </w:p>
        </w:tc>
        <w:tc>
          <w:tcPr>
            <w:tcW w:w="380" w:type="dxa"/>
            <w:vAlign w:val="bottom"/>
            <w:gridSpan w:val="2"/>
            <w:shd w:val="clear" w:color="auto" w:fill="DDDDDD"/>
          </w:tcPr>
          <w:p>
            <w:pPr>
              <w:jc w:val="right"/>
              <w:ind w:right="140"/>
              <w:spacing w:after="0"/>
              <w:rPr>
                <w:sz w:val="20"/>
                <w:szCs w:val="20"/>
                <w:color w:val="auto"/>
              </w:rPr>
            </w:pPr>
            <w:r>
              <w:rPr>
                <w:rFonts w:ascii="Arial" w:cs="Arial" w:eastAsia="Arial" w:hAnsi="Arial"/>
                <w:sz w:val="17"/>
                <w:szCs w:val="17"/>
                <w:color w:val="2573BA"/>
              </w:rPr>
              <w:t>$</w:t>
            </w:r>
          </w:p>
        </w:tc>
        <w:tc>
          <w:tcPr>
            <w:tcW w:w="10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67.8</w:t>
            </w:r>
          </w:p>
        </w:tc>
        <w:tc>
          <w:tcPr>
            <w:tcW w:w="100" w:type="dxa"/>
            <w:vAlign w:val="bottom"/>
            <w:shd w:val="clear" w:color="auto" w:fill="DDDDDD"/>
          </w:tcPr>
          <w:p>
            <w:pPr>
              <w:spacing w:after="0"/>
              <w:rPr>
                <w:sz w:val="22"/>
                <w:szCs w:val="22"/>
                <w:color w:val="auto"/>
              </w:rPr>
            </w:pPr>
          </w:p>
        </w:tc>
        <w:tc>
          <w:tcPr>
            <w:tcW w:w="300" w:type="dxa"/>
            <w:vAlign w:val="bottom"/>
            <w:shd w:val="clear" w:color="auto" w:fill="DDDDDD"/>
          </w:tcPr>
          <w:p>
            <w:pPr>
              <w:jc w:val="right"/>
              <w:ind w:right="95"/>
              <w:spacing w:after="0"/>
              <w:rPr>
                <w:sz w:val="20"/>
                <w:szCs w:val="20"/>
                <w:color w:val="auto"/>
              </w:rPr>
            </w:pPr>
            <w:r>
              <w:rPr>
                <w:rFonts w:ascii="Arial" w:cs="Arial" w:eastAsia="Arial" w:hAnsi="Arial"/>
                <w:sz w:val="17"/>
                <w:szCs w:val="17"/>
                <w:color w:val="2573BA"/>
              </w:rPr>
              <w:t>$</w:t>
            </w:r>
          </w:p>
        </w:tc>
        <w:tc>
          <w:tcPr>
            <w:tcW w:w="960" w:type="dxa"/>
            <w:vAlign w:val="bottom"/>
            <w:shd w:val="clear" w:color="auto" w:fill="DDDDDD"/>
          </w:tcPr>
          <w:p>
            <w:pPr>
              <w:jc w:val="right"/>
              <w:ind w:right="38"/>
              <w:spacing w:after="0"/>
              <w:rPr>
                <w:sz w:val="20"/>
                <w:szCs w:val="20"/>
                <w:color w:val="auto"/>
              </w:rPr>
            </w:pPr>
            <w:r>
              <w:rPr>
                <w:rFonts w:ascii="Arial" w:cs="Arial" w:eastAsia="Arial" w:hAnsi="Arial"/>
                <w:sz w:val="17"/>
                <w:szCs w:val="17"/>
                <w:color w:val="2573BA"/>
              </w:rPr>
              <w:t>42.7</w:t>
            </w:r>
          </w:p>
        </w:tc>
        <w:tc>
          <w:tcPr>
            <w:tcW w:w="100" w:type="dxa"/>
            <w:vAlign w:val="bottom"/>
            <w:shd w:val="clear" w:color="auto" w:fill="DDDDDD"/>
          </w:tcPr>
          <w:p>
            <w:pPr>
              <w:spacing w:after="0"/>
              <w:rPr>
                <w:sz w:val="22"/>
                <w:szCs w:val="22"/>
                <w:color w:val="auto"/>
              </w:rPr>
            </w:pP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080" w:type="dxa"/>
            <w:vAlign w:val="bottom"/>
            <w:gridSpan w:val="2"/>
            <w:shd w:val="clear" w:color="auto" w:fill="DDDDDD"/>
          </w:tcPr>
          <w:p>
            <w:pPr>
              <w:jc w:val="right"/>
              <w:ind w:right="220"/>
              <w:spacing w:after="0"/>
              <w:rPr>
                <w:sz w:val="20"/>
                <w:szCs w:val="20"/>
                <w:color w:val="auto"/>
              </w:rPr>
            </w:pPr>
            <w:r>
              <w:rPr>
                <w:rFonts w:ascii="Arial" w:cs="Arial" w:eastAsia="Arial" w:hAnsi="Arial"/>
                <w:sz w:val="17"/>
                <w:szCs w:val="17"/>
                <w:color w:val="2573BA"/>
              </w:rPr>
              <w:t>—</w:t>
            </w: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96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360.0</w:t>
            </w:r>
          </w:p>
        </w:tc>
      </w:tr>
      <w:tr>
        <w:trPr>
          <w:trHeight w:val="270"/>
        </w:trPr>
        <w:tc>
          <w:tcPr>
            <w:tcW w:w="4680" w:type="dxa"/>
            <w:vAlign w:val="bottom"/>
          </w:tcPr>
          <w:p>
            <w:pPr>
              <w:ind w:left="20"/>
              <w:spacing w:after="0"/>
              <w:rPr>
                <w:sz w:val="20"/>
                <w:szCs w:val="20"/>
                <w:color w:val="auto"/>
              </w:rPr>
            </w:pPr>
            <w:r>
              <w:rPr>
                <w:rFonts w:ascii="Arial" w:cs="Arial" w:eastAsia="Arial" w:hAnsi="Arial"/>
                <w:sz w:val="17"/>
                <w:szCs w:val="17"/>
                <w:color w:val="auto"/>
              </w:rPr>
              <w:t>Long-lived assets</w:t>
            </w:r>
          </w:p>
        </w:tc>
        <w:tc>
          <w:tcPr>
            <w:tcW w:w="1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140" w:type="dxa"/>
            <w:vAlign w:val="bottom"/>
            <w:shd w:val="clear" w:color="auto" w:fill="DDDDDD"/>
          </w:tcPr>
          <w:p>
            <w:pPr>
              <w:jc w:val="right"/>
              <w:ind w:right="38"/>
              <w:spacing w:after="0"/>
              <w:rPr>
                <w:sz w:val="20"/>
                <w:szCs w:val="20"/>
                <w:color w:val="auto"/>
              </w:rPr>
            </w:pPr>
            <w:r>
              <w:rPr>
                <w:rFonts w:ascii="Arial" w:cs="Arial" w:eastAsia="Arial" w:hAnsi="Arial"/>
                <w:sz w:val="17"/>
                <w:szCs w:val="17"/>
                <w:color w:val="2573BA"/>
              </w:rPr>
              <w:t>1,226.9</w:t>
            </w:r>
          </w:p>
        </w:tc>
        <w:tc>
          <w:tcPr>
            <w:tcW w:w="380" w:type="dxa"/>
            <w:vAlign w:val="bottom"/>
            <w:gridSpan w:val="2"/>
            <w:shd w:val="clear" w:color="auto" w:fill="DDDDDD"/>
          </w:tcPr>
          <w:p>
            <w:pPr>
              <w:jc w:val="right"/>
              <w:ind w:right="140"/>
              <w:spacing w:after="0"/>
              <w:rPr>
                <w:sz w:val="20"/>
                <w:szCs w:val="20"/>
                <w:color w:val="auto"/>
              </w:rPr>
            </w:pPr>
            <w:r>
              <w:rPr>
                <w:rFonts w:ascii="Arial" w:cs="Arial" w:eastAsia="Arial" w:hAnsi="Arial"/>
                <w:sz w:val="17"/>
                <w:szCs w:val="17"/>
                <w:color w:val="2573BA"/>
              </w:rPr>
              <w:t>$</w:t>
            </w:r>
          </w:p>
        </w:tc>
        <w:tc>
          <w:tcPr>
            <w:tcW w:w="10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1,948.2</w:t>
            </w:r>
          </w:p>
        </w:tc>
        <w:tc>
          <w:tcPr>
            <w:tcW w:w="100" w:type="dxa"/>
            <w:vAlign w:val="bottom"/>
            <w:shd w:val="clear" w:color="auto" w:fill="DDDDDD"/>
          </w:tcPr>
          <w:p>
            <w:pPr>
              <w:spacing w:after="0"/>
              <w:rPr>
                <w:sz w:val="23"/>
                <w:szCs w:val="23"/>
                <w:color w:val="auto"/>
              </w:rPr>
            </w:pPr>
          </w:p>
        </w:tc>
        <w:tc>
          <w:tcPr>
            <w:tcW w:w="300" w:type="dxa"/>
            <w:vAlign w:val="bottom"/>
            <w:shd w:val="clear" w:color="auto" w:fill="DDDDDD"/>
          </w:tcPr>
          <w:p>
            <w:pPr>
              <w:jc w:val="right"/>
              <w:ind w:right="95"/>
              <w:spacing w:after="0"/>
              <w:rPr>
                <w:sz w:val="20"/>
                <w:szCs w:val="20"/>
                <w:color w:val="auto"/>
              </w:rPr>
            </w:pPr>
            <w:r>
              <w:rPr>
                <w:rFonts w:ascii="Arial" w:cs="Arial" w:eastAsia="Arial" w:hAnsi="Arial"/>
                <w:sz w:val="17"/>
                <w:szCs w:val="17"/>
                <w:color w:val="2573BA"/>
              </w:rPr>
              <w:t>$</w:t>
            </w:r>
          </w:p>
        </w:tc>
        <w:tc>
          <w:tcPr>
            <w:tcW w:w="960" w:type="dxa"/>
            <w:vAlign w:val="bottom"/>
            <w:shd w:val="clear" w:color="auto" w:fill="DDDDDD"/>
          </w:tcPr>
          <w:p>
            <w:pPr>
              <w:jc w:val="right"/>
              <w:ind w:right="38"/>
              <w:spacing w:after="0"/>
              <w:rPr>
                <w:sz w:val="20"/>
                <w:szCs w:val="20"/>
                <w:color w:val="auto"/>
              </w:rPr>
            </w:pPr>
            <w:r>
              <w:rPr>
                <w:rFonts w:ascii="Arial" w:cs="Arial" w:eastAsia="Arial" w:hAnsi="Arial"/>
                <w:sz w:val="17"/>
                <w:szCs w:val="17"/>
                <w:color w:val="2573BA"/>
              </w:rPr>
              <w:t>5.2</w:t>
            </w:r>
          </w:p>
        </w:tc>
        <w:tc>
          <w:tcPr>
            <w:tcW w:w="100" w:type="dxa"/>
            <w:vAlign w:val="bottom"/>
            <w:shd w:val="clear" w:color="auto" w:fill="DDDDDD"/>
          </w:tcPr>
          <w:p>
            <w:pPr>
              <w:spacing w:after="0"/>
              <w:rPr>
                <w:sz w:val="23"/>
                <w:szCs w:val="23"/>
                <w:color w:val="auto"/>
              </w:rPr>
            </w:pP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96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2.1</w:t>
            </w:r>
          </w:p>
        </w:tc>
        <w:tc>
          <w:tcPr>
            <w:tcW w:w="120" w:type="dxa"/>
            <w:vAlign w:val="bottom"/>
            <w:shd w:val="clear" w:color="auto" w:fill="DDDDDD"/>
          </w:tcPr>
          <w:p>
            <w:pPr>
              <w:spacing w:after="0"/>
              <w:rPr>
                <w:sz w:val="23"/>
                <w:szCs w:val="23"/>
                <w:color w:val="auto"/>
              </w:rPr>
            </w:pP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96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3,182.4</w:t>
            </w:r>
          </w:p>
        </w:tc>
      </w:tr>
      <w:tr>
        <w:trPr>
          <w:trHeight w:val="558"/>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December 31, 2016 (In millions)</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Europe</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Asia</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Total</w:t>
            </w:r>
          </w:p>
        </w:tc>
      </w:tr>
      <w:tr>
        <w:trPr>
          <w:trHeight w:val="228"/>
        </w:trPr>
        <w:tc>
          <w:tcPr>
            <w:tcW w:w="4680" w:type="dxa"/>
            <w:vAlign w:val="bottom"/>
          </w:tcPr>
          <w:p>
            <w:pPr>
              <w:ind w:left="20"/>
              <w:spacing w:after="0"/>
              <w:rPr>
                <w:sz w:val="20"/>
                <w:szCs w:val="20"/>
                <w:color w:val="auto"/>
              </w:rPr>
            </w:pPr>
            <w:r>
              <w:rPr>
                <w:rFonts w:ascii="Arial" w:cs="Arial" w:eastAsia="Arial" w:hAnsi="Arial"/>
                <w:sz w:val="17"/>
                <w:szCs w:val="17"/>
                <w:color w:val="auto"/>
              </w:rPr>
              <w:t>Product revenues from external customers</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8"/>
              <w:spacing w:after="0"/>
              <w:rPr>
                <w:sz w:val="20"/>
                <w:szCs w:val="20"/>
                <w:color w:val="auto"/>
              </w:rPr>
            </w:pPr>
            <w:r>
              <w:rPr>
                <w:rFonts w:ascii="Arial" w:cs="Arial" w:eastAsia="Arial" w:hAnsi="Arial"/>
                <w:sz w:val="17"/>
                <w:szCs w:val="17"/>
                <w:color w:val="auto"/>
              </w:rPr>
              <w:t>7,050.4</w:t>
            </w:r>
          </w:p>
        </w:tc>
        <w:tc>
          <w:tcPr>
            <w:tcW w:w="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8"/>
              <w:spacing w:after="0"/>
              <w:rPr>
                <w:sz w:val="20"/>
                <w:szCs w:val="20"/>
                <w:color w:val="auto"/>
              </w:rPr>
            </w:pPr>
            <w:r>
              <w:rPr>
                <w:rFonts w:ascii="Arial" w:cs="Arial" w:eastAsia="Arial" w:hAnsi="Arial"/>
                <w:sz w:val="17"/>
                <w:szCs w:val="17"/>
                <w:color w:val="auto"/>
              </w:rPr>
              <w:t>2,237.2</w:t>
            </w:r>
          </w:p>
        </w:tc>
        <w:tc>
          <w:tcPr>
            <w:tcW w:w="100" w:type="dxa"/>
            <w:vAlign w:val="bottom"/>
          </w:tcPr>
          <w:p>
            <w:pPr>
              <w:spacing w:after="0"/>
              <w:rPr>
                <w:sz w:val="19"/>
                <w:szCs w:val="19"/>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38"/>
              <w:spacing w:after="0"/>
              <w:rPr>
                <w:sz w:val="20"/>
                <w:szCs w:val="20"/>
                <w:color w:val="auto"/>
              </w:rPr>
            </w:pPr>
            <w:r>
              <w:rPr>
                <w:rFonts w:ascii="Arial" w:cs="Arial" w:eastAsia="Arial" w:hAnsi="Arial"/>
                <w:sz w:val="17"/>
                <w:szCs w:val="17"/>
                <w:color w:val="auto"/>
              </w:rPr>
              <w:t>217.3</w:t>
            </w:r>
          </w:p>
        </w:tc>
        <w:tc>
          <w:tcPr>
            <w:tcW w:w="100" w:type="dxa"/>
            <w:vAlign w:val="bottom"/>
          </w:tcPr>
          <w:p>
            <w:pPr>
              <w:spacing w:after="0"/>
              <w:rPr>
                <w:sz w:val="19"/>
                <w:szCs w:val="19"/>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313.0</w:t>
            </w:r>
          </w:p>
        </w:tc>
        <w:tc>
          <w:tcPr>
            <w:tcW w:w="120" w:type="dxa"/>
            <w:vAlign w:val="bottom"/>
          </w:tcPr>
          <w:p>
            <w:pPr>
              <w:spacing w:after="0"/>
              <w:rPr>
                <w:sz w:val="19"/>
                <w:szCs w:val="19"/>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9,817.9</w:t>
            </w:r>
          </w:p>
        </w:tc>
      </w:tr>
      <w:tr>
        <w:trPr>
          <w:trHeight w:val="256"/>
        </w:trPr>
        <w:tc>
          <w:tcPr>
            <w:tcW w:w="4680" w:type="dxa"/>
            <w:vAlign w:val="bottom"/>
          </w:tcPr>
          <w:p>
            <w:pPr>
              <w:ind w:left="20"/>
              <w:spacing w:after="0"/>
              <w:rPr>
                <w:sz w:val="20"/>
                <w:szCs w:val="20"/>
                <w:color w:val="auto"/>
              </w:rPr>
            </w:pPr>
            <w:r>
              <w:rPr>
                <w:rFonts w:ascii="Arial" w:cs="Arial" w:eastAsia="Arial" w:hAnsi="Arial"/>
                <w:sz w:val="17"/>
                <w:szCs w:val="17"/>
                <w:color w:val="auto"/>
              </w:rPr>
              <w:t>Revenues from anti-CD20 therapeutic programs</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8"/>
              <w:spacing w:after="0"/>
              <w:rPr>
                <w:sz w:val="20"/>
                <w:szCs w:val="20"/>
                <w:color w:val="auto"/>
              </w:rPr>
            </w:pPr>
            <w:r>
              <w:rPr>
                <w:rFonts w:ascii="Arial" w:cs="Arial" w:eastAsia="Arial" w:hAnsi="Arial"/>
                <w:sz w:val="17"/>
                <w:szCs w:val="17"/>
                <w:color w:val="auto"/>
              </w:rPr>
              <w:t>1,249.5</w:t>
            </w:r>
          </w:p>
        </w:tc>
        <w:tc>
          <w:tcPr>
            <w:tcW w:w="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8"/>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22"/>
                <w:szCs w:val="22"/>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63.1</w:t>
            </w:r>
          </w:p>
        </w:tc>
        <w:tc>
          <w:tcPr>
            <w:tcW w:w="12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1,314.5</w:t>
            </w:r>
          </w:p>
        </w:tc>
      </w:tr>
      <w:tr>
        <w:trPr>
          <w:trHeight w:val="256"/>
        </w:trPr>
        <w:tc>
          <w:tcPr>
            <w:tcW w:w="4680" w:type="dxa"/>
            <w:vAlign w:val="bottom"/>
          </w:tcPr>
          <w:p>
            <w:pPr>
              <w:ind w:left="20"/>
              <w:spacing w:after="0"/>
              <w:rPr>
                <w:sz w:val="20"/>
                <w:szCs w:val="20"/>
                <w:color w:val="auto"/>
              </w:rPr>
            </w:pPr>
            <w:r>
              <w:rPr>
                <w:rFonts w:ascii="Arial" w:cs="Arial" w:eastAsia="Arial" w:hAnsi="Arial"/>
                <w:sz w:val="17"/>
                <w:szCs w:val="17"/>
                <w:color w:val="auto"/>
              </w:rPr>
              <w:t>Other revenues from external customers</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8"/>
              <w:spacing w:after="0"/>
              <w:rPr>
                <w:sz w:val="20"/>
                <w:szCs w:val="20"/>
                <w:color w:val="auto"/>
              </w:rPr>
            </w:pPr>
            <w:r>
              <w:rPr>
                <w:rFonts w:ascii="Arial" w:cs="Arial" w:eastAsia="Arial" w:hAnsi="Arial"/>
                <w:sz w:val="17"/>
                <w:szCs w:val="17"/>
                <w:color w:val="auto"/>
              </w:rPr>
              <w:t>224.7</w:t>
            </w:r>
          </w:p>
        </w:tc>
        <w:tc>
          <w:tcPr>
            <w:tcW w:w="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8"/>
              <w:spacing w:after="0"/>
              <w:rPr>
                <w:sz w:val="20"/>
                <w:szCs w:val="20"/>
                <w:color w:val="auto"/>
              </w:rPr>
            </w:pPr>
            <w:r>
              <w:rPr>
                <w:rFonts w:ascii="Arial" w:cs="Arial" w:eastAsia="Arial" w:hAnsi="Arial"/>
                <w:sz w:val="17"/>
                <w:szCs w:val="17"/>
                <w:color w:val="auto"/>
              </w:rPr>
              <w:t>71.5</w:t>
            </w:r>
          </w:p>
        </w:tc>
        <w:tc>
          <w:tcPr>
            <w:tcW w:w="100" w:type="dxa"/>
            <w:vAlign w:val="bottom"/>
          </w:tcPr>
          <w:p>
            <w:pPr>
              <w:spacing w:after="0"/>
              <w:rPr>
                <w:sz w:val="22"/>
                <w:szCs w:val="22"/>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38"/>
              <w:spacing w:after="0"/>
              <w:rPr>
                <w:sz w:val="20"/>
                <w:szCs w:val="20"/>
                <w:color w:val="auto"/>
              </w:rPr>
            </w:pPr>
            <w:r>
              <w:rPr>
                <w:rFonts w:ascii="Arial" w:cs="Arial" w:eastAsia="Arial" w:hAnsi="Arial"/>
                <w:sz w:val="17"/>
                <w:szCs w:val="17"/>
                <w:color w:val="auto"/>
              </w:rPr>
              <w:t>20.2</w:t>
            </w:r>
          </w:p>
        </w:tc>
        <w:tc>
          <w:tcPr>
            <w:tcW w:w="10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316.4</w:t>
            </w:r>
          </w:p>
        </w:tc>
      </w:tr>
      <w:tr>
        <w:trPr>
          <w:trHeight w:val="256"/>
        </w:trPr>
        <w:tc>
          <w:tcPr>
            <w:tcW w:w="4680" w:type="dxa"/>
            <w:vAlign w:val="bottom"/>
          </w:tcPr>
          <w:p>
            <w:pPr>
              <w:ind w:left="20"/>
              <w:spacing w:after="0"/>
              <w:rPr>
                <w:sz w:val="20"/>
                <w:szCs w:val="20"/>
                <w:color w:val="auto"/>
              </w:rPr>
            </w:pPr>
            <w:r>
              <w:rPr>
                <w:rFonts w:ascii="Arial" w:cs="Arial" w:eastAsia="Arial" w:hAnsi="Arial"/>
                <w:sz w:val="17"/>
                <w:szCs w:val="17"/>
                <w:color w:val="auto"/>
              </w:rPr>
              <w:t>Long-lived assets</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8"/>
              <w:spacing w:after="0"/>
              <w:rPr>
                <w:sz w:val="20"/>
                <w:szCs w:val="20"/>
                <w:color w:val="auto"/>
              </w:rPr>
            </w:pPr>
            <w:r>
              <w:rPr>
                <w:rFonts w:ascii="Arial" w:cs="Arial" w:eastAsia="Arial" w:hAnsi="Arial"/>
                <w:sz w:val="17"/>
                <w:szCs w:val="17"/>
                <w:color w:val="auto"/>
              </w:rPr>
              <w:t>1,272.3</w:t>
            </w:r>
          </w:p>
        </w:tc>
        <w:tc>
          <w:tcPr>
            <w:tcW w:w="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8"/>
              <w:spacing w:after="0"/>
              <w:rPr>
                <w:sz w:val="20"/>
                <w:szCs w:val="20"/>
                <w:color w:val="auto"/>
              </w:rPr>
            </w:pPr>
            <w:r>
              <w:rPr>
                <w:rFonts w:ascii="Arial" w:cs="Arial" w:eastAsia="Arial" w:hAnsi="Arial"/>
                <w:sz w:val="17"/>
                <w:szCs w:val="17"/>
                <w:color w:val="auto"/>
              </w:rPr>
              <w:t>1,221.1</w:t>
            </w:r>
          </w:p>
        </w:tc>
        <w:tc>
          <w:tcPr>
            <w:tcW w:w="100" w:type="dxa"/>
            <w:vAlign w:val="bottom"/>
          </w:tcPr>
          <w:p>
            <w:pPr>
              <w:spacing w:after="0"/>
              <w:rPr>
                <w:sz w:val="22"/>
                <w:szCs w:val="22"/>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38"/>
              <w:spacing w:after="0"/>
              <w:rPr>
                <w:sz w:val="20"/>
                <w:szCs w:val="20"/>
                <w:color w:val="auto"/>
              </w:rPr>
            </w:pPr>
            <w:r>
              <w:rPr>
                <w:rFonts w:ascii="Arial" w:cs="Arial" w:eastAsia="Arial" w:hAnsi="Arial"/>
                <w:sz w:val="17"/>
                <w:szCs w:val="17"/>
                <w:color w:val="auto"/>
              </w:rPr>
              <w:t>7.0</w:t>
            </w:r>
          </w:p>
        </w:tc>
        <w:tc>
          <w:tcPr>
            <w:tcW w:w="10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1.4</w:t>
            </w:r>
          </w:p>
        </w:tc>
        <w:tc>
          <w:tcPr>
            <w:tcW w:w="12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2,501.8</w:t>
            </w:r>
          </w:p>
        </w:tc>
      </w:tr>
      <w:tr>
        <w:trPr>
          <w:trHeight w:val="572"/>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December 31, 2015 (In millions)</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Europe</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Asia</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Total</w:t>
            </w:r>
          </w:p>
        </w:tc>
      </w:tr>
      <w:tr>
        <w:trPr>
          <w:trHeight w:val="228"/>
        </w:trPr>
        <w:tc>
          <w:tcPr>
            <w:tcW w:w="4680" w:type="dxa"/>
            <w:vAlign w:val="bottom"/>
          </w:tcPr>
          <w:p>
            <w:pPr>
              <w:ind w:left="20"/>
              <w:spacing w:after="0"/>
              <w:rPr>
                <w:sz w:val="20"/>
                <w:szCs w:val="20"/>
                <w:color w:val="auto"/>
              </w:rPr>
            </w:pPr>
            <w:r>
              <w:rPr>
                <w:rFonts w:ascii="Arial" w:cs="Arial" w:eastAsia="Arial" w:hAnsi="Arial"/>
                <w:sz w:val="17"/>
                <w:szCs w:val="17"/>
                <w:color w:val="auto"/>
              </w:rPr>
              <w:t>Product revenues from external customers</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8"/>
              <w:spacing w:after="0"/>
              <w:rPr>
                <w:sz w:val="20"/>
                <w:szCs w:val="20"/>
                <w:color w:val="auto"/>
              </w:rPr>
            </w:pPr>
            <w:r>
              <w:rPr>
                <w:rFonts w:ascii="Arial" w:cs="Arial" w:eastAsia="Arial" w:hAnsi="Arial"/>
                <w:sz w:val="17"/>
                <w:szCs w:val="17"/>
                <w:color w:val="auto"/>
              </w:rPr>
              <w:t>6,545.8</w:t>
            </w:r>
          </w:p>
        </w:tc>
        <w:tc>
          <w:tcPr>
            <w:tcW w:w="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8"/>
              <w:spacing w:after="0"/>
              <w:rPr>
                <w:sz w:val="20"/>
                <w:szCs w:val="20"/>
                <w:color w:val="auto"/>
              </w:rPr>
            </w:pPr>
            <w:r>
              <w:rPr>
                <w:rFonts w:ascii="Arial" w:cs="Arial" w:eastAsia="Arial" w:hAnsi="Arial"/>
                <w:sz w:val="17"/>
                <w:szCs w:val="17"/>
                <w:color w:val="auto"/>
              </w:rPr>
              <w:t>2,165.7</w:t>
            </w:r>
          </w:p>
        </w:tc>
        <w:tc>
          <w:tcPr>
            <w:tcW w:w="100" w:type="dxa"/>
            <w:vAlign w:val="bottom"/>
          </w:tcPr>
          <w:p>
            <w:pPr>
              <w:spacing w:after="0"/>
              <w:rPr>
                <w:sz w:val="19"/>
                <w:szCs w:val="19"/>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38"/>
              <w:spacing w:after="0"/>
              <w:rPr>
                <w:sz w:val="20"/>
                <w:szCs w:val="20"/>
                <w:color w:val="auto"/>
              </w:rPr>
            </w:pPr>
            <w:r>
              <w:rPr>
                <w:rFonts w:ascii="Arial" w:cs="Arial" w:eastAsia="Arial" w:hAnsi="Arial"/>
                <w:sz w:val="17"/>
                <w:szCs w:val="17"/>
                <w:color w:val="auto"/>
              </w:rPr>
              <w:t>143.7</w:t>
            </w:r>
          </w:p>
        </w:tc>
        <w:tc>
          <w:tcPr>
            <w:tcW w:w="100" w:type="dxa"/>
            <w:vAlign w:val="bottom"/>
          </w:tcPr>
          <w:p>
            <w:pPr>
              <w:spacing w:after="0"/>
              <w:rPr>
                <w:sz w:val="19"/>
                <w:szCs w:val="19"/>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333.3</w:t>
            </w:r>
          </w:p>
        </w:tc>
        <w:tc>
          <w:tcPr>
            <w:tcW w:w="120" w:type="dxa"/>
            <w:vAlign w:val="bottom"/>
          </w:tcPr>
          <w:p>
            <w:pPr>
              <w:spacing w:after="0"/>
              <w:rPr>
                <w:sz w:val="19"/>
                <w:szCs w:val="19"/>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9,188.5</w:t>
            </w:r>
          </w:p>
        </w:tc>
      </w:tr>
      <w:tr>
        <w:trPr>
          <w:trHeight w:val="256"/>
        </w:trPr>
        <w:tc>
          <w:tcPr>
            <w:tcW w:w="4680" w:type="dxa"/>
            <w:vAlign w:val="bottom"/>
          </w:tcPr>
          <w:p>
            <w:pPr>
              <w:ind w:left="20"/>
              <w:spacing w:after="0"/>
              <w:rPr>
                <w:sz w:val="20"/>
                <w:szCs w:val="20"/>
                <w:color w:val="auto"/>
              </w:rPr>
            </w:pPr>
            <w:r>
              <w:rPr>
                <w:rFonts w:ascii="Arial" w:cs="Arial" w:eastAsia="Arial" w:hAnsi="Arial"/>
                <w:sz w:val="17"/>
                <w:szCs w:val="17"/>
                <w:color w:val="auto"/>
              </w:rPr>
              <w:t>Revenues from anti-CD20 therapeutic programs</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8"/>
              <w:spacing w:after="0"/>
              <w:rPr>
                <w:sz w:val="20"/>
                <w:szCs w:val="20"/>
                <w:color w:val="auto"/>
              </w:rPr>
            </w:pPr>
            <w:r>
              <w:rPr>
                <w:rFonts w:ascii="Arial" w:cs="Arial" w:eastAsia="Arial" w:hAnsi="Arial"/>
                <w:sz w:val="17"/>
                <w:szCs w:val="17"/>
                <w:color w:val="auto"/>
              </w:rPr>
              <w:t>1,269.8</w:t>
            </w:r>
          </w:p>
        </w:tc>
        <w:tc>
          <w:tcPr>
            <w:tcW w:w="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8"/>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22"/>
                <w:szCs w:val="22"/>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65.9</w:t>
            </w:r>
          </w:p>
        </w:tc>
        <w:tc>
          <w:tcPr>
            <w:tcW w:w="12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1,339.2</w:t>
            </w:r>
          </w:p>
        </w:tc>
      </w:tr>
      <w:tr>
        <w:trPr>
          <w:trHeight w:val="256"/>
        </w:trPr>
        <w:tc>
          <w:tcPr>
            <w:tcW w:w="4680" w:type="dxa"/>
            <w:vAlign w:val="bottom"/>
          </w:tcPr>
          <w:p>
            <w:pPr>
              <w:ind w:left="20"/>
              <w:spacing w:after="0"/>
              <w:rPr>
                <w:sz w:val="20"/>
                <w:szCs w:val="20"/>
                <w:color w:val="auto"/>
              </w:rPr>
            </w:pPr>
            <w:r>
              <w:rPr>
                <w:rFonts w:ascii="Arial" w:cs="Arial" w:eastAsia="Arial" w:hAnsi="Arial"/>
                <w:sz w:val="17"/>
                <w:szCs w:val="17"/>
                <w:color w:val="auto"/>
              </w:rPr>
              <w:t>Other revenues from external customers</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8"/>
              <w:spacing w:after="0"/>
              <w:rPr>
                <w:sz w:val="20"/>
                <w:szCs w:val="20"/>
                <w:color w:val="auto"/>
              </w:rPr>
            </w:pPr>
            <w:r>
              <w:rPr>
                <w:rFonts w:ascii="Arial" w:cs="Arial" w:eastAsia="Arial" w:hAnsi="Arial"/>
                <w:sz w:val="17"/>
                <w:szCs w:val="17"/>
                <w:color w:val="auto"/>
              </w:rPr>
              <w:t>142.0</w:t>
            </w:r>
          </w:p>
        </w:tc>
        <w:tc>
          <w:tcPr>
            <w:tcW w:w="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8"/>
              <w:spacing w:after="0"/>
              <w:rPr>
                <w:sz w:val="20"/>
                <w:szCs w:val="20"/>
                <w:color w:val="auto"/>
              </w:rPr>
            </w:pPr>
            <w:r>
              <w:rPr>
                <w:rFonts w:ascii="Arial" w:cs="Arial" w:eastAsia="Arial" w:hAnsi="Arial"/>
                <w:sz w:val="17"/>
                <w:szCs w:val="17"/>
                <w:color w:val="auto"/>
              </w:rPr>
              <w:t>31.2</w:t>
            </w:r>
          </w:p>
        </w:tc>
        <w:tc>
          <w:tcPr>
            <w:tcW w:w="100" w:type="dxa"/>
            <w:vAlign w:val="bottom"/>
          </w:tcPr>
          <w:p>
            <w:pPr>
              <w:spacing w:after="0"/>
              <w:rPr>
                <w:sz w:val="22"/>
                <w:szCs w:val="22"/>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38"/>
              <w:spacing w:after="0"/>
              <w:rPr>
                <w:sz w:val="20"/>
                <w:szCs w:val="20"/>
                <w:color w:val="auto"/>
              </w:rPr>
            </w:pPr>
            <w:r>
              <w:rPr>
                <w:rFonts w:ascii="Arial" w:cs="Arial" w:eastAsia="Arial" w:hAnsi="Arial"/>
                <w:sz w:val="17"/>
                <w:szCs w:val="17"/>
                <w:color w:val="auto"/>
              </w:rPr>
              <w:t>62.9</w:t>
            </w:r>
          </w:p>
        </w:tc>
        <w:tc>
          <w:tcPr>
            <w:tcW w:w="10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236.1</w:t>
            </w:r>
          </w:p>
        </w:tc>
      </w:tr>
      <w:tr>
        <w:trPr>
          <w:trHeight w:val="256"/>
        </w:trPr>
        <w:tc>
          <w:tcPr>
            <w:tcW w:w="4680" w:type="dxa"/>
            <w:vAlign w:val="bottom"/>
          </w:tcPr>
          <w:p>
            <w:pPr>
              <w:ind w:left="20"/>
              <w:spacing w:after="0"/>
              <w:rPr>
                <w:sz w:val="20"/>
                <w:szCs w:val="20"/>
                <w:color w:val="auto"/>
              </w:rPr>
            </w:pPr>
            <w:r>
              <w:rPr>
                <w:rFonts w:ascii="Arial" w:cs="Arial" w:eastAsia="Arial" w:hAnsi="Arial"/>
                <w:sz w:val="17"/>
                <w:szCs w:val="17"/>
                <w:color w:val="auto"/>
              </w:rPr>
              <w:t>Long-lived assets</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8"/>
              <w:spacing w:after="0"/>
              <w:rPr>
                <w:sz w:val="20"/>
                <w:szCs w:val="20"/>
                <w:color w:val="auto"/>
              </w:rPr>
            </w:pPr>
            <w:r>
              <w:rPr>
                <w:rFonts w:ascii="Arial" w:cs="Arial" w:eastAsia="Arial" w:hAnsi="Arial"/>
                <w:sz w:val="17"/>
                <w:szCs w:val="17"/>
                <w:color w:val="auto"/>
              </w:rPr>
              <w:t>1,296.5</w:t>
            </w:r>
          </w:p>
        </w:tc>
        <w:tc>
          <w:tcPr>
            <w:tcW w:w="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8"/>
              <w:spacing w:after="0"/>
              <w:rPr>
                <w:sz w:val="20"/>
                <w:szCs w:val="20"/>
                <w:color w:val="auto"/>
              </w:rPr>
            </w:pPr>
            <w:r>
              <w:rPr>
                <w:rFonts w:ascii="Arial" w:cs="Arial" w:eastAsia="Arial" w:hAnsi="Arial"/>
                <w:sz w:val="17"/>
                <w:szCs w:val="17"/>
                <w:color w:val="auto"/>
              </w:rPr>
              <w:t>881.7</w:t>
            </w:r>
          </w:p>
        </w:tc>
        <w:tc>
          <w:tcPr>
            <w:tcW w:w="100" w:type="dxa"/>
            <w:vAlign w:val="bottom"/>
          </w:tcPr>
          <w:p>
            <w:pPr>
              <w:spacing w:after="0"/>
              <w:rPr>
                <w:sz w:val="22"/>
                <w:szCs w:val="22"/>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38"/>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2,187.6</w:t>
            </w:r>
          </w:p>
        </w:tc>
      </w:tr>
    </w:tbl>
    <w:p>
      <w:pPr>
        <w:spacing w:after="0" w:line="14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Revenues from Anti-CD20 Therapeutic Programs</w:t>
      </w:r>
    </w:p>
    <w:p>
      <w:pPr>
        <w:spacing w:after="0" w:line="106" w:lineRule="exact"/>
        <w:rPr>
          <w:sz w:val="20"/>
          <w:szCs w:val="20"/>
          <w:color w:val="auto"/>
        </w:rPr>
      </w:pPr>
    </w:p>
    <w:p>
      <w:pPr>
        <w:ind w:right="100" w:firstLine="410"/>
        <w:spacing w:after="0" w:line="257" w:lineRule="auto"/>
        <w:rPr>
          <w:sz w:val="20"/>
          <w:szCs w:val="20"/>
          <w:color w:val="auto"/>
        </w:rPr>
      </w:pPr>
      <w:r>
        <w:rPr>
          <w:rFonts w:ascii="Arial" w:cs="Arial" w:eastAsia="Arial" w:hAnsi="Arial"/>
          <w:sz w:val="17"/>
          <w:szCs w:val="17"/>
          <w:color w:val="auto"/>
        </w:rPr>
        <w:t xml:space="preserve">Approximately 13%, 11% and 12% of our total revenues in 2017, 2016 and 2015, respectively, are derived from our collaboration agreement with Genentech. For additional information on our collaboration with Genentech, please read Note 20, </w:t>
      </w:r>
      <w:r>
        <w:rPr>
          <w:rFonts w:ascii="Arial" w:cs="Arial" w:eastAsia="Arial" w:hAnsi="Arial"/>
          <w:sz w:val="17"/>
          <w:szCs w:val="17"/>
          <w:i w:val="1"/>
          <w:iCs w:val="1"/>
          <w:color w:val="auto"/>
        </w:rPr>
        <w:t>Collaborative and Other Relationships,</w:t>
      </w:r>
      <w:r>
        <w:rPr>
          <w:rFonts w:ascii="Arial" w:cs="Arial" w:eastAsia="Arial" w:hAnsi="Arial"/>
          <w:sz w:val="17"/>
          <w:szCs w:val="17"/>
          <w:color w:val="auto"/>
        </w:rPr>
        <w:t xml:space="preserve"> to these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F- 73</w:t>
      </w:r>
    </w:p>
    <w:p>
      <w:pPr>
        <w:sectPr>
          <w:pgSz w:w="11900" w:h="16838" w:orient="portrait"/>
          <w:cols w:equalWidth="0" w:num="1">
            <w:col w:w="11420"/>
          </w:cols>
          <w:pgMar w:left="240" w:top="139" w:right="239" w:bottom="1440" w:gutter="0" w:footer="0" w:header="0"/>
        </w:sectPr>
      </w:pPr>
    </w:p>
    <w:bookmarkStart w:id="175" w:name="page176"/>
    <w:bookmarkEnd w:id="17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Significant Customers</w:t>
      </w:r>
    </w:p>
    <w:p>
      <w:pPr>
        <w:spacing w:after="0" w:line="106" w:lineRule="exact"/>
        <w:rPr>
          <w:sz w:val="20"/>
          <w:szCs w:val="20"/>
          <w:color w:val="auto"/>
        </w:rPr>
      </w:pPr>
    </w:p>
    <w:p>
      <w:pPr>
        <w:ind w:right="320" w:firstLine="410"/>
        <w:spacing w:after="0" w:line="262" w:lineRule="auto"/>
        <w:rPr>
          <w:sz w:val="20"/>
          <w:szCs w:val="20"/>
          <w:color w:val="auto"/>
        </w:rPr>
      </w:pPr>
      <w:r>
        <w:rPr>
          <w:rFonts w:ascii="Arial" w:cs="Arial" w:eastAsia="Arial" w:hAnsi="Arial"/>
          <w:sz w:val="17"/>
          <w:szCs w:val="17"/>
          <w:color w:val="auto"/>
        </w:rPr>
        <w:t>We recorded revenues from two wholesalers accounting for 34% and 21% of gross product revenues in 2017, 35% and 22% of gross product revenues in 2016, and 34% and 26% of gross product revenues in 2015, respectively.</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Other</w:t>
      </w:r>
    </w:p>
    <w:p>
      <w:pPr>
        <w:spacing w:after="0" w:line="106" w:lineRule="exact"/>
        <w:rPr>
          <w:sz w:val="20"/>
          <w:szCs w:val="20"/>
          <w:color w:val="auto"/>
        </w:rPr>
      </w:pPr>
    </w:p>
    <w:p>
      <w:pPr>
        <w:ind w:firstLine="410"/>
        <w:spacing w:after="0" w:line="262" w:lineRule="auto"/>
        <w:rPr>
          <w:sz w:val="20"/>
          <w:szCs w:val="20"/>
          <w:color w:val="auto"/>
        </w:rPr>
      </w:pPr>
      <w:r>
        <w:rPr>
          <w:rFonts w:ascii="Arial" w:cs="Arial" w:eastAsia="Arial" w:hAnsi="Arial"/>
          <w:sz w:val="17"/>
          <w:szCs w:val="17"/>
          <w:color w:val="auto"/>
        </w:rPr>
        <w:t>As of December 31, 2017, 2016 and 2015, approximately $1,215.7 million, $545.5 million and $161.5 million, respectively, of our long-lived assets were related to the construction of our large-scale biologics manufacturing facility in Solothurn, Switzerland.</w:t>
      </w:r>
    </w:p>
    <w:p>
      <w:pPr>
        <w:spacing w:after="0" w:line="60" w:lineRule="exact"/>
        <w:rPr>
          <w:sz w:val="20"/>
          <w:szCs w:val="20"/>
          <w:color w:val="auto"/>
        </w:rPr>
      </w:pPr>
    </w:p>
    <w:p>
      <w:pPr>
        <w:ind w:right="140" w:firstLine="410"/>
        <w:spacing w:after="0" w:line="262" w:lineRule="auto"/>
        <w:rPr>
          <w:sz w:val="20"/>
          <w:szCs w:val="20"/>
          <w:color w:val="auto"/>
        </w:rPr>
      </w:pPr>
      <w:r>
        <w:rPr>
          <w:rFonts w:ascii="Arial" w:cs="Arial" w:eastAsia="Arial" w:hAnsi="Arial"/>
          <w:sz w:val="17"/>
          <w:szCs w:val="17"/>
          <w:color w:val="auto"/>
        </w:rPr>
        <w:t>As of December 31, 2017, 2016 and 2015, approximately $707.1 million, $643.6 million and $684.9 million, respectively, of our long-lived assets were related to our manufacturing facilities in Denmark.</w:t>
      </w:r>
    </w:p>
    <w:p>
      <w:pPr>
        <w:spacing w:after="0" w:line="42" w:lineRule="exact"/>
        <w:rPr>
          <w:sz w:val="20"/>
          <w:szCs w:val="20"/>
          <w:color w:val="auto"/>
        </w:rPr>
      </w:pPr>
    </w:p>
    <w:p>
      <w:pPr>
        <w:ind w:right="180" w:firstLine="410"/>
        <w:spacing w:after="0" w:line="284" w:lineRule="auto"/>
        <w:rPr>
          <w:sz w:val="20"/>
          <w:szCs w:val="20"/>
          <w:color w:val="auto"/>
        </w:rPr>
      </w:pPr>
      <w:r>
        <w:rPr>
          <w:rFonts w:ascii="Arial" w:cs="Arial" w:eastAsia="Arial" w:hAnsi="Arial"/>
          <w:sz w:val="17"/>
          <w:szCs w:val="17"/>
          <w:color w:val="auto"/>
        </w:rPr>
        <w:t xml:space="preserve">For additional information on our large-scale biologics manufacturing facility in Solothurn, Switzerland, please read Note 11, </w:t>
      </w:r>
      <w:r>
        <w:rPr>
          <w:rFonts w:ascii="Arial" w:cs="Arial" w:eastAsia="Arial" w:hAnsi="Arial"/>
          <w:sz w:val="17"/>
          <w:szCs w:val="17"/>
          <w:i w:val="1"/>
          <w:iCs w:val="1"/>
          <w:color w:val="auto"/>
        </w:rPr>
        <w:t>Property, Plant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Equipment, </w:t>
      </w:r>
      <w:r>
        <w:rPr>
          <w:rFonts w:ascii="Arial" w:cs="Arial" w:eastAsia="Arial" w:hAnsi="Arial"/>
          <w:sz w:val="17"/>
          <w:szCs w:val="17"/>
          <w:color w:val="auto"/>
        </w:rPr>
        <w:t>to these consolidated financial statements.</w:t>
      </w:r>
    </w:p>
    <w:p>
      <w:pPr>
        <w:spacing w:after="0" w:line="177" w:lineRule="exact"/>
        <w:rPr>
          <w:sz w:val="20"/>
          <w:szCs w:val="20"/>
          <w:color w:val="auto"/>
        </w:rPr>
      </w:pPr>
    </w:p>
    <w:p>
      <w:pPr>
        <w:ind w:left="620" w:hanging="618"/>
        <w:spacing w:after="0"/>
        <w:tabs>
          <w:tab w:leader="none" w:pos="620" w:val="left"/>
        </w:tabs>
        <w:numPr>
          <w:ilvl w:val="0"/>
          <w:numId w:val="126"/>
        </w:numPr>
        <w:rPr>
          <w:rFonts w:ascii="Arial" w:cs="Arial" w:eastAsia="Arial" w:hAnsi="Arial"/>
          <w:sz w:val="20"/>
          <w:szCs w:val="20"/>
          <w:b w:val="1"/>
          <w:bCs w:val="1"/>
          <w:color w:val="578196"/>
        </w:rPr>
      </w:pPr>
      <w:r>
        <w:rPr>
          <w:rFonts w:ascii="Arial" w:cs="Arial" w:eastAsia="Arial" w:hAnsi="Arial"/>
          <w:sz w:val="20"/>
          <w:szCs w:val="20"/>
          <w:b w:val="1"/>
          <w:bCs w:val="1"/>
          <w:color w:val="578196"/>
        </w:rPr>
        <w:t>Quarterly Financial Data (Unaudited)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center"/>
              <w:ind w:right="58"/>
              <w:spacing w:after="0"/>
              <w:rPr>
                <w:sz w:val="20"/>
                <w:szCs w:val="20"/>
                <w:color w:val="auto"/>
              </w:rPr>
            </w:pPr>
            <w:r>
              <w:rPr>
                <w:rFonts w:ascii="Arial" w:cs="Arial" w:eastAsia="Arial" w:hAnsi="Arial"/>
                <w:sz w:val="14"/>
                <w:szCs w:val="14"/>
                <w:b w:val="1"/>
                <w:bCs w:val="1"/>
                <w:color w:val="auto"/>
                <w:w w:val="98"/>
              </w:rPr>
              <w:t>First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Second</w:t>
            </w:r>
          </w:p>
        </w:tc>
        <w:tc>
          <w:tcPr>
            <w:tcW w:w="28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Third</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Fourth</w:t>
            </w:r>
          </w:p>
        </w:tc>
        <w:tc>
          <w:tcPr>
            <w:tcW w:w="340" w:type="dxa"/>
            <w:vAlign w:val="bottom"/>
          </w:tcPr>
          <w:p>
            <w:pPr>
              <w:spacing w:after="0"/>
              <w:rPr>
                <w:sz w:val="14"/>
                <w:szCs w:val="14"/>
                <w:color w:val="auto"/>
              </w:rPr>
            </w:pPr>
          </w:p>
        </w:tc>
        <w:tc>
          <w:tcPr>
            <w:tcW w:w="1040" w:type="dxa"/>
            <w:vAlign w:val="bottom"/>
          </w:tcPr>
          <w:p>
            <w:pPr>
              <w:jc w:val="right"/>
              <w:ind w:right="437"/>
              <w:spacing w:after="0"/>
              <w:rPr>
                <w:sz w:val="20"/>
                <w:szCs w:val="20"/>
                <w:color w:val="auto"/>
              </w:rPr>
            </w:pPr>
            <w:r>
              <w:rPr>
                <w:rFonts w:ascii="Arial" w:cs="Arial" w:eastAsia="Arial" w:hAnsi="Arial"/>
                <w:sz w:val="14"/>
                <w:szCs w:val="14"/>
                <w:b w:val="1"/>
                <w:bCs w:val="1"/>
                <w:color w:val="auto"/>
              </w:rPr>
              <w:t>Total</w:t>
            </w:r>
          </w:p>
        </w:tc>
      </w:tr>
      <w:tr>
        <w:trPr>
          <w:trHeight w:val="185"/>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4"/>
              </w:rPr>
              <w:t>Quarter</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4"/>
              </w:rPr>
              <w:t>Quarter</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Year</w:t>
            </w:r>
          </w:p>
        </w:tc>
      </w:tr>
      <w:tr>
        <w:trPr>
          <w:trHeight w:val="243"/>
        </w:trPr>
        <w:tc>
          <w:tcPr>
            <w:tcW w:w="4120" w:type="dxa"/>
            <w:vAlign w:val="bottom"/>
          </w:tcPr>
          <w:p>
            <w:pPr>
              <w:ind w:left="20"/>
              <w:spacing w:after="0"/>
              <w:rPr>
                <w:sz w:val="20"/>
                <w:szCs w:val="20"/>
                <w:color w:val="auto"/>
              </w:rPr>
            </w:pPr>
            <w:r>
              <w:rPr>
                <w:rFonts w:ascii="Arial" w:cs="Arial" w:eastAsia="Arial" w:hAnsi="Arial"/>
                <w:sz w:val="17"/>
                <w:szCs w:val="17"/>
                <w:color w:val="2573BA"/>
              </w:rPr>
              <w:t>2017</w:t>
            </w:r>
          </w:p>
        </w:tc>
        <w:tc>
          <w:tcPr>
            <w:tcW w:w="140" w:type="dxa"/>
            <w:vAlign w:val="bottom"/>
          </w:tcPr>
          <w:p>
            <w:pPr>
              <w:spacing w:after="0"/>
              <w:rPr>
                <w:sz w:val="21"/>
                <w:szCs w:val="21"/>
                <w:color w:val="auto"/>
              </w:rPr>
            </w:pPr>
          </w:p>
        </w:tc>
        <w:tc>
          <w:tcPr>
            <w:tcW w:w="1240" w:type="dxa"/>
            <w:vAlign w:val="bottom"/>
          </w:tcPr>
          <w:p>
            <w:pPr>
              <w:jc w:val="center"/>
              <w:ind w:right="58"/>
              <w:spacing w:after="0"/>
              <w:rPr>
                <w:sz w:val="20"/>
                <w:szCs w:val="20"/>
                <w:color w:val="auto"/>
              </w:rPr>
            </w:pPr>
            <w:r>
              <w:rPr>
                <w:rFonts w:ascii="Arial" w:cs="Arial" w:eastAsia="Arial" w:hAnsi="Arial"/>
                <w:sz w:val="14"/>
                <w:szCs w:val="14"/>
                <w:b w:val="1"/>
                <w:bCs w:val="1"/>
                <w:color w:val="auto"/>
              </w:rPr>
              <w:t>(a)</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(a) (b) (c) (d)</w:t>
            </w:r>
          </w:p>
        </w:tc>
        <w:tc>
          <w:tcPr>
            <w:tcW w:w="280" w:type="dxa"/>
            <w:vAlign w:val="bottom"/>
          </w:tcPr>
          <w:p>
            <w:pPr>
              <w:spacing w:after="0"/>
              <w:rPr>
                <w:sz w:val="21"/>
                <w:szCs w:val="21"/>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w:t>
            </w:r>
          </w:p>
        </w:tc>
        <w:tc>
          <w:tcPr>
            <w:tcW w:w="160" w:type="dxa"/>
            <w:vAlign w:val="bottom"/>
          </w:tcPr>
          <w:p>
            <w:pPr>
              <w:spacing w:after="0"/>
              <w:rPr>
                <w:sz w:val="21"/>
                <w:szCs w:val="21"/>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 (e) (f) (g) (h)</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3"/>
        </w:trPr>
        <w:tc>
          <w:tcPr>
            <w:tcW w:w="4120" w:type="dxa"/>
            <w:vAlign w:val="bottom"/>
          </w:tcPr>
          <w:p>
            <w:pPr>
              <w:ind w:left="20"/>
              <w:spacing w:after="0"/>
              <w:rPr>
                <w:sz w:val="20"/>
                <w:szCs w:val="20"/>
                <w:color w:val="auto"/>
              </w:rPr>
            </w:pPr>
            <w:r>
              <w:rPr>
                <w:rFonts w:ascii="Arial" w:cs="Arial" w:eastAsia="Arial" w:hAnsi="Arial"/>
                <w:sz w:val="17"/>
                <w:szCs w:val="17"/>
                <w:color w:val="auto"/>
              </w:rPr>
              <w:t>Product revenues, net</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2,380.1</w:t>
            </w:r>
          </w:p>
        </w:tc>
        <w:tc>
          <w:tcPr>
            <w:tcW w:w="240" w:type="dxa"/>
            <w:vAlign w:val="bottom"/>
            <w:gridSpan w:val="2"/>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2,639.7</w:t>
            </w:r>
          </w:p>
        </w:tc>
        <w:tc>
          <w:tcPr>
            <w:tcW w:w="100" w:type="dxa"/>
            <w:vAlign w:val="bottom"/>
            <w:shd w:val="clear" w:color="auto" w:fill="DDDDDD"/>
          </w:tcPr>
          <w:p>
            <w:pPr>
              <w:spacing w:after="0"/>
              <w:rPr>
                <w:sz w:val="22"/>
                <w:szCs w:val="22"/>
                <w:color w:val="auto"/>
              </w:rPr>
            </w:pP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1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2,622.5</w:t>
            </w:r>
          </w:p>
        </w:tc>
        <w:tc>
          <w:tcPr>
            <w:tcW w:w="100" w:type="dxa"/>
            <w:vAlign w:val="bottom"/>
            <w:shd w:val="clear" w:color="auto" w:fill="DDDDDD"/>
          </w:tcPr>
          <w:p>
            <w:pPr>
              <w:spacing w:after="0"/>
              <w:rPr>
                <w:sz w:val="22"/>
                <w:szCs w:val="22"/>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2,712.4</w:t>
            </w:r>
          </w:p>
        </w:tc>
        <w:tc>
          <w:tcPr>
            <w:tcW w:w="100" w:type="dxa"/>
            <w:vAlign w:val="bottom"/>
            <w:shd w:val="clear" w:color="auto" w:fill="DDDDDD"/>
          </w:tcPr>
          <w:p>
            <w:pPr>
              <w:spacing w:after="0"/>
              <w:rPr>
                <w:sz w:val="22"/>
                <w:szCs w:val="22"/>
                <w:color w:val="auto"/>
              </w:rPr>
            </w:pPr>
          </w:p>
        </w:tc>
        <w:tc>
          <w:tcPr>
            <w:tcW w:w="340" w:type="dxa"/>
            <w:vAlign w:val="bottom"/>
            <w:shd w:val="clear" w:color="auto" w:fill="DDDDDD"/>
          </w:tcPr>
          <w:p>
            <w:pPr>
              <w:jc w:val="right"/>
              <w:ind w:right="115"/>
              <w:spacing w:after="0"/>
              <w:rPr>
                <w:sz w:val="20"/>
                <w:szCs w:val="20"/>
                <w:color w:val="auto"/>
              </w:rPr>
            </w:pPr>
            <w:r>
              <w:rPr>
                <w:rFonts w:ascii="Arial" w:cs="Arial" w:eastAsia="Arial" w:hAnsi="Arial"/>
                <w:sz w:val="17"/>
                <w:szCs w:val="17"/>
                <w:color w:val="2573BA"/>
              </w:rPr>
              <w:t>$</w:t>
            </w:r>
          </w:p>
        </w:tc>
        <w:tc>
          <w:tcPr>
            <w:tcW w:w="10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10,354.7</w:t>
            </w:r>
          </w:p>
        </w:tc>
      </w:tr>
      <w:tr>
        <w:trPr>
          <w:trHeight w:val="256"/>
        </w:trPr>
        <w:tc>
          <w:tcPr>
            <w:tcW w:w="4120" w:type="dxa"/>
            <w:vAlign w:val="bottom"/>
          </w:tcPr>
          <w:p>
            <w:pPr>
              <w:ind w:left="20"/>
              <w:spacing w:after="0"/>
              <w:rPr>
                <w:sz w:val="20"/>
                <w:szCs w:val="20"/>
                <w:color w:val="auto"/>
              </w:rPr>
            </w:pPr>
            <w:r>
              <w:rPr>
                <w:rFonts w:ascii="Arial" w:cs="Arial" w:eastAsia="Arial" w:hAnsi="Arial"/>
                <w:sz w:val="17"/>
                <w:szCs w:val="17"/>
                <w:color w:val="auto"/>
              </w:rPr>
              <w:t>Revenues from anti-CD20 therapeutic programs</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340.6</w:t>
            </w:r>
          </w:p>
        </w:tc>
        <w:tc>
          <w:tcPr>
            <w:tcW w:w="240" w:type="dxa"/>
            <w:vAlign w:val="bottom"/>
            <w:gridSpan w:val="2"/>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397.1</w:t>
            </w:r>
          </w:p>
        </w:tc>
        <w:tc>
          <w:tcPr>
            <w:tcW w:w="100" w:type="dxa"/>
            <w:vAlign w:val="bottom"/>
            <w:shd w:val="clear" w:color="auto" w:fill="DDDDDD"/>
          </w:tcPr>
          <w:p>
            <w:pPr>
              <w:spacing w:after="0"/>
              <w:rPr>
                <w:sz w:val="22"/>
                <w:szCs w:val="22"/>
                <w:color w:val="auto"/>
              </w:rPr>
            </w:pP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1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406.5</w:t>
            </w:r>
          </w:p>
        </w:tc>
        <w:tc>
          <w:tcPr>
            <w:tcW w:w="100" w:type="dxa"/>
            <w:vAlign w:val="bottom"/>
            <w:shd w:val="clear" w:color="auto" w:fill="DDDDDD"/>
          </w:tcPr>
          <w:p>
            <w:pPr>
              <w:spacing w:after="0"/>
              <w:rPr>
                <w:sz w:val="22"/>
                <w:szCs w:val="22"/>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415.0</w:t>
            </w:r>
          </w:p>
        </w:tc>
        <w:tc>
          <w:tcPr>
            <w:tcW w:w="100" w:type="dxa"/>
            <w:vAlign w:val="bottom"/>
            <w:shd w:val="clear" w:color="auto" w:fill="DDDDDD"/>
          </w:tcPr>
          <w:p>
            <w:pPr>
              <w:spacing w:after="0"/>
              <w:rPr>
                <w:sz w:val="22"/>
                <w:szCs w:val="22"/>
                <w:color w:val="auto"/>
              </w:rPr>
            </w:pPr>
          </w:p>
        </w:tc>
        <w:tc>
          <w:tcPr>
            <w:tcW w:w="340" w:type="dxa"/>
            <w:vAlign w:val="bottom"/>
            <w:shd w:val="clear" w:color="auto" w:fill="DDDDDD"/>
          </w:tcPr>
          <w:p>
            <w:pPr>
              <w:jc w:val="right"/>
              <w:ind w:right="115"/>
              <w:spacing w:after="0"/>
              <w:rPr>
                <w:sz w:val="20"/>
                <w:szCs w:val="20"/>
                <w:color w:val="auto"/>
              </w:rPr>
            </w:pPr>
            <w:r>
              <w:rPr>
                <w:rFonts w:ascii="Arial" w:cs="Arial" w:eastAsia="Arial" w:hAnsi="Arial"/>
                <w:sz w:val="17"/>
                <w:szCs w:val="17"/>
                <w:color w:val="2573BA"/>
              </w:rPr>
              <w:t>$</w:t>
            </w:r>
          </w:p>
        </w:tc>
        <w:tc>
          <w:tcPr>
            <w:tcW w:w="10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1,559.2</w:t>
            </w:r>
          </w:p>
        </w:tc>
      </w:tr>
      <w:tr>
        <w:trPr>
          <w:trHeight w:val="256"/>
        </w:trPr>
        <w:tc>
          <w:tcPr>
            <w:tcW w:w="4120" w:type="dxa"/>
            <w:vAlign w:val="bottom"/>
          </w:tcPr>
          <w:p>
            <w:pPr>
              <w:ind w:left="20"/>
              <w:spacing w:after="0"/>
              <w:rPr>
                <w:sz w:val="20"/>
                <w:szCs w:val="20"/>
                <w:color w:val="auto"/>
              </w:rPr>
            </w:pPr>
            <w:r>
              <w:rPr>
                <w:rFonts w:ascii="Arial" w:cs="Arial" w:eastAsia="Arial" w:hAnsi="Arial"/>
                <w:sz w:val="17"/>
                <w:szCs w:val="17"/>
                <w:color w:val="auto"/>
              </w:rPr>
              <w:t>Other revenues</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90.0</w:t>
            </w:r>
          </w:p>
        </w:tc>
        <w:tc>
          <w:tcPr>
            <w:tcW w:w="240" w:type="dxa"/>
            <w:vAlign w:val="bottom"/>
            <w:gridSpan w:val="2"/>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41.6</w:t>
            </w:r>
          </w:p>
        </w:tc>
        <w:tc>
          <w:tcPr>
            <w:tcW w:w="100" w:type="dxa"/>
            <w:vAlign w:val="bottom"/>
            <w:shd w:val="clear" w:color="auto" w:fill="DDDDDD"/>
          </w:tcPr>
          <w:p>
            <w:pPr>
              <w:spacing w:after="0"/>
              <w:rPr>
                <w:sz w:val="22"/>
                <w:szCs w:val="22"/>
                <w:color w:val="auto"/>
              </w:rPr>
            </w:pP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1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48.8</w:t>
            </w:r>
          </w:p>
        </w:tc>
        <w:tc>
          <w:tcPr>
            <w:tcW w:w="100" w:type="dxa"/>
            <w:vAlign w:val="bottom"/>
            <w:shd w:val="clear" w:color="auto" w:fill="DDDDDD"/>
          </w:tcPr>
          <w:p>
            <w:pPr>
              <w:spacing w:after="0"/>
              <w:rPr>
                <w:sz w:val="22"/>
                <w:szCs w:val="22"/>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179.6</w:t>
            </w:r>
          </w:p>
        </w:tc>
        <w:tc>
          <w:tcPr>
            <w:tcW w:w="100" w:type="dxa"/>
            <w:vAlign w:val="bottom"/>
            <w:shd w:val="clear" w:color="auto" w:fill="DDDDDD"/>
          </w:tcPr>
          <w:p>
            <w:pPr>
              <w:spacing w:after="0"/>
              <w:rPr>
                <w:sz w:val="22"/>
                <w:szCs w:val="22"/>
                <w:color w:val="auto"/>
              </w:rPr>
            </w:pPr>
          </w:p>
        </w:tc>
        <w:tc>
          <w:tcPr>
            <w:tcW w:w="340" w:type="dxa"/>
            <w:vAlign w:val="bottom"/>
            <w:shd w:val="clear" w:color="auto" w:fill="DDDDDD"/>
          </w:tcPr>
          <w:p>
            <w:pPr>
              <w:jc w:val="right"/>
              <w:ind w:right="115"/>
              <w:spacing w:after="0"/>
              <w:rPr>
                <w:sz w:val="20"/>
                <w:szCs w:val="20"/>
                <w:color w:val="auto"/>
              </w:rPr>
            </w:pPr>
            <w:r>
              <w:rPr>
                <w:rFonts w:ascii="Arial" w:cs="Arial" w:eastAsia="Arial" w:hAnsi="Arial"/>
                <w:sz w:val="17"/>
                <w:szCs w:val="17"/>
                <w:color w:val="2573BA"/>
              </w:rPr>
              <w:t>$</w:t>
            </w:r>
          </w:p>
        </w:tc>
        <w:tc>
          <w:tcPr>
            <w:tcW w:w="10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360.0</w:t>
            </w:r>
          </w:p>
        </w:tc>
      </w:tr>
      <w:tr>
        <w:trPr>
          <w:trHeight w:val="256"/>
        </w:trPr>
        <w:tc>
          <w:tcPr>
            <w:tcW w:w="4120" w:type="dxa"/>
            <w:vAlign w:val="bottom"/>
          </w:tcPr>
          <w:p>
            <w:pPr>
              <w:ind w:left="20"/>
              <w:spacing w:after="0"/>
              <w:rPr>
                <w:sz w:val="20"/>
                <w:szCs w:val="20"/>
                <w:color w:val="auto"/>
              </w:rPr>
            </w:pPr>
            <w:r>
              <w:rPr>
                <w:rFonts w:ascii="Arial" w:cs="Arial" w:eastAsia="Arial" w:hAnsi="Arial"/>
                <w:sz w:val="17"/>
                <w:szCs w:val="17"/>
                <w:color w:val="auto"/>
              </w:rPr>
              <w:t>Total revenues</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2,810.7</w:t>
            </w:r>
          </w:p>
        </w:tc>
        <w:tc>
          <w:tcPr>
            <w:tcW w:w="120" w:type="dxa"/>
            <w:vAlign w:val="bottom"/>
            <w:shd w:val="clear" w:color="auto" w:fill="DDDDDD"/>
          </w:tcPr>
          <w:p>
            <w:pPr>
              <w:spacing w:after="0"/>
              <w:rPr>
                <w:sz w:val="22"/>
                <w:szCs w:val="22"/>
                <w:color w:val="auto"/>
              </w:rPr>
            </w:pPr>
          </w:p>
        </w:tc>
        <w:tc>
          <w:tcPr>
            <w:tcW w:w="1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3,078.4</w:t>
            </w:r>
          </w:p>
        </w:tc>
        <w:tc>
          <w:tcPr>
            <w:tcW w:w="100" w:type="dxa"/>
            <w:vAlign w:val="bottom"/>
            <w:shd w:val="clear" w:color="auto" w:fill="DDDDDD"/>
          </w:tcPr>
          <w:p>
            <w:pPr>
              <w:spacing w:after="0"/>
              <w:rPr>
                <w:sz w:val="22"/>
                <w:szCs w:val="22"/>
                <w:color w:val="auto"/>
              </w:rPr>
            </w:pP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1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3,077.8</w:t>
            </w:r>
          </w:p>
        </w:tc>
        <w:tc>
          <w:tcPr>
            <w:tcW w:w="100" w:type="dxa"/>
            <w:vAlign w:val="bottom"/>
            <w:shd w:val="clear" w:color="auto" w:fill="DDDDDD"/>
          </w:tcPr>
          <w:p>
            <w:pPr>
              <w:spacing w:after="0"/>
              <w:rPr>
                <w:sz w:val="22"/>
                <w:szCs w:val="22"/>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3,307.0</w:t>
            </w:r>
          </w:p>
        </w:tc>
        <w:tc>
          <w:tcPr>
            <w:tcW w:w="100" w:type="dxa"/>
            <w:vAlign w:val="bottom"/>
            <w:shd w:val="clear" w:color="auto" w:fill="DDDDDD"/>
          </w:tcPr>
          <w:p>
            <w:pPr>
              <w:spacing w:after="0"/>
              <w:rPr>
                <w:sz w:val="22"/>
                <w:szCs w:val="22"/>
                <w:color w:val="auto"/>
              </w:rPr>
            </w:pPr>
          </w:p>
        </w:tc>
        <w:tc>
          <w:tcPr>
            <w:tcW w:w="340" w:type="dxa"/>
            <w:vAlign w:val="bottom"/>
            <w:shd w:val="clear" w:color="auto" w:fill="DDDDDD"/>
          </w:tcPr>
          <w:p>
            <w:pPr>
              <w:jc w:val="right"/>
              <w:ind w:right="115"/>
              <w:spacing w:after="0"/>
              <w:rPr>
                <w:sz w:val="20"/>
                <w:szCs w:val="20"/>
                <w:color w:val="auto"/>
              </w:rPr>
            </w:pPr>
            <w:r>
              <w:rPr>
                <w:rFonts w:ascii="Arial" w:cs="Arial" w:eastAsia="Arial" w:hAnsi="Arial"/>
                <w:sz w:val="17"/>
                <w:szCs w:val="17"/>
                <w:color w:val="2573BA"/>
              </w:rPr>
              <w:t>$</w:t>
            </w:r>
          </w:p>
        </w:tc>
        <w:tc>
          <w:tcPr>
            <w:tcW w:w="10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12,273.9</w:t>
            </w:r>
          </w:p>
        </w:tc>
      </w:tr>
      <w:tr>
        <w:trPr>
          <w:trHeight w:val="256"/>
        </w:trPr>
        <w:tc>
          <w:tcPr>
            <w:tcW w:w="4120" w:type="dxa"/>
            <w:vAlign w:val="bottom"/>
          </w:tcPr>
          <w:p>
            <w:pPr>
              <w:ind w:left="20"/>
              <w:spacing w:after="0"/>
              <w:rPr>
                <w:sz w:val="20"/>
                <w:szCs w:val="20"/>
                <w:color w:val="auto"/>
              </w:rPr>
            </w:pPr>
            <w:r>
              <w:rPr>
                <w:rFonts w:ascii="Arial" w:cs="Arial" w:eastAsia="Arial" w:hAnsi="Arial"/>
                <w:sz w:val="17"/>
                <w:szCs w:val="17"/>
                <w:color w:val="auto"/>
              </w:rPr>
              <w:t>Gross profit (1)</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2,426.1</w:t>
            </w:r>
          </w:p>
        </w:tc>
        <w:tc>
          <w:tcPr>
            <w:tcW w:w="120" w:type="dxa"/>
            <w:vAlign w:val="bottom"/>
            <w:shd w:val="clear" w:color="auto" w:fill="DDDDDD"/>
          </w:tcPr>
          <w:p>
            <w:pPr>
              <w:spacing w:after="0"/>
              <w:rPr>
                <w:sz w:val="22"/>
                <w:szCs w:val="22"/>
                <w:color w:val="auto"/>
              </w:rPr>
            </w:pPr>
          </w:p>
        </w:tc>
        <w:tc>
          <w:tcPr>
            <w:tcW w:w="1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2,712.2</w:t>
            </w:r>
          </w:p>
        </w:tc>
        <w:tc>
          <w:tcPr>
            <w:tcW w:w="100" w:type="dxa"/>
            <w:vAlign w:val="bottom"/>
            <w:shd w:val="clear" w:color="auto" w:fill="DDDDDD"/>
          </w:tcPr>
          <w:p>
            <w:pPr>
              <w:spacing w:after="0"/>
              <w:rPr>
                <w:sz w:val="22"/>
                <w:szCs w:val="22"/>
                <w:color w:val="auto"/>
              </w:rPr>
            </w:pP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1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2,707.8</w:t>
            </w:r>
          </w:p>
        </w:tc>
        <w:tc>
          <w:tcPr>
            <w:tcW w:w="100" w:type="dxa"/>
            <w:vAlign w:val="bottom"/>
            <w:shd w:val="clear" w:color="auto" w:fill="DDDDDD"/>
          </w:tcPr>
          <w:p>
            <w:pPr>
              <w:spacing w:after="0"/>
              <w:rPr>
                <w:sz w:val="22"/>
                <w:szCs w:val="22"/>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2,797.8</w:t>
            </w:r>
          </w:p>
        </w:tc>
        <w:tc>
          <w:tcPr>
            <w:tcW w:w="100" w:type="dxa"/>
            <w:vAlign w:val="bottom"/>
            <w:shd w:val="clear" w:color="auto" w:fill="DDDDDD"/>
          </w:tcPr>
          <w:p>
            <w:pPr>
              <w:spacing w:after="0"/>
              <w:rPr>
                <w:sz w:val="22"/>
                <w:szCs w:val="22"/>
                <w:color w:val="auto"/>
              </w:rPr>
            </w:pPr>
          </w:p>
        </w:tc>
        <w:tc>
          <w:tcPr>
            <w:tcW w:w="340" w:type="dxa"/>
            <w:vAlign w:val="bottom"/>
            <w:shd w:val="clear" w:color="auto" w:fill="DDDDDD"/>
          </w:tcPr>
          <w:p>
            <w:pPr>
              <w:jc w:val="right"/>
              <w:ind w:right="115"/>
              <w:spacing w:after="0"/>
              <w:rPr>
                <w:sz w:val="20"/>
                <w:szCs w:val="20"/>
                <w:color w:val="auto"/>
              </w:rPr>
            </w:pPr>
            <w:r>
              <w:rPr>
                <w:rFonts w:ascii="Arial" w:cs="Arial" w:eastAsia="Arial" w:hAnsi="Arial"/>
                <w:sz w:val="17"/>
                <w:szCs w:val="17"/>
                <w:color w:val="2573BA"/>
              </w:rPr>
              <w:t>$</w:t>
            </w:r>
          </w:p>
        </w:tc>
        <w:tc>
          <w:tcPr>
            <w:tcW w:w="10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10,643.9</w:t>
            </w:r>
          </w:p>
        </w:tc>
      </w:tr>
      <w:tr>
        <w:trPr>
          <w:trHeight w:val="256"/>
        </w:trPr>
        <w:tc>
          <w:tcPr>
            <w:tcW w:w="412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747.5</w:t>
            </w:r>
          </w:p>
        </w:tc>
        <w:tc>
          <w:tcPr>
            <w:tcW w:w="120" w:type="dxa"/>
            <w:vAlign w:val="bottom"/>
            <w:shd w:val="clear" w:color="auto" w:fill="DDDDDD"/>
          </w:tcPr>
          <w:p>
            <w:pPr>
              <w:spacing w:after="0"/>
              <w:rPr>
                <w:sz w:val="22"/>
                <w:szCs w:val="22"/>
                <w:color w:val="auto"/>
              </w:rPr>
            </w:pPr>
          </w:p>
        </w:tc>
        <w:tc>
          <w:tcPr>
            <w:tcW w:w="1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862.8</w:t>
            </w:r>
          </w:p>
        </w:tc>
        <w:tc>
          <w:tcPr>
            <w:tcW w:w="100" w:type="dxa"/>
            <w:vAlign w:val="bottom"/>
            <w:shd w:val="clear" w:color="auto" w:fill="DDDDDD"/>
          </w:tcPr>
          <w:p>
            <w:pPr>
              <w:spacing w:after="0"/>
              <w:rPr>
                <w:sz w:val="22"/>
                <w:szCs w:val="22"/>
                <w:color w:val="auto"/>
              </w:rPr>
            </w:pP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1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1,226.1</w:t>
            </w:r>
          </w:p>
        </w:tc>
        <w:tc>
          <w:tcPr>
            <w:tcW w:w="100" w:type="dxa"/>
            <w:vAlign w:val="bottom"/>
            <w:shd w:val="clear" w:color="auto" w:fill="DDDDDD"/>
          </w:tcPr>
          <w:p>
            <w:pPr>
              <w:spacing w:after="0"/>
              <w:rPr>
                <w:sz w:val="22"/>
                <w:szCs w:val="22"/>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0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(166.3)</w:t>
            </w:r>
          </w:p>
        </w:tc>
        <w:tc>
          <w:tcPr>
            <w:tcW w:w="100" w:type="dxa"/>
            <w:vAlign w:val="bottom"/>
            <w:shd w:val="clear" w:color="auto" w:fill="DDDDDD"/>
          </w:tcPr>
          <w:p>
            <w:pPr>
              <w:spacing w:after="0"/>
              <w:rPr>
                <w:sz w:val="22"/>
                <w:szCs w:val="22"/>
                <w:color w:val="auto"/>
              </w:rPr>
            </w:pPr>
          </w:p>
        </w:tc>
        <w:tc>
          <w:tcPr>
            <w:tcW w:w="340" w:type="dxa"/>
            <w:vAlign w:val="bottom"/>
            <w:shd w:val="clear" w:color="auto" w:fill="DDDDDD"/>
          </w:tcPr>
          <w:p>
            <w:pPr>
              <w:jc w:val="right"/>
              <w:ind w:right="115"/>
              <w:spacing w:after="0"/>
              <w:rPr>
                <w:sz w:val="20"/>
                <w:szCs w:val="20"/>
                <w:color w:val="auto"/>
              </w:rPr>
            </w:pPr>
            <w:r>
              <w:rPr>
                <w:rFonts w:ascii="Arial" w:cs="Arial" w:eastAsia="Arial" w:hAnsi="Arial"/>
                <w:sz w:val="17"/>
                <w:szCs w:val="17"/>
                <w:color w:val="2573BA"/>
              </w:rPr>
              <w:t>$</w:t>
            </w:r>
          </w:p>
        </w:tc>
        <w:tc>
          <w:tcPr>
            <w:tcW w:w="10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2,670.1</w:t>
            </w:r>
          </w:p>
        </w:tc>
      </w:tr>
      <w:tr>
        <w:trPr>
          <w:trHeight w:val="256"/>
        </w:trPr>
        <w:tc>
          <w:tcPr>
            <w:tcW w:w="4120" w:type="dxa"/>
            <w:vAlign w:val="bottom"/>
          </w:tcPr>
          <w:p>
            <w:pPr>
              <w:ind w:left="20"/>
              <w:spacing w:after="0"/>
              <w:rPr>
                <w:sz w:val="20"/>
                <w:szCs w:val="20"/>
                <w:color w:val="auto"/>
              </w:rPr>
            </w:pPr>
            <w:r>
              <w:rPr>
                <w:rFonts w:ascii="Arial" w:cs="Arial" w:eastAsia="Arial" w:hAnsi="Arial"/>
                <w:sz w:val="17"/>
                <w:szCs w:val="17"/>
                <w:color w:val="auto"/>
              </w:rPr>
              <w:t>Net income attributable to Biogen Inc.</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747.6</w:t>
            </w:r>
          </w:p>
        </w:tc>
        <w:tc>
          <w:tcPr>
            <w:tcW w:w="120" w:type="dxa"/>
            <w:vAlign w:val="bottom"/>
            <w:shd w:val="clear" w:color="auto" w:fill="DDDDDD"/>
          </w:tcPr>
          <w:p>
            <w:pPr>
              <w:spacing w:after="0"/>
              <w:rPr>
                <w:sz w:val="22"/>
                <w:szCs w:val="22"/>
                <w:color w:val="auto"/>
              </w:rPr>
            </w:pPr>
          </w:p>
        </w:tc>
        <w:tc>
          <w:tcPr>
            <w:tcW w:w="1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862.8</w:t>
            </w:r>
          </w:p>
        </w:tc>
        <w:tc>
          <w:tcPr>
            <w:tcW w:w="100" w:type="dxa"/>
            <w:vAlign w:val="bottom"/>
            <w:shd w:val="clear" w:color="auto" w:fill="DDDDDD"/>
          </w:tcPr>
          <w:p>
            <w:pPr>
              <w:spacing w:after="0"/>
              <w:rPr>
                <w:sz w:val="22"/>
                <w:szCs w:val="22"/>
                <w:color w:val="auto"/>
              </w:rPr>
            </w:pP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1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1,226.1</w:t>
            </w:r>
          </w:p>
        </w:tc>
        <w:tc>
          <w:tcPr>
            <w:tcW w:w="100" w:type="dxa"/>
            <w:vAlign w:val="bottom"/>
            <w:shd w:val="clear" w:color="auto" w:fill="DDDDDD"/>
          </w:tcPr>
          <w:p>
            <w:pPr>
              <w:spacing w:after="0"/>
              <w:rPr>
                <w:sz w:val="22"/>
                <w:szCs w:val="22"/>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0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(297.4)</w:t>
            </w:r>
          </w:p>
        </w:tc>
        <w:tc>
          <w:tcPr>
            <w:tcW w:w="100" w:type="dxa"/>
            <w:vAlign w:val="bottom"/>
            <w:shd w:val="clear" w:color="auto" w:fill="DDDDDD"/>
          </w:tcPr>
          <w:p>
            <w:pPr>
              <w:spacing w:after="0"/>
              <w:rPr>
                <w:sz w:val="22"/>
                <w:szCs w:val="22"/>
                <w:color w:val="auto"/>
              </w:rPr>
            </w:pPr>
          </w:p>
        </w:tc>
        <w:tc>
          <w:tcPr>
            <w:tcW w:w="340" w:type="dxa"/>
            <w:vAlign w:val="bottom"/>
            <w:shd w:val="clear" w:color="auto" w:fill="DDDDDD"/>
          </w:tcPr>
          <w:p>
            <w:pPr>
              <w:jc w:val="right"/>
              <w:ind w:right="115"/>
              <w:spacing w:after="0"/>
              <w:rPr>
                <w:sz w:val="20"/>
                <w:szCs w:val="20"/>
                <w:color w:val="auto"/>
              </w:rPr>
            </w:pPr>
            <w:r>
              <w:rPr>
                <w:rFonts w:ascii="Arial" w:cs="Arial" w:eastAsia="Arial" w:hAnsi="Arial"/>
                <w:sz w:val="17"/>
                <w:szCs w:val="17"/>
                <w:color w:val="2573BA"/>
              </w:rPr>
              <w:t>$</w:t>
            </w:r>
          </w:p>
        </w:tc>
        <w:tc>
          <w:tcPr>
            <w:tcW w:w="10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2,539.1</w:t>
            </w:r>
          </w:p>
        </w:tc>
      </w:tr>
      <w:tr>
        <w:trPr>
          <w:trHeight w:val="243"/>
        </w:trPr>
        <w:tc>
          <w:tcPr>
            <w:tcW w:w="4120" w:type="dxa"/>
            <w:vAlign w:val="bottom"/>
          </w:tcPr>
          <w:p>
            <w:pPr>
              <w:ind w:left="20"/>
              <w:spacing w:after="0"/>
              <w:rPr>
                <w:sz w:val="20"/>
                <w:szCs w:val="20"/>
                <w:color w:val="auto"/>
              </w:rPr>
            </w:pPr>
            <w:r>
              <w:rPr>
                <w:rFonts w:ascii="Arial" w:cs="Arial" w:eastAsia="Arial" w:hAnsi="Arial"/>
                <w:sz w:val="17"/>
                <w:szCs w:val="17"/>
                <w:color w:val="auto"/>
              </w:rPr>
              <w:t>Net income per share:</w:t>
            </w:r>
          </w:p>
        </w:tc>
        <w:tc>
          <w:tcPr>
            <w:tcW w:w="140" w:type="dxa"/>
            <w:vAlign w:val="bottom"/>
            <w:shd w:val="clear" w:color="auto" w:fill="DDDDDD"/>
          </w:tcPr>
          <w:p>
            <w:pPr>
              <w:spacing w:after="0"/>
              <w:rPr>
                <w:sz w:val="21"/>
                <w:szCs w:val="21"/>
                <w:color w:val="auto"/>
              </w:rPr>
            </w:pPr>
          </w:p>
        </w:tc>
        <w:tc>
          <w:tcPr>
            <w:tcW w:w="124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124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280" w:type="dxa"/>
            <w:vAlign w:val="bottom"/>
            <w:shd w:val="clear" w:color="auto" w:fill="DDDDDD"/>
          </w:tcPr>
          <w:p>
            <w:pPr>
              <w:spacing w:after="0"/>
              <w:rPr>
                <w:sz w:val="21"/>
                <w:szCs w:val="21"/>
                <w:color w:val="auto"/>
              </w:rPr>
            </w:pPr>
          </w:p>
        </w:tc>
        <w:tc>
          <w:tcPr>
            <w:tcW w:w="110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160" w:type="dxa"/>
            <w:vAlign w:val="bottom"/>
            <w:shd w:val="clear" w:color="auto" w:fill="DDDDDD"/>
          </w:tcPr>
          <w:p>
            <w:pPr>
              <w:spacing w:after="0"/>
              <w:rPr>
                <w:sz w:val="21"/>
                <w:szCs w:val="21"/>
                <w:color w:val="auto"/>
              </w:rPr>
            </w:pPr>
          </w:p>
        </w:tc>
        <w:tc>
          <w:tcPr>
            <w:tcW w:w="120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340" w:type="dxa"/>
            <w:vAlign w:val="bottom"/>
            <w:shd w:val="clear" w:color="auto" w:fill="DDDDDD"/>
          </w:tcPr>
          <w:p>
            <w:pPr>
              <w:spacing w:after="0"/>
              <w:rPr>
                <w:sz w:val="21"/>
                <w:szCs w:val="21"/>
                <w:color w:val="auto"/>
              </w:rPr>
            </w:pPr>
          </w:p>
        </w:tc>
        <w:tc>
          <w:tcPr>
            <w:tcW w:w="1040" w:type="dxa"/>
            <w:vAlign w:val="bottom"/>
            <w:shd w:val="clear" w:color="auto" w:fill="DDDDDD"/>
          </w:tcPr>
          <w:p>
            <w:pPr>
              <w:spacing w:after="0"/>
              <w:rPr>
                <w:sz w:val="21"/>
                <w:szCs w:val="21"/>
                <w:color w:val="auto"/>
              </w:rPr>
            </w:pPr>
          </w:p>
        </w:tc>
      </w:tr>
      <w:tr>
        <w:trPr>
          <w:trHeight w:val="269"/>
        </w:trPr>
        <w:tc>
          <w:tcPr>
            <w:tcW w:w="4120" w:type="dxa"/>
            <w:vAlign w:val="bottom"/>
          </w:tcPr>
          <w:p>
            <w:pPr>
              <w:ind w:left="160"/>
              <w:spacing w:after="0"/>
              <w:rPr>
                <w:sz w:val="20"/>
                <w:szCs w:val="20"/>
                <w:color w:val="auto"/>
              </w:rPr>
            </w:pPr>
            <w:r>
              <w:rPr>
                <w:rFonts w:ascii="Arial" w:cs="Arial" w:eastAsia="Arial" w:hAnsi="Arial"/>
                <w:sz w:val="17"/>
                <w:szCs w:val="17"/>
                <w:color w:val="auto"/>
              </w:rPr>
              <w:t>Basic earnings per share attributable to Biogen Inc.</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3.47</w:t>
            </w:r>
          </w:p>
        </w:tc>
        <w:tc>
          <w:tcPr>
            <w:tcW w:w="120" w:type="dxa"/>
            <w:vAlign w:val="bottom"/>
            <w:shd w:val="clear" w:color="auto" w:fill="DDDDDD"/>
          </w:tcPr>
          <w:p>
            <w:pPr>
              <w:spacing w:after="0"/>
              <w:rPr>
                <w:sz w:val="23"/>
                <w:szCs w:val="23"/>
                <w:color w:val="auto"/>
              </w:rPr>
            </w:pPr>
          </w:p>
        </w:tc>
        <w:tc>
          <w:tcPr>
            <w:tcW w:w="1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4.07</w:t>
            </w:r>
          </w:p>
        </w:tc>
        <w:tc>
          <w:tcPr>
            <w:tcW w:w="100" w:type="dxa"/>
            <w:vAlign w:val="bottom"/>
            <w:shd w:val="clear" w:color="auto" w:fill="DDDDDD"/>
          </w:tcPr>
          <w:p>
            <w:pPr>
              <w:spacing w:after="0"/>
              <w:rPr>
                <w:sz w:val="23"/>
                <w:szCs w:val="23"/>
                <w:color w:val="auto"/>
              </w:rPr>
            </w:pP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1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5.80</w:t>
            </w:r>
          </w:p>
        </w:tc>
        <w:tc>
          <w:tcPr>
            <w:tcW w:w="100" w:type="dxa"/>
            <w:vAlign w:val="bottom"/>
            <w:shd w:val="clear" w:color="auto" w:fill="DDDDDD"/>
          </w:tcPr>
          <w:p>
            <w:pPr>
              <w:spacing w:after="0"/>
              <w:rPr>
                <w:sz w:val="23"/>
                <w:szCs w:val="23"/>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0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(1.41)</w:t>
            </w:r>
          </w:p>
        </w:tc>
        <w:tc>
          <w:tcPr>
            <w:tcW w:w="100" w:type="dxa"/>
            <w:vAlign w:val="bottom"/>
            <w:shd w:val="clear" w:color="auto" w:fill="DDDDDD"/>
          </w:tcPr>
          <w:p>
            <w:pPr>
              <w:spacing w:after="0"/>
              <w:rPr>
                <w:sz w:val="23"/>
                <w:szCs w:val="23"/>
                <w:color w:val="auto"/>
              </w:rPr>
            </w:pPr>
          </w:p>
        </w:tc>
        <w:tc>
          <w:tcPr>
            <w:tcW w:w="340" w:type="dxa"/>
            <w:vAlign w:val="bottom"/>
            <w:shd w:val="clear" w:color="auto" w:fill="DDDDDD"/>
          </w:tcPr>
          <w:p>
            <w:pPr>
              <w:jc w:val="right"/>
              <w:ind w:right="115"/>
              <w:spacing w:after="0"/>
              <w:rPr>
                <w:sz w:val="20"/>
                <w:szCs w:val="20"/>
                <w:color w:val="auto"/>
              </w:rPr>
            </w:pPr>
            <w:r>
              <w:rPr>
                <w:rFonts w:ascii="Arial" w:cs="Arial" w:eastAsia="Arial" w:hAnsi="Arial"/>
                <w:sz w:val="17"/>
                <w:szCs w:val="17"/>
                <w:color w:val="2573BA"/>
              </w:rPr>
              <w:t>$</w:t>
            </w:r>
          </w:p>
        </w:tc>
        <w:tc>
          <w:tcPr>
            <w:tcW w:w="10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11.94</w:t>
            </w:r>
          </w:p>
        </w:tc>
      </w:tr>
      <w:tr>
        <w:trPr>
          <w:trHeight w:val="231"/>
        </w:trPr>
        <w:tc>
          <w:tcPr>
            <w:tcW w:w="4120" w:type="dxa"/>
            <w:vAlign w:val="bottom"/>
          </w:tcPr>
          <w:p>
            <w:pPr>
              <w:ind w:left="160"/>
              <w:spacing w:after="0"/>
              <w:rPr>
                <w:sz w:val="20"/>
                <w:szCs w:val="20"/>
                <w:color w:val="auto"/>
              </w:rPr>
            </w:pPr>
            <w:r>
              <w:rPr>
                <w:rFonts w:ascii="Arial" w:cs="Arial" w:eastAsia="Arial" w:hAnsi="Arial"/>
                <w:sz w:val="17"/>
                <w:szCs w:val="17"/>
                <w:color w:val="auto"/>
              </w:rPr>
              <w:t>Diluted earnings per share attributable to Biogen</w:t>
            </w:r>
          </w:p>
        </w:tc>
        <w:tc>
          <w:tcPr>
            <w:tcW w:w="140" w:type="dxa"/>
            <w:vAlign w:val="bottom"/>
            <w:shd w:val="clear" w:color="auto" w:fill="DDDDDD"/>
          </w:tcPr>
          <w:p>
            <w:pPr>
              <w:spacing w:after="0"/>
              <w:rPr>
                <w:sz w:val="20"/>
                <w:szCs w:val="20"/>
                <w:color w:val="auto"/>
              </w:rPr>
            </w:pPr>
          </w:p>
        </w:tc>
        <w:tc>
          <w:tcPr>
            <w:tcW w:w="124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12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80" w:type="dxa"/>
            <w:vAlign w:val="bottom"/>
            <w:shd w:val="clear" w:color="auto" w:fill="DDDDDD"/>
          </w:tcPr>
          <w:p>
            <w:pPr>
              <w:spacing w:after="0"/>
              <w:rPr>
                <w:sz w:val="20"/>
                <w:szCs w:val="20"/>
                <w:color w:val="auto"/>
              </w:rPr>
            </w:pPr>
          </w:p>
        </w:tc>
        <w:tc>
          <w:tcPr>
            <w:tcW w:w="11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2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340" w:type="dxa"/>
            <w:vAlign w:val="bottom"/>
            <w:shd w:val="clear" w:color="auto" w:fill="DDDDDD"/>
          </w:tcPr>
          <w:p>
            <w:pPr>
              <w:spacing w:after="0"/>
              <w:rPr>
                <w:sz w:val="20"/>
                <w:szCs w:val="20"/>
                <w:color w:val="auto"/>
              </w:rPr>
            </w:pPr>
          </w:p>
        </w:tc>
        <w:tc>
          <w:tcPr>
            <w:tcW w:w="1040" w:type="dxa"/>
            <w:vAlign w:val="bottom"/>
            <w:shd w:val="clear" w:color="auto" w:fill="DDDDDD"/>
          </w:tcPr>
          <w:p>
            <w:pPr>
              <w:spacing w:after="0"/>
              <w:rPr>
                <w:sz w:val="20"/>
                <w:szCs w:val="20"/>
                <w:color w:val="auto"/>
              </w:rPr>
            </w:pPr>
          </w:p>
        </w:tc>
      </w:tr>
      <w:tr>
        <w:trPr>
          <w:trHeight w:val="204"/>
        </w:trPr>
        <w:tc>
          <w:tcPr>
            <w:tcW w:w="4120" w:type="dxa"/>
            <w:vAlign w:val="bottom"/>
          </w:tcPr>
          <w:p>
            <w:pPr>
              <w:ind w:left="160"/>
              <w:spacing w:after="0"/>
              <w:rPr>
                <w:sz w:val="20"/>
                <w:szCs w:val="20"/>
                <w:color w:val="auto"/>
              </w:rPr>
            </w:pPr>
            <w:r>
              <w:rPr>
                <w:rFonts w:ascii="Arial" w:cs="Arial" w:eastAsia="Arial" w:hAnsi="Arial"/>
                <w:sz w:val="17"/>
                <w:szCs w:val="17"/>
                <w:color w:val="auto"/>
              </w:rPr>
              <w:t>Inc.</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3.46</w:t>
            </w:r>
          </w:p>
        </w:tc>
        <w:tc>
          <w:tcPr>
            <w:tcW w:w="120" w:type="dxa"/>
            <w:vAlign w:val="bottom"/>
            <w:shd w:val="clear" w:color="auto" w:fill="DDDDDD"/>
          </w:tcPr>
          <w:p>
            <w:pPr>
              <w:spacing w:after="0"/>
              <w:rPr>
                <w:sz w:val="17"/>
                <w:szCs w:val="17"/>
                <w:color w:val="auto"/>
              </w:rPr>
            </w:pPr>
          </w:p>
        </w:tc>
        <w:tc>
          <w:tcPr>
            <w:tcW w:w="1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4.07</w:t>
            </w:r>
          </w:p>
        </w:tc>
        <w:tc>
          <w:tcPr>
            <w:tcW w:w="100" w:type="dxa"/>
            <w:vAlign w:val="bottom"/>
            <w:shd w:val="clear" w:color="auto" w:fill="DDDDDD"/>
          </w:tcPr>
          <w:p>
            <w:pPr>
              <w:spacing w:after="0"/>
              <w:rPr>
                <w:sz w:val="17"/>
                <w:szCs w:val="17"/>
                <w:color w:val="auto"/>
              </w:rPr>
            </w:pP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1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5.79</w:t>
            </w:r>
          </w:p>
        </w:tc>
        <w:tc>
          <w:tcPr>
            <w:tcW w:w="100" w:type="dxa"/>
            <w:vAlign w:val="bottom"/>
            <w:shd w:val="clear" w:color="auto" w:fill="DDDDDD"/>
          </w:tcPr>
          <w:p>
            <w:pPr>
              <w:spacing w:after="0"/>
              <w:rPr>
                <w:sz w:val="17"/>
                <w:szCs w:val="17"/>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0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(1.40)</w:t>
            </w:r>
          </w:p>
        </w:tc>
        <w:tc>
          <w:tcPr>
            <w:tcW w:w="100" w:type="dxa"/>
            <w:vAlign w:val="bottom"/>
            <w:shd w:val="clear" w:color="auto" w:fill="DDDDDD"/>
          </w:tcPr>
          <w:p>
            <w:pPr>
              <w:spacing w:after="0"/>
              <w:rPr>
                <w:sz w:val="17"/>
                <w:szCs w:val="17"/>
                <w:color w:val="auto"/>
              </w:rPr>
            </w:pPr>
          </w:p>
        </w:tc>
        <w:tc>
          <w:tcPr>
            <w:tcW w:w="340" w:type="dxa"/>
            <w:vAlign w:val="bottom"/>
            <w:shd w:val="clear" w:color="auto" w:fill="DDDDDD"/>
          </w:tcPr>
          <w:p>
            <w:pPr>
              <w:jc w:val="right"/>
              <w:ind w:right="115"/>
              <w:spacing w:after="0"/>
              <w:rPr>
                <w:sz w:val="20"/>
                <w:szCs w:val="20"/>
                <w:color w:val="auto"/>
              </w:rPr>
            </w:pPr>
            <w:r>
              <w:rPr>
                <w:rFonts w:ascii="Arial" w:cs="Arial" w:eastAsia="Arial" w:hAnsi="Arial"/>
                <w:sz w:val="17"/>
                <w:szCs w:val="17"/>
                <w:color w:val="2573BA"/>
              </w:rPr>
              <w:t>$</w:t>
            </w:r>
          </w:p>
        </w:tc>
        <w:tc>
          <w:tcPr>
            <w:tcW w:w="10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11.92</w:t>
            </w:r>
          </w:p>
        </w:tc>
      </w:tr>
      <w:tr>
        <w:trPr>
          <w:trHeight w:val="243"/>
        </w:trPr>
        <w:tc>
          <w:tcPr>
            <w:tcW w:w="4120" w:type="dxa"/>
            <w:vAlign w:val="bottom"/>
          </w:tcPr>
          <w:p>
            <w:pPr>
              <w:ind w:left="20"/>
              <w:spacing w:after="0"/>
              <w:rPr>
                <w:sz w:val="20"/>
                <w:szCs w:val="20"/>
                <w:color w:val="auto"/>
              </w:rPr>
            </w:pPr>
            <w:r>
              <w:rPr>
                <w:rFonts w:ascii="Arial" w:cs="Arial" w:eastAsia="Arial" w:hAnsi="Arial"/>
                <w:sz w:val="17"/>
                <w:szCs w:val="17"/>
                <w:color w:val="auto"/>
              </w:rPr>
              <w:t>Weighted-average shares used in calculating:</w:t>
            </w:r>
          </w:p>
        </w:tc>
        <w:tc>
          <w:tcPr>
            <w:tcW w:w="140" w:type="dxa"/>
            <w:vAlign w:val="bottom"/>
            <w:shd w:val="clear" w:color="auto" w:fill="DDDDDD"/>
          </w:tcPr>
          <w:p>
            <w:pPr>
              <w:spacing w:after="0"/>
              <w:rPr>
                <w:sz w:val="21"/>
                <w:szCs w:val="21"/>
                <w:color w:val="auto"/>
              </w:rPr>
            </w:pPr>
          </w:p>
        </w:tc>
        <w:tc>
          <w:tcPr>
            <w:tcW w:w="124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124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280" w:type="dxa"/>
            <w:vAlign w:val="bottom"/>
            <w:shd w:val="clear" w:color="auto" w:fill="DDDDDD"/>
          </w:tcPr>
          <w:p>
            <w:pPr>
              <w:spacing w:after="0"/>
              <w:rPr>
                <w:sz w:val="21"/>
                <w:szCs w:val="21"/>
                <w:color w:val="auto"/>
              </w:rPr>
            </w:pPr>
          </w:p>
        </w:tc>
        <w:tc>
          <w:tcPr>
            <w:tcW w:w="110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160" w:type="dxa"/>
            <w:vAlign w:val="bottom"/>
            <w:shd w:val="clear" w:color="auto" w:fill="DDDDDD"/>
          </w:tcPr>
          <w:p>
            <w:pPr>
              <w:spacing w:after="0"/>
              <w:rPr>
                <w:sz w:val="21"/>
                <w:szCs w:val="21"/>
                <w:color w:val="auto"/>
              </w:rPr>
            </w:pPr>
          </w:p>
        </w:tc>
        <w:tc>
          <w:tcPr>
            <w:tcW w:w="120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340" w:type="dxa"/>
            <w:vAlign w:val="bottom"/>
            <w:shd w:val="clear" w:color="auto" w:fill="DDDDDD"/>
          </w:tcPr>
          <w:p>
            <w:pPr>
              <w:spacing w:after="0"/>
              <w:rPr>
                <w:sz w:val="21"/>
                <w:szCs w:val="21"/>
                <w:color w:val="auto"/>
              </w:rPr>
            </w:pPr>
          </w:p>
        </w:tc>
        <w:tc>
          <w:tcPr>
            <w:tcW w:w="1040" w:type="dxa"/>
            <w:vAlign w:val="bottom"/>
            <w:shd w:val="clear" w:color="auto" w:fill="DDDDDD"/>
          </w:tcPr>
          <w:p>
            <w:pPr>
              <w:spacing w:after="0"/>
              <w:rPr>
                <w:sz w:val="21"/>
                <w:szCs w:val="21"/>
                <w:color w:val="auto"/>
              </w:rPr>
            </w:pPr>
          </w:p>
        </w:tc>
      </w:tr>
      <w:tr>
        <w:trPr>
          <w:trHeight w:val="269"/>
        </w:trPr>
        <w:tc>
          <w:tcPr>
            <w:tcW w:w="4120" w:type="dxa"/>
            <w:vAlign w:val="bottom"/>
          </w:tcPr>
          <w:p>
            <w:pPr>
              <w:ind w:left="160"/>
              <w:spacing w:after="0"/>
              <w:rPr>
                <w:sz w:val="20"/>
                <w:szCs w:val="20"/>
                <w:color w:val="auto"/>
              </w:rPr>
            </w:pPr>
            <w:r>
              <w:rPr>
                <w:rFonts w:ascii="Arial" w:cs="Arial" w:eastAsia="Arial" w:hAnsi="Arial"/>
                <w:sz w:val="17"/>
                <w:szCs w:val="17"/>
                <w:color w:val="auto"/>
              </w:rPr>
              <w:t>Basic earnings per share attributable to Biogen Inc.</w:t>
            </w:r>
          </w:p>
        </w:tc>
        <w:tc>
          <w:tcPr>
            <w:tcW w:w="140" w:type="dxa"/>
            <w:vAlign w:val="bottom"/>
            <w:shd w:val="clear" w:color="auto" w:fill="DDDDDD"/>
          </w:tcPr>
          <w:p>
            <w:pPr>
              <w:spacing w:after="0"/>
              <w:rPr>
                <w:sz w:val="23"/>
                <w:szCs w:val="23"/>
                <w:color w:val="auto"/>
              </w:rPr>
            </w:pPr>
          </w:p>
        </w:tc>
        <w:tc>
          <w:tcPr>
            <w:tcW w:w="124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215.6</w:t>
            </w:r>
          </w:p>
        </w:tc>
        <w:tc>
          <w:tcPr>
            <w:tcW w:w="120" w:type="dxa"/>
            <w:vAlign w:val="bottom"/>
            <w:shd w:val="clear" w:color="auto" w:fill="DDDDDD"/>
          </w:tcPr>
          <w:p>
            <w:pPr>
              <w:spacing w:after="0"/>
              <w:rPr>
                <w:sz w:val="23"/>
                <w:szCs w:val="23"/>
                <w:color w:val="auto"/>
              </w:rPr>
            </w:pPr>
          </w:p>
        </w:tc>
        <w:tc>
          <w:tcPr>
            <w:tcW w:w="120" w:type="dxa"/>
            <w:vAlign w:val="bottom"/>
            <w:shd w:val="clear" w:color="auto" w:fill="DDDDDD"/>
          </w:tcPr>
          <w:p>
            <w:pPr>
              <w:spacing w:after="0"/>
              <w:rPr>
                <w:sz w:val="23"/>
                <w:szCs w:val="23"/>
                <w:color w:val="auto"/>
              </w:rPr>
            </w:pPr>
          </w:p>
        </w:tc>
        <w:tc>
          <w:tcPr>
            <w:tcW w:w="124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211.9</w:t>
            </w:r>
          </w:p>
        </w:tc>
        <w:tc>
          <w:tcPr>
            <w:tcW w:w="100" w:type="dxa"/>
            <w:vAlign w:val="bottom"/>
            <w:shd w:val="clear" w:color="auto" w:fill="DDDDDD"/>
          </w:tcPr>
          <w:p>
            <w:pPr>
              <w:spacing w:after="0"/>
              <w:rPr>
                <w:sz w:val="23"/>
                <w:szCs w:val="23"/>
                <w:color w:val="auto"/>
              </w:rPr>
            </w:pPr>
          </w:p>
        </w:tc>
        <w:tc>
          <w:tcPr>
            <w:tcW w:w="280" w:type="dxa"/>
            <w:vAlign w:val="bottom"/>
            <w:shd w:val="clear" w:color="auto" w:fill="DDDDDD"/>
          </w:tcPr>
          <w:p>
            <w:pPr>
              <w:spacing w:after="0"/>
              <w:rPr>
                <w:sz w:val="23"/>
                <w:szCs w:val="23"/>
                <w:color w:val="auto"/>
              </w:rPr>
            </w:pPr>
          </w:p>
        </w:tc>
        <w:tc>
          <w:tcPr>
            <w:tcW w:w="11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211.4</w:t>
            </w:r>
          </w:p>
        </w:tc>
        <w:tc>
          <w:tcPr>
            <w:tcW w:w="100" w:type="dxa"/>
            <w:vAlign w:val="bottom"/>
            <w:shd w:val="clear" w:color="auto" w:fill="DDDDDD"/>
          </w:tcPr>
          <w:p>
            <w:pPr>
              <w:spacing w:after="0"/>
              <w:rPr>
                <w:sz w:val="23"/>
                <w:szCs w:val="23"/>
                <w:color w:val="auto"/>
              </w:rPr>
            </w:pPr>
          </w:p>
        </w:tc>
        <w:tc>
          <w:tcPr>
            <w:tcW w:w="160" w:type="dxa"/>
            <w:vAlign w:val="bottom"/>
            <w:shd w:val="clear" w:color="auto" w:fill="DDDDDD"/>
          </w:tcPr>
          <w:p>
            <w:pPr>
              <w:spacing w:after="0"/>
              <w:rPr>
                <w:sz w:val="23"/>
                <w:szCs w:val="23"/>
                <w:color w:val="auto"/>
              </w:rPr>
            </w:pPr>
          </w:p>
        </w:tc>
        <w:tc>
          <w:tcPr>
            <w:tcW w:w="12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211.5</w:t>
            </w:r>
          </w:p>
        </w:tc>
        <w:tc>
          <w:tcPr>
            <w:tcW w:w="100" w:type="dxa"/>
            <w:vAlign w:val="bottom"/>
            <w:shd w:val="clear" w:color="auto" w:fill="DDDDDD"/>
          </w:tcPr>
          <w:p>
            <w:pPr>
              <w:spacing w:after="0"/>
              <w:rPr>
                <w:sz w:val="23"/>
                <w:szCs w:val="23"/>
                <w:color w:val="auto"/>
              </w:rPr>
            </w:pPr>
          </w:p>
        </w:tc>
        <w:tc>
          <w:tcPr>
            <w:tcW w:w="340" w:type="dxa"/>
            <w:vAlign w:val="bottom"/>
            <w:shd w:val="clear" w:color="auto" w:fill="DDDDDD"/>
          </w:tcPr>
          <w:p>
            <w:pPr>
              <w:spacing w:after="0"/>
              <w:rPr>
                <w:sz w:val="23"/>
                <w:szCs w:val="23"/>
                <w:color w:val="auto"/>
              </w:rPr>
            </w:pPr>
          </w:p>
        </w:tc>
        <w:tc>
          <w:tcPr>
            <w:tcW w:w="10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212.6</w:t>
            </w:r>
          </w:p>
        </w:tc>
      </w:tr>
      <w:tr>
        <w:trPr>
          <w:trHeight w:val="231"/>
        </w:trPr>
        <w:tc>
          <w:tcPr>
            <w:tcW w:w="4120" w:type="dxa"/>
            <w:vAlign w:val="bottom"/>
          </w:tcPr>
          <w:p>
            <w:pPr>
              <w:ind w:left="160"/>
              <w:spacing w:after="0"/>
              <w:rPr>
                <w:sz w:val="20"/>
                <w:szCs w:val="20"/>
                <w:color w:val="auto"/>
              </w:rPr>
            </w:pPr>
            <w:r>
              <w:rPr>
                <w:rFonts w:ascii="Arial" w:cs="Arial" w:eastAsia="Arial" w:hAnsi="Arial"/>
                <w:sz w:val="17"/>
                <w:szCs w:val="17"/>
                <w:color w:val="auto"/>
              </w:rPr>
              <w:t>Diluted earnings per share attributable to Biogen</w:t>
            </w:r>
          </w:p>
        </w:tc>
        <w:tc>
          <w:tcPr>
            <w:tcW w:w="140" w:type="dxa"/>
            <w:vAlign w:val="bottom"/>
            <w:shd w:val="clear" w:color="auto" w:fill="DDDDDD"/>
          </w:tcPr>
          <w:p>
            <w:pPr>
              <w:spacing w:after="0"/>
              <w:rPr>
                <w:sz w:val="20"/>
                <w:szCs w:val="20"/>
                <w:color w:val="auto"/>
              </w:rPr>
            </w:pPr>
          </w:p>
        </w:tc>
        <w:tc>
          <w:tcPr>
            <w:tcW w:w="124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12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80" w:type="dxa"/>
            <w:vAlign w:val="bottom"/>
            <w:shd w:val="clear" w:color="auto" w:fill="DDDDDD"/>
          </w:tcPr>
          <w:p>
            <w:pPr>
              <w:spacing w:after="0"/>
              <w:rPr>
                <w:sz w:val="20"/>
                <w:szCs w:val="20"/>
                <w:color w:val="auto"/>
              </w:rPr>
            </w:pPr>
          </w:p>
        </w:tc>
        <w:tc>
          <w:tcPr>
            <w:tcW w:w="11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2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340" w:type="dxa"/>
            <w:vAlign w:val="bottom"/>
            <w:shd w:val="clear" w:color="auto" w:fill="DDDDDD"/>
          </w:tcPr>
          <w:p>
            <w:pPr>
              <w:spacing w:after="0"/>
              <w:rPr>
                <w:sz w:val="20"/>
                <w:szCs w:val="20"/>
                <w:color w:val="auto"/>
              </w:rPr>
            </w:pPr>
          </w:p>
        </w:tc>
        <w:tc>
          <w:tcPr>
            <w:tcW w:w="1040" w:type="dxa"/>
            <w:vAlign w:val="bottom"/>
            <w:shd w:val="clear" w:color="auto" w:fill="DDDDDD"/>
          </w:tcPr>
          <w:p>
            <w:pPr>
              <w:spacing w:after="0"/>
              <w:rPr>
                <w:sz w:val="20"/>
                <w:szCs w:val="20"/>
                <w:color w:val="auto"/>
              </w:rPr>
            </w:pPr>
          </w:p>
        </w:tc>
      </w:tr>
      <w:tr>
        <w:trPr>
          <w:trHeight w:val="219"/>
        </w:trPr>
        <w:tc>
          <w:tcPr>
            <w:tcW w:w="4120" w:type="dxa"/>
            <w:vAlign w:val="bottom"/>
          </w:tcPr>
          <w:p>
            <w:pPr>
              <w:ind w:left="160"/>
              <w:spacing w:after="0"/>
              <w:rPr>
                <w:sz w:val="20"/>
                <w:szCs w:val="20"/>
                <w:color w:val="auto"/>
              </w:rPr>
            </w:pPr>
            <w:r>
              <w:rPr>
                <w:rFonts w:ascii="Arial" w:cs="Arial" w:eastAsia="Arial" w:hAnsi="Arial"/>
                <w:sz w:val="17"/>
                <w:szCs w:val="17"/>
                <w:color w:val="auto"/>
              </w:rPr>
              <w:t>Inc.</w:t>
            </w:r>
          </w:p>
        </w:tc>
        <w:tc>
          <w:tcPr>
            <w:tcW w:w="140" w:type="dxa"/>
            <w:vAlign w:val="bottom"/>
            <w:shd w:val="clear" w:color="auto" w:fill="DDDDDD"/>
          </w:tcPr>
          <w:p>
            <w:pPr>
              <w:spacing w:after="0"/>
              <w:rPr>
                <w:sz w:val="19"/>
                <w:szCs w:val="19"/>
                <w:color w:val="auto"/>
              </w:rPr>
            </w:pPr>
          </w:p>
        </w:tc>
        <w:tc>
          <w:tcPr>
            <w:tcW w:w="124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215.9</w:t>
            </w:r>
          </w:p>
        </w:tc>
        <w:tc>
          <w:tcPr>
            <w:tcW w:w="12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24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212.2</w:t>
            </w:r>
          </w:p>
        </w:tc>
        <w:tc>
          <w:tcPr>
            <w:tcW w:w="10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1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211.8</w:t>
            </w:r>
          </w:p>
        </w:tc>
        <w:tc>
          <w:tcPr>
            <w:tcW w:w="10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12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212.0</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0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213.0</w:t>
            </w:r>
          </w:p>
        </w:tc>
      </w:tr>
      <w:tr>
        <w:trPr>
          <w:trHeight w:val="434"/>
        </w:trPr>
        <w:tc>
          <w:tcPr>
            <w:tcW w:w="4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80" w:type="dxa"/>
            <w:vAlign w:val="bottom"/>
            <w:gridSpan w:val="4"/>
          </w:tcPr>
          <w:p>
            <w:pPr>
              <w:ind w:left="20"/>
              <w:spacing w:after="0"/>
              <w:rPr>
                <w:sz w:val="20"/>
                <w:szCs w:val="20"/>
                <w:color w:val="auto"/>
              </w:rPr>
            </w:pPr>
            <w:r>
              <w:rPr>
                <w:rFonts w:ascii="Arial" w:cs="Arial" w:eastAsia="Arial" w:hAnsi="Arial"/>
                <w:sz w:val="17"/>
                <w:szCs w:val="17"/>
                <w:color w:val="auto"/>
              </w:rPr>
              <w:t>F- 74</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00"/>
          </w:cols>
          <w:pgMar w:left="240" w:top="139" w:right="259" w:bottom="1440" w:gutter="0" w:footer="0" w:header="0"/>
        </w:sectPr>
      </w:pPr>
    </w:p>
    <w:bookmarkStart w:id="176" w:name="page177"/>
    <w:bookmarkEnd w:id="17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260"/>
              <w:spacing w:after="0"/>
              <w:rPr>
                <w:sz w:val="20"/>
                <w:szCs w:val="20"/>
                <w:color w:val="auto"/>
              </w:rPr>
            </w:pPr>
            <w:r>
              <w:rPr>
                <w:rFonts w:ascii="Arial" w:cs="Arial" w:eastAsia="Arial" w:hAnsi="Arial"/>
                <w:sz w:val="14"/>
                <w:szCs w:val="14"/>
                <w:b w:val="1"/>
                <w:bCs w:val="1"/>
                <w:color w:val="auto"/>
              </w:rPr>
              <w:t>First</w:t>
            </w:r>
          </w:p>
        </w:tc>
        <w:tc>
          <w:tcPr>
            <w:tcW w:w="28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Second</w:t>
            </w:r>
          </w:p>
        </w:tc>
        <w:tc>
          <w:tcPr>
            <w:tcW w:w="28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Third</w:t>
            </w:r>
          </w:p>
        </w:tc>
        <w:tc>
          <w:tcPr>
            <w:tcW w:w="280" w:type="dxa"/>
            <w:vAlign w:val="bottom"/>
          </w:tcPr>
          <w:p>
            <w:pPr>
              <w:spacing w:after="0"/>
              <w:rPr>
                <w:sz w:val="14"/>
                <w:szCs w:val="14"/>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Fourth</w:t>
            </w:r>
          </w:p>
        </w:tc>
        <w:tc>
          <w:tcPr>
            <w:tcW w:w="340" w:type="dxa"/>
            <w:vAlign w:val="bottom"/>
          </w:tcPr>
          <w:p>
            <w:pPr>
              <w:spacing w:after="0"/>
              <w:rPr>
                <w:sz w:val="14"/>
                <w:szCs w:val="14"/>
                <w:color w:val="auto"/>
              </w:rPr>
            </w:pPr>
          </w:p>
        </w:tc>
        <w:tc>
          <w:tcPr>
            <w:tcW w:w="1040" w:type="dxa"/>
            <w:vAlign w:val="bottom"/>
          </w:tcPr>
          <w:p>
            <w:pPr>
              <w:jc w:val="right"/>
              <w:ind w:right="437"/>
              <w:spacing w:after="0"/>
              <w:rPr>
                <w:sz w:val="20"/>
                <w:szCs w:val="20"/>
                <w:color w:val="auto"/>
              </w:rPr>
            </w:pPr>
            <w:r>
              <w:rPr>
                <w:rFonts w:ascii="Arial" w:cs="Arial" w:eastAsia="Arial" w:hAnsi="Arial"/>
                <w:sz w:val="14"/>
                <w:szCs w:val="14"/>
                <w:b w:val="1"/>
                <w:bCs w:val="1"/>
                <w:color w:val="auto"/>
              </w:rPr>
              <w:t>Total</w:t>
            </w:r>
          </w:p>
        </w:tc>
      </w:tr>
      <w:tr>
        <w:trPr>
          <w:trHeight w:val="185"/>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4"/>
              </w:rPr>
              <w:t>Quarter</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Year</w:t>
            </w:r>
          </w:p>
        </w:tc>
      </w:tr>
      <w:tr>
        <w:trPr>
          <w:trHeight w:val="243"/>
        </w:trPr>
        <w:tc>
          <w:tcPr>
            <w:tcW w:w="4080" w:type="dxa"/>
            <w:vAlign w:val="bottom"/>
          </w:tcPr>
          <w:p>
            <w:pPr>
              <w:ind w:left="20"/>
              <w:spacing w:after="0"/>
              <w:rPr>
                <w:sz w:val="20"/>
                <w:szCs w:val="20"/>
                <w:color w:val="auto"/>
              </w:rPr>
            </w:pPr>
            <w:r>
              <w:rPr>
                <w:rFonts w:ascii="Arial" w:cs="Arial" w:eastAsia="Arial" w:hAnsi="Arial"/>
                <w:sz w:val="17"/>
                <w:szCs w:val="17"/>
                <w:b w:val="1"/>
                <w:bCs w:val="1"/>
                <w:color w:val="auto"/>
              </w:rPr>
              <w:t>2016</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(i)</w:t>
            </w:r>
          </w:p>
        </w:tc>
        <w:tc>
          <w:tcPr>
            <w:tcW w:w="280" w:type="dxa"/>
            <w:vAlign w:val="bottom"/>
          </w:tcPr>
          <w:p>
            <w:pPr>
              <w:spacing w:after="0"/>
              <w:rPr>
                <w:sz w:val="21"/>
                <w:szCs w:val="21"/>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(i) (j)</w:t>
            </w:r>
          </w:p>
        </w:tc>
        <w:tc>
          <w:tcPr>
            <w:tcW w:w="280" w:type="dxa"/>
            <w:vAlign w:val="bottom"/>
          </w:tcPr>
          <w:p>
            <w:pPr>
              <w:spacing w:after="0"/>
              <w:rPr>
                <w:sz w:val="21"/>
                <w:szCs w:val="21"/>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(i) (k) (l)</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3"/>
        </w:trPr>
        <w:tc>
          <w:tcPr>
            <w:tcW w:w="4080" w:type="dxa"/>
            <w:vAlign w:val="bottom"/>
          </w:tcPr>
          <w:p>
            <w:pPr>
              <w:ind w:left="20"/>
              <w:spacing w:after="0"/>
              <w:rPr>
                <w:sz w:val="20"/>
                <w:szCs w:val="20"/>
                <w:color w:val="auto"/>
              </w:rPr>
            </w:pPr>
            <w:r>
              <w:rPr>
                <w:rFonts w:ascii="Arial" w:cs="Arial" w:eastAsia="Arial" w:hAnsi="Arial"/>
                <w:sz w:val="17"/>
                <w:szCs w:val="17"/>
                <w:color w:val="auto"/>
              </w:rPr>
              <w:t>Product revenues, net</w:t>
            </w:r>
          </w:p>
        </w:tc>
        <w:tc>
          <w:tcPr>
            <w:tcW w:w="3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7"/>
              <w:spacing w:after="0"/>
              <w:rPr>
                <w:sz w:val="20"/>
                <w:szCs w:val="20"/>
                <w:color w:val="auto"/>
              </w:rPr>
            </w:pPr>
            <w:r>
              <w:rPr>
                <w:rFonts w:ascii="Arial" w:cs="Arial" w:eastAsia="Arial" w:hAnsi="Arial"/>
                <w:sz w:val="17"/>
                <w:szCs w:val="17"/>
                <w:color w:val="auto"/>
              </w:rPr>
              <w:t>2,309.4</w:t>
            </w:r>
          </w:p>
        </w:tc>
        <w:tc>
          <w:tcPr>
            <w:tcW w:w="12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2,466.0</w:t>
            </w:r>
          </w:p>
        </w:tc>
        <w:tc>
          <w:tcPr>
            <w:tcW w:w="10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2,539.6</w:t>
            </w:r>
          </w:p>
        </w:tc>
        <w:tc>
          <w:tcPr>
            <w:tcW w:w="10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2,502.9</w:t>
            </w:r>
          </w:p>
        </w:tc>
        <w:tc>
          <w:tcPr>
            <w:tcW w:w="100" w:type="dxa"/>
            <w:vAlign w:val="bottom"/>
          </w:tcPr>
          <w:p>
            <w:pPr>
              <w:spacing w:after="0"/>
              <w:rPr>
                <w:sz w:val="22"/>
                <w:szCs w:val="22"/>
                <w:color w:val="auto"/>
              </w:rPr>
            </w:pPr>
          </w:p>
        </w:tc>
        <w:tc>
          <w:tcPr>
            <w:tcW w:w="34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9,817.9</w:t>
            </w:r>
          </w:p>
        </w:tc>
      </w:tr>
      <w:tr>
        <w:trPr>
          <w:trHeight w:val="256"/>
        </w:trPr>
        <w:tc>
          <w:tcPr>
            <w:tcW w:w="4080" w:type="dxa"/>
            <w:vAlign w:val="bottom"/>
          </w:tcPr>
          <w:p>
            <w:pPr>
              <w:ind w:left="20"/>
              <w:spacing w:after="0"/>
              <w:rPr>
                <w:sz w:val="20"/>
                <w:szCs w:val="20"/>
                <w:color w:val="auto"/>
              </w:rPr>
            </w:pPr>
            <w:r>
              <w:rPr>
                <w:rFonts w:ascii="Arial" w:cs="Arial" w:eastAsia="Arial" w:hAnsi="Arial"/>
                <w:sz w:val="17"/>
                <w:szCs w:val="17"/>
                <w:color w:val="auto"/>
              </w:rPr>
              <w:t>Revenues from anti-CD20 therapeutic programs</w:t>
            </w:r>
          </w:p>
        </w:tc>
        <w:tc>
          <w:tcPr>
            <w:tcW w:w="3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7"/>
              <w:spacing w:after="0"/>
              <w:rPr>
                <w:sz w:val="20"/>
                <w:szCs w:val="20"/>
                <w:color w:val="auto"/>
              </w:rPr>
            </w:pPr>
            <w:r>
              <w:rPr>
                <w:rFonts w:ascii="Arial" w:cs="Arial" w:eastAsia="Arial" w:hAnsi="Arial"/>
                <w:sz w:val="17"/>
                <w:szCs w:val="17"/>
                <w:color w:val="auto"/>
              </w:rPr>
              <w:t>329.5</w:t>
            </w:r>
          </w:p>
        </w:tc>
        <w:tc>
          <w:tcPr>
            <w:tcW w:w="12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349.2</w:t>
            </w:r>
          </w:p>
        </w:tc>
        <w:tc>
          <w:tcPr>
            <w:tcW w:w="10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317.6</w:t>
            </w:r>
          </w:p>
        </w:tc>
        <w:tc>
          <w:tcPr>
            <w:tcW w:w="10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318.2</w:t>
            </w:r>
          </w:p>
        </w:tc>
        <w:tc>
          <w:tcPr>
            <w:tcW w:w="100" w:type="dxa"/>
            <w:vAlign w:val="bottom"/>
          </w:tcPr>
          <w:p>
            <w:pPr>
              <w:spacing w:after="0"/>
              <w:rPr>
                <w:sz w:val="22"/>
                <w:szCs w:val="22"/>
                <w:color w:val="auto"/>
              </w:rPr>
            </w:pPr>
          </w:p>
        </w:tc>
        <w:tc>
          <w:tcPr>
            <w:tcW w:w="34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1,314.5</w:t>
            </w:r>
          </w:p>
        </w:tc>
      </w:tr>
      <w:tr>
        <w:trPr>
          <w:trHeight w:val="256"/>
        </w:trPr>
        <w:tc>
          <w:tcPr>
            <w:tcW w:w="4080" w:type="dxa"/>
            <w:vAlign w:val="bottom"/>
          </w:tcPr>
          <w:p>
            <w:pPr>
              <w:ind w:left="20"/>
              <w:spacing w:after="0"/>
              <w:rPr>
                <w:sz w:val="20"/>
                <w:szCs w:val="20"/>
                <w:color w:val="auto"/>
              </w:rPr>
            </w:pPr>
            <w:r>
              <w:rPr>
                <w:rFonts w:ascii="Arial" w:cs="Arial" w:eastAsia="Arial" w:hAnsi="Arial"/>
                <w:sz w:val="17"/>
                <w:szCs w:val="17"/>
                <w:color w:val="auto"/>
              </w:rPr>
              <w:t>Other revenues</w:t>
            </w:r>
          </w:p>
        </w:tc>
        <w:tc>
          <w:tcPr>
            <w:tcW w:w="3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7"/>
              <w:spacing w:after="0"/>
              <w:rPr>
                <w:sz w:val="20"/>
                <w:szCs w:val="20"/>
                <w:color w:val="auto"/>
              </w:rPr>
            </w:pPr>
            <w:r>
              <w:rPr>
                <w:rFonts w:ascii="Arial" w:cs="Arial" w:eastAsia="Arial" w:hAnsi="Arial"/>
                <w:sz w:val="17"/>
                <w:szCs w:val="17"/>
                <w:color w:val="auto"/>
              </w:rPr>
              <w:t>87.9</w:t>
            </w:r>
          </w:p>
        </w:tc>
        <w:tc>
          <w:tcPr>
            <w:tcW w:w="12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79.0</w:t>
            </w:r>
          </w:p>
        </w:tc>
        <w:tc>
          <w:tcPr>
            <w:tcW w:w="10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98.6</w:t>
            </w:r>
          </w:p>
        </w:tc>
        <w:tc>
          <w:tcPr>
            <w:tcW w:w="10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50.9</w:t>
            </w:r>
          </w:p>
        </w:tc>
        <w:tc>
          <w:tcPr>
            <w:tcW w:w="100" w:type="dxa"/>
            <w:vAlign w:val="bottom"/>
          </w:tcPr>
          <w:p>
            <w:pPr>
              <w:spacing w:after="0"/>
              <w:rPr>
                <w:sz w:val="22"/>
                <w:szCs w:val="22"/>
                <w:color w:val="auto"/>
              </w:rPr>
            </w:pPr>
          </w:p>
        </w:tc>
        <w:tc>
          <w:tcPr>
            <w:tcW w:w="34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316.4</w:t>
            </w:r>
          </w:p>
        </w:tc>
      </w:tr>
      <w:tr>
        <w:trPr>
          <w:trHeight w:val="256"/>
        </w:trPr>
        <w:tc>
          <w:tcPr>
            <w:tcW w:w="4080" w:type="dxa"/>
            <w:vAlign w:val="bottom"/>
          </w:tcPr>
          <w:p>
            <w:pPr>
              <w:ind w:left="20"/>
              <w:spacing w:after="0"/>
              <w:rPr>
                <w:sz w:val="20"/>
                <w:szCs w:val="20"/>
                <w:color w:val="auto"/>
              </w:rPr>
            </w:pPr>
            <w:r>
              <w:rPr>
                <w:rFonts w:ascii="Arial" w:cs="Arial" w:eastAsia="Arial" w:hAnsi="Arial"/>
                <w:sz w:val="17"/>
                <w:szCs w:val="17"/>
                <w:color w:val="auto"/>
              </w:rPr>
              <w:t>Total revenues</w:t>
            </w:r>
          </w:p>
        </w:tc>
        <w:tc>
          <w:tcPr>
            <w:tcW w:w="3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7"/>
              <w:spacing w:after="0"/>
              <w:rPr>
                <w:sz w:val="20"/>
                <w:szCs w:val="20"/>
                <w:color w:val="auto"/>
              </w:rPr>
            </w:pPr>
            <w:r>
              <w:rPr>
                <w:rFonts w:ascii="Arial" w:cs="Arial" w:eastAsia="Arial" w:hAnsi="Arial"/>
                <w:sz w:val="17"/>
                <w:szCs w:val="17"/>
                <w:color w:val="auto"/>
              </w:rPr>
              <w:t>2,726.8</w:t>
            </w:r>
          </w:p>
        </w:tc>
        <w:tc>
          <w:tcPr>
            <w:tcW w:w="12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2,894.2</w:t>
            </w:r>
          </w:p>
        </w:tc>
        <w:tc>
          <w:tcPr>
            <w:tcW w:w="10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2,955.8</w:t>
            </w:r>
          </w:p>
        </w:tc>
        <w:tc>
          <w:tcPr>
            <w:tcW w:w="10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2,872.0</w:t>
            </w:r>
          </w:p>
        </w:tc>
        <w:tc>
          <w:tcPr>
            <w:tcW w:w="100" w:type="dxa"/>
            <w:vAlign w:val="bottom"/>
          </w:tcPr>
          <w:p>
            <w:pPr>
              <w:spacing w:after="0"/>
              <w:rPr>
                <w:sz w:val="22"/>
                <w:szCs w:val="22"/>
                <w:color w:val="auto"/>
              </w:rPr>
            </w:pPr>
          </w:p>
        </w:tc>
        <w:tc>
          <w:tcPr>
            <w:tcW w:w="34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11,448.8</w:t>
            </w:r>
          </w:p>
        </w:tc>
      </w:tr>
      <w:tr>
        <w:trPr>
          <w:trHeight w:val="256"/>
        </w:trPr>
        <w:tc>
          <w:tcPr>
            <w:tcW w:w="4080" w:type="dxa"/>
            <w:vAlign w:val="bottom"/>
          </w:tcPr>
          <w:p>
            <w:pPr>
              <w:ind w:left="20"/>
              <w:spacing w:after="0"/>
              <w:rPr>
                <w:sz w:val="20"/>
                <w:szCs w:val="20"/>
                <w:color w:val="auto"/>
              </w:rPr>
            </w:pPr>
            <w:r>
              <w:rPr>
                <w:rFonts w:ascii="Arial" w:cs="Arial" w:eastAsia="Arial" w:hAnsi="Arial"/>
                <w:sz w:val="17"/>
                <w:szCs w:val="17"/>
                <w:color w:val="auto"/>
              </w:rPr>
              <w:t>Gross profit (1)</w:t>
            </w:r>
          </w:p>
        </w:tc>
        <w:tc>
          <w:tcPr>
            <w:tcW w:w="3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7"/>
              <w:spacing w:after="0"/>
              <w:rPr>
                <w:sz w:val="20"/>
                <w:szCs w:val="20"/>
                <w:color w:val="auto"/>
              </w:rPr>
            </w:pPr>
            <w:r>
              <w:rPr>
                <w:rFonts w:ascii="Arial" w:cs="Arial" w:eastAsia="Arial" w:hAnsi="Arial"/>
                <w:sz w:val="17"/>
                <w:szCs w:val="17"/>
                <w:color w:val="auto"/>
              </w:rPr>
              <w:t>2,413.8</w:t>
            </w:r>
          </w:p>
        </w:tc>
        <w:tc>
          <w:tcPr>
            <w:tcW w:w="12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2,523.9</w:t>
            </w:r>
          </w:p>
        </w:tc>
        <w:tc>
          <w:tcPr>
            <w:tcW w:w="10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2,538.9</w:t>
            </w:r>
          </w:p>
        </w:tc>
        <w:tc>
          <w:tcPr>
            <w:tcW w:w="10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2,493.5</w:t>
            </w:r>
          </w:p>
        </w:tc>
        <w:tc>
          <w:tcPr>
            <w:tcW w:w="100" w:type="dxa"/>
            <w:vAlign w:val="bottom"/>
          </w:tcPr>
          <w:p>
            <w:pPr>
              <w:spacing w:after="0"/>
              <w:rPr>
                <w:sz w:val="22"/>
                <w:szCs w:val="22"/>
                <w:color w:val="auto"/>
              </w:rPr>
            </w:pPr>
          </w:p>
        </w:tc>
        <w:tc>
          <w:tcPr>
            <w:tcW w:w="34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9,970.1</w:t>
            </w:r>
          </w:p>
        </w:tc>
      </w:tr>
      <w:tr>
        <w:trPr>
          <w:trHeight w:val="256"/>
        </w:trPr>
        <w:tc>
          <w:tcPr>
            <w:tcW w:w="408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3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7"/>
              <w:spacing w:after="0"/>
              <w:rPr>
                <w:sz w:val="20"/>
                <w:szCs w:val="20"/>
                <w:color w:val="auto"/>
              </w:rPr>
            </w:pPr>
            <w:r>
              <w:rPr>
                <w:rFonts w:ascii="Arial" w:cs="Arial" w:eastAsia="Arial" w:hAnsi="Arial"/>
                <w:sz w:val="17"/>
                <w:szCs w:val="17"/>
                <w:color w:val="auto"/>
              </w:rPr>
              <w:t>969.2</w:t>
            </w:r>
          </w:p>
        </w:tc>
        <w:tc>
          <w:tcPr>
            <w:tcW w:w="12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1,048.4</w:t>
            </w:r>
          </w:p>
        </w:tc>
        <w:tc>
          <w:tcPr>
            <w:tcW w:w="10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1,030.2</w:t>
            </w:r>
          </w:p>
        </w:tc>
        <w:tc>
          <w:tcPr>
            <w:tcW w:w="10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647.9</w:t>
            </w:r>
          </w:p>
        </w:tc>
        <w:tc>
          <w:tcPr>
            <w:tcW w:w="100" w:type="dxa"/>
            <w:vAlign w:val="bottom"/>
          </w:tcPr>
          <w:p>
            <w:pPr>
              <w:spacing w:after="0"/>
              <w:rPr>
                <w:sz w:val="22"/>
                <w:szCs w:val="22"/>
                <w:color w:val="auto"/>
              </w:rPr>
            </w:pPr>
          </w:p>
        </w:tc>
        <w:tc>
          <w:tcPr>
            <w:tcW w:w="34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3,695.7</w:t>
            </w:r>
          </w:p>
        </w:tc>
      </w:tr>
      <w:tr>
        <w:trPr>
          <w:trHeight w:val="256"/>
        </w:trPr>
        <w:tc>
          <w:tcPr>
            <w:tcW w:w="4080" w:type="dxa"/>
            <w:vAlign w:val="bottom"/>
          </w:tcPr>
          <w:p>
            <w:pPr>
              <w:ind w:left="20"/>
              <w:spacing w:after="0"/>
              <w:rPr>
                <w:sz w:val="20"/>
                <w:szCs w:val="20"/>
                <w:color w:val="auto"/>
              </w:rPr>
            </w:pPr>
            <w:r>
              <w:rPr>
                <w:rFonts w:ascii="Arial" w:cs="Arial" w:eastAsia="Arial" w:hAnsi="Arial"/>
                <w:sz w:val="17"/>
                <w:szCs w:val="17"/>
                <w:color w:val="auto"/>
              </w:rPr>
              <w:t>Net income attributable to Biogen Inc.</w:t>
            </w:r>
          </w:p>
        </w:tc>
        <w:tc>
          <w:tcPr>
            <w:tcW w:w="3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7"/>
              <w:spacing w:after="0"/>
              <w:rPr>
                <w:sz w:val="20"/>
                <w:szCs w:val="20"/>
                <w:color w:val="auto"/>
              </w:rPr>
            </w:pPr>
            <w:r>
              <w:rPr>
                <w:rFonts w:ascii="Arial" w:cs="Arial" w:eastAsia="Arial" w:hAnsi="Arial"/>
                <w:sz w:val="17"/>
                <w:szCs w:val="17"/>
                <w:color w:val="auto"/>
              </w:rPr>
              <w:t>970.9</w:t>
            </w:r>
          </w:p>
        </w:tc>
        <w:tc>
          <w:tcPr>
            <w:tcW w:w="12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1,049.8</w:t>
            </w:r>
          </w:p>
        </w:tc>
        <w:tc>
          <w:tcPr>
            <w:tcW w:w="10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1,032.9</w:t>
            </w:r>
          </w:p>
        </w:tc>
        <w:tc>
          <w:tcPr>
            <w:tcW w:w="10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649.2</w:t>
            </w:r>
          </w:p>
        </w:tc>
        <w:tc>
          <w:tcPr>
            <w:tcW w:w="100" w:type="dxa"/>
            <w:vAlign w:val="bottom"/>
          </w:tcPr>
          <w:p>
            <w:pPr>
              <w:spacing w:after="0"/>
              <w:rPr>
                <w:sz w:val="22"/>
                <w:szCs w:val="22"/>
                <w:color w:val="auto"/>
              </w:rPr>
            </w:pPr>
          </w:p>
        </w:tc>
        <w:tc>
          <w:tcPr>
            <w:tcW w:w="34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3,702.8</w:t>
            </w:r>
          </w:p>
        </w:tc>
      </w:tr>
      <w:tr>
        <w:trPr>
          <w:trHeight w:val="243"/>
        </w:trPr>
        <w:tc>
          <w:tcPr>
            <w:tcW w:w="4080" w:type="dxa"/>
            <w:vAlign w:val="bottom"/>
          </w:tcPr>
          <w:p>
            <w:pPr>
              <w:ind w:left="20"/>
              <w:spacing w:after="0"/>
              <w:rPr>
                <w:sz w:val="20"/>
                <w:szCs w:val="20"/>
                <w:color w:val="auto"/>
              </w:rPr>
            </w:pPr>
            <w:r>
              <w:rPr>
                <w:rFonts w:ascii="Arial" w:cs="Arial" w:eastAsia="Arial" w:hAnsi="Arial"/>
                <w:sz w:val="17"/>
                <w:szCs w:val="17"/>
                <w:color w:val="auto"/>
              </w:rPr>
              <w:t>Net income per share:</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69"/>
        </w:trPr>
        <w:tc>
          <w:tcPr>
            <w:tcW w:w="4400" w:type="dxa"/>
            <w:vAlign w:val="bottom"/>
            <w:gridSpan w:val="2"/>
          </w:tcPr>
          <w:p>
            <w:pPr>
              <w:ind w:left="160"/>
              <w:spacing w:after="0"/>
              <w:rPr>
                <w:sz w:val="20"/>
                <w:szCs w:val="20"/>
                <w:color w:val="auto"/>
              </w:rPr>
            </w:pPr>
            <w:r>
              <w:rPr>
                <w:rFonts w:ascii="Arial" w:cs="Arial" w:eastAsia="Arial" w:hAnsi="Arial"/>
                <w:sz w:val="17"/>
                <w:szCs w:val="17"/>
                <w:color w:val="auto"/>
              </w:rPr>
              <w:t>Basic earnings per share attributable to Biogen Inc. $</w:t>
            </w:r>
          </w:p>
        </w:tc>
        <w:tc>
          <w:tcPr>
            <w:tcW w:w="1100" w:type="dxa"/>
            <w:vAlign w:val="bottom"/>
          </w:tcPr>
          <w:p>
            <w:pPr>
              <w:jc w:val="right"/>
              <w:ind w:right="17"/>
              <w:spacing w:after="0"/>
              <w:rPr>
                <w:sz w:val="20"/>
                <w:szCs w:val="20"/>
                <w:color w:val="auto"/>
              </w:rPr>
            </w:pPr>
            <w:r>
              <w:rPr>
                <w:rFonts w:ascii="Arial" w:cs="Arial" w:eastAsia="Arial" w:hAnsi="Arial"/>
                <w:sz w:val="17"/>
                <w:szCs w:val="17"/>
                <w:color w:val="auto"/>
              </w:rPr>
              <w:t>4.44</w:t>
            </w:r>
          </w:p>
        </w:tc>
        <w:tc>
          <w:tcPr>
            <w:tcW w:w="120" w:type="dxa"/>
            <w:vAlign w:val="bottom"/>
          </w:tcPr>
          <w:p>
            <w:pPr>
              <w:spacing w:after="0"/>
              <w:rPr>
                <w:sz w:val="23"/>
                <w:szCs w:val="23"/>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4.79</w:t>
            </w:r>
          </w:p>
        </w:tc>
        <w:tc>
          <w:tcPr>
            <w:tcW w:w="100" w:type="dxa"/>
            <w:vAlign w:val="bottom"/>
          </w:tcPr>
          <w:p>
            <w:pPr>
              <w:spacing w:after="0"/>
              <w:rPr>
                <w:sz w:val="23"/>
                <w:szCs w:val="23"/>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4.72</w:t>
            </w:r>
          </w:p>
        </w:tc>
        <w:tc>
          <w:tcPr>
            <w:tcW w:w="100" w:type="dxa"/>
            <w:vAlign w:val="bottom"/>
          </w:tcPr>
          <w:p>
            <w:pPr>
              <w:spacing w:after="0"/>
              <w:rPr>
                <w:sz w:val="23"/>
                <w:szCs w:val="23"/>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3.00</w:t>
            </w:r>
          </w:p>
        </w:tc>
        <w:tc>
          <w:tcPr>
            <w:tcW w:w="100" w:type="dxa"/>
            <w:vAlign w:val="bottom"/>
          </w:tcPr>
          <w:p>
            <w:pPr>
              <w:spacing w:after="0"/>
              <w:rPr>
                <w:sz w:val="23"/>
                <w:szCs w:val="23"/>
                <w:color w:val="auto"/>
              </w:rPr>
            </w:pPr>
          </w:p>
        </w:tc>
        <w:tc>
          <w:tcPr>
            <w:tcW w:w="34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16.96</w:t>
            </w:r>
          </w:p>
        </w:tc>
      </w:tr>
      <w:tr>
        <w:trPr>
          <w:trHeight w:val="231"/>
        </w:trPr>
        <w:tc>
          <w:tcPr>
            <w:tcW w:w="4080" w:type="dxa"/>
            <w:vAlign w:val="bottom"/>
          </w:tcPr>
          <w:p>
            <w:pPr>
              <w:ind w:left="160"/>
              <w:spacing w:after="0"/>
              <w:rPr>
                <w:sz w:val="20"/>
                <w:szCs w:val="20"/>
                <w:color w:val="auto"/>
              </w:rPr>
            </w:pPr>
            <w:r>
              <w:rPr>
                <w:rFonts w:ascii="Arial" w:cs="Arial" w:eastAsia="Arial" w:hAnsi="Arial"/>
                <w:sz w:val="17"/>
                <w:szCs w:val="17"/>
                <w:color w:val="auto"/>
              </w:rPr>
              <w:t>Diluted earnings per share attributable to Biogen</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04"/>
        </w:trPr>
        <w:tc>
          <w:tcPr>
            <w:tcW w:w="4080" w:type="dxa"/>
            <w:vAlign w:val="bottom"/>
          </w:tcPr>
          <w:p>
            <w:pPr>
              <w:ind w:left="160"/>
              <w:spacing w:after="0"/>
              <w:rPr>
                <w:sz w:val="20"/>
                <w:szCs w:val="20"/>
                <w:color w:val="auto"/>
              </w:rPr>
            </w:pPr>
            <w:r>
              <w:rPr>
                <w:rFonts w:ascii="Arial" w:cs="Arial" w:eastAsia="Arial" w:hAnsi="Arial"/>
                <w:sz w:val="17"/>
                <w:szCs w:val="17"/>
                <w:color w:val="auto"/>
              </w:rPr>
              <w:t>Inc.</w:t>
            </w:r>
          </w:p>
        </w:tc>
        <w:tc>
          <w:tcPr>
            <w:tcW w:w="3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7"/>
              <w:spacing w:after="0"/>
              <w:rPr>
                <w:sz w:val="20"/>
                <w:szCs w:val="20"/>
                <w:color w:val="auto"/>
              </w:rPr>
            </w:pPr>
            <w:r>
              <w:rPr>
                <w:rFonts w:ascii="Arial" w:cs="Arial" w:eastAsia="Arial" w:hAnsi="Arial"/>
                <w:sz w:val="17"/>
                <w:szCs w:val="17"/>
                <w:color w:val="auto"/>
              </w:rPr>
              <w:t>4.43</w:t>
            </w:r>
          </w:p>
        </w:tc>
        <w:tc>
          <w:tcPr>
            <w:tcW w:w="120" w:type="dxa"/>
            <w:vAlign w:val="bottom"/>
          </w:tcPr>
          <w:p>
            <w:pPr>
              <w:spacing w:after="0"/>
              <w:rPr>
                <w:sz w:val="17"/>
                <w:szCs w:val="17"/>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4.79</w:t>
            </w:r>
          </w:p>
        </w:tc>
        <w:tc>
          <w:tcPr>
            <w:tcW w:w="100" w:type="dxa"/>
            <w:vAlign w:val="bottom"/>
          </w:tcPr>
          <w:p>
            <w:pPr>
              <w:spacing w:after="0"/>
              <w:rPr>
                <w:sz w:val="17"/>
                <w:szCs w:val="17"/>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4.71</w:t>
            </w:r>
          </w:p>
        </w:tc>
        <w:tc>
          <w:tcPr>
            <w:tcW w:w="100" w:type="dxa"/>
            <w:vAlign w:val="bottom"/>
          </w:tcPr>
          <w:p>
            <w:pPr>
              <w:spacing w:after="0"/>
              <w:rPr>
                <w:sz w:val="17"/>
                <w:szCs w:val="17"/>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2.99</w:t>
            </w:r>
          </w:p>
        </w:tc>
        <w:tc>
          <w:tcPr>
            <w:tcW w:w="100" w:type="dxa"/>
            <w:vAlign w:val="bottom"/>
          </w:tcPr>
          <w:p>
            <w:pPr>
              <w:spacing w:after="0"/>
              <w:rPr>
                <w:sz w:val="17"/>
                <w:szCs w:val="17"/>
                <w:color w:val="auto"/>
              </w:rPr>
            </w:pPr>
          </w:p>
        </w:tc>
        <w:tc>
          <w:tcPr>
            <w:tcW w:w="34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16.93</w:t>
            </w:r>
          </w:p>
        </w:tc>
      </w:tr>
      <w:tr>
        <w:trPr>
          <w:trHeight w:val="243"/>
        </w:trPr>
        <w:tc>
          <w:tcPr>
            <w:tcW w:w="4080" w:type="dxa"/>
            <w:vAlign w:val="bottom"/>
          </w:tcPr>
          <w:p>
            <w:pPr>
              <w:ind w:left="20"/>
              <w:spacing w:after="0"/>
              <w:rPr>
                <w:sz w:val="20"/>
                <w:szCs w:val="20"/>
                <w:color w:val="auto"/>
              </w:rPr>
            </w:pPr>
            <w:r>
              <w:rPr>
                <w:rFonts w:ascii="Arial" w:cs="Arial" w:eastAsia="Arial" w:hAnsi="Arial"/>
                <w:sz w:val="17"/>
                <w:szCs w:val="17"/>
                <w:color w:val="auto"/>
              </w:rPr>
              <w:t>Weighted-average shares used in calculating:</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69"/>
        </w:trPr>
        <w:tc>
          <w:tcPr>
            <w:tcW w:w="4080" w:type="dxa"/>
            <w:vAlign w:val="bottom"/>
          </w:tcPr>
          <w:p>
            <w:pPr>
              <w:ind w:left="160"/>
              <w:spacing w:after="0"/>
              <w:rPr>
                <w:sz w:val="20"/>
                <w:szCs w:val="20"/>
                <w:color w:val="auto"/>
              </w:rPr>
            </w:pPr>
            <w:r>
              <w:rPr>
                <w:rFonts w:ascii="Arial" w:cs="Arial" w:eastAsia="Arial" w:hAnsi="Arial"/>
                <w:sz w:val="17"/>
                <w:szCs w:val="17"/>
                <w:color w:val="auto"/>
              </w:rPr>
              <w:t>Basic earnings per share attributable to Biogen Inc.</w:t>
            </w:r>
          </w:p>
        </w:tc>
        <w:tc>
          <w:tcPr>
            <w:tcW w:w="320" w:type="dxa"/>
            <w:vAlign w:val="bottom"/>
          </w:tcPr>
          <w:p>
            <w:pPr>
              <w:spacing w:after="0"/>
              <w:rPr>
                <w:sz w:val="23"/>
                <w:szCs w:val="23"/>
                <w:color w:val="auto"/>
              </w:rPr>
            </w:pPr>
          </w:p>
        </w:tc>
        <w:tc>
          <w:tcPr>
            <w:tcW w:w="1100" w:type="dxa"/>
            <w:vAlign w:val="bottom"/>
          </w:tcPr>
          <w:p>
            <w:pPr>
              <w:jc w:val="right"/>
              <w:ind w:right="17"/>
              <w:spacing w:after="0"/>
              <w:rPr>
                <w:sz w:val="20"/>
                <w:szCs w:val="20"/>
                <w:color w:val="auto"/>
              </w:rPr>
            </w:pPr>
            <w:r>
              <w:rPr>
                <w:rFonts w:ascii="Arial" w:cs="Arial" w:eastAsia="Arial" w:hAnsi="Arial"/>
                <w:sz w:val="17"/>
                <w:szCs w:val="17"/>
                <w:color w:val="auto"/>
              </w:rPr>
              <w:t>218.9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219.1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218.9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216.6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218.4</w:t>
            </w:r>
          </w:p>
        </w:tc>
      </w:tr>
      <w:tr>
        <w:trPr>
          <w:trHeight w:val="231"/>
        </w:trPr>
        <w:tc>
          <w:tcPr>
            <w:tcW w:w="4080" w:type="dxa"/>
            <w:vAlign w:val="bottom"/>
          </w:tcPr>
          <w:p>
            <w:pPr>
              <w:ind w:left="160"/>
              <w:spacing w:after="0"/>
              <w:rPr>
                <w:sz w:val="20"/>
                <w:szCs w:val="20"/>
                <w:color w:val="auto"/>
              </w:rPr>
            </w:pPr>
            <w:r>
              <w:rPr>
                <w:rFonts w:ascii="Arial" w:cs="Arial" w:eastAsia="Arial" w:hAnsi="Arial"/>
                <w:sz w:val="17"/>
                <w:szCs w:val="17"/>
                <w:color w:val="auto"/>
              </w:rPr>
              <w:t>Diluted earnings per share attributable to Biogen</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04"/>
        </w:trPr>
        <w:tc>
          <w:tcPr>
            <w:tcW w:w="4080" w:type="dxa"/>
            <w:vAlign w:val="bottom"/>
          </w:tcPr>
          <w:p>
            <w:pPr>
              <w:ind w:left="160"/>
              <w:spacing w:after="0"/>
              <w:rPr>
                <w:sz w:val="20"/>
                <w:szCs w:val="20"/>
                <w:color w:val="auto"/>
              </w:rPr>
            </w:pPr>
            <w:r>
              <w:rPr>
                <w:rFonts w:ascii="Arial" w:cs="Arial" w:eastAsia="Arial" w:hAnsi="Arial"/>
                <w:sz w:val="17"/>
                <w:szCs w:val="17"/>
                <w:color w:val="auto"/>
              </w:rPr>
              <w:t>Inc.</w:t>
            </w:r>
          </w:p>
        </w:tc>
        <w:tc>
          <w:tcPr>
            <w:tcW w:w="320" w:type="dxa"/>
            <w:vAlign w:val="bottom"/>
          </w:tcPr>
          <w:p>
            <w:pPr>
              <w:spacing w:after="0"/>
              <w:rPr>
                <w:sz w:val="17"/>
                <w:szCs w:val="17"/>
                <w:color w:val="auto"/>
              </w:rPr>
            </w:pPr>
          </w:p>
        </w:tc>
        <w:tc>
          <w:tcPr>
            <w:tcW w:w="1100" w:type="dxa"/>
            <w:vAlign w:val="bottom"/>
          </w:tcPr>
          <w:p>
            <w:pPr>
              <w:jc w:val="right"/>
              <w:ind w:right="17"/>
              <w:spacing w:after="0"/>
              <w:rPr>
                <w:sz w:val="20"/>
                <w:szCs w:val="20"/>
                <w:color w:val="auto"/>
              </w:rPr>
            </w:pPr>
            <w:r>
              <w:rPr>
                <w:rFonts w:ascii="Arial" w:cs="Arial" w:eastAsia="Arial" w:hAnsi="Arial"/>
                <w:sz w:val="17"/>
                <w:szCs w:val="17"/>
                <w:color w:val="auto"/>
              </w:rPr>
              <w:t>219.3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219.4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219.4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217.0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218.8</w:t>
            </w:r>
          </w:p>
        </w:tc>
      </w:tr>
    </w:tbl>
    <w:p>
      <w:pPr>
        <w:spacing w:after="0" w:line="67" w:lineRule="exact"/>
        <w:rPr>
          <w:sz w:val="20"/>
          <w:szCs w:val="20"/>
          <w:color w:val="auto"/>
        </w:rPr>
      </w:pPr>
    </w:p>
    <w:p>
      <w:pPr>
        <w:ind w:left="240" w:hanging="238"/>
        <w:spacing w:after="0"/>
        <w:tabs>
          <w:tab w:leader="none" w:pos="24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Gross profit is calculated as total revenues less cost of sales, excluding amortization of acquired intangible assets.</w:t>
      </w:r>
    </w:p>
    <w:p>
      <w:pPr>
        <w:spacing w:after="0" w:line="146" w:lineRule="exact"/>
        <w:rPr>
          <w:rFonts w:ascii="Arial" w:cs="Arial" w:eastAsia="Arial" w:hAnsi="Arial"/>
          <w:sz w:val="15"/>
          <w:szCs w:val="15"/>
          <w:color w:val="auto"/>
        </w:rPr>
      </w:pPr>
    </w:p>
    <w:p>
      <w:pPr>
        <w:jc w:val="both"/>
        <w:ind w:left="380" w:right="280" w:hanging="301"/>
        <w:spacing w:after="0" w:line="264" w:lineRule="auto"/>
        <w:tabs>
          <w:tab w:leader="none" w:pos="38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Net income and net income attributable to Biogen Inc. for the first, second, third and fourth quarters of 2017 include a pre-tax charge of $353.6 million, $29.4 million, $30.4 million and $30.8 million, respectively, related to our U.S. and rest of world licenses to Forward Pharma's intellectual property, including Forward Pharma's intellectual property related to TECFIDERA.</w:t>
      </w:r>
    </w:p>
    <w:p>
      <w:pPr>
        <w:spacing w:after="0" w:line="134" w:lineRule="exact"/>
        <w:rPr>
          <w:rFonts w:ascii="Arial" w:cs="Arial" w:eastAsia="Arial" w:hAnsi="Arial"/>
          <w:sz w:val="17"/>
          <w:szCs w:val="17"/>
          <w:color w:val="auto"/>
        </w:rPr>
      </w:pPr>
    </w:p>
    <w:p>
      <w:pPr>
        <w:ind w:left="380" w:right="400" w:hanging="301"/>
        <w:spacing w:after="0" w:line="262" w:lineRule="auto"/>
        <w:tabs>
          <w:tab w:leader="none" w:pos="38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Net income and net income attributable to Biogen Inc. for the second quarter of 2017 includes a pre-tax charge to research and development expense of $300.0 million for an upfront payment to BMS upon the closing of our agreement to exclusively license BIIB092.</w:t>
      </w:r>
    </w:p>
    <w:p>
      <w:pPr>
        <w:spacing w:after="0" w:line="136" w:lineRule="exact"/>
        <w:rPr>
          <w:rFonts w:ascii="Arial" w:cs="Arial" w:eastAsia="Arial" w:hAnsi="Arial"/>
          <w:sz w:val="17"/>
          <w:szCs w:val="17"/>
          <w:color w:val="auto"/>
        </w:rPr>
      </w:pPr>
    </w:p>
    <w:p>
      <w:pPr>
        <w:ind w:left="380" w:right="220" w:hanging="301"/>
        <w:spacing w:after="0" w:line="262" w:lineRule="auto"/>
        <w:tabs>
          <w:tab w:leader="none" w:pos="38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Net income and net income attributable to Biogen Inc. for the second quarter of 2017 includes a pre-tax charge to acquired in-process research and development of $120.0 million for an upfront payment to Remedy upon closing of the asset purchase transaction.</w:t>
      </w:r>
    </w:p>
    <w:p>
      <w:pPr>
        <w:spacing w:after="0" w:line="136" w:lineRule="exact"/>
        <w:rPr>
          <w:rFonts w:ascii="Arial" w:cs="Arial" w:eastAsia="Arial" w:hAnsi="Arial"/>
          <w:sz w:val="17"/>
          <w:szCs w:val="17"/>
          <w:color w:val="auto"/>
        </w:rPr>
      </w:pPr>
    </w:p>
    <w:p>
      <w:pPr>
        <w:ind w:left="380" w:right="60" w:hanging="301"/>
        <w:spacing w:after="0" w:line="257" w:lineRule="auto"/>
        <w:tabs>
          <w:tab w:leader="none" w:pos="38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Net income and net income attributable to Biogen Inc. for the second quarter of 2017 includes a pre-tax charge to research and development expense of $60.0 million for a developmental milestone that became payable to the former shareholders of iPierian upon dosing of the first patient in the Phase 2 PSP study for BIIB092.</w:t>
      </w:r>
    </w:p>
    <w:p>
      <w:pPr>
        <w:spacing w:after="0" w:line="128" w:lineRule="exact"/>
        <w:rPr>
          <w:rFonts w:ascii="Arial" w:cs="Arial" w:eastAsia="Arial" w:hAnsi="Arial"/>
          <w:sz w:val="17"/>
          <w:szCs w:val="17"/>
          <w:color w:val="auto"/>
        </w:rPr>
      </w:pPr>
    </w:p>
    <w:p>
      <w:pPr>
        <w:ind w:left="380" w:right="340" w:hanging="301"/>
        <w:spacing w:after="0" w:line="276" w:lineRule="auto"/>
        <w:tabs>
          <w:tab w:leader="none" w:pos="38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Net income attributable to Biogen Inc., for the fourth quarter of 2017, includes a pre-tax charge to noncontrolling interest of $150.0 million for a payment to Neurimmune in exchange for a 15% reduction in royalty rates payable on potential commercial sales of aducanumab.</w:t>
      </w:r>
    </w:p>
    <w:p>
      <w:pPr>
        <w:spacing w:after="0" w:line="125" w:lineRule="exact"/>
        <w:rPr>
          <w:rFonts w:ascii="Arial" w:cs="Arial" w:eastAsia="Arial" w:hAnsi="Arial"/>
          <w:sz w:val="17"/>
          <w:szCs w:val="17"/>
          <w:color w:val="auto"/>
        </w:rPr>
      </w:pPr>
    </w:p>
    <w:p>
      <w:pPr>
        <w:ind w:left="380" w:right="560" w:hanging="301"/>
        <w:spacing w:after="0" w:line="262" w:lineRule="auto"/>
        <w:tabs>
          <w:tab w:leader="none" w:pos="38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Net income and net income attributable to Biogen Inc. for the fourth quarter of 2017 includes pre-tax charges to research and development expense of $28.0 million and $50.0 million for an upfront payment and a continuation payment, respectively, to Alkermes.</w:t>
      </w:r>
    </w:p>
    <w:p>
      <w:pPr>
        <w:spacing w:after="0" w:line="136" w:lineRule="exact"/>
        <w:rPr>
          <w:rFonts w:ascii="Arial" w:cs="Arial" w:eastAsia="Arial" w:hAnsi="Arial"/>
          <w:sz w:val="17"/>
          <w:szCs w:val="17"/>
          <w:color w:val="auto"/>
        </w:rPr>
      </w:pPr>
    </w:p>
    <w:p>
      <w:pPr>
        <w:ind w:left="380" w:right="500" w:hanging="301"/>
        <w:spacing w:after="0" w:line="257" w:lineRule="auto"/>
        <w:tabs>
          <w:tab w:leader="none" w:pos="38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Net income and net income attributable to Biogen Inc. for the fourth quarter of 2017 includes a pre-tax charge to research and development expense of $25.0 million for an upfront payment to Ionis upon entering into a new collaboration agreement to identify new antisense-oligonucleotide drug candidates for the treatment of SMA.</w:t>
      </w:r>
    </w:p>
    <w:p>
      <w:pPr>
        <w:spacing w:after="0" w:line="128" w:lineRule="exact"/>
        <w:rPr>
          <w:rFonts w:ascii="Arial" w:cs="Arial" w:eastAsia="Arial" w:hAnsi="Arial"/>
          <w:sz w:val="17"/>
          <w:szCs w:val="17"/>
          <w:color w:val="auto"/>
        </w:rPr>
      </w:pPr>
    </w:p>
    <w:p>
      <w:pPr>
        <w:ind w:left="380" w:right="120" w:hanging="301"/>
        <w:spacing w:after="0" w:line="276" w:lineRule="auto"/>
        <w:tabs>
          <w:tab w:leader="none" w:pos="38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Net income and net income attributable to Biogen Inc. for the fourth quarter of 2017 includes $1,173.6 million related to the provisions of the 2017 Tax Act, including a $989.6 million expense under the Transition Toll Tax.</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F- 75</w:t>
      </w:r>
    </w:p>
    <w:p>
      <w:pPr>
        <w:sectPr>
          <w:pgSz w:w="11900" w:h="16838" w:orient="portrait"/>
          <w:cols w:equalWidth="0" w:num="1">
            <w:col w:w="11400"/>
          </w:cols>
          <w:pgMar w:left="240" w:top="139" w:right="259" w:bottom="1440" w:gutter="0" w:footer="0" w:header="0"/>
        </w:sectPr>
      </w:pPr>
    </w:p>
    <w:bookmarkStart w:id="177" w:name="page178"/>
    <w:bookmarkEnd w:id="17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5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90" w:lineRule="exact"/>
        <w:rPr>
          <w:sz w:val="20"/>
          <w:szCs w:val="20"/>
          <w:color w:val="auto"/>
        </w:rPr>
      </w:pPr>
    </w:p>
    <w:p>
      <w:pPr>
        <w:jc w:val="both"/>
        <w:ind w:left="380" w:right="220" w:hanging="301"/>
        <w:spacing w:after="0" w:line="257" w:lineRule="auto"/>
        <w:tabs>
          <w:tab w:leader="none" w:pos="3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Net income and net income attributable to Biogen Inc. for the second, third and fourth quarters of 2016 includes additional pre-tax depreciation expense totaling $15.8 million, $15.7 million and $14.0 million, respectively, as part of our decision to cease manufacturing and vacate our small-scale biologics manufacturing facility in Cambridge, MA as well as close and vacate our warehouse space in Somerville, MA.</w:t>
      </w:r>
    </w:p>
    <w:p>
      <w:pPr>
        <w:spacing w:after="0" w:line="140" w:lineRule="exact"/>
        <w:rPr>
          <w:rFonts w:ascii="Arial" w:cs="Arial" w:eastAsia="Arial" w:hAnsi="Arial"/>
          <w:sz w:val="17"/>
          <w:szCs w:val="17"/>
          <w:color w:val="auto"/>
        </w:rPr>
      </w:pPr>
    </w:p>
    <w:p>
      <w:pPr>
        <w:ind w:left="380" w:right="600" w:hanging="301"/>
        <w:spacing w:after="0" w:line="262" w:lineRule="auto"/>
        <w:tabs>
          <w:tab w:leader="none" w:pos="3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Net income and net income attributable to Biogen Inc. for the third quarter of 2016 includes a pre-tax charge to research and development expense of $75.0 million for a license fee paid to Ionis as we exercised our option to develop and commercialize SPINRAZA.</w:t>
      </w:r>
    </w:p>
    <w:p>
      <w:pPr>
        <w:spacing w:after="0" w:line="136" w:lineRule="exact"/>
        <w:rPr>
          <w:rFonts w:ascii="Arial" w:cs="Arial" w:eastAsia="Arial" w:hAnsi="Arial"/>
          <w:sz w:val="17"/>
          <w:szCs w:val="17"/>
          <w:color w:val="auto"/>
        </w:rPr>
      </w:pPr>
    </w:p>
    <w:p>
      <w:pPr>
        <w:ind w:left="380" w:right="480" w:hanging="301"/>
        <w:spacing w:after="0" w:line="262" w:lineRule="auto"/>
        <w:tabs>
          <w:tab w:leader="none" w:pos="3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Net income and net income attributable to Biogen Inc. for the fourth quarter of 2016 includes a pre-tax charge to research and development expense of $50.0 million for a milestone payment due to Eisai related to the initiation of a Phase 3 trial for E2609.</w:t>
      </w:r>
    </w:p>
    <w:p>
      <w:pPr>
        <w:spacing w:after="0" w:line="125" w:lineRule="exact"/>
        <w:rPr>
          <w:rFonts w:ascii="Arial" w:cs="Arial" w:eastAsia="Arial" w:hAnsi="Arial"/>
          <w:sz w:val="17"/>
          <w:szCs w:val="17"/>
          <w:color w:val="auto"/>
        </w:rPr>
      </w:pPr>
    </w:p>
    <w:p>
      <w:pPr>
        <w:ind w:left="380" w:right="460" w:hanging="301"/>
        <w:spacing w:after="0" w:line="276" w:lineRule="auto"/>
        <w:tabs>
          <w:tab w:leader="none" w:pos="3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Net income and net income attributable to Biogen Inc. for the fourth quarter of 2016 includes a pre-tax charge of $454.8 million related to our January 2017 settlement and license agreement with Forward Pharma.</w:t>
      </w:r>
    </w:p>
    <w:p>
      <w:pPr>
        <w:spacing w:after="0" w:line="184" w:lineRule="exact"/>
        <w:rPr>
          <w:sz w:val="20"/>
          <w:szCs w:val="20"/>
          <w:color w:val="auto"/>
        </w:rPr>
      </w:pPr>
    </w:p>
    <w:p>
      <w:pPr>
        <w:ind w:left="620" w:hanging="618"/>
        <w:spacing w:after="0"/>
        <w:tabs>
          <w:tab w:leader="none" w:pos="620" w:val="left"/>
        </w:tabs>
        <w:numPr>
          <w:ilvl w:val="0"/>
          <w:numId w:val="129"/>
        </w:numPr>
        <w:rPr>
          <w:rFonts w:ascii="Arial" w:cs="Arial" w:eastAsia="Arial" w:hAnsi="Arial"/>
          <w:sz w:val="20"/>
          <w:szCs w:val="20"/>
          <w:b w:val="1"/>
          <w:bCs w:val="1"/>
          <w:color w:val="578196"/>
        </w:rPr>
      </w:pPr>
      <w:r>
        <w:rPr>
          <w:rFonts w:ascii="Arial" w:cs="Arial" w:eastAsia="Arial" w:hAnsi="Arial"/>
          <w:sz w:val="20"/>
          <w:szCs w:val="20"/>
          <w:b w:val="1"/>
          <w:bCs w:val="1"/>
          <w:color w:val="578196"/>
        </w:rPr>
        <w:t>Subsequent Events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Karyopharm Therapeutics Inc.</w:t>
      </w:r>
    </w:p>
    <w:p>
      <w:pPr>
        <w:spacing w:after="0" w:line="106" w:lineRule="exact"/>
        <w:rPr>
          <w:sz w:val="20"/>
          <w:szCs w:val="20"/>
          <w:color w:val="auto"/>
        </w:rPr>
      </w:pPr>
    </w:p>
    <w:p>
      <w:pPr>
        <w:ind w:firstLine="410"/>
        <w:spacing w:after="0" w:line="255" w:lineRule="auto"/>
        <w:rPr>
          <w:sz w:val="20"/>
          <w:szCs w:val="20"/>
          <w:color w:val="auto"/>
        </w:rPr>
      </w:pPr>
      <w:r>
        <w:rPr>
          <w:rFonts w:ascii="Arial" w:cs="Arial" w:eastAsia="Arial" w:hAnsi="Arial"/>
          <w:sz w:val="17"/>
          <w:szCs w:val="17"/>
          <w:color w:val="auto"/>
        </w:rPr>
        <w:t>In January 2018 we acquired the exclusive worldwide rights to develop and commercialize Karyopharm Therapeutics Inc.'s (Karyopharm) investigational oral compound BIIB100 (formerly known as KPT-350) for the treatment of certain neurological and neurodegenerative conditions, primarily in ALS. We will pay Karyopharm an upfront payment of $10.0 million and we may pay Karyopharm up to $207.0 million in additional milestone payments, and potential royalties.</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F- 76</w:t>
      </w:r>
    </w:p>
    <w:p>
      <w:pPr>
        <w:sectPr>
          <w:pgSz w:w="11900" w:h="16838" w:orient="portrait"/>
          <w:cols w:equalWidth="0" w:num="1">
            <w:col w:w="11380"/>
          </w:cols>
          <w:pgMar w:left="240" w:top="139" w:right="279" w:bottom="1440" w:gutter="0" w:footer="0" w:header="0"/>
        </w:sectPr>
      </w:pPr>
    </w:p>
    <w:bookmarkStart w:id="178" w:name="page179"/>
    <w:bookmarkEnd w:id="17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REPORT OF INDEPENDENT REGISTERED PUBLIC ACCOUNTING FIRM</w:t>
      </w:r>
    </w:p>
    <w:p>
      <w:pPr>
        <w:spacing w:after="0" w:line="244" w:lineRule="exact"/>
        <w:rPr>
          <w:sz w:val="20"/>
          <w:szCs w:val="20"/>
          <w:color w:val="auto"/>
        </w:rPr>
      </w:pPr>
    </w:p>
    <w:p>
      <w:pPr>
        <w:ind w:left="2880"/>
        <w:spacing w:after="0"/>
        <w:rPr>
          <w:sz w:val="20"/>
          <w:szCs w:val="20"/>
          <w:color w:val="auto"/>
        </w:rPr>
      </w:pPr>
      <w:r>
        <w:rPr>
          <w:rFonts w:ascii="Arial" w:cs="Arial" w:eastAsia="Arial" w:hAnsi="Arial"/>
          <w:sz w:val="20"/>
          <w:szCs w:val="20"/>
          <w:b w:val="1"/>
          <w:bCs w:val="1"/>
          <w:color w:val="578196"/>
        </w:rPr>
        <w:t>To the Board of Directors and Shareholders of Biogen Inc.</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Opinions on the Financial Statements and Internal Control over Financial Reporting</w:t>
      </w:r>
    </w:p>
    <w:p>
      <w:pPr>
        <w:spacing w:after="0" w:line="234"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 xml:space="preserve">We have audited the accompanying consolidated balance sheets of Biogen Inc. and its subsidiaries (the "Company") as of December 31, 2017 and 2016, and the related consolidated statements of income, comprehensive income, equity and cash flows for each of the three years in the period ended December 31, 2017, including the related notes (collectively referred to as the “consolidated financial statements”). We also have audited the Company's internal control over financial reporting as of December 31, 2017,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195"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the Company as of December 31, 2017 and 2016</w:t>
      </w:r>
      <w:r>
        <w:rPr>
          <w:rFonts w:ascii="Arial" w:cs="Arial" w:eastAsia="Arial" w:hAnsi="Arial"/>
          <w:sz w:val="17"/>
          <w:szCs w:val="17"/>
          <w:b w:val="1"/>
          <w:bCs w:val="1"/>
          <w:color w:val="auto"/>
        </w:rPr>
        <w:t>,</w:t>
      </w:r>
      <w:r>
        <w:rPr>
          <w:rFonts w:ascii="Arial" w:cs="Arial" w:eastAsia="Arial" w:hAnsi="Arial"/>
          <w:sz w:val="17"/>
          <w:szCs w:val="17"/>
          <w:color w:val="auto"/>
        </w:rPr>
        <w:t xml:space="preserve"> and the results of its operations and its cash flows for each of the three years in the period ended December 31, 2017 in conformity with accounting principles generally accepted in the United States of America. Also in our opinion, the Company maintained, in all material respects, effective internal control over financial reporting as of December 31, 2017, based on criteria established in </w:t>
      </w:r>
      <w:r>
        <w:rPr>
          <w:rFonts w:ascii="Arial" w:cs="Arial" w:eastAsia="Arial" w:hAnsi="Arial"/>
          <w:sz w:val="17"/>
          <w:szCs w:val="17"/>
          <w:i w:val="1"/>
          <w:iCs w:val="1"/>
          <w:color w:val="auto"/>
        </w:rPr>
        <w:t>Internal Control - 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w:t>
      </w:r>
      <w:r>
        <w:rPr>
          <w:rFonts w:ascii="Arial" w:cs="Arial" w:eastAsia="Arial" w:hAnsi="Arial"/>
          <w:sz w:val="17"/>
          <w:szCs w:val="17"/>
          <w:color w:val="auto"/>
        </w:rPr>
        <w:t>(2013) issued by the COSO.</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Opinions</w:t>
      </w:r>
    </w:p>
    <w:p>
      <w:pPr>
        <w:spacing w:after="0" w:line="234"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8" w:lineRule="exact"/>
        <w:rPr>
          <w:sz w:val="20"/>
          <w:szCs w:val="20"/>
          <w:color w:val="auto"/>
        </w:rPr>
      </w:pPr>
    </w:p>
    <w:p>
      <w:pPr>
        <w:jc w:val="both"/>
        <w:ind w:right="500"/>
        <w:spacing w:after="0" w:line="257"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2"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Definition and Limitations of Internal Control over Financial Reporting</w:t>
      </w:r>
    </w:p>
    <w:p>
      <w:pPr>
        <w:spacing w:after="0" w:line="234"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F- 77</w:t>
      </w:r>
    </w:p>
    <w:p>
      <w:pPr>
        <w:sectPr>
          <w:pgSz w:w="11900" w:h="16838" w:orient="portrait"/>
          <w:cols w:equalWidth="0" w:num="1">
            <w:col w:w="11420"/>
          </w:cols>
          <w:pgMar w:left="240" w:top="144" w:right="239" w:bottom="1440" w:gutter="0" w:footer="0" w:header="0"/>
        </w:sectPr>
      </w:pPr>
    </w:p>
    <w:bookmarkStart w:id="179" w:name="page180"/>
    <w:bookmarkEnd w:id="17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8"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assurance regarding prevention or timely detection of unauthorized acquisition, use, or disposition of the company’s assets that could have a material effect on the financial statements.</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/s/PricewaterhouseCoopers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February 1, 2018</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2003.</w:t>
      </w: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F- 78</w:t>
      </w:r>
    </w:p>
    <w:p>
      <w:pPr>
        <w:sectPr>
          <w:pgSz w:w="11900" w:h="16838" w:orient="portrait"/>
          <w:cols w:equalWidth="0" w:num="1">
            <w:col w:w="11340"/>
          </w:cols>
          <w:pgMar w:left="240" w:top="144" w:right="319" w:bottom="1440" w:gutter="0" w:footer="0" w:header="0"/>
        </w:sectPr>
      </w:pPr>
    </w:p>
    <w:bookmarkStart w:id="180" w:name="page181"/>
    <w:bookmarkEnd w:id="180"/>
    <w:p>
      <w:pPr>
        <w:jc w:val="right"/>
        <w:spacing w:after="0"/>
        <w:rPr>
          <w:sz w:val="20"/>
          <w:szCs w:val="20"/>
          <w:color w:val="auto"/>
        </w:rPr>
      </w:pPr>
      <w:r>
        <w:rPr>
          <w:rFonts w:ascii="Arial" w:cs="Arial" w:eastAsia="Arial" w:hAnsi="Arial"/>
          <w:sz w:val="19"/>
          <w:szCs w:val="19"/>
          <w:u w:val="single" w:color="auto"/>
          <w:color w:val="auto"/>
        </w:rPr>
        <w:t>Exhibit 10.10</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Performance Stock Units AWARD AGREEMENT (Cash settled)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Granted Under</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Biogen Inc. 2017 Omnibus Equity Plan</w:t>
      </w:r>
    </w:p>
    <w:p>
      <w:pPr>
        <w:spacing w:after="0" w:line="204" w:lineRule="exact"/>
        <w:rPr>
          <w:sz w:val="20"/>
          <w:szCs w:val="20"/>
          <w:color w:val="auto"/>
        </w:rPr>
      </w:pPr>
    </w:p>
    <w:p>
      <w:pPr>
        <w:ind w:left="620" w:hanging="618"/>
        <w:spacing w:after="0"/>
        <w:tabs>
          <w:tab w:leader="none" w:pos="620" w:val="left"/>
        </w:tabs>
        <w:numPr>
          <w:ilvl w:val="0"/>
          <w:numId w:val="130"/>
        </w:numPr>
        <w:rPr>
          <w:rFonts w:ascii="Arial" w:cs="Arial" w:eastAsia="Arial" w:hAnsi="Arial"/>
          <w:sz w:val="17"/>
          <w:szCs w:val="17"/>
          <w:color w:val="auto"/>
        </w:rPr>
      </w:pPr>
      <w:r>
        <w:rPr>
          <w:rFonts w:ascii="Arial" w:cs="Arial" w:eastAsia="Arial" w:hAnsi="Arial"/>
          <w:sz w:val="19"/>
          <w:szCs w:val="19"/>
          <w:b w:val="1"/>
          <w:bCs w:val="1"/>
          <w:color w:val="auto"/>
        </w:rPr>
        <w:t>Grant of Performance Stock Units (Cash Settled)</w:t>
      </w:r>
    </w:p>
    <w:p>
      <w:pPr>
        <w:spacing w:after="0" w:line="19"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Pursuant to the Biogen Inc. 2017 Omnibus Equity Plan (as it may be amended from time to time, the “Plan”), Biogen Inc. (the “Company”)</w:t>
      </w:r>
    </w:p>
    <w:p>
      <w:pPr>
        <w:spacing w:after="0" w:line="2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hereby grants to you, an employee of the Company or one of its Affiliates (the “Participant”), on each of the grant dates specified on your Fidelity stock plan account (the “Grant Date”), the number of cash-settled performance stock units (the “Granted PSUs” or the “Award”) specified on your Fidelity stock plan account, subject to the terms and conditions of this award agreement (“Agreement”) and the Plan. No Granted PSUs shall be paid unless vested in accordance with this Agreement. The Participant’s rights to the Granted PSUs are subject to the restrictions described in this Agreement and the Plan, in addition to such other restrictions, if any, as may be imposed by law. All initially capitalized terms used herein will have the meaning specified in the Plan, unless another meaning is specified in this Agreement.</w:t>
      </w:r>
    </w:p>
    <w:p>
      <w:pPr>
        <w:spacing w:after="0" w:line="166" w:lineRule="exact"/>
        <w:rPr>
          <w:sz w:val="20"/>
          <w:szCs w:val="20"/>
          <w:color w:val="auto"/>
        </w:rPr>
      </w:pPr>
    </w:p>
    <w:p>
      <w:pPr>
        <w:ind w:left="620" w:hanging="618"/>
        <w:spacing w:after="0"/>
        <w:tabs>
          <w:tab w:leader="none" w:pos="620" w:val="left"/>
        </w:tabs>
        <w:numPr>
          <w:ilvl w:val="0"/>
          <w:numId w:val="131"/>
        </w:numPr>
        <w:rPr>
          <w:rFonts w:ascii="Arial" w:cs="Arial" w:eastAsia="Arial" w:hAnsi="Arial"/>
          <w:sz w:val="17"/>
          <w:szCs w:val="17"/>
          <w:color w:val="auto"/>
        </w:rPr>
      </w:pPr>
      <w:r>
        <w:rPr>
          <w:rFonts w:ascii="Arial" w:cs="Arial" w:eastAsia="Arial" w:hAnsi="Arial"/>
          <w:sz w:val="19"/>
          <w:szCs w:val="19"/>
          <w:b w:val="1"/>
          <w:bCs w:val="1"/>
          <w:color w:val="auto"/>
        </w:rPr>
        <w:t>Vesting</w:t>
      </w:r>
    </w:p>
    <w:p>
      <w:pPr>
        <w:spacing w:after="0" w:line="19" w:lineRule="exact"/>
        <w:rPr>
          <w:sz w:val="20"/>
          <w:szCs w:val="20"/>
          <w:color w:val="auto"/>
        </w:rPr>
      </w:pPr>
    </w:p>
    <w:p>
      <w:pPr>
        <w:ind w:left="620" w:right="40" w:firstLine="612"/>
        <w:spacing w:after="0"/>
        <w:tabs>
          <w:tab w:leader="none" w:pos="1588" w:val="left"/>
        </w:tabs>
        <w:numPr>
          <w:ilvl w:val="0"/>
          <w:numId w:val="132"/>
        </w:numPr>
        <w:rPr>
          <w:rFonts w:ascii="Arial" w:cs="Arial" w:eastAsia="Arial" w:hAnsi="Arial"/>
          <w:sz w:val="19"/>
          <w:szCs w:val="19"/>
          <w:color w:val="auto"/>
        </w:rPr>
      </w:pPr>
      <w:r>
        <w:rPr>
          <w:rFonts w:ascii="Arial" w:cs="Arial" w:eastAsia="Arial" w:hAnsi="Arial"/>
          <w:sz w:val="19"/>
          <w:szCs w:val="19"/>
          <w:color w:val="auto"/>
        </w:rPr>
        <w:t>The Participant shall have a non-forfeitable right to a portion of the Award only upon the vesting dates specified on your Fidelity stock plan account, except as otherwise provided herein or determined by the Committee in its sole discretion. No portion of any Award shall become vested on the vesting date unless the Participant is then, and since the Grant Date has continuously been, employed by the Company or any Affiliate. If the Participant ceases to be employed by the Company and its Affiliates for any reason, any then outstanding and unvested portion of the Award shall be automatically and immediately forfeited and terminated, except as otherwise provided in this Agreement and the Plan.</w:t>
      </w:r>
    </w:p>
    <w:p>
      <w:pPr>
        <w:spacing w:after="0" w:line="184" w:lineRule="exact"/>
        <w:rPr>
          <w:rFonts w:ascii="Arial" w:cs="Arial" w:eastAsia="Arial" w:hAnsi="Arial"/>
          <w:sz w:val="19"/>
          <w:szCs w:val="19"/>
          <w:color w:val="auto"/>
        </w:rPr>
      </w:pPr>
    </w:p>
    <w:p>
      <w:pPr>
        <w:ind w:left="620" w:right="20" w:firstLine="612"/>
        <w:spacing w:after="0" w:line="272" w:lineRule="auto"/>
        <w:tabs>
          <w:tab w:leader="none" w:pos="1577"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Award will become eligible to vest upon achievement of each of three annual performance goals (the “Annual Performance Goals”), as adopted by the Committee in the first calendar quarter of each of the three years beginning on the first year in which the Award is granted and communicated. The calculation of the number of Granted PSUs that will vest is specified in the Long-Term Incentive Program Overview for Executives for the year in which the Award is granted (“LTI Overview”), which is also found on your Fidelity stock plan account. Granted PSUs that become eligible to vest upon the achievement of each of the Annual Performance Goals are referred to as the “Eligible PSUs.” In the event and to the extent that the any of the Annual Performance Goals are not satisfied, such Granted PSUs connected to such unachieved Annual Performance Goals shall not become eligible to vest and shall be immediately forfeited. As specified in each of the Annual Performance Goals, in the event and to the extent that the Annual Performance Goals are exceeded, an additional number of Granted PSUs will become eligible to vest. In no event shall the number of Eligible PSUs exceed 200% of the number of Granted PSUs. All Eligible PSUs will vest on the later of the third anniversary of the Grant Date or the date of the Committee’s determination of the degree to which the Annual Performance Goals have been satisfied (the “Vesting Date”).</w:t>
      </w:r>
    </w:p>
    <w:p>
      <w:pPr>
        <w:spacing w:after="0" w:line="162" w:lineRule="exact"/>
        <w:rPr>
          <w:rFonts w:ascii="Arial" w:cs="Arial" w:eastAsia="Arial" w:hAnsi="Arial"/>
          <w:sz w:val="17"/>
          <w:szCs w:val="17"/>
          <w:color w:val="auto"/>
        </w:rPr>
      </w:pPr>
    </w:p>
    <w:p>
      <w:pPr>
        <w:ind w:left="620" w:right="220" w:firstLine="612"/>
        <w:spacing w:after="0" w:line="261" w:lineRule="auto"/>
        <w:tabs>
          <w:tab w:leader="none" w:pos="1577" w:val="left"/>
        </w:tabs>
        <w:numPr>
          <w:ilvl w:val="0"/>
          <w:numId w:val="132"/>
        </w:numPr>
        <w:rPr>
          <w:rFonts w:ascii="Arial" w:cs="Arial" w:eastAsia="Arial" w:hAnsi="Arial"/>
          <w:sz w:val="19"/>
          <w:szCs w:val="19"/>
          <w:color w:val="auto"/>
        </w:rPr>
      </w:pPr>
      <w:r>
        <w:rPr>
          <w:rFonts w:ascii="Arial" w:cs="Arial" w:eastAsia="Arial" w:hAnsi="Arial"/>
          <w:sz w:val="19"/>
          <w:szCs w:val="19"/>
          <w:color w:val="auto"/>
        </w:rPr>
        <w:t>Except as otherwise provided in the Plan, upon termination of the Participant’s employment with the Company and its Affiliates for any reason, any portion of the Award that is not then vested will immediately terminate, except as follows:</w:t>
      </w:r>
    </w:p>
    <w:p>
      <w:pPr>
        <w:spacing w:after="0" w:line="165" w:lineRule="exact"/>
        <w:rPr>
          <w:rFonts w:ascii="Arial" w:cs="Arial" w:eastAsia="Arial" w:hAnsi="Arial"/>
          <w:sz w:val="19"/>
          <w:szCs w:val="19"/>
          <w:color w:val="auto"/>
        </w:rPr>
      </w:pPr>
    </w:p>
    <w:p>
      <w:pPr>
        <w:ind w:left="1240" w:right="140" w:firstLine="607"/>
        <w:spacing w:after="0" w:line="285" w:lineRule="auto"/>
        <w:tabs>
          <w:tab w:leader="none" w:pos="2203" w:val="left"/>
        </w:tabs>
        <w:numPr>
          <w:ilvl w:val="1"/>
          <w:numId w:val="132"/>
        </w:numPr>
        <w:rPr>
          <w:rFonts w:ascii="Arial" w:cs="Arial" w:eastAsia="Arial" w:hAnsi="Arial"/>
          <w:sz w:val="17"/>
          <w:szCs w:val="17"/>
          <w:color w:val="auto"/>
        </w:rPr>
      </w:pPr>
      <w:r>
        <w:rPr>
          <w:rFonts w:ascii="Arial" w:cs="Arial" w:eastAsia="Arial" w:hAnsi="Arial"/>
          <w:sz w:val="17"/>
          <w:szCs w:val="17"/>
          <w:color w:val="auto"/>
        </w:rPr>
        <w:t>any portion of the Award held by the Participant immediately prior to the Participant’s termination of employment on account of death or Disability will, to the extent not vested previously, become fully vested upon the later of (a) the date of death or Disability of the Participant or (b) the determination of the Eligible PSUs based on the achievement of the Annual Performance Goals and the Committee’s approval, even if such determination occurs following the date of death or Disability of the Participant; and</w:t>
      </w:r>
    </w:p>
    <w:p>
      <w:pPr>
        <w:sectPr>
          <w:pgSz w:w="11900" w:h="16838" w:orient="portrait"/>
          <w:cols w:equalWidth="0" w:num="1">
            <w:col w:w="11420"/>
          </w:cols>
          <w:pgMar w:left="240" w:top="558" w:right="239" w:bottom="1440" w:gutter="0" w:footer="0" w:header="0"/>
        </w:sectPr>
      </w:pPr>
    </w:p>
    <w:bookmarkStart w:id="181" w:name="page182"/>
    <w:bookmarkEnd w:id="181"/>
    <w:p>
      <w:pPr>
        <w:ind w:left="1240" w:right="140" w:hanging="8"/>
        <w:spacing w:after="0" w:line="274" w:lineRule="auto"/>
        <w:tabs>
          <w:tab w:leader="none" w:pos="164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any portion of the Award held by the Participant immediately prior to the Participant’s Retirement, to the extent not vested previously, will become fully vested upon the later of the date of Retirement or determination of the Eligible PSUs based on the achievement of the Annual Performance Goals and the Committee’s approval for fifty percent (50%) of the number of Eligible PSUs covered by such unvested portion and for an additional ten percent (10%) of the number of Eligible PSUs covered by such unvested portion for every full year of employment by the Company and its Affiliates beyond ten (10) years, up to the remaining amount of the unvested Eligible PSUs of the Award. For the avoidance of doubt, Retirement means the Participant’s leaving the employment of the Company and its Affiliates after reaching age 55 with ten (10) consecutive years of service with the Company or its Affiliates, but not including pursuant to any termination For Cause or any termination for insufficient performance, as determined by the Company.</w:t>
      </w:r>
    </w:p>
    <w:p>
      <w:pPr>
        <w:spacing w:after="0" w:line="161" w:lineRule="exact"/>
        <w:rPr>
          <w:sz w:val="20"/>
          <w:szCs w:val="20"/>
          <w:color w:val="auto"/>
        </w:rPr>
      </w:pPr>
    </w:p>
    <w:p>
      <w:pPr>
        <w:ind w:left="620" w:right="220" w:firstLine="612"/>
        <w:spacing w:after="0" w:line="250" w:lineRule="auto"/>
        <w:tabs>
          <w:tab w:leader="none" w:pos="1588" w:val="left"/>
        </w:tabs>
        <w:numPr>
          <w:ilvl w:val="2"/>
          <w:numId w:val="134"/>
        </w:numPr>
        <w:rPr>
          <w:rFonts w:ascii="Arial" w:cs="Arial" w:eastAsia="Arial" w:hAnsi="Arial"/>
          <w:sz w:val="19"/>
          <w:szCs w:val="19"/>
          <w:color w:val="auto"/>
        </w:rPr>
      </w:pPr>
      <w:r>
        <w:rPr>
          <w:rFonts w:ascii="Arial" w:cs="Arial" w:eastAsia="Arial" w:hAnsi="Arial"/>
          <w:sz w:val="19"/>
          <w:szCs w:val="19"/>
          <w:color w:val="auto"/>
        </w:rPr>
        <w:t>Notwithstanding anything herein to the contrary, any portion of the Award held by a Participant or a Participant’s permitted transferee immediately prior to the cessation of the Participant’s employment For Cause shall terminate at the commencement of business on the date of such termination.</w:t>
      </w:r>
    </w:p>
    <w:p>
      <w:pPr>
        <w:spacing w:after="0" w:line="171" w:lineRule="exact"/>
        <w:rPr>
          <w:rFonts w:ascii="Arial" w:cs="Arial" w:eastAsia="Arial" w:hAnsi="Arial"/>
          <w:sz w:val="19"/>
          <w:szCs w:val="19"/>
          <w:color w:val="auto"/>
        </w:rPr>
      </w:pPr>
    </w:p>
    <w:p>
      <w:pPr>
        <w:ind w:left="620" w:hanging="618"/>
        <w:spacing w:after="0"/>
        <w:tabs>
          <w:tab w:leader="none" w:pos="620" w:val="left"/>
        </w:tabs>
        <w:numPr>
          <w:ilvl w:val="0"/>
          <w:numId w:val="135"/>
        </w:numPr>
        <w:rPr>
          <w:rFonts w:ascii="Arial" w:cs="Arial" w:eastAsia="Arial" w:hAnsi="Arial"/>
          <w:sz w:val="17"/>
          <w:szCs w:val="17"/>
          <w:color w:val="auto"/>
        </w:rPr>
      </w:pPr>
      <w:r>
        <w:rPr>
          <w:rFonts w:ascii="Arial" w:cs="Arial" w:eastAsia="Arial" w:hAnsi="Arial"/>
          <w:sz w:val="19"/>
          <w:szCs w:val="19"/>
          <w:b w:val="1"/>
          <w:bCs w:val="1"/>
          <w:color w:val="auto"/>
        </w:rPr>
        <w:t>Delivery of Award</w:t>
      </w:r>
    </w:p>
    <w:p>
      <w:pPr>
        <w:spacing w:after="0" w:line="24" w:lineRule="exact"/>
        <w:rPr>
          <w:rFonts w:ascii="Arial" w:cs="Arial" w:eastAsia="Arial" w:hAnsi="Arial"/>
          <w:sz w:val="17"/>
          <w:szCs w:val="17"/>
          <w:color w:val="auto"/>
        </w:rPr>
      </w:pPr>
    </w:p>
    <w:p>
      <w:pPr>
        <w:ind w:left="620" w:right="120" w:hanging="3"/>
        <w:spacing w:after="0" w:line="287" w:lineRule="auto"/>
        <w:tabs>
          <w:tab w:leader="none" w:pos="1401" w:val="left"/>
        </w:tabs>
        <w:numPr>
          <w:ilvl w:val="1"/>
          <w:numId w:val="135"/>
        </w:numPr>
        <w:rPr>
          <w:rFonts w:ascii="Arial" w:cs="Arial" w:eastAsia="Arial" w:hAnsi="Arial"/>
          <w:sz w:val="16"/>
          <w:szCs w:val="16"/>
          <w:color w:val="auto"/>
        </w:rPr>
      </w:pPr>
      <w:r>
        <w:rPr>
          <w:rFonts w:ascii="Arial" w:cs="Arial" w:eastAsia="Arial" w:hAnsi="Arial"/>
          <w:sz w:val="18"/>
          <w:szCs w:val="18"/>
          <w:color w:val="auto"/>
        </w:rPr>
        <w:t>With respect to a Participant who is not eligible for Retirement, within 30 days following the date on which Eligible PSUs becomes vested, with respect to, and in satisfaction of, such vested Eligible PSUs (determined in accordance with Section 2 of this Agreement and Section 10 of the Plan), the Company shall pay to the Participant, subject to applicable withholding as described in Section 7 of this Agreement, the cash value of one share of common stock of the Company (“Common Stock”) in satisfaction of each vested Eligible PSU. For purposes of this Agreement, the cash value of a share of Common Stock (“Cash Value”) will be equal to the 30 calendar-day average of the Company’s closing stock price ending on the Vesting Date.</w:t>
      </w:r>
    </w:p>
    <w:p>
      <w:pPr>
        <w:spacing w:after="0" w:line="170" w:lineRule="exact"/>
        <w:rPr>
          <w:rFonts w:ascii="Arial" w:cs="Arial" w:eastAsia="Arial" w:hAnsi="Arial"/>
          <w:sz w:val="16"/>
          <w:szCs w:val="16"/>
          <w:color w:val="auto"/>
        </w:rPr>
      </w:pPr>
    </w:p>
    <w:p>
      <w:pPr>
        <w:ind w:left="620" w:right="40" w:hanging="3"/>
        <w:spacing w:after="0" w:line="309" w:lineRule="auto"/>
        <w:tabs>
          <w:tab w:leader="none" w:pos="1391" w:val="left"/>
        </w:tabs>
        <w:numPr>
          <w:ilvl w:val="1"/>
          <w:numId w:val="135"/>
        </w:numPr>
        <w:rPr>
          <w:rFonts w:ascii="Arial" w:cs="Arial" w:eastAsia="Arial" w:hAnsi="Arial"/>
          <w:sz w:val="15"/>
          <w:szCs w:val="15"/>
          <w:color w:val="auto"/>
        </w:rPr>
      </w:pPr>
      <w:r>
        <w:rPr>
          <w:rFonts w:ascii="Arial" w:cs="Arial" w:eastAsia="Arial" w:hAnsi="Arial"/>
          <w:sz w:val="17"/>
          <w:szCs w:val="17"/>
          <w:color w:val="auto"/>
        </w:rPr>
        <w:t>With respect to a Participant who is or becomes eligible for Retirement at any time during the Vesting Period, the Company shall pay to the Participant, subject to applicable withholding as described in Section 7 of this Agreement, the Cash Value in satisfaction of each vested Eligible PSU (determined in accordance with Section 2 of this Agreement and Section 10 of the Plan) within 30 days of the earliest of (i) the date the Eligible PSU otherwise would have vested under Section 2.B. of this Agreement, (ii) the date on which the Participant experiences a separation from service (within the meaning of Section 409A), subject to Section 3.C. of this Agreement or (iii) the date on which a Covered Transaction that satisfies the definition of a “change in control event” under Section 409A occurs.</w:t>
      </w:r>
    </w:p>
    <w:p>
      <w:pPr>
        <w:spacing w:after="0" w:line="154" w:lineRule="exact"/>
        <w:rPr>
          <w:rFonts w:ascii="Arial" w:cs="Arial" w:eastAsia="Arial" w:hAnsi="Arial"/>
          <w:sz w:val="15"/>
          <w:szCs w:val="15"/>
          <w:color w:val="auto"/>
        </w:rPr>
      </w:pPr>
    </w:p>
    <w:p>
      <w:pPr>
        <w:ind w:left="620" w:hanging="3"/>
        <w:spacing w:after="0" w:line="291" w:lineRule="auto"/>
        <w:tabs>
          <w:tab w:leader="none" w:pos="1391" w:val="left"/>
        </w:tabs>
        <w:numPr>
          <w:ilvl w:val="1"/>
          <w:numId w:val="135"/>
        </w:numPr>
        <w:rPr>
          <w:rFonts w:ascii="Arial" w:cs="Arial" w:eastAsia="Arial" w:hAnsi="Arial"/>
          <w:sz w:val="16"/>
          <w:szCs w:val="16"/>
          <w:color w:val="auto"/>
        </w:rPr>
      </w:pPr>
      <w:r>
        <w:rPr>
          <w:rFonts w:ascii="Arial" w:cs="Arial" w:eastAsia="Arial" w:hAnsi="Arial"/>
          <w:sz w:val="18"/>
          <w:szCs w:val="18"/>
          <w:color w:val="auto"/>
        </w:rPr>
        <w:t>If you are a “specified employee” (as defined in Section 409A), you will be paid on the earlier of (i) the date which is six months after you separate from service (within the meaning of Section 409A) or (ii) the date of your death or Disability. The preceding sentence will not apply to any payments that are exempt from or are not subject to the requirements of Section 409A. For the avoidance of doubt, if payments would be made under Section 3.B.(i) or Section 3.B.(iii) before the six month payment date on account of other than your separation from service, such payment will be made under Section 3.B.(i) or Section 3.B.(iii), as applicable.</w:t>
      </w:r>
    </w:p>
    <w:p>
      <w:pPr>
        <w:spacing w:after="0" w:line="149" w:lineRule="exact"/>
        <w:rPr>
          <w:rFonts w:ascii="Arial" w:cs="Arial" w:eastAsia="Arial" w:hAnsi="Arial"/>
          <w:sz w:val="16"/>
          <w:szCs w:val="16"/>
          <w:color w:val="auto"/>
        </w:rPr>
      </w:pPr>
    </w:p>
    <w:p>
      <w:pPr>
        <w:ind w:left="620" w:hanging="618"/>
        <w:spacing w:after="0"/>
        <w:tabs>
          <w:tab w:leader="none" w:pos="620" w:val="left"/>
        </w:tabs>
        <w:numPr>
          <w:ilvl w:val="0"/>
          <w:numId w:val="135"/>
        </w:numPr>
        <w:rPr>
          <w:rFonts w:ascii="Arial" w:cs="Arial" w:eastAsia="Arial" w:hAnsi="Arial"/>
          <w:sz w:val="17"/>
          <w:szCs w:val="17"/>
          <w:color w:val="auto"/>
        </w:rPr>
      </w:pPr>
      <w:r>
        <w:rPr>
          <w:rFonts w:ascii="Arial" w:cs="Arial" w:eastAsia="Arial" w:hAnsi="Arial"/>
          <w:sz w:val="19"/>
          <w:szCs w:val="19"/>
          <w:b w:val="1"/>
          <w:bCs w:val="1"/>
          <w:color w:val="auto"/>
        </w:rPr>
        <w:t>Cancellation and Rescission of Awards</w:t>
      </w:r>
    </w:p>
    <w:p>
      <w:pPr>
        <w:spacing w:after="0" w:line="19"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The Committee may cancel, rescind, withhold or otherwise limit or restrict the Award prior to payment at any time if the Participant is not in</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compliance with all applicable provisions of this Agreement and the Plan, or if the Participant engages in any Detrimental Activity.</w:t>
      </w:r>
    </w:p>
    <w:p>
      <w:pPr>
        <w:spacing w:after="0" w:line="184" w:lineRule="exact"/>
        <w:rPr>
          <w:sz w:val="20"/>
          <w:szCs w:val="20"/>
          <w:color w:val="auto"/>
        </w:rPr>
      </w:pPr>
    </w:p>
    <w:p>
      <w:pPr>
        <w:ind w:left="620" w:hanging="618"/>
        <w:spacing w:after="0"/>
        <w:tabs>
          <w:tab w:leader="none" w:pos="620" w:val="left"/>
        </w:tabs>
        <w:numPr>
          <w:ilvl w:val="0"/>
          <w:numId w:val="136"/>
        </w:numPr>
        <w:rPr>
          <w:rFonts w:ascii="Arial" w:cs="Arial" w:eastAsia="Arial" w:hAnsi="Arial"/>
          <w:sz w:val="17"/>
          <w:szCs w:val="17"/>
          <w:color w:val="auto"/>
        </w:rPr>
      </w:pPr>
      <w:r>
        <w:rPr>
          <w:rFonts w:ascii="Arial" w:cs="Arial" w:eastAsia="Arial" w:hAnsi="Arial"/>
          <w:sz w:val="19"/>
          <w:szCs w:val="19"/>
          <w:b w:val="1"/>
          <w:bCs w:val="1"/>
          <w:color w:val="auto"/>
        </w:rPr>
        <w:t>No Voting, Dividend or Other Rights as a Stockholder</w:t>
      </w:r>
    </w:p>
    <w:p>
      <w:pPr>
        <w:spacing w:after="0" w:line="19"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6"/>
          <w:szCs w:val="16"/>
          <w:color w:val="auto"/>
        </w:rPr>
        <w:t>The Participant shall not have any rights as a stockholder with respect to any shares of Common Stock that are used to calculate the Cash Value</w:t>
      </w:r>
    </w:p>
    <w:p>
      <w:pPr>
        <w:spacing w:after="0" w:line="34" w:lineRule="exact"/>
        <w:rPr>
          <w:sz w:val="20"/>
          <w:szCs w:val="20"/>
          <w:color w:val="auto"/>
        </w:rPr>
      </w:pPr>
    </w:p>
    <w:p>
      <w:pPr>
        <w:ind w:right="200"/>
        <w:spacing w:after="0" w:line="244" w:lineRule="auto"/>
        <w:rPr>
          <w:sz w:val="20"/>
          <w:szCs w:val="20"/>
          <w:color w:val="auto"/>
        </w:rPr>
      </w:pPr>
      <w:r>
        <w:rPr>
          <w:rFonts w:ascii="Arial" w:cs="Arial" w:eastAsia="Arial" w:hAnsi="Arial"/>
          <w:sz w:val="19"/>
          <w:szCs w:val="19"/>
          <w:color w:val="auto"/>
        </w:rPr>
        <w:t>to be delivered to the Participant in satisfaction of any vested Eligible PSUs or with respect to any other aspect of the Award. Accordingly, the Award shall not be interpreted to bestow upon the</w:t>
      </w:r>
    </w:p>
    <w:p>
      <w:pPr>
        <w:sectPr>
          <w:pgSz w:w="11900" w:h="16838" w:orient="portrait"/>
          <w:cols w:equalWidth="0" w:num="1">
            <w:col w:w="11420"/>
          </w:cols>
          <w:pgMar w:left="240" w:top="763" w:right="239" w:bottom="1440" w:gutter="0" w:footer="0" w:header="0"/>
        </w:sectPr>
      </w:pPr>
    </w:p>
    <w:bookmarkStart w:id="182" w:name="page183"/>
    <w:bookmarkEnd w:id="182"/>
    <w:p>
      <w:pPr>
        <w:ind w:right="60"/>
        <w:spacing w:after="0" w:line="321" w:lineRule="auto"/>
        <w:rPr>
          <w:sz w:val="20"/>
          <w:szCs w:val="20"/>
          <w:color w:val="auto"/>
        </w:rPr>
      </w:pPr>
      <w:r>
        <w:rPr>
          <w:rFonts w:ascii="Arial" w:cs="Arial" w:eastAsia="Arial" w:hAnsi="Arial"/>
          <w:sz w:val="17"/>
          <w:szCs w:val="17"/>
          <w:color w:val="auto"/>
        </w:rPr>
        <w:t>Participant any equity interest or ownership in the Company or any Affiliate. Furthermore, the Participant is not entitled to vote any Common Stock or to receive or be credited with any dividends declared and payable on any share of Common Stock by reason of the granting of the Award.</w:t>
      </w:r>
    </w:p>
    <w:p>
      <w:pPr>
        <w:spacing w:after="0" w:line="113" w:lineRule="exact"/>
        <w:rPr>
          <w:sz w:val="20"/>
          <w:szCs w:val="20"/>
          <w:color w:val="auto"/>
        </w:rPr>
      </w:pPr>
    </w:p>
    <w:p>
      <w:pPr>
        <w:ind w:left="620" w:hanging="618"/>
        <w:spacing w:after="0"/>
        <w:tabs>
          <w:tab w:leader="none" w:pos="620" w:val="left"/>
        </w:tabs>
        <w:numPr>
          <w:ilvl w:val="0"/>
          <w:numId w:val="137"/>
        </w:numPr>
        <w:rPr>
          <w:rFonts w:ascii="Arial" w:cs="Arial" w:eastAsia="Arial" w:hAnsi="Arial"/>
          <w:sz w:val="17"/>
          <w:szCs w:val="17"/>
          <w:color w:val="auto"/>
        </w:rPr>
      </w:pPr>
      <w:r>
        <w:rPr>
          <w:rFonts w:ascii="Arial" w:cs="Arial" w:eastAsia="Arial" w:hAnsi="Arial"/>
          <w:sz w:val="19"/>
          <w:szCs w:val="19"/>
          <w:b w:val="1"/>
          <w:bCs w:val="1"/>
          <w:color w:val="auto"/>
        </w:rPr>
        <w:t>Unfunded Status</w:t>
      </w:r>
    </w:p>
    <w:p>
      <w:pPr>
        <w:spacing w:after="0" w:line="208" w:lineRule="exact"/>
        <w:rPr>
          <w:sz w:val="20"/>
          <w:szCs w:val="20"/>
          <w:color w:val="auto"/>
        </w:rPr>
      </w:pPr>
    </w:p>
    <w:p>
      <w:pPr>
        <w:ind w:right="280" w:firstLine="615"/>
        <w:spacing w:after="0" w:line="246" w:lineRule="auto"/>
        <w:rPr>
          <w:sz w:val="20"/>
          <w:szCs w:val="20"/>
          <w:color w:val="auto"/>
        </w:rPr>
      </w:pPr>
      <w:r>
        <w:rPr>
          <w:rFonts w:ascii="Arial" w:cs="Arial" w:eastAsia="Arial" w:hAnsi="Arial"/>
          <w:sz w:val="19"/>
          <w:szCs w:val="19"/>
          <w:color w:val="auto"/>
        </w:rPr>
        <w:t>The obligations of the Company and its Affiliates hereunder shall be contractual only and all such payments shall be made from the general assets of the Company or its Affiliates. The Participant shall rely solely on the unsecured promise of the Company and nothing herein shall be construed to give the Participant or any other person or persons any right, title, interest or claim in or to any specific asset, fund, reserve, account or property of any kind whatsoever owned by the Company or any Affiliate.</w:t>
      </w:r>
    </w:p>
    <w:p>
      <w:pPr>
        <w:spacing w:after="0" w:line="176" w:lineRule="exact"/>
        <w:rPr>
          <w:sz w:val="20"/>
          <w:szCs w:val="20"/>
          <w:color w:val="auto"/>
        </w:rPr>
      </w:pPr>
    </w:p>
    <w:p>
      <w:pPr>
        <w:ind w:left="620" w:hanging="618"/>
        <w:spacing w:after="0"/>
        <w:tabs>
          <w:tab w:leader="none" w:pos="620" w:val="left"/>
        </w:tabs>
        <w:numPr>
          <w:ilvl w:val="0"/>
          <w:numId w:val="138"/>
        </w:numPr>
        <w:rPr>
          <w:rFonts w:ascii="Arial" w:cs="Arial" w:eastAsia="Arial" w:hAnsi="Arial"/>
          <w:sz w:val="17"/>
          <w:szCs w:val="17"/>
          <w:color w:val="auto"/>
        </w:rPr>
      </w:pPr>
      <w:r>
        <w:rPr>
          <w:rFonts w:ascii="Arial" w:cs="Arial" w:eastAsia="Arial" w:hAnsi="Arial"/>
          <w:sz w:val="19"/>
          <w:szCs w:val="19"/>
          <w:b w:val="1"/>
          <w:bCs w:val="1"/>
          <w:color w:val="auto"/>
        </w:rPr>
        <w:t>Withholding</w:t>
      </w:r>
    </w:p>
    <w:p>
      <w:pPr>
        <w:spacing w:after="0" w:line="19" w:lineRule="exact"/>
        <w:rPr>
          <w:sz w:val="20"/>
          <w:szCs w:val="20"/>
          <w:color w:val="auto"/>
        </w:rPr>
      </w:pPr>
    </w:p>
    <w:p>
      <w:pPr>
        <w:ind w:right="80" w:firstLine="615"/>
        <w:spacing w:after="0" w:line="255" w:lineRule="auto"/>
        <w:rPr>
          <w:sz w:val="20"/>
          <w:szCs w:val="20"/>
          <w:color w:val="auto"/>
        </w:rPr>
      </w:pPr>
      <w:r>
        <w:rPr>
          <w:rFonts w:ascii="Arial" w:cs="Arial" w:eastAsia="Arial" w:hAnsi="Arial"/>
          <w:sz w:val="18"/>
          <w:szCs w:val="18"/>
          <w:color w:val="auto"/>
        </w:rPr>
        <w:t>Awards will be subject to income tax withholding and reporting as required under local law. If statutory withholding of taxes and/or social insurance is required at the time of vesting, the Company will withhold from delivery to the Participant an amount of cash equal in value to the statutory minimum amount required to be withheld. A similar amount of cash will be paid by the Company on behalf of the Participant to the applicable tax authorities. The amount of cash to be withheld will be calculated using the closing sales price of a share of Common Stock on the applicable vesting date. The Cash Value (net of the cash withheld for the payment of withholding taxes, if applicable) will be delivered to the Participant’s stock plan account upon vesting in accordance with the Plan. The Company may, in its discretion, permit Participants to make alternative arrangements for payment of any such taxes and/or social insurance.</w:t>
      </w:r>
    </w:p>
    <w:p>
      <w:pPr>
        <w:spacing w:after="0" w:line="173" w:lineRule="exact"/>
        <w:rPr>
          <w:sz w:val="20"/>
          <w:szCs w:val="20"/>
          <w:color w:val="auto"/>
        </w:rPr>
      </w:pPr>
    </w:p>
    <w:p>
      <w:pPr>
        <w:ind w:right="100" w:firstLine="615"/>
        <w:spacing w:after="0" w:line="289" w:lineRule="auto"/>
        <w:rPr>
          <w:sz w:val="20"/>
          <w:szCs w:val="20"/>
          <w:color w:val="auto"/>
        </w:rPr>
      </w:pPr>
      <w:r>
        <w:rPr>
          <w:rFonts w:ascii="Arial" w:cs="Arial" w:eastAsia="Arial" w:hAnsi="Arial"/>
          <w:sz w:val="18"/>
          <w:szCs w:val="18"/>
          <w:color w:val="auto"/>
        </w:rPr>
        <w:t>In certain cases, local law may require that an award be subject to tax earlier than the date of payment. If that occurs, the Company will notify the Participant and will deduct the required tax amount from the Participant’s pay in accordance with applicable law.</w:t>
      </w:r>
    </w:p>
    <w:p>
      <w:pPr>
        <w:spacing w:after="0" w:line="138" w:lineRule="exact"/>
        <w:rPr>
          <w:sz w:val="20"/>
          <w:szCs w:val="20"/>
          <w:color w:val="auto"/>
        </w:rPr>
      </w:pPr>
    </w:p>
    <w:p>
      <w:pPr>
        <w:ind w:left="620" w:hanging="618"/>
        <w:spacing w:after="0"/>
        <w:tabs>
          <w:tab w:leader="none" w:pos="620" w:val="left"/>
        </w:tabs>
        <w:numPr>
          <w:ilvl w:val="0"/>
          <w:numId w:val="139"/>
        </w:numPr>
        <w:rPr>
          <w:rFonts w:ascii="Arial" w:cs="Arial" w:eastAsia="Arial" w:hAnsi="Arial"/>
          <w:sz w:val="17"/>
          <w:szCs w:val="17"/>
          <w:color w:val="auto"/>
        </w:rPr>
      </w:pPr>
      <w:r>
        <w:rPr>
          <w:rFonts w:ascii="Arial" w:cs="Arial" w:eastAsia="Arial" w:hAnsi="Arial"/>
          <w:sz w:val="19"/>
          <w:szCs w:val="19"/>
          <w:b w:val="1"/>
          <w:bCs w:val="1"/>
          <w:color w:val="auto"/>
        </w:rPr>
        <w:t>Provisions of the Plan</w:t>
      </w:r>
    </w:p>
    <w:p>
      <w:pPr>
        <w:spacing w:after="0" w:line="19"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The Award is subject to the provisions of the Plan, which are incorporated herein by reference, and in the event of any inconsistency or conflict</w:t>
      </w:r>
    </w:p>
    <w:p>
      <w:pPr>
        <w:spacing w:after="0" w:line="22" w:lineRule="exact"/>
        <w:rPr>
          <w:sz w:val="20"/>
          <w:szCs w:val="20"/>
          <w:color w:val="auto"/>
        </w:rPr>
      </w:pPr>
    </w:p>
    <w:p>
      <w:pPr>
        <w:ind w:right="220"/>
        <w:spacing w:after="0" w:line="244" w:lineRule="auto"/>
        <w:rPr>
          <w:sz w:val="20"/>
          <w:szCs w:val="20"/>
          <w:color w:val="auto"/>
        </w:rPr>
      </w:pPr>
      <w:r>
        <w:rPr>
          <w:rFonts w:ascii="Arial" w:cs="Arial" w:eastAsia="Arial" w:hAnsi="Arial"/>
          <w:sz w:val="19"/>
          <w:szCs w:val="19"/>
          <w:color w:val="auto"/>
        </w:rPr>
        <w:t>between the provisions of this Agreement and the Plan, the provisions of the Plan shall control. A copy of the Plan as in effect on the Grant Date has been made available electronically to the Participant.</w:t>
      </w:r>
    </w:p>
    <w:p>
      <w:pPr>
        <w:spacing w:after="0" w:line="176" w:lineRule="exact"/>
        <w:rPr>
          <w:sz w:val="20"/>
          <w:szCs w:val="20"/>
          <w:color w:val="auto"/>
        </w:rPr>
      </w:pPr>
    </w:p>
    <w:p>
      <w:pPr>
        <w:spacing w:after="0"/>
        <w:tabs>
          <w:tab w:leader="none" w:pos="300" w:val="left"/>
        </w:tabs>
        <w:rPr>
          <w:sz w:val="20"/>
          <w:szCs w:val="20"/>
          <w:color w:val="auto"/>
        </w:rPr>
      </w:pPr>
      <w:r>
        <w:rPr>
          <w:rFonts w:ascii="Arial" w:cs="Arial" w:eastAsia="Arial" w:hAnsi="Arial"/>
          <w:sz w:val="19"/>
          <w:szCs w:val="19"/>
          <w:b w:val="1"/>
          <w:bCs w:val="1"/>
          <w:color w:val="auto"/>
        </w:rPr>
        <w:t>9.</w:t>
      </w:r>
      <w:r>
        <w:rPr>
          <w:sz w:val="20"/>
          <w:szCs w:val="20"/>
          <w:color w:val="auto"/>
        </w:rPr>
        <w:tab/>
      </w:r>
      <w:r>
        <w:rPr>
          <w:rFonts w:ascii="Arial" w:cs="Arial" w:eastAsia="Arial" w:hAnsi="Arial"/>
          <w:sz w:val="17"/>
          <w:szCs w:val="17"/>
          <w:b w:val="1"/>
          <w:bCs w:val="1"/>
          <w:color w:val="auto"/>
        </w:rPr>
        <w:t>No Right to Employment</w:t>
      </w:r>
    </w:p>
    <w:p>
      <w:pPr>
        <w:spacing w:after="0" w:line="208" w:lineRule="exact"/>
        <w:rPr>
          <w:sz w:val="20"/>
          <w:szCs w:val="20"/>
          <w:color w:val="auto"/>
        </w:rPr>
      </w:pPr>
    </w:p>
    <w:p>
      <w:pPr>
        <w:ind w:firstLine="615"/>
        <w:spacing w:after="0" w:line="285" w:lineRule="auto"/>
        <w:rPr>
          <w:sz w:val="20"/>
          <w:szCs w:val="20"/>
          <w:color w:val="auto"/>
        </w:rPr>
      </w:pPr>
      <w:r>
        <w:rPr>
          <w:rFonts w:ascii="Arial" w:cs="Arial" w:eastAsia="Arial" w:hAnsi="Arial"/>
          <w:sz w:val="17"/>
          <w:szCs w:val="17"/>
          <w:color w:val="auto"/>
        </w:rPr>
        <w:t>The grant of the Award shall not constitute a contract of employment or confer upon the Participant any right with respect to the continuance of his/her employment by or other service with the Company or any Affiliate, nor shall it or they be construed as affecting the rights of the Company (or any Affiliate) to terminate the service of the Participant at any time or otherwise change the terms of such service, including, without limitation, the right to promote, demote or otherwise re-assign the Participant from one position to another within the Company or any Affiliate.</w:t>
      </w:r>
    </w:p>
    <w:p>
      <w:pPr>
        <w:spacing w:after="0" w:line="143" w:lineRule="exact"/>
        <w:rPr>
          <w:sz w:val="20"/>
          <w:szCs w:val="20"/>
          <w:color w:val="auto"/>
        </w:rPr>
      </w:pPr>
    </w:p>
    <w:p>
      <w:pPr>
        <w:spacing w:after="0"/>
        <w:tabs>
          <w:tab w:leader="none" w:pos="380" w:val="left"/>
        </w:tabs>
        <w:rPr>
          <w:sz w:val="20"/>
          <w:szCs w:val="20"/>
          <w:color w:val="auto"/>
        </w:rPr>
      </w:pPr>
      <w:r>
        <w:rPr>
          <w:rFonts w:ascii="Arial" w:cs="Arial" w:eastAsia="Arial" w:hAnsi="Arial"/>
          <w:sz w:val="19"/>
          <w:szCs w:val="19"/>
          <w:b w:val="1"/>
          <w:bCs w:val="1"/>
          <w:color w:val="auto"/>
        </w:rPr>
        <w:t>10.</w:t>
      </w:r>
      <w:r>
        <w:rPr>
          <w:sz w:val="20"/>
          <w:szCs w:val="20"/>
          <w:color w:val="auto"/>
        </w:rPr>
        <w:tab/>
      </w:r>
      <w:r>
        <w:rPr>
          <w:rFonts w:ascii="Arial" w:cs="Arial" w:eastAsia="Arial" w:hAnsi="Arial"/>
          <w:sz w:val="17"/>
          <w:szCs w:val="17"/>
          <w:b w:val="1"/>
          <w:bCs w:val="1"/>
          <w:color w:val="auto"/>
        </w:rPr>
        <w:t>Governing Law</w:t>
      </w:r>
    </w:p>
    <w:p>
      <w:pPr>
        <w:spacing w:after="0" w:line="20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provisions of the Award and this Agreement shall be governed by and interpreted in accordance with the laws of the State of Delaware.</w:t>
      </w:r>
    </w:p>
    <w:p>
      <w:pPr>
        <w:spacing w:after="0" w:line="200" w:lineRule="exact"/>
        <w:rPr>
          <w:sz w:val="20"/>
          <w:szCs w:val="20"/>
          <w:color w:val="auto"/>
        </w:rPr>
      </w:pPr>
    </w:p>
    <w:p>
      <w:pPr>
        <w:spacing w:after="0" w:line="232" w:lineRule="exact"/>
        <w:rPr>
          <w:sz w:val="20"/>
          <w:szCs w:val="20"/>
          <w:color w:val="auto"/>
        </w:rPr>
      </w:pPr>
    </w:p>
    <w:p>
      <w:pPr>
        <w:jc w:val="center"/>
        <w:ind w:right="2860"/>
        <w:spacing w:after="0"/>
        <w:rPr>
          <w:sz w:val="20"/>
          <w:szCs w:val="20"/>
          <w:color w:val="auto"/>
        </w:rPr>
      </w:pPr>
      <w:r>
        <w:rPr>
          <w:rFonts w:ascii="Arial" w:cs="Arial" w:eastAsia="Arial" w:hAnsi="Arial"/>
          <w:sz w:val="17"/>
          <w:szCs w:val="17"/>
          <w:color w:val="auto"/>
        </w:rPr>
        <w:t>IN WITNESS WHEREOF, the Company has caused this instrument to be executed by its duly authorized officer.</w:t>
      </w:r>
    </w:p>
    <w:p>
      <w:pPr>
        <w:spacing w:after="0" w:line="223" w:lineRule="exact"/>
        <w:rPr>
          <w:sz w:val="20"/>
          <w:szCs w:val="20"/>
          <w:color w:val="auto"/>
        </w:rPr>
      </w:pPr>
    </w:p>
    <w:p>
      <w:pPr>
        <w:ind w:left="3700"/>
        <w:spacing w:after="0"/>
        <w:rPr>
          <w:sz w:val="20"/>
          <w:szCs w:val="20"/>
          <w:color w:val="auto"/>
        </w:rPr>
      </w:pPr>
      <w:r>
        <w:rPr>
          <w:rFonts w:ascii="Arial" w:cs="Arial" w:eastAsia="Arial" w:hAnsi="Arial"/>
          <w:sz w:val="19"/>
          <w:szCs w:val="19"/>
          <w:b w:val="1"/>
          <w:bCs w:val="1"/>
          <w:color w:val="auto"/>
        </w:rPr>
        <w:t>Biogen Inc.</w:t>
      </w:r>
    </w:p>
    <w:p>
      <w:pPr>
        <w:spacing w:after="0" w:line="208" w:lineRule="exact"/>
        <w:rPr>
          <w:sz w:val="20"/>
          <w:szCs w:val="20"/>
          <w:color w:val="auto"/>
        </w:rPr>
      </w:pPr>
    </w:p>
    <w:p>
      <w:pPr>
        <w:ind w:left="3700"/>
        <w:spacing w:after="0"/>
        <w:tabs>
          <w:tab w:leader="none" w:pos="41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6"/>
          <w:szCs w:val="16"/>
          <w:u w:val="single" w:color="auto"/>
          <w:color w:val="auto"/>
        </w:rPr>
        <w:t>Michel Vounatsos</w:t>
      </w:r>
    </w:p>
    <w:p>
      <w:pPr>
        <w:spacing w:after="0" w:line="15" w:lineRule="exact"/>
        <w:rPr>
          <w:sz w:val="20"/>
          <w:szCs w:val="20"/>
          <w:color w:val="auto"/>
        </w:rPr>
      </w:pPr>
    </w:p>
    <w:p>
      <w:pPr>
        <w:ind w:left="4300"/>
        <w:spacing w:after="0"/>
        <w:rPr>
          <w:sz w:val="20"/>
          <w:szCs w:val="20"/>
          <w:color w:val="auto"/>
        </w:rPr>
      </w:pPr>
      <w:r>
        <w:rPr>
          <w:rFonts w:ascii="Arial" w:cs="Arial" w:eastAsia="Arial" w:hAnsi="Arial"/>
          <w:sz w:val="19"/>
          <w:szCs w:val="19"/>
          <w:color w:val="auto"/>
        </w:rPr>
        <w:t>Chief Executive Officer</w:t>
      </w:r>
    </w:p>
    <w:p>
      <w:pPr>
        <w:sectPr>
          <w:pgSz w:w="11900" w:h="16838" w:orient="portrait"/>
          <w:cols w:equalWidth="0" w:num="1">
            <w:col w:w="11380"/>
          </w:cols>
          <w:pgMar w:left="240" w:top="558" w:right="279" w:bottom="1440" w:gutter="0" w:footer="0" w:header="0"/>
        </w:sectPr>
      </w:pPr>
    </w:p>
    <w:bookmarkStart w:id="183" w:name="page184"/>
    <w:bookmarkEnd w:id="183"/>
    <w:p>
      <w:pPr>
        <w:jc w:val="right"/>
        <w:spacing w:after="0"/>
        <w:rPr>
          <w:sz w:val="20"/>
          <w:szCs w:val="20"/>
          <w:color w:val="auto"/>
        </w:rPr>
      </w:pPr>
      <w:r>
        <w:rPr>
          <w:rFonts w:ascii="Arial" w:cs="Arial" w:eastAsia="Arial" w:hAnsi="Arial"/>
          <w:sz w:val="19"/>
          <w:szCs w:val="19"/>
          <w:u w:val="single" w:color="auto"/>
          <w:color w:val="auto"/>
        </w:rPr>
        <w:t>Exhibit 10.11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Performance STOCK Units AWARD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Granted Under</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Biogen Inc. 2017 Omnibus Equity Plan</w:t>
      </w:r>
    </w:p>
    <w:p>
      <w:pPr>
        <w:spacing w:after="0" w:line="204" w:lineRule="exact"/>
        <w:rPr>
          <w:sz w:val="20"/>
          <w:szCs w:val="20"/>
          <w:color w:val="auto"/>
        </w:rPr>
      </w:pPr>
    </w:p>
    <w:p>
      <w:pPr>
        <w:ind w:left="620" w:hanging="618"/>
        <w:spacing w:after="0"/>
        <w:tabs>
          <w:tab w:leader="none" w:pos="620" w:val="left"/>
        </w:tabs>
        <w:numPr>
          <w:ilvl w:val="0"/>
          <w:numId w:val="140"/>
        </w:numPr>
        <w:rPr>
          <w:rFonts w:ascii="Arial" w:cs="Arial" w:eastAsia="Arial" w:hAnsi="Arial"/>
          <w:sz w:val="17"/>
          <w:szCs w:val="17"/>
          <w:color w:val="auto"/>
        </w:rPr>
      </w:pPr>
      <w:r>
        <w:rPr>
          <w:rFonts w:ascii="Arial" w:cs="Arial" w:eastAsia="Arial" w:hAnsi="Arial"/>
          <w:sz w:val="19"/>
          <w:szCs w:val="19"/>
          <w:b w:val="1"/>
          <w:bCs w:val="1"/>
          <w:color w:val="auto"/>
        </w:rPr>
        <w:t>Grant of Performance Stock Units</w:t>
      </w:r>
    </w:p>
    <w:p>
      <w:pPr>
        <w:spacing w:after="0" w:line="19"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Pursuant to the Biogen Inc. 2017 Omnibus Equity Plan (as it may be amended from time to time, the “Plan”), Biogen Inc. (the “Company”)</w:t>
      </w:r>
    </w:p>
    <w:p>
      <w:pPr>
        <w:spacing w:after="0" w:line="2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hereby grants to you, an employee of the Company or one of its Affiliates (the “Participant”), on each of the grant dates specified on your Fidelity stock plan account (the “Grant Date”), the number of performance stock units (the “Granted PSUs” or the “Award”) specified on your Fidelity stock plan account, subject to the terms and conditions of this award agreement (“Agreement”) and the Plan. No Granted PSUs shall be paid unless vested in accordance with this Agreement. The Participant’s rights to the Granted PSUs are subject to the restrictions described in this Agreement and the Plan, in addition to such other restrictions, if any, as may be imposed by law. All initially capitalized terms used herein will have the meaning specified in the Plan, unless another meaning is specified in this Agreement.</w:t>
      </w:r>
    </w:p>
    <w:p>
      <w:pPr>
        <w:spacing w:after="0" w:line="166" w:lineRule="exact"/>
        <w:rPr>
          <w:sz w:val="20"/>
          <w:szCs w:val="20"/>
          <w:color w:val="auto"/>
        </w:rPr>
      </w:pPr>
    </w:p>
    <w:p>
      <w:pPr>
        <w:ind w:left="620" w:hanging="618"/>
        <w:spacing w:after="0"/>
        <w:tabs>
          <w:tab w:leader="none" w:pos="620" w:val="left"/>
        </w:tabs>
        <w:numPr>
          <w:ilvl w:val="0"/>
          <w:numId w:val="141"/>
        </w:numPr>
        <w:rPr>
          <w:rFonts w:ascii="Arial" w:cs="Arial" w:eastAsia="Arial" w:hAnsi="Arial"/>
          <w:sz w:val="17"/>
          <w:szCs w:val="17"/>
          <w:color w:val="auto"/>
        </w:rPr>
      </w:pPr>
      <w:r>
        <w:rPr>
          <w:rFonts w:ascii="Arial" w:cs="Arial" w:eastAsia="Arial" w:hAnsi="Arial"/>
          <w:sz w:val="19"/>
          <w:szCs w:val="19"/>
          <w:b w:val="1"/>
          <w:bCs w:val="1"/>
          <w:color w:val="auto"/>
        </w:rPr>
        <w:t>Vesting</w:t>
      </w:r>
    </w:p>
    <w:p>
      <w:pPr>
        <w:spacing w:after="0" w:line="19" w:lineRule="exact"/>
        <w:rPr>
          <w:sz w:val="20"/>
          <w:szCs w:val="20"/>
          <w:color w:val="auto"/>
        </w:rPr>
      </w:pPr>
    </w:p>
    <w:p>
      <w:pPr>
        <w:ind w:left="620" w:right="40" w:firstLine="612"/>
        <w:spacing w:after="0"/>
        <w:tabs>
          <w:tab w:leader="none" w:pos="1588" w:val="left"/>
        </w:tabs>
        <w:numPr>
          <w:ilvl w:val="0"/>
          <w:numId w:val="142"/>
        </w:numPr>
        <w:rPr>
          <w:rFonts w:ascii="Arial" w:cs="Arial" w:eastAsia="Arial" w:hAnsi="Arial"/>
          <w:sz w:val="19"/>
          <w:szCs w:val="19"/>
          <w:color w:val="auto"/>
        </w:rPr>
      </w:pPr>
      <w:r>
        <w:rPr>
          <w:rFonts w:ascii="Arial" w:cs="Arial" w:eastAsia="Arial" w:hAnsi="Arial"/>
          <w:sz w:val="19"/>
          <w:szCs w:val="19"/>
          <w:color w:val="auto"/>
        </w:rPr>
        <w:t>The Participant shall have a non-forfeitable right to a portion of the Award only upon the vesting dates specified on your Fidelity stock plan account, except as otherwise provided herein or determined by the Committee in its sole discretion. No portion of any Award shall become vested on the vesting date unless the Participant is then, and since the Grant Date has continuously been, employed by the Company or any Affiliate. If the Participant ceases to be employed by the Company and its Affiliates for any reason, any then outstanding and unvested portion of the Award shall be automatically and immediately forfeited and terminated, except as otherwise provided in this Agreement and the Plan.</w:t>
      </w:r>
    </w:p>
    <w:p>
      <w:pPr>
        <w:spacing w:after="0" w:line="184" w:lineRule="exact"/>
        <w:rPr>
          <w:rFonts w:ascii="Arial" w:cs="Arial" w:eastAsia="Arial" w:hAnsi="Arial"/>
          <w:sz w:val="19"/>
          <w:szCs w:val="19"/>
          <w:color w:val="auto"/>
        </w:rPr>
      </w:pPr>
    </w:p>
    <w:p>
      <w:pPr>
        <w:ind w:left="620" w:right="60" w:firstLine="612"/>
        <w:spacing w:after="0" w:line="274" w:lineRule="auto"/>
        <w:tabs>
          <w:tab w:leader="none" w:pos="1577"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Award will become eligible to vest upon achievement of the Granted PSUs goals (“Performance Goals”), as adopted by the Committee in the first calendar quarter of the year in which the Award is granted and communicated. The calculation of the number of Granted PSUs that will vest is specified in the Long-Term Incentive Program Overview for Executives for the year in which the Award is granted (“LTI Overview”), which is also found on your Fidelity stock plan account. Granted PSUs that become eligible to vest are referred to as the “Eligible PSUs.” In the event and to the extent that the Performance Goals are not satisfied, such Granted PSUs shall not become eligible to vest and shall be immediately forfeited. As specified in the Performance Goals, in the event and to the extent that the Performance Goals are exceeded, an additional number of Granted PSUs will become eligible to vest. In no event shall the number of Eligible PSUs exceed 200% of the number of Granted PSUs. All Eligible PSUs shall vest on the later of the third anniversary of the Grant Date or the date of the Committee’s determination of the degree to which the Performance Goals have been satisfied (the “Vesting Date”).</w:t>
      </w:r>
    </w:p>
    <w:p>
      <w:pPr>
        <w:spacing w:after="0" w:line="155" w:lineRule="exact"/>
        <w:rPr>
          <w:rFonts w:ascii="Arial" w:cs="Arial" w:eastAsia="Arial" w:hAnsi="Arial"/>
          <w:sz w:val="17"/>
          <w:szCs w:val="17"/>
          <w:color w:val="auto"/>
        </w:rPr>
      </w:pPr>
    </w:p>
    <w:p>
      <w:pPr>
        <w:ind w:left="620" w:right="220" w:firstLine="612"/>
        <w:spacing w:after="0" w:line="261" w:lineRule="auto"/>
        <w:tabs>
          <w:tab w:leader="none" w:pos="1577" w:val="left"/>
        </w:tabs>
        <w:numPr>
          <w:ilvl w:val="0"/>
          <w:numId w:val="142"/>
        </w:numPr>
        <w:rPr>
          <w:rFonts w:ascii="Arial" w:cs="Arial" w:eastAsia="Arial" w:hAnsi="Arial"/>
          <w:sz w:val="19"/>
          <w:szCs w:val="19"/>
          <w:color w:val="auto"/>
        </w:rPr>
      </w:pPr>
      <w:r>
        <w:rPr>
          <w:rFonts w:ascii="Arial" w:cs="Arial" w:eastAsia="Arial" w:hAnsi="Arial"/>
          <w:sz w:val="19"/>
          <w:szCs w:val="19"/>
          <w:color w:val="auto"/>
        </w:rPr>
        <w:t>Except as otherwise provided in the Plan, upon termination of the Participant’s employment with the Company and its Affiliates for any reason, any portion of the Award that is not then vested will immediately terminate, except as follows:</w:t>
      </w:r>
    </w:p>
    <w:p>
      <w:pPr>
        <w:spacing w:after="0" w:line="165" w:lineRule="exact"/>
        <w:rPr>
          <w:sz w:val="20"/>
          <w:szCs w:val="20"/>
          <w:color w:val="auto"/>
        </w:rPr>
      </w:pPr>
    </w:p>
    <w:p>
      <w:pPr>
        <w:ind w:left="1240" w:right="320" w:firstLine="607"/>
        <w:spacing w:after="0" w:line="285" w:lineRule="auto"/>
        <w:tabs>
          <w:tab w:leader="none" w:pos="2203" w:val="left"/>
        </w:tabs>
        <w:numPr>
          <w:ilvl w:val="1"/>
          <w:numId w:val="143"/>
        </w:numPr>
        <w:rPr>
          <w:rFonts w:ascii="Arial" w:cs="Arial" w:eastAsia="Arial" w:hAnsi="Arial"/>
          <w:sz w:val="17"/>
          <w:szCs w:val="17"/>
          <w:color w:val="auto"/>
        </w:rPr>
      </w:pPr>
      <w:r>
        <w:rPr>
          <w:rFonts w:ascii="Arial" w:cs="Arial" w:eastAsia="Arial" w:hAnsi="Arial"/>
          <w:sz w:val="17"/>
          <w:szCs w:val="17"/>
          <w:color w:val="auto"/>
        </w:rPr>
        <w:t>any portion of the Award held by the Participant immediately prior to the Participant’s termination of employment on account of death or Disability will, to the extent not vested previously, become fully vested upon the later of (a) the date of death or Disability of the Participant or (b) the determination of the Eligible PSUs based on the Performance Goals and the Committee’s approval, even if such determination occurs following the date of death or Disability of the Participant; and</w:t>
      </w:r>
    </w:p>
    <w:p>
      <w:pPr>
        <w:spacing w:after="0" w:line="147" w:lineRule="exact"/>
        <w:rPr>
          <w:rFonts w:ascii="Arial" w:cs="Arial" w:eastAsia="Arial" w:hAnsi="Arial"/>
          <w:sz w:val="17"/>
          <w:szCs w:val="17"/>
          <w:color w:val="auto"/>
        </w:rPr>
      </w:pPr>
    </w:p>
    <w:p>
      <w:pPr>
        <w:jc w:val="both"/>
        <w:ind w:left="1240" w:right="600" w:hanging="8"/>
        <w:spacing w:after="0" w:line="250" w:lineRule="auto"/>
        <w:tabs>
          <w:tab w:leader="none" w:pos="164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any portion of the Award held by the Participant immediately prior to the Participant’s Retirement, to the extent not vested previously, will become fully vested upon the later of the date of Retirement or determination of the Eligible PSUs based on the Performance Goals and the</w:t>
      </w:r>
    </w:p>
    <w:p>
      <w:pPr>
        <w:sectPr>
          <w:pgSz w:w="11900" w:h="16838" w:orient="portrait"/>
          <w:cols w:equalWidth="0" w:num="1">
            <w:col w:w="11420"/>
          </w:cols>
          <w:pgMar w:left="240" w:top="558" w:right="239" w:bottom="1440" w:gutter="0" w:footer="0" w:header="0"/>
        </w:sectPr>
      </w:pPr>
    </w:p>
    <w:bookmarkStart w:id="184" w:name="page185"/>
    <w:bookmarkEnd w:id="184"/>
    <w:p>
      <w:pPr>
        <w:ind w:left="1240"/>
        <w:spacing w:after="0" w:line="259" w:lineRule="auto"/>
        <w:rPr>
          <w:sz w:val="20"/>
          <w:szCs w:val="20"/>
          <w:color w:val="auto"/>
        </w:rPr>
      </w:pPr>
      <w:r>
        <w:rPr>
          <w:rFonts w:ascii="Arial" w:cs="Arial" w:eastAsia="Arial" w:hAnsi="Arial"/>
          <w:sz w:val="18"/>
          <w:szCs w:val="18"/>
          <w:color w:val="auto"/>
        </w:rPr>
        <w:t>Committee’s approval for fifty percent (50%) of the number of Eligible PSUs covered by such unvested portion and for an additional ten percent (10%) of the number of Eligible PSUs covered by such unvested portion for every full year of employment by the Company and its Affiliates beyond ten (10) years, up to the remaining amount of the unvested Eligible PSUs of the Award. For the avoidance of doubt, Retirement means the Participant’s leaving the employment of the Company and its Affiliates after reaching age 55 with ten (10) consecutive years of service with the Company or its Affiliates, but not including pursuant to any termination For Cause or any termination for insufficient performance, as determined by the Company.</w:t>
      </w:r>
    </w:p>
    <w:p>
      <w:pPr>
        <w:spacing w:after="0" w:line="171" w:lineRule="exact"/>
        <w:rPr>
          <w:sz w:val="20"/>
          <w:szCs w:val="20"/>
          <w:color w:val="auto"/>
        </w:rPr>
      </w:pPr>
    </w:p>
    <w:p>
      <w:pPr>
        <w:ind w:left="620" w:right="220" w:firstLine="612"/>
        <w:spacing w:after="0" w:line="250" w:lineRule="auto"/>
        <w:tabs>
          <w:tab w:leader="none" w:pos="1588" w:val="left"/>
        </w:tabs>
        <w:numPr>
          <w:ilvl w:val="3"/>
          <w:numId w:val="145"/>
        </w:numPr>
        <w:rPr>
          <w:rFonts w:ascii="Arial" w:cs="Arial" w:eastAsia="Arial" w:hAnsi="Arial"/>
          <w:sz w:val="19"/>
          <w:szCs w:val="19"/>
          <w:color w:val="auto"/>
        </w:rPr>
      </w:pPr>
      <w:r>
        <w:rPr>
          <w:rFonts w:ascii="Arial" w:cs="Arial" w:eastAsia="Arial" w:hAnsi="Arial"/>
          <w:sz w:val="19"/>
          <w:szCs w:val="19"/>
          <w:color w:val="auto"/>
        </w:rPr>
        <w:t>Notwithstanding anything herein to the contrary, any portion of the Award held by a Participant or a Participant’s permitted transferee immediately prior to the cessation of the Participant’s employment For Cause shall terminate at the commencement of business on the date of such termination.</w:t>
      </w:r>
    </w:p>
    <w:p>
      <w:pPr>
        <w:spacing w:after="0" w:line="171" w:lineRule="exact"/>
        <w:rPr>
          <w:rFonts w:ascii="Arial" w:cs="Arial" w:eastAsia="Arial" w:hAnsi="Arial"/>
          <w:sz w:val="19"/>
          <w:szCs w:val="19"/>
          <w:color w:val="auto"/>
        </w:rPr>
      </w:pPr>
    </w:p>
    <w:p>
      <w:pPr>
        <w:ind w:left="620" w:hanging="618"/>
        <w:spacing w:after="0"/>
        <w:tabs>
          <w:tab w:leader="none" w:pos="620" w:val="left"/>
        </w:tabs>
        <w:numPr>
          <w:ilvl w:val="0"/>
          <w:numId w:val="146"/>
        </w:numPr>
        <w:rPr>
          <w:rFonts w:ascii="Arial" w:cs="Arial" w:eastAsia="Arial" w:hAnsi="Arial"/>
          <w:sz w:val="17"/>
          <w:szCs w:val="17"/>
          <w:color w:val="auto"/>
        </w:rPr>
      </w:pPr>
      <w:r>
        <w:rPr>
          <w:rFonts w:ascii="Arial" w:cs="Arial" w:eastAsia="Arial" w:hAnsi="Arial"/>
          <w:sz w:val="19"/>
          <w:szCs w:val="19"/>
          <w:b w:val="1"/>
          <w:bCs w:val="1"/>
          <w:color w:val="auto"/>
        </w:rPr>
        <w:t>Delivery of Award</w:t>
      </w:r>
    </w:p>
    <w:p>
      <w:pPr>
        <w:spacing w:after="0" w:line="24" w:lineRule="exact"/>
        <w:rPr>
          <w:rFonts w:ascii="Arial" w:cs="Arial" w:eastAsia="Arial" w:hAnsi="Arial"/>
          <w:sz w:val="17"/>
          <w:szCs w:val="17"/>
          <w:color w:val="auto"/>
        </w:rPr>
      </w:pPr>
    </w:p>
    <w:p>
      <w:pPr>
        <w:ind w:left="620" w:right="140" w:hanging="3"/>
        <w:spacing w:after="0" w:line="313" w:lineRule="auto"/>
        <w:tabs>
          <w:tab w:leader="none" w:pos="1401" w:val="left"/>
        </w:tabs>
        <w:numPr>
          <w:ilvl w:val="2"/>
          <w:numId w:val="146"/>
        </w:numPr>
        <w:rPr>
          <w:rFonts w:ascii="Arial" w:cs="Arial" w:eastAsia="Arial" w:hAnsi="Arial"/>
          <w:sz w:val="15"/>
          <w:szCs w:val="15"/>
          <w:color w:val="auto"/>
        </w:rPr>
      </w:pPr>
      <w:r>
        <w:rPr>
          <w:rFonts w:ascii="Arial" w:cs="Arial" w:eastAsia="Arial" w:hAnsi="Arial"/>
          <w:sz w:val="17"/>
          <w:szCs w:val="17"/>
          <w:color w:val="auto"/>
        </w:rPr>
        <w:t>With respect to a Participant who is not eligible for Retirement, within 30 days following the date on which Eligible PSUs becomes vested, with respect to, and in satisfaction of, such vested Eligible PSUs (determined in accordance with Section 2 of this Agreement and Section 10 of the Plan), the Company shall pay to the Participant, subject to applicable withholding as described in Section 7 of this Agreement, one share of common stock of the Company (“Common Stock”) in satisfaction of each vested Eligible PSU.</w:t>
      </w:r>
    </w:p>
    <w:p>
      <w:pPr>
        <w:spacing w:after="0" w:line="136" w:lineRule="exact"/>
        <w:rPr>
          <w:rFonts w:ascii="Arial" w:cs="Arial" w:eastAsia="Arial" w:hAnsi="Arial"/>
          <w:sz w:val="15"/>
          <w:szCs w:val="15"/>
          <w:color w:val="auto"/>
        </w:rPr>
      </w:pPr>
    </w:p>
    <w:p>
      <w:pPr>
        <w:ind w:left="620" w:hanging="310"/>
        <w:spacing w:after="0" w:line="278" w:lineRule="auto"/>
        <w:tabs>
          <w:tab w:leader="none" w:pos="620" w:val="left"/>
        </w:tabs>
        <w:numPr>
          <w:ilvl w:val="1"/>
          <w:numId w:val="146"/>
        </w:numPr>
        <w:rPr>
          <w:rFonts w:ascii="Arial" w:cs="Arial" w:eastAsia="Arial" w:hAnsi="Arial"/>
          <w:sz w:val="15"/>
          <w:szCs w:val="15"/>
          <w:color w:val="auto"/>
        </w:rPr>
      </w:pPr>
      <w:r>
        <w:rPr>
          <w:rFonts w:ascii="Arial" w:cs="Arial" w:eastAsia="Arial" w:hAnsi="Arial"/>
          <w:sz w:val="17"/>
          <w:szCs w:val="17"/>
          <w:color w:val="auto"/>
        </w:rPr>
        <w:t>With respect to a Participant who is or becomes eligible for Retirement at any time after the Grant Date and on or before the Vesting Date, the Company shall pay to the Participant, subject to applicable withholding as described in Section 7 of this Agreement, one share of Common Stock in satisfaction of each vested Eligible PSU (determined in accordance with Section 2 of this Agreement and Section 10 of the Plan) within 30 days of the earliest of (i) the date the Eligible PSU otherwise would have vested under Section 2.B. of this Agreement, (ii) the date on which the Participant experiences a separation from service (within the meaning of Section 409A), subject to Section 3.C. of this Agreement or (iii) the date on which a Covered Transaction that satisfies the definition of a “change in control event” under Section 409A occurs.</w:t>
      </w:r>
    </w:p>
    <w:p>
      <w:pPr>
        <w:spacing w:after="0" w:line="165" w:lineRule="exact"/>
        <w:rPr>
          <w:rFonts w:ascii="Arial" w:cs="Arial" w:eastAsia="Arial" w:hAnsi="Arial"/>
          <w:sz w:val="15"/>
          <w:szCs w:val="15"/>
          <w:color w:val="auto"/>
        </w:rPr>
      </w:pPr>
    </w:p>
    <w:p>
      <w:pPr>
        <w:ind w:left="620" w:hanging="3"/>
        <w:spacing w:after="0" w:line="291" w:lineRule="auto"/>
        <w:tabs>
          <w:tab w:leader="none" w:pos="1391" w:val="left"/>
        </w:tabs>
        <w:numPr>
          <w:ilvl w:val="2"/>
          <w:numId w:val="147"/>
        </w:numPr>
        <w:rPr>
          <w:rFonts w:ascii="Arial" w:cs="Arial" w:eastAsia="Arial" w:hAnsi="Arial"/>
          <w:sz w:val="16"/>
          <w:szCs w:val="16"/>
          <w:color w:val="auto"/>
        </w:rPr>
      </w:pPr>
      <w:r>
        <w:rPr>
          <w:rFonts w:ascii="Arial" w:cs="Arial" w:eastAsia="Arial" w:hAnsi="Arial"/>
          <w:sz w:val="18"/>
          <w:szCs w:val="18"/>
          <w:color w:val="auto"/>
        </w:rPr>
        <w:t>If you are a “specified employee” (as defined in Section 409A), you will be paid on the earlier of (i) the date which is six months after you separate from service (within the meaning of Section 409A) or (ii) the date of your death or Disability. The preceding sentence will not apply to any payments that are exempt from or are not subject to the requirements of Section 409A. For the avoidance of doubt, if payments would be made under Section 3.B.(i) or Section 3.B.(iii) before the six month payment date on account of other than your separation from service, such payment will be made under Section 3.B.(i) or Section 3.B.(iii), as applicable.</w:t>
      </w:r>
    </w:p>
    <w:p>
      <w:pPr>
        <w:spacing w:after="0" w:line="149" w:lineRule="exact"/>
        <w:rPr>
          <w:rFonts w:ascii="Arial" w:cs="Arial" w:eastAsia="Arial" w:hAnsi="Arial"/>
          <w:sz w:val="16"/>
          <w:szCs w:val="16"/>
          <w:color w:val="auto"/>
        </w:rPr>
      </w:pPr>
    </w:p>
    <w:p>
      <w:pPr>
        <w:ind w:left="620" w:hanging="618"/>
        <w:spacing w:after="0"/>
        <w:tabs>
          <w:tab w:leader="none" w:pos="620" w:val="left"/>
        </w:tabs>
        <w:numPr>
          <w:ilvl w:val="0"/>
          <w:numId w:val="148"/>
        </w:numPr>
        <w:rPr>
          <w:rFonts w:ascii="Arial" w:cs="Arial" w:eastAsia="Arial" w:hAnsi="Arial"/>
          <w:sz w:val="17"/>
          <w:szCs w:val="17"/>
          <w:color w:val="auto"/>
        </w:rPr>
      </w:pPr>
      <w:r>
        <w:rPr>
          <w:rFonts w:ascii="Arial" w:cs="Arial" w:eastAsia="Arial" w:hAnsi="Arial"/>
          <w:sz w:val="19"/>
          <w:szCs w:val="19"/>
          <w:b w:val="1"/>
          <w:bCs w:val="1"/>
          <w:color w:val="auto"/>
        </w:rPr>
        <w:t>Cancellation and Rescission of Awards</w:t>
      </w:r>
    </w:p>
    <w:p>
      <w:pPr>
        <w:spacing w:after="0" w:line="19"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The Committee may cancel, rescind, withhold or otherwise limit or restrict the Award prior to payment at any time if the Participant is not in</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compliance with all applicable provisions of this Agreement and the Plan, or if the Participant engages in any Detrimental Activity.</w:t>
      </w:r>
    </w:p>
    <w:p>
      <w:pPr>
        <w:spacing w:after="0" w:line="184" w:lineRule="exact"/>
        <w:rPr>
          <w:sz w:val="20"/>
          <w:szCs w:val="20"/>
          <w:color w:val="auto"/>
        </w:rPr>
      </w:pPr>
    </w:p>
    <w:p>
      <w:pPr>
        <w:ind w:left="620" w:hanging="618"/>
        <w:spacing w:after="0"/>
        <w:tabs>
          <w:tab w:leader="none" w:pos="620" w:val="left"/>
        </w:tabs>
        <w:numPr>
          <w:ilvl w:val="0"/>
          <w:numId w:val="149"/>
        </w:numPr>
        <w:rPr>
          <w:rFonts w:ascii="Arial" w:cs="Arial" w:eastAsia="Arial" w:hAnsi="Arial"/>
          <w:sz w:val="17"/>
          <w:szCs w:val="17"/>
          <w:color w:val="auto"/>
        </w:rPr>
      </w:pPr>
      <w:r>
        <w:rPr>
          <w:rFonts w:ascii="Arial" w:cs="Arial" w:eastAsia="Arial" w:hAnsi="Arial"/>
          <w:sz w:val="19"/>
          <w:szCs w:val="19"/>
          <w:b w:val="1"/>
          <w:bCs w:val="1"/>
          <w:color w:val="auto"/>
        </w:rPr>
        <w:t>No Voting, Dividend or Other Rights as a Stockholder</w:t>
      </w:r>
    </w:p>
    <w:p>
      <w:pPr>
        <w:spacing w:after="0" w:line="19" w:lineRule="exact"/>
        <w:rPr>
          <w:sz w:val="20"/>
          <w:szCs w:val="20"/>
          <w:color w:val="auto"/>
        </w:rPr>
      </w:pPr>
    </w:p>
    <w:p>
      <w:pPr>
        <w:ind w:right="60" w:firstLine="615"/>
        <w:spacing w:after="0" w:line="257" w:lineRule="auto"/>
        <w:rPr>
          <w:sz w:val="20"/>
          <w:szCs w:val="20"/>
          <w:color w:val="auto"/>
        </w:rPr>
      </w:pPr>
      <w:r>
        <w:rPr>
          <w:rFonts w:ascii="Arial" w:cs="Arial" w:eastAsia="Arial" w:hAnsi="Arial"/>
          <w:sz w:val="18"/>
          <w:szCs w:val="18"/>
          <w:color w:val="auto"/>
        </w:rPr>
        <w:t>The Participant shall not have any rights as a stockholder with respect to any shares of Common Stock to be issued under the Award until he or she becomes the holder of such shares. Accordingly, the Award shall not be interpreted to bestow upon the Participant any equity interest or ownership in the Company or any Affiliate prior to the date on which the Company delivers to the Participant shares of Common Stock. Furthermore, the Participant is not entitled to vote any Common Stock or to receive or be credited with any dividends declared and payable on any share of Common Stock underlying the Award prior to the payment date with respect to such share.</w:t>
      </w:r>
    </w:p>
    <w:p>
      <w:pPr>
        <w:spacing w:after="0" w:line="165" w:lineRule="exact"/>
        <w:rPr>
          <w:sz w:val="20"/>
          <w:szCs w:val="20"/>
          <w:color w:val="auto"/>
        </w:rPr>
      </w:pPr>
    </w:p>
    <w:p>
      <w:pPr>
        <w:ind w:left="620" w:hanging="618"/>
        <w:spacing w:after="0"/>
        <w:tabs>
          <w:tab w:leader="none" w:pos="620" w:val="left"/>
        </w:tabs>
        <w:numPr>
          <w:ilvl w:val="0"/>
          <w:numId w:val="150"/>
        </w:numPr>
        <w:rPr>
          <w:rFonts w:ascii="Arial" w:cs="Arial" w:eastAsia="Arial" w:hAnsi="Arial"/>
          <w:sz w:val="17"/>
          <w:szCs w:val="17"/>
          <w:color w:val="auto"/>
        </w:rPr>
      </w:pPr>
      <w:r>
        <w:rPr>
          <w:rFonts w:ascii="Arial" w:cs="Arial" w:eastAsia="Arial" w:hAnsi="Arial"/>
          <w:sz w:val="19"/>
          <w:szCs w:val="19"/>
          <w:b w:val="1"/>
          <w:bCs w:val="1"/>
          <w:color w:val="auto"/>
        </w:rPr>
        <w:t>Unfunded Status</w:t>
      </w:r>
    </w:p>
    <w:p>
      <w:pPr>
        <w:spacing w:after="0" w:line="208" w:lineRule="exact"/>
        <w:rPr>
          <w:sz w:val="20"/>
          <w:szCs w:val="20"/>
          <w:color w:val="auto"/>
        </w:rPr>
      </w:pPr>
    </w:p>
    <w:p>
      <w:pPr>
        <w:ind w:right="320" w:firstLine="615"/>
        <w:spacing w:after="0" w:line="261" w:lineRule="auto"/>
        <w:rPr>
          <w:sz w:val="20"/>
          <w:szCs w:val="20"/>
          <w:color w:val="auto"/>
        </w:rPr>
      </w:pPr>
      <w:r>
        <w:rPr>
          <w:rFonts w:ascii="Arial" w:cs="Arial" w:eastAsia="Arial" w:hAnsi="Arial"/>
          <w:sz w:val="19"/>
          <w:szCs w:val="19"/>
          <w:color w:val="auto"/>
        </w:rPr>
        <w:t>The obligations of the Company and its Affiliates hereunder shall be contractual only and all such payments shall be made from the general assets of the Company or its Affiliates. The Participant shall rely solely on the</w:t>
      </w:r>
    </w:p>
    <w:p>
      <w:pPr>
        <w:sectPr>
          <w:pgSz w:w="11900" w:h="16838" w:orient="portrait"/>
          <w:cols w:equalWidth="0" w:num="1">
            <w:col w:w="11420"/>
          </w:cols>
          <w:pgMar w:left="240" w:top="558" w:right="239" w:bottom="1440" w:gutter="0" w:footer="0" w:header="0"/>
        </w:sectPr>
      </w:pPr>
    </w:p>
    <w:bookmarkStart w:id="185" w:name="page186"/>
    <w:bookmarkEnd w:id="185"/>
    <w:p>
      <w:pPr>
        <w:ind w:right="80"/>
        <w:spacing w:after="0" w:line="321" w:lineRule="auto"/>
        <w:rPr>
          <w:sz w:val="20"/>
          <w:szCs w:val="20"/>
          <w:color w:val="auto"/>
        </w:rPr>
      </w:pPr>
      <w:r>
        <w:rPr>
          <w:rFonts w:ascii="Arial" w:cs="Arial" w:eastAsia="Arial" w:hAnsi="Arial"/>
          <w:sz w:val="17"/>
          <w:szCs w:val="17"/>
          <w:color w:val="auto"/>
        </w:rPr>
        <w:t>unsecured promise of the Company and nothing herein shall be construed to give the Participant or any other person or persons any right, title, interest or claim in or to any specific asset, fund, reserve, account or property of any kind whatsoever owned by the Company or any Affiliate.</w:t>
      </w:r>
    </w:p>
    <w:p>
      <w:pPr>
        <w:spacing w:after="0" w:line="113" w:lineRule="exact"/>
        <w:rPr>
          <w:sz w:val="20"/>
          <w:szCs w:val="20"/>
          <w:color w:val="auto"/>
        </w:rPr>
      </w:pPr>
    </w:p>
    <w:p>
      <w:pPr>
        <w:ind w:left="620" w:hanging="618"/>
        <w:spacing w:after="0"/>
        <w:tabs>
          <w:tab w:leader="none" w:pos="620" w:val="left"/>
        </w:tabs>
        <w:numPr>
          <w:ilvl w:val="0"/>
          <w:numId w:val="151"/>
        </w:numPr>
        <w:rPr>
          <w:rFonts w:ascii="Arial" w:cs="Arial" w:eastAsia="Arial" w:hAnsi="Arial"/>
          <w:sz w:val="17"/>
          <w:szCs w:val="17"/>
          <w:color w:val="auto"/>
        </w:rPr>
      </w:pPr>
      <w:r>
        <w:rPr>
          <w:rFonts w:ascii="Arial" w:cs="Arial" w:eastAsia="Arial" w:hAnsi="Arial"/>
          <w:sz w:val="19"/>
          <w:szCs w:val="19"/>
          <w:b w:val="1"/>
          <w:bCs w:val="1"/>
          <w:color w:val="auto"/>
        </w:rPr>
        <w:t>Withholding</w:t>
      </w:r>
    </w:p>
    <w:p>
      <w:pPr>
        <w:spacing w:after="0" w:line="19"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Awards will be subject to income tax withholding and reporting as required under local law. If statutory withholding of taxes and/or social</w:t>
      </w:r>
    </w:p>
    <w:p>
      <w:pPr>
        <w:spacing w:after="0" w:line="22" w:lineRule="exact"/>
        <w:rPr>
          <w:sz w:val="20"/>
          <w:szCs w:val="20"/>
          <w:color w:val="auto"/>
        </w:rPr>
      </w:pPr>
    </w:p>
    <w:p>
      <w:pPr>
        <w:ind w:right="80"/>
        <w:spacing w:after="0"/>
        <w:rPr>
          <w:sz w:val="20"/>
          <w:szCs w:val="20"/>
          <w:color w:val="auto"/>
        </w:rPr>
      </w:pPr>
      <w:r>
        <w:rPr>
          <w:rFonts w:ascii="Arial" w:cs="Arial" w:eastAsia="Arial" w:hAnsi="Arial"/>
          <w:sz w:val="19"/>
          <w:szCs w:val="19"/>
          <w:color w:val="auto"/>
        </w:rPr>
        <w:t>insurance is required at the time of vesting, the Company will withhold from delivery to the Participant an amount of cash equal in value to the statutory minimum amount required to be withheld. A similar amount of cash will be paid by the Company on behalf of the Participant to the applicable tax authorities. The amount of cash to be withheld will be calculated using the closing sales price of a share of Common Stock on the applicable vesting date. The Cash Value (net of the cash withheld for the payment of withholding taxes, if applicable) will be delivered to the Participant’s stock plan account upon vesting in accordance with the Plan. The Company may, in its discretion, permit Participants to make alternative arrangements for payment of any such taxes and/or social insurance.</w:t>
      </w:r>
    </w:p>
    <w:p>
      <w:pPr>
        <w:spacing w:after="0" w:line="184" w:lineRule="exact"/>
        <w:rPr>
          <w:sz w:val="20"/>
          <w:szCs w:val="20"/>
          <w:color w:val="auto"/>
        </w:rPr>
      </w:pPr>
    </w:p>
    <w:p>
      <w:pPr>
        <w:ind w:right="100" w:firstLine="615"/>
        <w:spacing w:after="0" w:line="289" w:lineRule="auto"/>
        <w:rPr>
          <w:sz w:val="20"/>
          <w:szCs w:val="20"/>
          <w:color w:val="auto"/>
        </w:rPr>
      </w:pPr>
      <w:r>
        <w:rPr>
          <w:rFonts w:ascii="Arial" w:cs="Arial" w:eastAsia="Arial" w:hAnsi="Arial"/>
          <w:sz w:val="18"/>
          <w:szCs w:val="18"/>
          <w:color w:val="auto"/>
        </w:rPr>
        <w:t>In certain cases, local law may require that an award be subject to tax earlier than the date of payment. If that occurs, the Company will notify the Participant and will deduct the required tax amount from the Participant’s pay in accordance with applicable law.</w:t>
      </w:r>
    </w:p>
    <w:p>
      <w:pPr>
        <w:spacing w:after="0" w:line="138" w:lineRule="exact"/>
        <w:rPr>
          <w:sz w:val="20"/>
          <w:szCs w:val="20"/>
          <w:color w:val="auto"/>
        </w:rPr>
      </w:pPr>
    </w:p>
    <w:p>
      <w:pPr>
        <w:ind w:left="620" w:hanging="618"/>
        <w:spacing w:after="0"/>
        <w:tabs>
          <w:tab w:leader="none" w:pos="620" w:val="left"/>
        </w:tabs>
        <w:numPr>
          <w:ilvl w:val="0"/>
          <w:numId w:val="152"/>
        </w:numPr>
        <w:rPr>
          <w:rFonts w:ascii="Arial" w:cs="Arial" w:eastAsia="Arial" w:hAnsi="Arial"/>
          <w:sz w:val="17"/>
          <w:szCs w:val="17"/>
          <w:color w:val="auto"/>
        </w:rPr>
      </w:pPr>
      <w:r>
        <w:rPr>
          <w:rFonts w:ascii="Arial" w:cs="Arial" w:eastAsia="Arial" w:hAnsi="Arial"/>
          <w:sz w:val="19"/>
          <w:szCs w:val="19"/>
          <w:b w:val="1"/>
          <w:bCs w:val="1"/>
          <w:color w:val="auto"/>
        </w:rPr>
        <w:t>Provisions of the Plan</w:t>
      </w:r>
    </w:p>
    <w:p>
      <w:pPr>
        <w:spacing w:after="0" w:line="19"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The Award is subject to the provisions of the Plan, which are incorporated herein by reference, and in the event of any inconsistency or conflict</w:t>
      </w:r>
    </w:p>
    <w:p>
      <w:pPr>
        <w:spacing w:after="0" w:line="22" w:lineRule="exact"/>
        <w:rPr>
          <w:sz w:val="20"/>
          <w:szCs w:val="20"/>
          <w:color w:val="auto"/>
        </w:rPr>
      </w:pPr>
    </w:p>
    <w:p>
      <w:pPr>
        <w:ind w:right="220"/>
        <w:spacing w:after="0" w:line="244" w:lineRule="auto"/>
        <w:rPr>
          <w:sz w:val="20"/>
          <w:szCs w:val="20"/>
          <w:color w:val="auto"/>
        </w:rPr>
      </w:pPr>
      <w:r>
        <w:rPr>
          <w:rFonts w:ascii="Arial" w:cs="Arial" w:eastAsia="Arial" w:hAnsi="Arial"/>
          <w:sz w:val="19"/>
          <w:szCs w:val="19"/>
          <w:color w:val="auto"/>
        </w:rPr>
        <w:t>between the provisions of this Agreement and the Plan, the provisions of the Plan shall control. A copy of the Plan as in effect on the Grant Date has been made available electronically to the Participant.</w:t>
      </w:r>
    </w:p>
    <w:p>
      <w:pPr>
        <w:spacing w:after="0" w:line="176" w:lineRule="exact"/>
        <w:rPr>
          <w:sz w:val="20"/>
          <w:szCs w:val="20"/>
          <w:color w:val="auto"/>
        </w:rPr>
      </w:pPr>
    </w:p>
    <w:p>
      <w:pPr>
        <w:spacing w:after="0"/>
        <w:tabs>
          <w:tab w:leader="none" w:pos="300" w:val="left"/>
        </w:tabs>
        <w:rPr>
          <w:sz w:val="20"/>
          <w:szCs w:val="20"/>
          <w:color w:val="auto"/>
        </w:rPr>
      </w:pPr>
      <w:r>
        <w:rPr>
          <w:rFonts w:ascii="Arial" w:cs="Arial" w:eastAsia="Arial" w:hAnsi="Arial"/>
          <w:sz w:val="19"/>
          <w:szCs w:val="19"/>
          <w:b w:val="1"/>
          <w:bCs w:val="1"/>
          <w:color w:val="auto"/>
        </w:rPr>
        <w:t>9.</w:t>
      </w:r>
      <w:r>
        <w:rPr>
          <w:sz w:val="20"/>
          <w:szCs w:val="20"/>
          <w:color w:val="auto"/>
        </w:rPr>
        <w:tab/>
      </w:r>
      <w:r>
        <w:rPr>
          <w:rFonts w:ascii="Arial" w:cs="Arial" w:eastAsia="Arial" w:hAnsi="Arial"/>
          <w:sz w:val="17"/>
          <w:szCs w:val="17"/>
          <w:b w:val="1"/>
          <w:bCs w:val="1"/>
          <w:color w:val="auto"/>
        </w:rPr>
        <w:t>No Right to Employment</w:t>
      </w:r>
    </w:p>
    <w:p>
      <w:pPr>
        <w:spacing w:after="0" w:line="208" w:lineRule="exact"/>
        <w:rPr>
          <w:sz w:val="20"/>
          <w:szCs w:val="20"/>
          <w:color w:val="auto"/>
        </w:rPr>
      </w:pPr>
    </w:p>
    <w:p>
      <w:pPr>
        <w:ind w:firstLine="615"/>
        <w:spacing w:after="0" w:line="285" w:lineRule="auto"/>
        <w:rPr>
          <w:sz w:val="20"/>
          <w:szCs w:val="20"/>
          <w:color w:val="auto"/>
        </w:rPr>
      </w:pPr>
      <w:r>
        <w:rPr>
          <w:rFonts w:ascii="Arial" w:cs="Arial" w:eastAsia="Arial" w:hAnsi="Arial"/>
          <w:sz w:val="17"/>
          <w:szCs w:val="17"/>
          <w:color w:val="auto"/>
        </w:rPr>
        <w:t>The grant of the Award shall not constitute a contract of employment or confer upon the Participant any right with respect to the continuance of his/her employment by or other service with the Company or any Affiliate, nor shall it or they be construed as affecting the rights of the Company (or any Affiliate) to terminate the service of the Participant at any time or otherwise change the terms of such service, including, without limitation, the right to promote, demote or otherwise re-assign the Participant from one position to another within the Company or any Affiliate.</w:t>
      </w:r>
    </w:p>
    <w:p>
      <w:pPr>
        <w:spacing w:after="0" w:line="143" w:lineRule="exact"/>
        <w:rPr>
          <w:sz w:val="20"/>
          <w:szCs w:val="20"/>
          <w:color w:val="auto"/>
        </w:rPr>
      </w:pPr>
    </w:p>
    <w:p>
      <w:pPr>
        <w:spacing w:after="0"/>
        <w:tabs>
          <w:tab w:leader="none" w:pos="380" w:val="left"/>
        </w:tabs>
        <w:rPr>
          <w:sz w:val="20"/>
          <w:szCs w:val="20"/>
          <w:color w:val="auto"/>
        </w:rPr>
      </w:pPr>
      <w:r>
        <w:rPr>
          <w:rFonts w:ascii="Arial" w:cs="Arial" w:eastAsia="Arial" w:hAnsi="Arial"/>
          <w:sz w:val="19"/>
          <w:szCs w:val="19"/>
          <w:b w:val="1"/>
          <w:bCs w:val="1"/>
          <w:color w:val="auto"/>
        </w:rPr>
        <w:t>10.</w:t>
      </w:r>
      <w:r>
        <w:rPr>
          <w:sz w:val="20"/>
          <w:szCs w:val="20"/>
          <w:color w:val="auto"/>
        </w:rPr>
        <w:tab/>
      </w:r>
      <w:r>
        <w:rPr>
          <w:rFonts w:ascii="Arial" w:cs="Arial" w:eastAsia="Arial" w:hAnsi="Arial"/>
          <w:sz w:val="17"/>
          <w:szCs w:val="17"/>
          <w:b w:val="1"/>
          <w:bCs w:val="1"/>
          <w:color w:val="auto"/>
        </w:rPr>
        <w:t>Governing Law</w:t>
      </w:r>
    </w:p>
    <w:p>
      <w:pPr>
        <w:spacing w:after="0" w:line="20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provisions of the Award and this Agreement shall be governed by and interpreted in accordance with the laws of the State of Delaware.</w:t>
      </w:r>
    </w:p>
    <w:p>
      <w:pPr>
        <w:spacing w:after="0" w:line="200" w:lineRule="exact"/>
        <w:rPr>
          <w:sz w:val="20"/>
          <w:szCs w:val="20"/>
          <w:color w:val="auto"/>
        </w:rPr>
      </w:pPr>
    </w:p>
    <w:p>
      <w:pPr>
        <w:spacing w:after="0" w:line="232" w:lineRule="exact"/>
        <w:rPr>
          <w:sz w:val="20"/>
          <w:szCs w:val="20"/>
          <w:color w:val="auto"/>
        </w:rPr>
      </w:pPr>
    </w:p>
    <w:p>
      <w:pPr>
        <w:jc w:val="center"/>
        <w:ind w:right="2860"/>
        <w:spacing w:after="0"/>
        <w:rPr>
          <w:sz w:val="20"/>
          <w:szCs w:val="20"/>
          <w:color w:val="auto"/>
        </w:rPr>
      </w:pPr>
      <w:r>
        <w:rPr>
          <w:rFonts w:ascii="Arial" w:cs="Arial" w:eastAsia="Arial" w:hAnsi="Arial"/>
          <w:sz w:val="17"/>
          <w:szCs w:val="17"/>
          <w:color w:val="auto"/>
        </w:rPr>
        <w:t>IN WITNESS WHEREOF, the Company has caused this instrument to be executed by its duly authorized officer.</w:t>
      </w:r>
    </w:p>
    <w:p>
      <w:pPr>
        <w:spacing w:after="0" w:line="223" w:lineRule="exact"/>
        <w:rPr>
          <w:sz w:val="20"/>
          <w:szCs w:val="20"/>
          <w:color w:val="auto"/>
        </w:rPr>
      </w:pPr>
    </w:p>
    <w:p>
      <w:pPr>
        <w:ind w:left="3700"/>
        <w:spacing w:after="0"/>
        <w:rPr>
          <w:sz w:val="20"/>
          <w:szCs w:val="20"/>
          <w:color w:val="auto"/>
        </w:rPr>
      </w:pPr>
      <w:r>
        <w:rPr>
          <w:rFonts w:ascii="Arial" w:cs="Arial" w:eastAsia="Arial" w:hAnsi="Arial"/>
          <w:sz w:val="19"/>
          <w:szCs w:val="19"/>
          <w:b w:val="1"/>
          <w:bCs w:val="1"/>
          <w:color w:val="auto"/>
        </w:rPr>
        <w:t>Biogen Inc.</w:t>
      </w:r>
    </w:p>
    <w:p>
      <w:pPr>
        <w:spacing w:after="0" w:line="208" w:lineRule="exact"/>
        <w:rPr>
          <w:sz w:val="20"/>
          <w:szCs w:val="20"/>
          <w:color w:val="auto"/>
        </w:rPr>
      </w:pPr>
    </w:p>
    <w:p>
      <w:pPr>
        <w:ind w:left="3700"/>
        <w:spacing w:after="0"/>
        <w:tabs>
          <w:tab w:leader="none" w:pos="41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6"/>
          <w:szCs w:val="16"/>
          <w:u w:val="single" w:color="auto"/>
          <w:color w:val="auto"/>
        </w:rPr>
        <w:t>Michel Vounatsos</w:t>
      </w:r>
    </w:p>
    <w:p>
      <w:pPr>
        <w:spacing w:after="0" w:line="15" w:lineRule="exact"/>
        <w:rPr>
          <w:sz w:val="20"/>
          <w:szCs w:val="20"/>
          <w:color w:val="auto"/>
        </w:rPr>
      </w:pPr>
    </w:p>
    <w:p>
      <w:pPr>
        <w:ind w:left="4300"/>
        <w:spacing w:after="0"/>
        <w:rPr>
          <w:sz w:val="20"/>
          <w:szCs w:val="20"/>
          <w:color w:val="auto"/>
        </w:rPr>
      </w:pPr>
      <w:r>
        <w:rPr>
          <w:rFonts w:ascii="Arial" w:cs="Arial" w:eastAsia="Arial" w:hAnsi="Arial"/>
          <w:sz w:val="19"/>
          <w:szCs w:val="19"/>
          <w:color w:val="auto"/>
        </w:rPr>
        <w:t>Chief Executive Officer</w:t>
      </w:r>
    </w:p>
    <w:p>
      <w:pPr>
        <w:sectPr>
          <w:pgSz w:w="11900" w:h="16838" w:orient="portrait"/>
          <w:cols w:equalWidth="0" w:num="1">
            <w:col w:w="11380"/>
          </w:cols>
          <w:pgMar w:left="240" w:top="558" w:right="279" w:bottom="1440" w:gutter="0" w:footer="0" w:header="0"/>
        </w:sectPr>
      </w:pPr>
    </w:p>
    <w:bookmarkStart w:id="186" w:name="page187"/>
    <w:bookmarkEnd w:id="186"/>
    <w:p>
      <w:pPr>
        <w:jc w:val="right"/>
        <w:spacing w:after="0"/>
        <w:rPr>
          <w:sz w:val="20"/>
          <w:szCs w:val="20"/>
          <w:color w:val="auto"/>
        </w:rPr>
      </w:pPr>
      <w:r>
        <w:rPr>
          <w:rFonts w:ascii="Arial" w:cs="Arial" w:eastAsia="Arial" w:hAnsi="Arial"/>
          <w:sz w:val="19"/>
          <w:szCs w:val="19"/>
          <w:u w:val="single" w:color="auto"/>
          <w:color w:val="auto"/>
        </w:rPr>
        <w:t>Exhibit 10.28</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0" w:type="dxa"/>
            <w:vAlign w:val="bottom"/>
          </w:tcPr>
          <w:p>
            <w:pPr>
              <w:spacing w:after="0"/>
              <w:rPr>
                <w:sz w:val="21"/>
                <w:szCs w:val="21"/>
                <w:color w:val="auto"/>
              </w:rPr>
            </w:pPr>
          </w:p>
        </w:tc>
        <w:tc>
          <w:tcPr>
            <w:tcW w:w="8740" w:type="dxa"/>
            <w:vAlign w:val="bottom"/>
            <w:gridSpan w:val="2"/>
          </w:tcPr>
          <w:p>
            <w:pPr>
              <w:ind w:left="3640"/>
              <w:spacing w:after="0"/>
              <w:rPr>
                <w:sz w:val="20"/>
                <w:szCs w:val="20"/>
                <w:color w:val="auto"/>
              </w:rPr>
            </w:pPr>
            <w:r>
              <w:rPr>
                <w:rFonts w:ascii="Arial" w:cs="Arial" w:eastAsia="Arial" w:hAnsi="Arial"/>
                <w:sz w:val="19"/>
                <w:szCs w:val="19"/>
                <w:b w:val="1"/>
                <w:bCs w:val="1"/>
                <w:color w:val="auto"/>
              </w:rPr>
              <w:t>Non-Employee Director Compensation</w:t>
            </w:r>
          </w:p>
        </w:tc>
        <w:tc>
          <w:tcPr>
            <w:tcW w:w="1700" w:type="dxa"/>
            <w:vAlign w:val="bottom"/>
          </w:tcPr>
          <w:p>
            <w:pPr>
              <w:spacing w:after="0"/>
              <w:rPr>
                <w:sz w:val="21"/>
                <w:szCs w:val="21"/>
                <w:color w:val="auto"/>
              </w:rPr>
            </w:pPr>
          </w:p>
        </w:tc>
      </w:tr>
      <w:tr>
        <w:trPr>
          <w:trHeight w:val="423"/>
        </w:trPr>
        <w:tc>
          <w:tcPr>
            <w:tcW w:w="9260" w:type="dxa"/>
            <w:vAlign w:val="bottom"/>
            <w:gridSpan w:val="3"/>
          </w:tcPr>
          <w:p>
            <w:pPr>
              <w:spacing w:after="0"/>
              <w:rPr>
                <w:sz w:val="20"/>
                <w:szCs w:val="20"/>
                <w:color w:val="auto"/>
              </w:rPr>
            </w:pPr>
            <w:r>
              <w:rPr>
                <w:rFonts w:ascii="Arial" w:cs="Arial" w:eastAsia="Arial" w:hAnsi="Arial"/>
                <w:sz w:val="19"/>
                <w:szCs w:val="19"/>
                <w:color w:val="auto"/>
                <w:w w:val="92"/>
              </w:rPr>
              <w:t>The following is a summary of the retainers and meeting fees payable to non-employee directors effective July 1, 2017:</w:t>
            </w:r>
          </w:p>
        </w:tc>
        <w:tc>
          <w:tcPr>
            <w:tcW w:w="1700" w:type="dxa"/>
            <w:vAlign w:val="bottom"/>
          </w:tcPr>
          <w:p>
            <w:pPr>
              <w:spacing w:after="0"/>
              <w:rPr>
                <w:sz w:val="24"/>
                <w:szCs w:val="24"/>
                <w:color w:val="auto"/>
              </w:rPr>
            </w:pPr>
          </w:p>
        </w:tc>
      </w:tr>
      <w:tr>
        <w:trPr>
          <w:trHeight w:val="328"/>
        </w:trPr>
        <w:tc>
          <w:tcPr>
            <w:tcW w:w="520" w:type="dxa"/>
            <w:vAlign w:val="bottom"/>
          </w:tcPr>
          <w:p>
            <w:pPr>
              <w:spacing w:after="0"/>
              <w:rPr>
                <w:sz w:val="24"/>
                <w:szCs w:val="24"/>
                <w:color w:val="auto"/>
              </w:rPr>
            </w:pPr>
          </w:p>
        </w:tc>
        <w:tc>
          <w:tcPr>
            <w:tcW w:w="8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r>
        <w:trPr>
          <w:trHeight w:val="267"/>
        </w:trPr>
        <w:tc>
          <w:tcPr>
            <w:tcW w:w="520" w:type="dxa"/>
            <w:vAlign w:val="bottom"/>
            <w:tcBorders>
              <w:right w:val="single" w:sz="8" w:color="auto"/>
            </w:tcBorders>
          </w:tcPr>
          <w:p>
            <w:pPr>
              <w:spacing w:after="0"/>
              <w:rPr>
                <w:sz w:val="22"/>
                <w:szCs w:val="22"/>
                <w:color w:val="auto"/>
              </w:rPr>
            </w:pPr>
          </w:p>
        </w:tc>
        <w:tc>
          <w:tcPr>
            <w:tcW w:w="8240" w:type="dxa"/>
            <w:vAlign w:val="bottom"/>
            <w:tcBorders>
              <w:bottom w:val="single" w:sz="8" w:color="AEC2E4"/>
              <w:right w:val="single" w:sz="8" w:color="auto"/>
            </w:tcBorders>
            <w:shd w:val="clear" w:color="auto" w:fill="AEC2E4"/>
          </w:tcPr>
          <w:p>
            <w:pPr>
              <w:ind w:left="20"/>
              <w:spacing w:after="0"/>
              <w:rPr>
                <w:sz w:val="20"/>
                <w:szCs w:val="20"/>
                <w:color w:val="auto"/>
              </w:rPr>
            </w:pPr>
            <w:r>
              <w:rPr>
                <w:rFonts w:ascii="Arial" w:cs="Arial" w:eastAsia="Arial" w:hAnsi="Arial"/>
                <w:sz w:val="19"/>
                <w:szCs w:val="19"/>
                <w:b w:val="1"/>
                <w:bCs w:val="1"/>
                <w:color w:val="auto"/>
              </w:rPr>
              <w:t>Retainers</w:t>
            </w:r>
          </w:p>
        </w:tc>
        <w:tc>
          <w:tcPr>
            <w:tcW w:w="500" w:type="dxa"/>
            <w:vAlign w:val="bottom"/>
            <w:tcBorders>
              <w:bottom w:val="single" w:sz="8" w:color="AEC2E4"/>
            </w:tcBorders>
            <w:shd w:val="clear" w:color="auto" w:fill="AEC2E4"/>
          </w:tcPr>
          <w:p>
            <w:pPr>
              <w:spacing w:after="0"/>
              <w:rPr>
                <w:sz w:val="22"/>
                <w:szCs w:val="22"/>
                <w:color w:val="auto"/>
              </w:rPr>
            </w:pPr>
          </w:p>
        </w:tc>
        <w:tc>
          <w:tcPr>
            <w:tcW w:w="1700" w:type="dxa"/>
            <w:vAlign w:val="bottom"/>
            <w:tcBorders>
              <w:bottom w:val="single" w:sz="8" w:color="AEC2E4"/>
              <w:right w:val="single" w:sz="8" w:color="auto"/>
            </w:tcBorders>
            <w:shd w:val="clear" w:color="auto" w:fill="AEC2E4"/>
          </w:tcPr>
          <w:p>
            <w:pPr>
              <w:spacing w:after="0"/>
              <w:rPr>
                <w:sz w:val="22"/>
                <w:szCs w:val="22"/>
                <w:color w:val="auto"/>
              </w:rPr>
            </w:pPr>
          </w:p>
        </w:tc>
      </w:tr>
      <w:tr>
        <w:trPr>
          <w:trHeight w:val="267"/>
        </w:trPr>
        <w:tc>
          <w:tcPr>
            <w:tcW w:w="520" w:type="dxa"/>
            <w:vAlign w:val="bottom"/>
            <w:tcBorders>
              <w:right w:val="single" w:sz="8" w:color="auto"/>
            </w:tcBorders>
          </w:tcPr>
          <w:p>
            <w:pPr>
              <w:spacing w:after="0"/>
              <w:rPr>
                <w:sz w:val="22"/>
                <w:szCs w:val="22"/>
                <w:color w:val="auto"/>
              </w:rPr>
            </w:pPr>
          </w:p>
        </w:tc>
        <w:tc>
          <w:tcPr>
            <w:tcW w:w="8240" w:type="dxa"/>
            <w:vAlign w:val="bottom"/>
            <w:tcBorders>
              <w:top w:val="single" w:sz="8" w:color="auto"/>
              <w:bottom w:val="single" w:sz="8" w:color="E1E8F5"/>
              <w:right w:val="single" w:sz="8" w:color="auto"/>
            </w:tcBorders>
            <w:shd w:val="clear" w:color="auto" w:fill="E1E8F5"/>
          </w:tcPr>
          <w:p>
            <w:pPr>
              <w:ind w:left="20"/>
              <w:spacing w:after="0"/>
              <w:rPr>
                <w:sz w:val="20"/>
                <w:szCs w:val="20"/>
                <w:color w:val="auto"/>
              </w:rPr>
            </w:pPr>
            <w:r>
              <w:rPr>
                <w:rFonts w:ascii="Arial" w:cs="Arial" w:eastAsia="Arial" w:hAnsi="Arial"/>
                <w:sz w:val="19"/>
                <w:szCs w:val="19"/>
                <w:color w:val="auto"/>
              </w:rPr>
              <w:t>Annual Board Retainer</w:t>
            </w:r>
          </w:p>
        </w:tc>
        <w:tc>
          <w:tcPr>
            <w:tcW w:w="500" w:type="dxa"/>
            <w:vAlign w:val="bottom"/>
            <w:tcBorders>
              <w:top w:val="single" w:sz="8" w:color="auto"/>
              <w:bottom w:val="single" w:sz="8" w:color="E1E8F5"/>
            </w:tcBorders>
            <w:shd w:val="clear" w:color="auto" w:fill="E1E8F5"/>
          </w:tcPr>
          <w:p>
            <w:pPr>
              <w:spacing w:after="0"/>
              <w:rPr>
                <w:sz w:val="22"/>
                <w:szCs w:val="22"/>
                <w:color w:val="auto"/>
              </w:rPr>
            </w:pPr>
          </w:p>
        </w:tc>
        <w:tc>
          <w:tcPr>
            <w:tcW w:w="1700" w:type="dxa"/>
            <w:vAlign w:val="bottom"/>
            <w:tcBorders>
              <w:top w:val="single" w:sz="8" w:color="auto"/>
              <w:bottom w:val="single" w:sz="8" w:color="E1E8F5"/>
              <w:right w:val="single" w:sz="8" w:color="auto"/>
            </w:tcBorders>
            <w:shd w:val="clear" w:color="auto" w:fill="E1E8F5"/>
          </w:tcPr>
          <w:p>
            <w:pPr>
              <w:jc w:val="center"/>
              <w:ind w:right="446"/>
              <w:spacing w:after="0"/>
              <w:rPr>
                <w:sz w:val="20"/>
                <w:szCs w:val="20"/>
                <w:color w:val="auto"/>
              </w:rPr>
            </w:pPr>
            <w:r>
              <w:rPr>
                <w:rFonts w:ascii="Arial" w:cs="Arial" w:eastAsia="Arial" w:hAnsi="Arial"/>
                <w:sz w:val="19"/>
                <w:szCs w:val="19"/>
                <w:color w:val="auto"/>
                <w:w w:val="87"/>
              </w:rPr>
              <w:t>$65,000</w:t>
            </w:r>
          </w:p>
        </w:tc>
      </w:tr>
      <w:tr>
        <w:trPr>
          <w:trHeight w:val="267"/>
        </w:trPr>
        <w:tc>
          <w:tcPr>
            <w:tcW w:w="520" w:type="dxa"/>
            <w:vAlign w:val="bottom"/>
            <w:tcBorders>
              <w:right w:val="single" w:sz="8" w:color="auto"/>
            </w:tcBorders>
          </w:tcPr>
          <w:p>
            <w:pPr>
              <w:spacing w:after="0"/>
              <w:rPr>
                <w:sz w:val="22"/>
                <w:szCs w:val="22"/>
                <w:color w:val="auto"/>
              </w:rPr>
            </w:pPr>
          </w:p>
        </w:tc>
        <w:tc>
          <w:tcPr>
            <w:tcW w:w="8240" w:type="dxa"/>
            <w:vAlign w:val="bottom"/>
            <w:tcBorders>
              <w:top w:val="single" w:sz="8" w:color="auto"/>
              <w:bottom w:val="single" w:sz="8" w:color="E1E8F5"/>
              <w:right w:val="single" w:sz="8" w:color="auto"/>
            </w:tcBorders>
            <w:shd w:val="clear" w:color="auto" w:fill="E1E8F5"/>
          </w:tcPr>
          <w:p>
            <w:pPr>
              <w:ind w:left="20"/>
              <w:spacing w:after="0"/>
              <w:rPr>
                <w:sz w:val="20"/>
                <w:szCs w:val="20"/>
                <w:color w:val="auto"/>
              </w:rPr>
            </w:pPr>
            <w:r>
              <w:rPr>
                <w:rFonts w:ascii="Arial" w:cs="Arial" w:eastAsia="Arial" w:hAnsi="Arial"/>
                <w:sz w:val="19"/>
                <w:szCs w:val="19"/>
                <w:color w:val="auto"/>
              </w:rPr>
              <w:t>Annual Retainers (in addition to Annual Board Retainer):</w:t>
            </w:r>
          </w:p>
        </w:tc>
        <w:tc>
          <w:tcPr>
            <w:tcW w:w="500" w:type="dxa"/>
            <w:vAlign w:val="bottom"/>
            <w:tcBorders>
              <w:top w:val="single" w:sz="8" w:color="auto"/>
              <w:bottom w:val="single" w:sz="8" w:color="E1E8F5"/>
            </w:tcBorders>
            <w:shd w:val="clear" w:color="auto" w:fill="E1E8F5"/>
          </w:tcPr>
          <w:p>
            <w:pPr>
              <w:spacing w:after="0"/>
              <w:rPr>
                <w:sz w:val="22"/>
                <w:szCs w:val="22"/>
                <w:color w:val="auto"/>
              </w:rPr>
            </w:pPr>
          </w:p>
        </w:tc>
        <w:tc>
          <w:tcPr>
            <w:tcW w:w="1700" w:type="dxa"/>
            <w:vAlign w:val="bottom"/>
            <w:tcBorders>
              <w:top w:val="single" w:sz="8" w:color="auto"/>
              <w:bottom w:val="single" w:sz="8" w:color="E1E8F5"/>
              <w:right w:val="single" w:sz="8" w:color="auto"/>
            </w:tcBorders>
            <w:shd w:val="clear" w:color="auto" w:fill="E1E8F5"/>
          </w:tcPr>
          <w:p>
            <w:pPr>
              <w:spacing w:after="0"/>
              <w:rPr>
                <w:sz w:val="22"/>
                <w:szCs w:val="22"/>
                <w:color w:val="auto"/>
              </w:rPr>
            </w:pPr>
          </w:p>
        </w:tc>
      </w:tr>
      <w:tr>
        <w:trPr>
          <w:trHeight w:val="267"/>
        </w:trPr>
        <w:tc>
          <w:tcPr>
            <w:tcW w:w="520" w:type="dxa"/>
            <w:vAlign w:val="bottom"/>
            <w:tcBorders>
              <w:right w:val="single" w:sz="8" w:color="auto"/>
            </w:tcBorders>
          </w:tcPr>
          <w:p>
            <w:pPr>
              <w:spacing w:after="0"/>
              <w:rPr>
                <w:sz w:val="22"/>
                <w:szCs w:val="22"/>
                <w:color w:val="auto"/>
              </w:rPr>
            </w:pPr>
          </w:p>
        </w:tc>
        <w:tc>
          <w:tcPr>
            <w:tcW w:w="8240" w:type="dxa"/>
            <w:vAlign w:val="bottom"/>
            <w:tcBorders>
              <w:top w:val="single" w:sz="8" w:color="auto"/>
              <w:bottom w:val="single" w:sz="8" w:color="E1E8F5"/>
              <w:right w:val="single" w:sz="8" w:color="auto"/>
            </w:tcBorders>
            <w:shd w:val="clear" w:color="auto" w:fill="E1E8F5"/>
          </w:tcPr>
          <w:p>
            <w:pPr>
              <w:ind w:left="20"/>
              <w:spacing w:after="0"/>
              <w:rPr>
                <w:sz w:val="20"/>
                <w:szCs w:val="20"/>
                <w:color w:val="auto"/>
              </w:rPr>
            </w:pPr>
            <w:r>
              <w:rPr>
                <w:rFonts w:ascii="Arial" w:cs="Arial" w:eastAsia="Arial" w:hAnsi="Arial"/>
                <w:sz w:val="19"/>
                <w:szCs w:val="19"/>
                <w:color w:val="auto"/>
              </w:rPr>
              <w:t>Independent Chairman of the Board</w:t>
            </w:r>
          </w:p>
        </w:tc>
        <w:tc>
          <w:tcPr>
            <w:tcW w:w="500" w:type="dxa"/>
            <w:vAlign w:val="bottom"/>
            <w:tcBorders>
              <w:top w:val="single" w:sz="8" w:color="auto"/>
              <w:bottom w:val="single" w:sz="8" w:color="E1E8F5"/>
            </w:tcBorders>
            <w:shd w:val="clear" w:color="auto" w:fill="E1E8F5"/>
          </w:tcPr>
          <w:p>
            <w:pPr>
              <w:spacing w:after="0"/>
              <w:rPr>
                <w:sz w:val="22"/>
                <w:szCs w:val="22"/>
                <w:color w:val="auto"/>
              </w:rPr>
            </w:pPr>
          </w:p>
        </w:tc>
        <w:tc>
          <w:tcPr>
            <w:tcW w:w="1700" w:type="dxa"/>
            <w:vAlign w:val="bottom"/>
            <w:tcBorders>
              <w:top w:val="single" w:sz="8" w:color="auto"/>
              <w:bottom w:val="single" w:sz="8" w:color="E1E8F5"/>
              <w:right w:val="single" w:sz="8" w:color="auto"/>
            </w:tcBorders>
            <w:shd w:val="clear" w:color="auto" w:fill="E1E8F5"/>
          </w:tcPr>
          <w:p>
            <w:pPr>
              <w:jc w:val="center"/>
              <w:ind w:right="446"/>
              <w:spacing w:after="0"/>
              <w:rPr>
                <w:sz w:val="20"/>
                <w:szCs w:val="20"/>
                <w:color w:val="auto"/>
              </w:rPr>
            </w:pPr>
            <w:r>
              <w:rPr>
                <w:rFonts w:ascii="Arial" w:cs="Arial" w:eastAsia="Arial" w:hAnsi="Arial"/>
                <w:sz w:val="19"/>
                <w:szCs w:val="19"/>
                <w:color w:val="auto"/>
                <w:w w:val="87"/>
              </w:rPr>
              <w:t>$75,000</w:t>
            </w:r>
          </w:p>
        </w:tc>
      </w:tr>
      <w:tr>
        <w:trPr>
          <w:trHeight w:val="267"/>
        </w:trPr>
        <w:tc>
          <w:tcPr>
            <w:tcW w:w="520" w:type="dxa"/>
            <w:vAlign w:val="bottom"/>
            <w:tcBorders>
              <w:right w:val="single" w:sz="8" w:color="auto"/>
            </w:tcBorders>
          </w:tcPr>
          <w:p>
            <w:pPr>
              <w:spacing w:after="0"/>
              <w:rPr>
                <w:sz w:val="22"/>
                <w:szCs w:val="22"/>
                <w:color w:val="auto"/>
              </w:rPr>
            </w:pPr>
          </w:p>
        </w:tc>
        <w:tc>
          <w:tcPr>
            <w:tcW w:w="8240" w:type="dxa"/>
            <w:vAlign w:val="bottom"/>
            <w:tcBorders>
              <w:top w:val="single" w:sz="8" w:color="auto"/>
              <w:bottom w:val="single" w:sz="8" w:color="E1E8F5"/>
              <w:right w:val="single" w:sz="8" w:color="auto"/>
            </w:tcBorders>
            <w:shd w:val="clear" w:color="auto" w:fill="E1E8F5"/>
          </w:tcPr>
          <w:p>
            <w:pPr>
              <w:ind w:left="20"/>
              <w:spacing w:after="0"/>
              <w:rPr>
                <w:sz w:val="20"/>
                <w:szCs w:val="20"/>
                <w:color w:val="auto"/>
              </w:rPr>
            </w:pPr>
            <w:r>
              <w:rPr>
                <w:rFonts w:ascii="Arial" w:cs="Arial" w:eastAsia="Arial" w:hAnsi="Arial"/>
                <w:sz w:val="19"/>
                <w:szCs w:val="19"/>
                <w:color w:val="auto"/>
              </w:rPr>
              <w:t>Audit Committee Chair</w:t>
            </w:r>
          </w:p>
        </w:tc>
        <w:tc>
          <w:tcPr>
            <w:tcW w:w="500" w:type="dxa"/>
            <w:vAlign w:val="bottom"/>
            <w:tcBorders>
              <w:top w:val="single" w:sz="8" w:color="auto"/>
              <w:bottom w:val="single" w:sz="8" w:color="E1E8F5"/>
            </w:tcBorders>
            <w:shd w:val="clear" w:color="auto" w:fill="E1E8F5"/>
          </w:tcPr>
          <w:p>
            <w:pPr>
              <w:spacing w:after="0"/>
              <w:rPr>
                <w:sz w:val="22"/>
                <w:szCs w:val="22"/>
                <w:color w:val="auto"/>
              </w:rPr>
            </w:pPr>
          </w:p>
        </w:tc>
        <w:tc>
          <w:tcPr>
            <w:tcW w:w="1700" w:type="dxa"/>
            <w:vAlign w:val="bottom"/>
            <w:tcBorders>
              <w:top w:val="single" w:sz="8" w:color="auto"/>
              <w:bottom w:val="single" w:sz="8" w:color="E1E8F5"/>
              <w:right w:val="single" w:sz="8" w:color="auto"/>
            </w:tcBorders>
            <w:shd w:val="clear" w:color="auto" w:fill="E1E8F5"/>
          </w:tcPr>
          <w:p>
            <w:pPr>
              <w:jc w:val="center"/>
              <w:ind w:right="446"/>
              <w:spacing w:after="0"/>
              <w:rPr>
                <w:sz w:val="20"/>
                <w:szCs w:val="20"/>
                <w:color w:val="auto"/>
              </w:rPr>
            </w:pPr>
            <w:r>
              <w:rPr>
                <w:rFonts w:ascii="Arial" w:cs="Arial" w:eastAsia="Arial" w:hAnsi="Arial"/>
                <w:sz w:val="19"/>
                <w:szCs w:val="19"/>
                <w:color w:val="auto"/>
                <w:w w:val="87"/>
              </w:rPr>
              <w:t>$25,000</w:t>
            </w:r>
          </w:p>
        </w:tc>
      </w:tr>
      <w:tr>
        <w:trPr>
          <w:trHeight w:val="267"/>
        </w:trPr>
        <w:tc>
          <w:tcPr>
            <w:tcW w:w="520" w:type="dxa"/>
            <w:vAlign w:val="bottom"/>
            <w:tcBorders>
              <w:right w:val="single" w:sz="8" w:color="auto"/>
            </w:tcBorders>
          </w:tcPr>
          <w:p>
            <w:pPr>
              <w:spacing w:after="0"/>
              <w:rPr>
                <w:sz w:val="22"/>
                <w:szCs w:val="22"/>
                <w:color w:val="auto"/>
              </w:rPr>
            </w:pPr>
          </w:p>
        </w:tc>
        <w:tc>
          <w:tcPr>
            <w:tcW w:w="8240" w:type="dxa"/>
            <w:vAlign w:val="bottom"/>
            <w:tcBorders>
              <w:top w:val="single" w:sz="8" w:color="auto"/>
              <w:bottom w:val="single" w:sz="8" w:color="E1E8F5"/>
              <w:right w:val="single" w:sz="8" w:color="auto"/>
            </w:tcBorders>
            <w:shd w:val="clear" w:color="auto" w:fill="E1E8F5"/>
          </w:tcPr>
          <w:p>
            <w:pPr>
              <w:ind w:left="20"/>
              <w:spacing w:after="0"/>
              <w:rPr>
                <w:sz w:val="20"/>
                <w:szCs w:val="20"/>
                <w:color w:val="auto"/>
              </w:rPr>
            </w:pPr>
            <w:r>
              <w:rPr>
                <w:rFonts w:ascii="Arial" w:cs="Arial" w:eastAsia="Arial" w:hAnsi="Arial"/>
                <w:sz w:val="19"/>
                <w:szCs w:val="19"/>
                <w:color w:val="auto"/>
              </w:rPr>
              <w:t>Compensation and Management Development Committee Chair</w:t>
            </w:r>
          </w:p>
        </w:tc>
        <w:tc>
          <w:tcPr>
            <w:tcW w:w="500" w:type="dxa"/>
            <w:vAlign w:val="bottom"/>
            <w:tcBorders>
              <w:top w:val="single" w:sz="8" w:color="auto"/>
              <w:bottom w:val="single" w:sz="8" w:color="E1E8F5"/>
            </w:tcBorders>
            <w:shd w:val="clear" w:color="auto" w:fill="E1E8F5"/>
          </w:tcPr>
          <w:p>
            <w:pPr>
              <w:spacing w:after="0"/>
              <w:rPr>
                <w:sz w:val="22"/>
                <w:szCs w:val="22"/>
                <w:color w:val="auto"/>
              </w:rPr>
            </w:pPr>
          </w:p>
        </w:tc>
        <w:tc>
          <w:tcPr>
            <w:tcW w:w="1700" w:type="dxa"/>
            <w:vAlign w:val="bottom"/>
            <w:tcBorders>
              <w:top w:val="single" w:sz="8" w:color="auto"/>
              <w:bottom w:val="single" w:sz="8" w:color="E1E8F5"/>
              <w:right w:val="single" w:sz="8" w:color="auto"/>
            </w:tcBorders>
            <w:shd w:val="clear" w:color="auto" w:fill="E1E8F5"/>
          </w:tcPr>
          <w:p>
            <w:pPr>
              <w:jc w:val="center"/>
              <w:ind w:right="446"/>
              <w:spacing w:after="0"/>
              <w:rPr>
                <w:sz w:val="20"/>
                <w:szCs w:val="20"/>
                <w:color w:val="auto"/>
              </w:rPr>
            </w:pPr>
            <w:r>
              <w:rPr>
                <w:rFonts w:ascii="Arial" w:cs="Arial" w:eastAsia="Arial" w:hAnsi="Arial"/>
                <w:sz w:val="19"/>
                <w:szCs w:val="19"/>
                <w:color w:val="auto"/>
                <w:w w:val="87"/>
              </w:rPr>
              <w:t>$20,000</w:t>
            </w:r>
          </w:p>
        </w:tc>
      </w:tr>
      <w:tr>
        <w:trPr>
          <w:trHeight w:val="267"/>
        </w:trPr>
        <w:tc>
          <w:tcPr>
            <w:tcW w:w="520" w:type="dxa"/>
            <w:vAlign w:val="bottom"/>
            <w:tcBorders>
              <w:right w:val="single" w:sz="8" w:color="auto"/>
            </w:tcBorders>
          </w:tcPr>
          <w:p>
            <w:pPr>
              <w:spacing w:after="0"/>
              <w:rPr>
                <w:sz w:val="22"/>
                <w:szCs w:val="22"/>
                <w:color w:val="auto"/>
              </w:rPr>
            </w:pPr>
          </w:p>
        </w:tc>
        <w:tc>
          <w:tcPr>
            <w:tcW w:w="8240" w:type="dxa"/>
            <w:vAlign w:val="bottom"/>
            <w:tcBorders>
              <w:top w:val="single" w:sz="8" w:color="auto"/>
              <w:bottom w:val="single" w:sz="8" w:color="E1E8F5"/>
              <w:right w:val="single" w:sz="8" w:color="auto"/>
            </w:tcBorders>
            <w:shd w:val="clear" w:color="auto" w:fill="E1E8F5"/>
          </w:tcPr>
          <w:p>
            <w:pPr>
              <w:ind w:left="20"/>
              <w:spacing w:after="0"/>
              <w:rPr>
                <w:sz w:val="20"/>
                <w:szCs w:val="20"/>
                <w:color w:val="auto"/>
              </w:rPr>
            </w:pPr>
            <w:r>
              <w:rPr>
                <w:rFonts w:ascii="Arial" w:cs="Arial" w:eastAsia="Arial" w:hAnsi="Arial"/>
                <w:sz w:val="19"/>
                <w:szCs w:val="19"/>
                <w:color w:val="auto"/>
              </w:rPr>
              <w:t>Corporate Governance Committee Chair</w:t>
            </w:r>
          </w:p>
        </w:tc>
        <w:tc>
          <w:tcPr>
            <w:tcW w:w="500" w:type="dxa"/>
            <w:vAlign w:val="bottom"/>
            <w:tcBorders>
              <w:top w:val="single" w:sz="8" w:color="auto"/>
              <w:bottom w:val="single" w:sz="8" w:color="E1E8F5"/>
            </w:tcBorders>
            <w:shd w:val="clear" w:color="auto" w:fill="E1E8F5"/>
          </w:tcPr>
          <w:p>
            <w:pPr>
              <w:spacing w:after="0"/>
              <w:rPr>
                <w:sz w:val="22"/>
                <w:szCs w:val="22"/>
                <w:color w:val="auto"/>
              </w:rPr>
            </w:pPr>
          </w:p>
        </w:tc>
        <w:tc>
          <w:tcPr>
            <w:tcW w:w="1700" w:type="dxa"/>
            <w:vAlign w:val="bottom"/>
            <w:tcBorders>
              <w:top w:val="single" w:sz="8" w:color="auto"/>
              <w:bottom w:val="single" w:sz="8" w:color="E1E8F5"/>
              <w:right w:val="single" w:sz="8" w:color="auto"/>
            </w:tcBorders>
            <w:shd w:val="clear" w:color="auto" w:fill="E1E8F5"/>
          </w:tcPr>
          <w:p>
            <w:pPr>
              <w:jc w:val="center"/>
              <w:ind w:right="446"/>
              <w:spacing w:after="0"/>
              <w:rPr>
                <w:sz w:val="20"/>
                <w:szCs w:val="20"/>
                <w:color w:val="auto"/>
              </w:rPr>
            </w:pPr>
            <w:r>
              <w:rPr>
                <w:rFonts w:ascii="Arial" w:cs="Arial" w:eastAsia="Arial" w:hAnsi="Arial"/>
                <w:sz w:val="19"/>
                <w:szCs w:val="19"/>
                <w:color w:val="auto"/>
                <w:w w:val="87"/>
              </w:rPr>
              <w:t>$15,000</w:t>
            </w:r>
          </w:p>
        </w:tc>
      </w:tr>
      <w:tr>
        <w:trPr>
          <w:trHeight w:val="267"/>
        </w:trPr>
        <w:tc>
          <w:tcPr>
            <w:tcW w:w="520" w:type="dxa"/>
            <w:vAlign w:val="bottom"/>
            <w:tcBorders>
              <w:right w:val="single" w:sz="8" w:color="auto"/>
            </w:tcBorders>
          </w:tcPr>
          <w:p>
            <w:pPr>
              <w:spacing w:after="0"/>
              <w:rPr>
                <w:sz w:val="22"/>
                <w:szCs w:val="22"/>
                <w:color w:val="auto"/>
              </w:rPr>
            </w:pPr>
          </w:p>
        </w:tc>
        <w:tc>
          <w:tcPr>
            <w:tcW w:w="8240" w:type="dxa"/>
            <w:vAlign w:val="bottom"/>
            <w:tcBorders>
              <w:top w:val="single" w:sz="8" w:color="auto"/>
              <w:bottom w:val="single" w:sz="8" w:color="E1E8F5"/>
              <w:right w:val="single" w:sz="8" w:color="auto"/>
            </w:tcBorders>
            <w:shd w:val="clear" w:color="auto" w:fill="E1E8F5"/>
          </w:tcPr>
          <w:p>
            <w:pPr>
              <w:ind w:left="20"/>
              <w:spacing w:after="0"/>
              <w:rPr>
                <w:sz w:val="20"/>
                <w:szCs w:val="20"/>
                <w:color w:val="auto"/>
              </w:rPr>
            </w:pPr>
            <w:r>
              <w:rPr>
                <w:rFonts w:ascii="Arial" w:cs="Arial" w:eastAsia="Arial" w:hAnsi="Arial"/>
                <w:sz w:val="19"/>
                <w:szCs w:val="19"/>
                <w:color w:val="auto"/>
              </w:rPr>
              <w:t>Finance Committee Chair</w:t>
            </w:r>
          </w:p>
        </w:tc>
        <w:tc>
          <w:tcPr>
            <w:tcW w:w="500" w:type="dxa"/>
            <w:vAlign w:val="bottom"/>
            <w:tcBorders>
              <w:top w:val="single" w:sz="8" w:color="auto"/>
              <w:bottom w:val="single" w:sz="8" w:color="E1E8F5"/>
            </w:tcBorders>
            <w:shd w:val="clear" w:color="auto" w:fill="E1E8F5"/>
          </w:tcPr>
          <w:p>
            <w:pPr>
              <w:spacing w:after="0"/>
              <w:rPr>
                <w:sz w:val="22"/>
                <w:szCs w:val="22"/>
                <w:color w:val="auto"/>
              </w:rPr>
            </w:pPr>
          </w:p>
        </w:tc>
        <w:tc>
          <w:tcPr>
            <w:tcW w:w="1700" w:type="dxa"/>
            <w:vAlign w:val="bottom"/>
            <w:tcBorders>
              <w:top w:val="single" w:sz="8" w:color="auto"/>
              <w:bottom w:val="single" w:sz="8" w:color="E1E8F5"/>
              <w:right w:val="single" w:sz="8" w:color="auto"/>
            </w:tcBorders>
            <w:shd w:val="clear" w:color="auto" w:fill="E1E8F5"/>
          </w:tcPr>
          <w:p>
            <w:pPr>
              <w:jc w:val="center"/>
              <w:ind w:right="446"/>
              <w:spacing w:after="0"/>
              <w:rPr>
                <w:sz w:val="20"/>
                <w:szCs w:val="20"/>
                <w:color w:val="auto"/>
              </w:rPr>
            </w:pPr>
            <w:r>
              <w:rPr>
                <w:rFonts w:ascii="Arial" w:cs="Arial" w:eastAsia="Arial" w:hAnsi="Arial"/>
                <w:sz w:val="19"/>
                <w:szCs w:val="19"/>
                <w:color w:val="auto"/>
                <w:w w:val="87"/>
              </w:rPr>
              <w:t>$15,000</w:t>
            </w:r>
          </w:p>
        </w:tc>
      </w:tr>
      <w:tr>
        <w:trPr>
          <w:trHeight w:val="267"/>
        </w:trPr>
        <w:tc>
          <w:tcPr>
            <w:tcW w:w="520" w:type="dxa"/>
            <w:vAlign w:val="bottom"/>
            <w:tcBorders>
              <w:right w:val="single" w:sz="8" w:color="auto"/>
            </w:tcBorders>
          </w:tcPr>
          <w:p>
            <w:pPr>
              <w:spacing w:after="0"/>
              <w:rPr>
                <w:sz w:val="22"/>
                <w:szCs w:val="22"/>
                <w:color w:val="auto"/>
              </w:rPr>
            </w:pPr>
          </w:p>
        </w:tc>
        <w:tc>
          <w:tcPr>
            <w:tcW w:w="8240" w:type="dxa"/>
            <w:vAlign w:val="bottom"/>
            <w:tcBorders>
              <w:top w:val="single" w:sz="8" w:color="auto"/>
              <w:bottom w:val="single" w:sz="8" w:color="E1E8F5"/>
              <w:right w:val="single" w:sz="8" w:color="auto"/>
            </w:tcBorders>
            <w:shd w:val="clear" w:color="auto" w:fill="E1E8F5"/>
          </w:tcPr>
          <w:p>
            <w:pPr>
              <w:ind w:left="20"/>
              <w:spacing w:after="0"/>
              <w:rPr>
                <w:sz w:val="20"/>
                <w:szCs w:val="20"/>
                <w:color w:val="auto"/>
              </w:rPr>
            </w:pPr>
            <w:r>
              <w:rPr>
                <w:rFonts w:ascii="Arial" w:cs="Arial" w:eastAsia="Arial" w:hAnsi="Arial"/>
                <w:sz w:val="19"/>
                <w:szCs w:val="19"/>
                <w:color w:val="auto"/>
              </w:rPr>
              <w:t>Risk Committee Chair</w:t>
            </w:r>
          </w:p>
        </w:tc>
        <w:tc>
          <w:tcPr>
            <w:tcW w:w="500" w:type="dxa"/>
            <w:vAlign w:val="bottom"/>
            <w:tcBorders>
              <w:top w:val="single" w:sz="8" w:color="auto"/>
              <w:bottom w:val="single" w:sz="8" w:color="E1E8F5"/>
            </w:tcBorders>
            <w:shd w:val="clear" w:color="auto" w:fill="E1E8F5"/>
          </w:tcPr>
          <w:p>
            <w:pPr>
              <w:spacing w:after="0"/>
              <w:rPr>
                <w:sz w:val="22"/>
                <w:szCs w:val="22"/>
                <w:color w:val="auto"/>
              </w:rPr>
            </w:pPr>
          </w:p>
        </w:tc>
        <w:tc>
          <w:tcPr>
            <w:tcW w:w="1700" w:type="dxa"/>
            <w:vAlign w:val="bottom"/>
            <w:tcBorders>
              <w:top w:val="single" w:sz="8" w:color="auto"/>
              <w:bottom w:val="single" w:sz="8" w:color="E1E8F5"/>
              <w:right w:val="single" w:sz="8" w:color="auto"/>
            </w:tcBorders>
            <w:shd w:val="clear" w:color="auto" w:fill="E1E8F5"/>
          </w:tcPr>
          <w:p>
            <w:pPr>
              <w:jc w:val="center"/>
              <w:ind w:right="446"/>
              <w:spacing w:after="0"/>
              <w:rPr>
                <w:sz w:val="20"/>
                <w:szCs w:val="20"/>
                <w:color w:val="auto"/>
              </w:rPr>
            </w:pPr>
            <w:r>
              <w:rPr>
                <w:rFonts w:ascii="Arial" w:cs="Arial" w:eastAsia="Arial" w:hAnsi="Arial"/>
                <w:sz w:val="19"/>
                <w:szCs w:val="19"/>
                <w:color w:val="auto"/>
                <w:w w:val="87"/>
              </w:rPr>
              <w:t>$15,000</w:t>
            </w:r>
          </w:p>
        </w:tc>
      </w:tr>
      <w:tr>
        <w:trPr>
          <w:trHeight w:val="267"/>
        </w:trPr>
        <w:tc>
          <w:tcPr>
            <w:tcW w:w="520" w:type="dxa"/>
            <w:vAlign w:val="bottom"/>
            <w:tcBorders>
              <w:right w:val="single" w:sz="8" w:color="auto"/>
            </w:tcBorders>
          </w:tcPr>
          <w:p>
            <w:pPr>
              <w:spacing w:after="0"/>
              <w:rPr>
                <w:sz w:val="22"/>
                <w:szCs w:val="22"/>
                <w:color w:val="auto"/>
              </w:rPr>
            </w:pPr>
          </w:p>
        </w:tc>
        <w:tc>
          <w:tcPr>
            <w:tcW w:w="8240" w:type="dxa"/>
            <w:vAlign w:val="bottom"/>
            <w:tcBorders>
              <w:top w:val="single" w:sz="8" w:color="auto"/>
              <w:bottom w:val="single" w:sz="8" w:color="E1E8F5"/>
              <w:right w:val="single" w:sz="8" w:color="auto"/>
            </w:tcBorders>
            <w:shd w:val="clear" w:color="auto" w:fill="E1E8F5"/>
          </w:tcPr>
          <w:p>
            <w:pPr>
              <w:ind w:left="20"/>
              <w:spacing w:after="0"/>
              <w:rPr>
                <w:sz w:val="20"/>
                <w:szCs w:val="20"/>
                <w:color w:val="auto"/>
              </w:rPr>
            </w:pPr>
            <w:r>
              <w:rPr>
                <w:rFonts w:ascii="Arial" w:cs="Arial" w:eastAsia="Arial" w:hAnsi="Arial"/>
                <w:sz w:val="19"/>
                <w:szCs w:val="19"/>
                <w:color w:val="auto"/>
              </w:rPr>
              <w:t>Science and Technology Committee Chair</w:t>
            </w:r>
          </w:p>
        </w:tc>
        <w:tc>
          <w:tcPr>
            <w:tcW w:w="500" w:type="dxa"/>
            <w:vAlign w:val="bottom"/>
            <w:tcBorders>
              <w:top w:val="single" w:sz="8" w:color="auto"/>
              <w:bottom w:val="single" w:sz="8" w:color="E1E8F5"/>
            </w:tcBorders>
            <w:shd w:val="clear" w:color="auto" w:fill="E1E8F5"/>
          </w:tcPr>
          <w:p>
            <w:pPr>
              <w:spacing w:after="0"/>
              <w:rPr>
                <w:sz w:val="22"/>
                <w:szCs w:val="22"/>
                <w:color w:val="auto"/>
              </w:rPr>
            </w:pPr>
          </w:p>
        </w:tc>
        <w:tc>
          <w:tcPr>
            <w:tcW w:w="1700" w:type="dxa"/>
            <w:vAlign w:val="bottom"/>
            <w:tcBorders>
              <w:top w:val="single" w:sz="8" w:color="auto"/>
              <w:bottom w:val="single" w:sz="8" w:color="E1E8F5"/>
              <w:right w:val="single" w:sz="8" w:color="auto"/>
            </w:tcBorders>
            <w:shd w:val="clear" w:color="auto" w:fill="E1E8F5"/>
          </w:tcPr>
          <w:p>
            <w:pPr>
              <w:jc w:val="center"/>
              <w:ind w:right="446"/>
              <w:spacing w:after="0"/>
              <w:rPr>
                <w:sz w:val="20"/>
                <w:szCs w:val="20"/>
                <w:color w:val="auto"/>
              </w:rPr>
            </w:pPr>
            <w:r>
              <w:rPr>
                <w:rFonts w:ascii="Arial" w:cs="Arial" w:eastAsia="Arial" w:hAnsi="Arial"/>
                <w:sz w:val="19"/>
                <w:szCs w:val="19"/>
                <w:color w:val="auto"/>
                <w:w w:val="87"/>
              </w:rPr>
              <w:t>$15,000</w:t>
            </w:r>
          </w:p>
        </w:tc>
      </w:tr>
      <w:tr>
        <w:trPr>
          <w:trHeight w:val="267"/>
        </w:trPr>
        <w:tc>
          <w:tcPr>
            <w:tcW w:w="520" w:type="dxa"/>
            <w:vAlign w:val="bottom"/>
            <w:tcBorders>
              <w:right w:val="single" w:sz="8" w:color="auto"/>
            </w:tcBorders>
          </w:tcPr>
          <w:p>
            <w:pPr>
              <w:spacing w:after="0"/>
              <w:rPr>
                <w:sz w:val="22"/>
                <w:szCs w:val="22"/>
                <w:color w:val="auto"/>
              </w:rPr>
            </w:pPr>
          </w:p>
        </w:tc>
        <w:tc>
          <w:tcPr>
            <w:tcW w:w="8240" w:type="dxa"/>
            <w:vAlign w:val="bottom"/>
            <w:tcBorders>
              <w:top w:val="single" w:sz="8" w:color="auto"/>
              <w:bottom w:val="single" w:sz="8" w:color="E1E8F5"/>
              <w:right w:val="single" w:sz="8" w:color="auto"/>
            </w:tcBorders>
            <w:shd w:val="clear" w:color="auto" w:fill="E1E8F5"/>
          </w:tcPr>
          <w:p>
            <w:pPr>
              <w:ind w:left="20"/>
              <w:spacing w:after="0"/>
              <w:rPr>
                <w:sz w:val="20"/>
                <w:szCs w:val="20"/>
                <w:color w:val="auto"/>
              </w:rPr>
            </w:pPr>
            <w:r>
              <w:rPr>
                <w:rFonts w:ascii="Arial" w:cs="Arial" w:eastAsia="Arial" w:hAnsi="Arial"/>
                <w:sz w:val="19"/>
                <w:szCs w:val="19"/>
                <w:color w:val="auto"/>
              </w:rPr>
              <w:t>Audit Committee Member (other than Chair)</w:t>
            </w:r>
          </w:p>
        </w:tc>
        <w:tc>
          <w:tcPr>
            <w:tcW w:w="500" w:type="dxa"/>
            <w:vAlign w:val="bottom"/>
            <w:tcBorders>
              <w:top w:val="single" w:sz="8" w:color="auto"/>
              <w:bottom w:val="single" w:sz="8" w:color="E1E8F5"/>
            </w:tcBorders>
            <w:shd w:val="clear" w:color="auto" w:fill="E1E8F5"/>
          </w:tcPr>
          <w:p>
            <w:pPr>
              <w:spacing w:after="0"/>
              <w:rPr>
                <w:sz w:val="22"/>
                <w:szCs w:val="22"/>
                <w:color w:val="auto"/>
              </w:rPr>
            </w:pPr>
          </w:p>
        </w:tc>
        <w:tc>
          <w:tcPr>
            <w:tcW w:w="1700" w:type="dxa"/>
            <w:vAlign w:val="bottom"/>
            <w:tcBorders>
              <w:top w:val="single" w:sz="8" w:color="auto"/>
              <w:bottom w:val="single" w:sz="8" w:color="E1E8F5"/>
              <w:right w:val="single" w:sz="8" w:color="auto"/>
            </w:tcBorders>
            <w:shd w:val="clear" w:color="auto" w:fill="E1E8F5"/>
          </w:tcPr>
          <w:p>
            <w:pPr>
              <w:jc w:val="center"/>
              <w:ind w:right="446"/>
              <w:spacing w:after="0"/>
              <w:rPr>
                <w:sz w:val="20"/>
                <w:szCs w:val="20"/>
                <w:color w:val="auto"/>
              </w:rPr>
            </w:pPr>
            <w:r>
              <w:rPr>
                <w:rFonts w:ascii="Arial" w:cs="Arial" w:eastAsia="Arial" w:hAnsi="Arial"/>
                <w:sz w:val="19"/>
                <w:szCs w:val="19"/>
                <w:color w:val="auto"/>
                <w:w w:val="89"/>
              </w:rPr>
              <w:t>$5,000</w:t>
            </w:r>
          </w:p>
        </w:tc>
      </w:tr>
      <w:tr>
        <w:trPr>
          <w:trHeight w:val="267"/>
        </w:trPr>
        <w:tc>
          <w:tcPr>
            <w:tcW w:w="520" w:type="dxa"/>
            <w:vAlign w:val="bottom"/>
            <w:tcBorders>
              <w:right w:val="single" w:sz="8" w:color="auto"/>
            </w:tcBorders>
          </w:tcPr>
          <w:p>
            <w:pPr>
              <w:spacing w:after="0"/>
              <w:rPr>
                <w:sz w:val="22"/>
                <w:szCs w:val="22"/>
                <w:color w:val="auto"/>
              </w:rPr>
            </w:pPr>
          </w:p>
        </w:tc>
        <w:tc>
          <w:tcPr>
            <w:tcW w:w="8240" w:type="dxa"/>
            <w:vAlign w:val="bottom"/>
            <w:tcBorders>
              <w:top w:val="single" w:sz="8" w:color="auto"/>
              <w:bottom w:val="single" w:sz="8" w:color="AEC2E4"/>
              <w:right w:val="single" w:sz="8" w:color="auto"/>
            </w:tcBorders>
            <w:shd w:val="clear" w:color="auto" w:fill="AEC2E4"/>
          </w:tcPr>
          <w:p>
            <w:pPr>
              <w:ind w:left="20"/>
              <w:spacing w:after="0"/>
              <w:rPr>
                <w:sz w:val="20"/>
                <w:szCs w:val="20"/>
                <w:color w:val="auto"/>
              </w:rPr>
            </w:pPr>
            <w:r>
              <w:rPr>
                <w:rFonts w:ascii="Arial" w:cs="Arial" w:eastAsia="Arial" w:hAnsi="Arial"/>
                <w:sz w:val="19"/>
                <w:szCs w:val="19"/>
                <w:b w:val="1"/>
                <w:bCs w:val="1"/>
                <w:color w:val="auto"/>
              </w:rPr>
              <w:t>Meeting Fees</w:t>
            </w:r>
          </w:p>
        </w:tc>
        <w:tc>
          <w:tcPr>
            <w:tcW w:w="500" w:type="dxa"/>
            <w:vAlign w:val="bottom"/>
            <w:tcBorders>
              <w:top w:val="single" w:sz="8" w:color="auto"/>
              <w:bottom w:val="single" w:sz="8" w:color="AEC2E4"/>
            </w:tcBorders>
            <w:shd w:val="clear" w:color="auto" w:fill="AEC2E4"/>
          </w:tcPr>
          <w:p>
            <w:pPr>
              <w:spacing w:after="0"/>
              <w:rPr>
                <w:sz w:val="22"/>
                <w:szCs w:val="22"/>
                <w:color w:val="auto"/>
              </w:rPr>
            </w:pPr>
          </w:p>
        </w:tc>
        <w:tc>
          <w:tcPr>
            <w:tcW w:w="1700" w:type="dxa"/>
            <w:vAlign w:val="bottom"/>
            <w:tcBorders>
              <w:top w:val="single" w:sz="8" w:color="auto"/>
              <w:bottom w:val="single" w:sz="8" w:color="AEC2E4"/>
              <w:right w:val="single" w:sz="8" w:color="auto"/>
            </w:tcBorders>
            <w:shd w:val="clear" w:color="auto" w:fill="AEC2E4"/>
          </w:tcPr>
          <w:p>
            <w:pPr>
              <w:spacing w:after="0"/>
              <w:rPr>
                <w:sz w:val="22"/>
                <w:szCs w:val="22"/>
                <w:color w:val="auto"/>
              </w:rPr>
            </w:pPr>
          </w:p>
        </w:tc>
      </w:tr>
      <w:tr>
        <w:trPr>
          <w:trHeight w:val="267"/>
        </w:trPr>
        <w:tc>
          <w:tcPr>
            <w:tcW w:w="520" w:type="dxa"/>
            <w:vAlign w:val="bottom"/>
            <w:tcBorders>
              <w:right w:val="single" w:sz="8" w:color="auto"/>
            </w:tcBorders>
          </w:tcPr>
          <w:p>
            <w:pPr>
              <w:spacing w:after="0"/>
              <w:rPr>
                <w:sz w:val="22"/>
                <w:szCs w:val="22"/>
                <w:color w:val="auto"/>
              </w:rPr>
            </w:pPr>
          </w:p>
        </w:tc>
        <w:tc>
          <w:tcPr>
            <w:tcW w:w="8240" w:type="dxa"/>
            <w:vAlign w:val="bottom"/>
            <w:tcBorders>
              <w:top w:val="single" w:sz="8" w:color="auto"/>
              <w:bottom w:val="single" w:sz="8" w:color="E1E8F5"/>
              <w:right w:val="single" w:sz="8" w:color="auto"/>
            </w:tcBorders>
            <w:shd w:val="clear" w:color="auto" w:fill="E1E8F5"/>
          </w:tcPr>
          <w:p>
            <w:pPr>
              <w:ind w:left="20"/>
              <w:spacing w:after="0"/>
              <w:rPr>
                <w:sz w:val="20"/>
                <w:szCs w:val="20"/>
                <w:color w:val="auto"/>
              </w:rPr>
            </w:pPr>
            <w:r>
              <w:rPr>
                <w:rFonts w:ascii="Arial" w:cs="Arial" w:eastAsia="Arial" w:hAnsi="Arial"/>
                <w:sz w:val="19"/>
                <w:szCs w:val="19"/>
                <w:color w:val="auto"/>
              </w:rPr>
              <w:t>Board of Directors Meetings (per meeting day):</w:t>
            </w:r>
          </w:p>
        </w:tc>
        <w:tc>
          <w:tcPr>
            <w:tcW w:w="500" w:type="dxa"/>
            <w:vAlign w:val="bottom"/>
            <w:tcBorders>
              <w:top w:val="single" w:sz="8" w:color="auto"/>
              <w:bottom w:val="single" w:sz="8" w:color="E1E8F5"/>
            </w:tcBorders>
            <w:shd w:val="clear" w:color="auto" w:fill="E1E8F5"/>
          </w:tcPr>
          <w:p>
            <w:pPr>
              <w:spacing w:after="0"/>
              <w:rPr>
                <w:sz w:val="22"/>
                <w:szCs w:val="22"/>
                <w:color w:val="auto"/>
              </w:rPr>
            </w:pPr>
          </w:p>
        </w:tc>
        <w:tc>
          <w:tcPr>
            <w:tcW w:w="1700" w:type="dxa"/>
            <w:vAlign w:val="bottom"/>
            <w:tcBorders>
              <w:top w:val="single" w:sz="8" w:color="auto"/>
              <w:bottom w:val="single" w:sz="8" w:color="E1E8F5"/>
              <w:right w:val="single" w:sz="8" w:color="auto"/>
            </w:tcBorders>
            <w:shd w:val="clear" w:color="auto" w:fill="E1E8F5"/>
          </w:tcPr>
          <w:p>
            <w:pPr>
              <w:spacing w:after="0"/>
              <w:rPr>
                <w:sz w:val="22"/>
                <w:szCs w:val="22"/>
                <w:color w:val="auto"/>
              </w:rPr>
            </w:pPr>
          </w:p>
        </w:tc>
      </w:tr>
      <w:tr>
        <w:trPr>
          <w:trHeight w:val="267"/>
        </w:trPr>
        <w:tc>
          <w:tcPr>
            <w:tcW w:w="520" w:type="dxa"/>
            <w:vAlign w:val="bottom"/>
            <w:tcBorders>
              <w:right w:val="single" w:sz="8" w:color="auto"/>
            </w:tcBorders>
          </w:tcPr>
          <w:p>
            <w:pPr>
              <w:spacing w:after="0"/>
              <w:rPr>
                <w:sz w:val="22"/>
                <w:szCs w:val="22"/>
                <w:color w:val="auto"/>
              </w:rPr>
            </w:pPr>
          </w:p>
        </w:tc>
        <w:tc>
          <w:tcPr>
            <w:tcW w:w="8240" w:type="dxa"/>
            <w:vAlign w:val="bottom"/>
            <w:tcBorders>
              <w:top w:val="single" w:sz="8" w:color="auto"/>
              <w:bottom w:val="single" w:sz="8" w:color="E1E8F5"/>
              <w:right w:val="single" w:sz="8" w:color="auto"/>
            </w:tcBorders>
            <w:shd w:val="clear" w:color="auto" w:fill="E1E8F5"/>
          </w:tcPr>
          <w:p>
            <w:pPr>
              <w:ind w:left="20"/>
              <w:spacing w:after="0"/>
              <w:rPr>
                <w:sz w:val="20"/>
                <w:szCs w:val="20"/>
                <w:color w:val="auto"/>
              </w:rPr>
            </w:pPr>
            <w:r>
              <w:rPr>
                <w:rFonts w:ascii="Arial" w:cs="Arial" w:eastAsia="Arial" w:hAnsi="Arial"/>
                <w:sz w:val="19"/>
                <w:szCs w:val="19"/>
                <w:color w:val="auto"/>
              </w:rPr>
              <w:t>In-person attendance</w:t>
            </w:r>
          </w:p>
        </w:tc>
        <w:tc>
          <w:tcPr>
            <w:tcW w:w="500" w:type="dxa"/>
            <w:vAlign w:val="bottom"/>
            <w:tcBorders>
              <w:top w:val="single" w:sz="8" w:color="auto"/>
              <w:bottom w:val="single" w:sz="8" w:color="E1E8F5"/>
            </w:tcBorders>
            <w:shd w:val="clear" w:color="auto" w:fill="E1E8F5"/>
          </w:tcPr>
          <w:p>
            <w:pPr>
              <w:spacing w:after="0"/>
              <w:rPr>
                <w:sz w:val="22"/>
                <w:szCs w:val="22"/>
                <w:color w:val="auto"/>
              </w:rPr>
            </w:pPr>
          </w:p>
        </w:tc>
        <w:tc>
          <w:tcPr>
            <w:tcW w:w="1700" w:type="dxa"/>
            <w:vAlign w:val="bottom"/>
            <w:tcBorders>
              <w:top w:val="single" w:sz="8" w:color="auto"/>
              <w:bottom w:val="single" w:sz="8" w:color="E1E8F5"/>
              <w:right w:val="single" w:sz="8" w:color="auto"/>
            </w:tcBorders>
            <w:shd w:val="clear" w:color="auto" w:fill="E1E8F5"/>
          </w:tcPr>
          <w:p>
            <w:pPr>
              <w:jc w:val="center"/>
              <w:ind w:right="446"/>
              <w:spacing w:after="0"/>
              <w:rPr>
                <w:sz w:val="20"/>
                <w:szCs w:val="20"/>
                <w:color w:val="auto"/>
              </w:rPr>
            </w:pPr>
            <w:r>
              <w:rPr>
                <w:rFonts w:ascii="Arial" w:cs="Arial" w:eastAsia="Arial" w:hAnsi="Arial"/>
                <w:sz w:val="19"/>
                <w:szCs w:val="19"/>
                <w:color w:val="auto"/>
                <w:w w:val="89"/>
              </w:rPr>
              <w:t>$2,500</w:t>
            </w:r>
          </w:p>
        </w:tc>
      </w:tr>
      <w:tr>
        <w:trPr>
          <w:trHeight w:val="267"/>
        </w:trPr>
        <w:tc>
          <w:tcPr>
            <w:tcW w:w="520" w:type="dxa"/>
            <w:vAlign w:val="bottom"/>
            <w:tcBorders>
              <w:right w:val="single" w:sz="8" w:color="auto"/>
            </w:tcBorders>
          </w:tcPr>
          <w:p>
            <w:pPr>
              <w:spacing w:after="0"/>
              <w:rPr>
                <w:sz w:val="22"/>
                <w:szCs w:val="22"/>
                <w:color w:val="auto"/>
              </w:rPr>
            </w:pPr>
          </w:p>
        </w:tc>
        <w:tc>
          <w:tcPr>
            <w:tcW w:w="8240" w:type="dxa"/>
            <w:vAlign w:val="bottom"/>
            <w:tcBorders>
              <w:top w:val="single" w:sz="8" w:color="auto"/>
              <w:bottom w:val="single" w:sz="8" w:color="E1E8F5"/>
              <w:right w:val="single" w:sz="8" w:color="auto"/>
            </w:tcBorders>
            <w:shd w:val="clear" w:color="auto" w:fill="E1E8F5"/>
          </w:tcPr>
          <w:p>
            <w:pPr>
              <w:ind w:left="20"/>
              <w:spacing w:after="0"/>
              <w:rPr>
                <w:sz w:val="20"/>
                <w:szCs w:val="20"/>
                <w:color w:val="auto"/>
              </w:rPr>
            </w:pPr>
            <w:r>
              <w:rPr>
                <w:rFonts w:ascii="Arial" w:cs="Arial" w:eastAsia="Arial" w:hAnsi="Arial"/>
                <w:sz w:val="19"/>
                <w:szCs w:val="19"/>
                <w:color w:val="auto"/>
              </w:rPr>
              <w:t>Telephonic attendance</w:t>
            </w:r>
          </w:p>
        </w:tc>
        <w:tc>
          <w:tcPr>
            <w:tcW w:w="500" w:type="dxa"/>
            <w:vAlign w:val="bottom"/>
            <w:tcBorders>
              <w:top w:val="single" w:sz="8" w:color="auto"/>
              <w:bottom w:val="single" w:sz="8" w:color="E1E8F5"/>
            </w:tcBorders>
            <w:shd w:val="clear" w:color="auto" w:fill="E1E8F5"/>
          </w:tcPr>
          <w:p>
            <w:pPr>
              <w:spacing w:after="0"/>
              <w:rPr>
                <w:sz w:val="22"/>
                <w:szCs w:val="22"/>
                <w:color w:val="auto"/>
              </w:rPr>
            </w:pPr>
          </w:p>
        </w:tc>
        <w:tc>
          <w:tcPr>
            <w:tcW w:w="1700" w:type="dxa"/>
            <w:vAlign w:val="bottom"/>
            <w:tcBorders>
              <w:top w:val="single" w:sz="8" w:color="auto"/>
              <w:bottom w:val="single" w:sz="8" w:color="E1E8F5"/>
              <w:right w:val="single" w:sz="8" w:color="auto"/>
            </w:tcBorders>
            <w:shd w:val="clear" w:color="auto" w:fill="E1E8F5"/>
          </w:tcPr>
          <w:p>
            <w:pPr>
              <w:jc w:val="center"/>
              <w:ind w:right="446"/>
              <w:spacing w:after="0"/>
              <w:rPr>
                <w:sz w:val="20"/>
                <w:szCs w:val="20"/>
                <w:color w:val="auto"/>
              </w:rPr>
            </w:pPr>
            <w:r>
              <w:rPr>
                <w:rFonts w:ascii="Arial" w:cs="Arial" w:eastAsia="Arial" w:hAnsi="Arial"/>
                <w:sz w:val="19"/>
                <w:szCs w:val="19"/>
                <w:color w:val="auto"/>
                <w:w w:val="89"/>
              </w:rPr>
              <w:t>$1,500</w:t>
            </w:r>
          </w:p>
        </w:tc>
      </w:tr>
      <w:tr>
        <w:trPr>
          <w:trHeight w:val="267"/>
        </w:trPr>
        <w:tc>
          <w:tcPr>
            <w:tcW w:w="520" w:type="dxa"/>
            <w:vAlign w:val="bottom"/>
            <w:tcBorders>
              <w:right w:val="single" w:sz="8" w:color="auto"/>
            </w:tcBorders>
          </w:tcPr>
          <w:p>
            <w:pPr>
              <w:spacing w:after="0"/>
              <w:rPr>
                <w:sz w:val="22"/>
                <w:szCs w:val="22"/>
                <w:color w:val="auto"/>
              </w:rPr>
            </w:pPr>
          </w:p>
        </w:tc>
        <w:tc>
          <w:tcPr>
            <w:tcW w:w="8240" w:type="dxa"/>
            <w:vAlign w:val="bottom"/>
            <w:tcBorders>
              <w:top w:val="single" w:sz="8" w:color="auto"/>
              <w:bottom w:val="single" w:sz="8" w:color="E1E8F5"/>
              <w:right w:val="single" w:sz="8" w:color="auto"/>
            </w:tcBorders>
            <w:shd w:val="clear" w:color="auto" w:fill="E1E8F5"/>
          </w:tcPr>
          <w:p>
            <w:pPr>
              <w:ind w:left="20"/>
              <w:spacing w:after="0"/>
              <w:rPr>
                <w:sz w:val="20"/>
                <w:szCs w:val="20"/>
                <w:color w:val="auto"/>
              </w:rPr>
            </w:pPr>
            <w:r>
              <w:rPr>
                <w:rFonts w:ascii="Arial" w:cs="Arial" w:eastAsia="Arial" w:hAnsi="Arial"/>
                <w:sz w:val="19"/>
                <w:szCs w:val="19"/>
                <w:color w:val="auto"/>
              </w:rPr>
              <w:t>Committee Meetings (per meeting attended in person or telephonically)</w:t>
            </w:r>
          </w:p>
        </w:tc>
        <w:tc>
          <w:tcPr>
            <w:tcW w:w="500" w:type="dxa"/>
            <w:vAlign w:val="bottom"/>
            <w:tcBorders>
              <w:top w:val="single" w:sz="8" w:color="auto"/>
              <w:bottom w:val="single" w:sz="8" w:color="E1E8F5"/>
            </w:tcBorders>
            <w:shd w:val="clear" w:color="auto" w:fill="E1E8F5"/>
          </w:tcPr>
          <w:p>
            <w:pPr>
              <w:spacing w:after="0"/>
              <w:rPr>
                <w:sz w:val="22"/>
                <w:szCs w:val="22"/>
                <w:color w:val="auto"/>
              </w:rPr>
            </w:pPr>
          </w:p>
        </w:tc>
        <w:tc>
          <w:tcPr>
            <w:tcW w:w="1700" w:type="dxa"/>
            <w:vAlign w:val="bottom"/>
            <w:tcBorders>
              <w:top w:val="single" w:sz="8" w:color="auto"/>
              <w:bottom w:val="single" w:sz="8" w:color="E1E8F5"/>
              <w:right w:val="single" w:sz="8" w:color="auto"/>
            </w:tcBorders>
            <w:shd w:val="clear" w:color="auto" w:fill="E1E8F5"/>
          </w:tcPr>
          <w:p>
            <w:pPr>
              <w:jc w:val="center"/>
              <w:ind w:right="446"/>
              <w:spacing w:after="0"/>
              <w:rPr>
                <w:sz w:val="20"/>
                <w:szCs w:val="20"/>
                <w:color w:val="auto"/>
              </w:rPr>
            </w:pPr>
            <w:r>
              <w:rPr>
                <w:rFonts w:ascii="Arial" w:cs="Arial" w:eastAsia="Arial" w:hAnsi="Arial"/>
                <w:sz w:val="19"/>
                <w:szCs w:val="19"/>
                <w:color w:val="auto"/>
                <w:w w:val="89"/>
              </w:rPr>
              <w:t>$1,500</w:t>
            </w:r>
          </w:p>
        </w:tc>
      </w:tr>
      <w:tr>
        <w:trPr>
          <w:trHeight w:val="267"/>
        </w:trPr>
        <w:tc>
          <w:tcPr>
            <w:tcW w:w="520" w:type="dxa"/>
            <w:vAlign w:val="bottom"/>
            <w:tcBorders>
              <w:right w:val="single" w:sz="8" w:color="auto"/>
            </w:tcBorders>
          </w:tcPr>
          <w:p>
            <w:pPr>
              <w:spacing w:after="0"/>
              <w:rPr>
                <w:sz w:val="22"/>
                <w:szCs w:val="22"/>
                <w:color w:val="auto"/>
              </w:rPr>
            </w:pPr>
          </w:p>
        </w:tc>
        <w:tc>
          <w:tcPr>
            <w:tcW w:w="8240" w:type="dxa"/>
            <w:vAlign w:val="bottom"/>
            <w:tcBorders>
              <w:top w:val="single" w:sz="8" w:color="auto"/>
              <w:bottom w:val="single" w:sz="8" w:color="E1E8F5"/>
              <w:right w:val="single" w:sz="8" w:color="auto"/>
            </w:tcBorders>
            <w:shd w:val="clear" w:color="auto" w:fill="E1E8F5"/>
          </w:tcPr>
          <w:p>
            <w:pPr>
              <w:ind w:left="20"/>
              <w:spacing w:after="0"/>
              <w:rPr>
                <w:sz w:val="20"/>
                <w:szCs w:val="20"/>
                <w:color w:val="auto"/>
              </w:rPr>
            </w:pPr>
            <w:r>
              <w:rPr>
                <w:rFonts w:ascii="Arial" w:cs="Arial" w:eastAsia="Arial" w:hAnsi="Arial"/>
                <w:sz w:val="19"/>
                <w:szCs w:val="19"/>
                <w:color w:val="auto"/>
              </w:rPr>
              <w:t>Attendance at Annual Science and Technology Committee Portfolio Review (per day)</w:t>
            </w:r>
          </w:p>
        </w:tc>
        <w:tc>
          <w:tcPr>
            <w:tcW w:w="500" w:type="dxa"/>
            <w:vAlign w:val="bottom"/>
            <w:tcBorders>
              <w:top w:val="single" w:sz="8" w:color="auto"/>
              <w:bottom w:val="single" w:sz="8" w:color="E1E8F5"/>
            </w:tcBorders>
            <w:shd w:val="clear" w:color="auto" w:fill="E1E8F5"/>
          </w:tcPr>
          <w:p>
            <w:pPr>
              <w:spacing w:after="0"/>
              <w:rPr>
                <w:sz w:val="22"/>
                <w:szCs w:val="22"/>
                <w:color w:val="auto"/>
              </w:rPr>
            </w:pPr>
          </w:p>
        </w:tc>
        <w:tc>
          <w:tcPr>
            <w:tcW w:w="1700" w:type="dxa"/>
            <w:vAlign w:val="bottom"/>
            <w:tcBorders>
              <w:top w:val="single" w:sz="8" w:color="auto"/>
              <w:bottom w:val="single" w:sz="8" w:color="E1E8F5"/>
              <w:right w:val="single" w:sz="8" w:color="auto"/>
            </w:tcBorders>
            <w:shd w:val="clear" w:color="auto" w:fill="E1E8F5"/>
          </w:tcPr>
          <w:p>
            <w:pPr>
              <w:jc w:val="center"/>
              <w:ind w:right="446"/>
              <w:spacing w:after="0"/>
              <w:rPr>
                <w:sz w:val="20"/>
                <w:szCs w:val="20"/>
                <w:color w:val="auto"/>
              </w:rPr>
            </w:pPr>
            <w:r>
              <w:rPr>
                <w:rFonts w:ascii="Arial" w:cs="Arial" w:eastAsia="Arial" w:hAnsi="Arial"/>
                <w:sz w:val="19"/>
                <w:szCs w:val="19"/>
                <w:color w:val="auto"/>
                <w:w w:val="89"/>
              </w:rPr>
              <w:t>$1,500</w:t>
            </w:r>
          </w:p>
        </w:tc>
      </w:tr>
      <w:tr>
        <w:trPr>
          <w:trHeight w:val="242"/>
        </w:trPr>
        <w:tc>
          <w:tcPr>
            <w:tcW w:w="520" w:type="dxa"/>
            <w:vAlign w:val="bottom"/>
            <w:tcBorders>
              <w:right w:val="single" w:sz="8" w:color="auto"/>
            </w:tcBorders>
          </w:tcPr>
          <w:p>
            <w:pPr>
              <w:spacing w:after="0"/>
              <w:rPr>
                <w:sz w:val="21"/>
                <w:szCs w:val="21"/>
                <w:color w:val="auto"/>
              </w:rPr>
            </w:pPr>
          </w:p>
        </w:tc>
        <w:tc>
          <w:tcPr>
            <w:tcW w:w="8240" w:type="dxa"/>
            <w:vAlign w:val="bottom"/>
            <w:tcBorders>
              <w:top w:val="single" w:sz="8" w:color="auto"/>
              <w:bottom w:val="single" w:sz="8" w:color="E1E8F5"/>
              <w:right w:val="single" w:sz="8" w:color="auto"/>
            </w:tcBorders>
            <w:shd w:val="clear" w:color="auto" w:fill="E1E8F5"/>
          </w:tcPr>
          <w:p>
            <w:pPr>
              <w:ind w:left="20"/>
              <w:spacing w:after="0"/>
              <w:rPr>
                <w:sz w:val="20"/>
                <w:szCs w:val="20"/>
                <w:color w:val="auto"/>
              </w:rPr>
            </w:pPr>
            <w:r>
              <w:rPr>
                <w:rFonts w:ascii="Arial" w:cs="Arial" w:eastAsia="Arial" w:hAnsi="Arial"/>
                <w:sz w:val="19"/>
                <w:szCs w:val="19"/>
                <w:color w:val="auto"/>
                <w:w w:val="90"/>
              </w:rPr>
              <w:t>Special service fee (for each full day of service other than in connection with Board or Committee meetings)</w:t>
            </w:r>
          </w:p>
        </w:tc>
        <w:tc>
          <w:tcPr>
            <w:tcW w:w="500" w:type="dxa"/>
            <w:vAlign w:val="bottom"/>
            <w:tcBorders>
              <w:top w:val="single" w:sz="8" w:color="auto"/>
              <w:bottom w:val="single" w:sz="8" w:color="E1E8F5"/>
            </w:tcBorders>
            <w:shd w:val="clear" w:color="auto" w:fill="E1E8F5"/>
          </w:tcPr>
          <w:p>
            <w:pPr>
              <w:spacing w:after="0"/>
              <w:rPr>
                <w:sz w:val="21"/>
                <w:szCs w:val="21"/>
                <w:color w:val="auto"/>
              </w:rPr>
            </w:pPr>
          </w:p>
        </w:tc>
        <w:tc>
          <w:tcPr>
            <w:tcW w:w="1700" w:type="dxa"/>
            <w:vAlign w:val="bottom"/>
            <w:tcBorders>
              <w:top w:val="single" w:sz="8" w:color="auto"/>
              <w:bottom w:val="single" w:sz="8" w:color="E1E8F5"/>
              <w:right w:val="single" w:sz="8" w:color="auto"/>
            </w:tcBorders>
            <w:shd w:val="clear" w:color="auto" w:fill="E1E8F5"/>
          </w:tcPr>
          <w:p>
            <w:pPr>
              <w:jc w:val="center"/>
              <w:ind w:right="446"/>
              <w:spacing w:after="0"/>
              <w:rPr>
                <w:sz w:val="20"/>
                <w:szCs w:val="20"/>
                <w:color w:val="auto"/>
              </w:rPr>
            </w:pPr>
            <w:r>
              <w:rPr>
                <w:rFonts w:ascii="Arial" w:cs="Arial" w:eastAsia="Arial" w:hAnsi="Arial"/>
                <w:sz w:val="19"/>
                <w:szCs w:val="19"/>
                <w:color w:val="auto"/>
                <w:w w:val="89"/>
              </w:rPr>
              <w:t>$1,000</w:t>
            </w:r>
          </w:p>
        </w:tc>
      </w:tr>
      <w:tr>
        <w:trPr>
          <w:trHeight w:val="20"/>
        </w:trPr>
        <w:tc>
          <w:tcPr>
            <w:tcW w:w="520" w:type="dxa"/>
            <w:vAlign w:val="bottom"/>
            <w:tcBorders>
              <w:right w:val="single" w:sz="8" w:color="auto"/>
            </w:tcBorders>
          </w:tcPr>
          <w:p>
            <w:pPr>
              <w:spacing w:after="0" w:line="20" w:lineRule="exact"/>
              <w:rPr>
                <w:sz w:val="1"/>
                <w:szCs w:val="1"/>
                <w:color w:val="auto"/>
              </w:rPr>
            </w:pPr>
          </w:p>
        </w:tc>
        <w:tc>
          <w:tcPr>
            <w:tcW w:w="824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700" w:type="dxa"/>
            <w:vAlign w:val="bottom"/>
            <w:tcBorders>
              <w:right w:val="single" w:sz="8" w:color="auto"/>
            </w:tcBorders>
            <w:shd w:val="clear" w:color="auto" w:fill="000000"/>
          </w:tcPr>
          <w:p>
            <w:pPr>
              <w:spacing w:after="0" w:line="20" w:lineRule="exact"/>
              <w:rPr>
                <w:sz w:val="1"/>
                <w:szCs w:val="1"/>
                <w:color w:val="auto"/>
              </w:rPr>
            </w:pPr>
          </w:p>
        </w:tc>
      </w:tr>
    </w:tbl>
    <w:p>
      <w:pPr>
        <w:sectPr>
          <w:pgSz w:w="11900" w:h="16838" w:orient="portrait"/>
          <w:cols w:equalWidth="0" w:num="1">
            <w:col w:w="11420"/>
          </w:cols>
          <w:pgMar w:left="240" w:top="558"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5"/>
          <w:szCs w:val="15"/>
          <w:u w:val="single" w:color="auto"/>
          <w:color w:val="1A1A1A"/>
        </w:rPr>
        <w:t>Exhibit 10.31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35560</wp:posOffset>
            </wp:positionV>
            <wp:extent cx="1406525" cy="4635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7">
                      <a:extLst>
                        <a:ext uri="{28A0092B-C50C-407E-A947-70E740481C1C}"/>
                      </a:extLst>
                    </a:blip>
                    <a:srcRect/>
                    <a:stretch>
                      <a:fillRect/>
                    </a:stretch>
                  </pic:blipFill>
                  <pic:spPr bwMode="auto">
                    <a:xfrm>
                      <a:off x="0" y="0"/>
                      <a:ext cx="1406525" cy="463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Arial" w:cs="Arial" w:eastAsia="Arial" w:hAnsi="Arial"/>
          <w:sz w:val="15"/>
          <w:szCs w:val="15"/>
          <w:color w:val="1A1A1A"/>
        </w:rPr>
        <w:t>November 14, 2017</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5"/>
          <w:szCs w:val="15"/>
          <w:color w:val="1A1A1A"/>
        </w:rPr>
        <w:t>Jeffrey Capello</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5"/>
          <w:szCs w:val="15"/>
          <w:color w:val="1A1A1A"/>
        </w:rPr>
        <w:t>[address]</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5"/>
          <w:szCs w:val="15"/>
          <w:color w:val="1A1A1A"/>
        </w:rPr>
        <w:t>[address]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5"/>
          <w:szCs w:val="15"/>
          <w:color w:val="1A1A1A"/>
        </w:rPr>
        <w:t>Dear Jeffrey,</w:t>
      </w:r>
    </w:p>
    <w:p>
      <w:pPr>
        <w:spacing w:after="0" w:line="225" w:lineRule="exact"/>
        <w:rPr>
          <w:sz w:val="20"/>
          <w:szCs w:val="20"/>
          <w:color w:val="auto"/>
        </w:rPr>
      </w:pPr>
    </w:p>
    <w:p>
      <w:pPr>
        <w:ind w:left="180" w:right="260"/>
        <w:spacing w:after="0" w:line="253" w:lineRule="auto"/>
        <w:rPr>
          <w:sz w:val="20"/>
          <w:szCs w:val="20"/>
          <w:color w:val="auto"/>
        </w:rPr>
      </w:pPr>
      <w:r>
        <w:rPr>
          <w:rFonts w:ascii="Arial" w:cs="Arial" w:eastAsia="Arial" w:hAnsi="Arial"/>
          <w:sz w:val="15"/>
          <w:szCs w:val="15"/>
          <w:color w:val="1A1A1A"/>
        </w:rPr>
        <w:t>I am pleased to extend you this offer of employment to join Biogen with the job title of EVP and Chief Financial Officer. This pos</w:t>
      </w:r>
      <w:r>
        <w:rPr>
          <w:rFonts w:ascii="Arial" w:cs="Arial" w:eastAsia="Arial" w:hAnsi="Arial"/>
          <w:sz w:val="15"/>
          <w:szCs w:val="15"/>
          <w:color w:val="010101"/>
        </w:rPr>
        <w:t>i</w:t>
      </w:r>
      <w:r>
        <w:rPr>
          <w:rFonts w:ascii="Arial" w:cs="Arial" w:eastAsia="Arial" w:hAnsi="Arial"/>
          <w:sz w:val="15"/>
          <w:szCs w:val="15"/>
          <w:color w:val="1A1A1A"/>
        </w:rPr>
        <w:t>tion will report to Michel Vounatsos, Chief Executive Officer. Please note that neither this letter nor any other materials constitute a contract of employment with Biogen. Your employment at Biogen is employment at-will. This means that just as you are free to leave your employment at any time, with or without cause or notice, Biogen also has the same right to terminate your employment at any time, with or without cause or notice. The specific terms of our offer are listed below; please take the time to review the offer, electronically sign and submit by November 18, 2017.</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5"/>
          <w:szCs w:val="15"/>
          <w:color w:val="1A1A1A"/>
        </w:rPr>
        <w:t>The position will be based at our Cambridge, MA facility.</w:t>
      </w:r>
    </w:p>
    <w:p>
      <w:pPr>
        <w:spacing w:after="0" w:line="399" w:lineRule="exact"/>
        <w:rPr>
          <w:sz w:val="20"/>
          <w:szCs w:val="20"/>
          <w:color w:val="auto"/>
        </w:rPr>
      </w:pPr>
    </w:p>
    <w:p>
      <w:pPr>
        <w:ind w:left="160" w:right="180"/>
        <w:spacing w:after="0" w:line="292" w:lineRule="auto"/>
        <w:rPr>
          <w:sz w:val="20"/>
          <w:szCs w:val="20"/>
          <w:color w:val="auto"/>
        </w:rPr>
      </w:pPr>
      <w:r>
        <w:rPr>
          <w:rFonts w:ascii="Arial" w:cs="Arial" w:eastAsia="Arial" w:hAnsi="Arial"/>
          <w:sz w:val="15"/>
          <w:szCs w:val="15"/>
          <w:b w:val="1"/>
          <w:bCs w:val="1"/>
          <w:color w:val="1A1A1A"/>
        </w:rPr>
        <w:t xml:space="preserve">Salary: </w:t>
      </w:r>
      <w:r>
        <w:rPr>
          <w:rFonts w:ascii="Arial" w:cs="Arial" w:eastAsia="Arial" w:hAnsi="Arial"/>
          <w:sz w:val="15"/>
          <w:szCs w:val="15"/>
          <w:color w:val="1A1A1A"/>
        </w:rPr>
        <w:t>This is a full-time, exempt position and your starting annual salary will be $750,000</w:t>
      </w:r>
      <w:r>
        <w:rPr>
          <w:rFonts w:ascii="Arial" w:cs="Arial" w:eastAsia="Arial" w:hAnsi="Arial"/>
          <w:sz w:val="15"/>
          <w:szCs w:val="15"/>
          <w:color w:val="3D3D3D"/>
        </w:rPr>
        <w:t>.</w:t>
      </w:r>
      <w:r>
        <w:rPr>
          <w:rFonts w:ascii="Arial" w:cs="Arial" w:eastAsia="Arial" w:hAnsi="Arial"/>
          <w:sz w:val="15"/>
          <w:szCs w:val="15"/>
          <w:color w:val="1A1A1A"/>
        </w:rPr>
        <w:t>00, which will be paid biweekly in accordance with our</w:t>
      </w:r>
      <w:r>
        <w:rPr>
          <w:rFonts w:ascii="Arial" w:cs="Arial" w:eastAsia="Arial" w:hAnsi="Arial"/>
          <w:sz w:val="15"/>
          <w:szCs w:val="15"/>
          <w:b w:val="1"/>
          <w:bCs w:val="1"/>
          <w:color w:val="1A1A1A"/>
        </w:rPr>
        <w:t xml:space="preserve"> </w:t>
      </w:r>
      <w:r>
        <w:rPr>
          <w:rFonts w:ascii="Arial" w:cs="Arial" w:eastAsia="Arial" w:hAnsi="Arial"/>
          <w:sz w:val="15"/>
          <w:szCs w:val="15"/>
          <w:color w:val="1A1A1A"/>
        </w:rPr>
        <w:t>standard payroll policies.</w:t>
      </w:r>
    </w:p>
    <w:p>
      <w:pPr>
        <w:spacing w:after="0" w:line="157" w:lineRule="exact"/>
        <w:rPr>
          <w:sz w:val="20"/>
          <w:szCs w:val="20"/>
          <w:color w:val="auto"/>
        </w:rPr>
      </w:pPr>
    </w:p>
    <w:p>
      <w:pPr>
        <w:jc w:val="both"/>
        <w:ind w:left="160"/>
        <w:spacing w:after="0" w:line="270" w:lineRule="auto"/>
        <w:rPr>
          <w:sz w:val="20"/>
          <w:szCs w:val="20"/>
          <w:color w:val="auto"/>
        </w:rPr>
      </w:pPr>
      <w:r>
        <w:rPr>
          <w:rFonts w:ascii="Arial" w:cs="Arial" w:eastAsia="Arial" w:hAnsi="Arial"/>
          <w:sz w:val="15"/>
          <w:szCs w:val="15"/>
          <w:b w:val="1"/>
          <w:bCs w:val="1"/>
          <w:color w:val="1A1A1A"/>
        </w:rPr>
        <w:t xml:space="preserve">Sign-On Bonus: </w:t>
      </w:r>
      <w:r>
        <w:rPr>
          <w:rFonts w:ascii="Arial" w:cs="Arial" w:eastAsia="Arial" w:hAnsi="Arial"/>
          <w:sz w:val="15"/>
          <w:szCs w:val="15"/>
          <w:color w:val="1A1A1A"/>
        </w:rPr>
        <w:t>Upon employment, you will receive $520,000</w:t>
      </w:r>
      <w:r>
        <w:rPr>
          <w:rFonts w:ascii="Arial" w:cs="Arial" w:eastAsia="Arial" w:hAnsi="Arial"/>
          <w:sz w:val="15"/>
          <w:szCs w:val="15"/>
          <w:color w:val="010101"/>
        </w:rPr>
        <w:t>.</w:t>
      </w:r>
      <w:r>
        <w:rPr>
          <w:rFonts w:ascii="Arial" w:cs="Arial" w:eastAsia="Arial" w:hAnsi="Arial"/>
          <w:sz w:val="15"/>
          <w:szCs w:val="15"/>
          <w:color w:val="1A1A1A"/>
        </w:rPr>
        <w:t>00 as a one-time cash bonus</w:t>
      </w:r>
      <w:r>
        <w:rPr>
          <w:rFonts w:ascii="Arial" w:cs="Arial" w:eastAsia="Arial" w:hAnsi="Arial"/>
          <w:sz w:val="15"/>
          <w:szCs w:val="15"/>
          <w:color w:val="3D3D3D"/>
        </w:rPr>
        <w:t>.</w:t>
      </w:r>
      <w:r>
        <w:rPr>
          <w:rFonts w:ascii="Arial" w:cs="Arial" w:eastAsia="Arial" w:hAnsi="Arial"/>
          <w:sz w:val="15"/>
          <w:szCs w:val="15"/>
          <w:b w:val="1"/>
          <w:bCs w:val="1"/>
          <w:color w:val="1A1A1A"/>
        </w:rPr>
        <w:t xml:space="preserve"> </w:t>
      </w:r>
      <w:r>
        <w:rPr>
          <w:rFonts w:ascii="Arial" w:cs="Arial" w:eastAsia="Arial" w:hAnsi="Arial"/>
          <w:sz w:val="15"/>
          <w:szCs w:val="15"/>
          <w:color w:val="1A1A1A"/>
        </w:rPr>
        <w:t>The bonus will be paid to you within two pay periods</w:t>
      </w:r>
      <w:r>
        <w:rPr>
          <w:rFonts w:ascii="Arial" w:cs="Arial" w:eastAsia="Arial" w:hAnsi="Arial"/>
          <w:sz w:val="15"/>
          <w:szCs w:val="15"/>
          <w:b w:val="1"/>
          <w:bCs w:val="1"/>
          <w:color w:val="1A1A1A"/>
        </w:rPr>
        <w:t xml:space="preserve"> </w:t>
      </w:r>
      <w:r>
        <w:rPr>
          <w:rFonts w:ascii="Arial" w:cs="Arial" w:eastAsia="Arial" w:hAnsi="Arial"/>
          <w:sz w:val="15"/>
          <w:szCs w:val="15"/>
          <w:color w:val="1A1A1A"/>
        </w:rPr>
        <w:t>after your start date provided that you sign the enclosed Cash Sign-On Bonus Agreement, which describes the terms and conditions of the cash sign-on bonus.</w:t>
      </w:r>
    </w:p>
    <w:p>
      <w:pPr>
        <w:spacing w:after="0" w:line="161" w:lineRule="exact"/>
        <w:rPr>
          <w:sz w:val="20"/>
          <w:szCs w:val="20"/>
          <w:color w:val="auto"/>
        </w:rPr>
      </w:pPr>
    </w:p>
    <w:p>
      <w:pPr>
        <w:ind w:left="160" w:right="120"/>
        <w:spacing w:after="0" w:line="270" w:lineRule="auto"/>
        <w:rPr>
          <w:sz w:val="20"/>
          <w:szCs w:val="20"/>
          <w:color w:val="auto"/>
        </w:rPr>
      </w:pPr>
      <w:r>
        <w:rPr>
          <w:rFonts w:ascii="Arial" w:cs="Arial" w:eastAsia="Arial" w:hAnsi="Arial"/>
          <w:sz w:val="15"/>
          <w:szCs w:val="15"/>
          <w:b w:val="1"/>
          <w:bCs w:val="1"/>
          <w:color w:val="1A1A1A"/>
        </w:rPr>
        <w:t xml:space="preserve">Annual Bonus Plan: </w:t>
      </w:r>
      <w:r>
        <w:rPr>
          <w:rFonts w:ascii="Arial" w:cs="Arial" w:eastAsia="Arial" w:hAnsi="Arial"/>
          <w:sz w:val="15"/>
          <w:szCs w:val="15"/>
          <w:color w:val="1A1A1A"/>
        </w:rPr>
        <w:t>Beginning in 2018,you will be eligible to participate in the Biogen Annual Bonus Plan, with a target bonus opportunity of 70%</w:t>
      </w:r>
      <w:r>
        <w:rPr>
          <w:rFonts w:ascii="Arial" w:cs="Arial" w:eastAsia="Arial" w:hAnsi="Arial"/>
          <w:sz w:val="15"/>
          <w:szCs w:val="15"/>
          <w:b w:val="1"/>
          <w:bCs w:val="1"/>
          <w:color w:val="1A1A1A"/>
        </w:rPr>
        <w:t xml:space="preserve"> </w:t>
      </w:r>
      <w:r>
        <w:rPr>
          <w:rFonts w:ascii="Arial" w:cs="Arial" w:eastAsia="Arial" w:hAnsi="Arial"/>
          <w:sz w:val="15"/>
          <w:szCs w:val="15"/>
          <w:color w:val="1A1A1A"/>
        </w:rPr>
        <w:t>of your annual base salary. Eligibility details and other terms of the Plan are included in the Annual Bonus Plan document, which will be made available upon your employment with the Company</w:t>
      </w:r>
      <w:r>
        <w:rPr>
          <w:rFonts w:ascii="Arial" w:cs="Arial" w:eastAsia="Arial" w:hAnsi="Arial"/>
          <w:sz w:val="15"/>
          <w:szCs w:val="15"/>
          <w:color w:val="3D3D3D"/>
        </w:rPr>
        <w:t>.</w:t>
      </w:r>
    </w:p>
    <w:p>
      <w:pPr>
        <w:spacing w:after="0" w:line="161" w:lineRule="exact"/>
        <w:rPr>
          <w:sz w:val="20"/>
          <w:szCs w:val="20"/>
          <w:color w:val="auto"/>
        </w:rPr>
      </w:pPr>
    </w:p>
    <w:p>
      <w:pPr>
        <w:ind w:left="140" w:right="60" w:firstLine="13"/>
        <w:spacing w:after="0" w:line="254" w:lineRule="auto"/>
        <w:rPr>
          <w:sz w:val="20"/>
          <w:szCs w:val="20"/>
          <w:color w:val="auto"/>
        </w:rPr>
      </w:pPr>
      <w:r>
        <w:rPr>
          <w:rFonts w:ascii="Arial" w:cs="Arial" w:eastAsia="Arial" w:hAnsi="Arial"/>
          <w:sz w:val="15"/>
          <w:szCs w:val="15"/>
          <w:b w:val="1"/>
          <w:bCs w:val="1"/>
          <w:color w:val="1A1A1A"/>
        </w:rPr>
        <w:t xml:space="preserve">Long-Term Incentive (LTl) Plan: </w:t>
      </w:r>
      <w:r>
        <w:rPr>
          <w:rFonts w:ascii="Arial" w:cs="Arial" w:eastAsia="Arial" w:hAnsi="Arial"/>
          <w:sz w:val="15"/>
          <w:szCs w:val="15"/>
          <w:color w:val="1A1A1A"/>
        </w:rPr>
        <w:t>You will be granted Performance Stock Units (PSU) in connection with the commencement of your employment.</w:t>
      </w:r>
      <w:r>
        <w:rPr>
          <w:rFonts w:ascii="Arial" w:cs="Arial" w:eastAsia="Arial" w:hAnsi="Arial"/>
          <w:sz w:val="15"/>
          <w:szCs w:val="15"/>
          <w:b w:val="1"/>
          <w:bCs w:val="1"/>
          <w:color w:val="1A1A1A"/>
        </w:rPr>
        <w:t xml:space="preserve"> </w:t>
      </w:r>
      <w:r>
        <w:rPr>
          <w:rFonts w:ascii="Arial" w:cs="Arial" w:eastAsia="Arial" w:hAnsi="Arial"/>
          <w:sz w:val="15"/>
          <w:szCs w:val="15"/>
          <w:color w:val="1A1A1A"/>
        </w:rPr>
        <w:t xml:space="preserve">The approximate grant date value of your PSU award </w:t>
      </w:r>
      <w:r>
        <w:rPr>
          <w:rFonts w:ascii="Arial" w:cs="Arial" w:eastAsia="Arial" w:hAnsi="Arial"/>
          <w:sz w:val="15"/>
          <w:szCs w:val="15"/>
          <w:color w:val="2D2D2D"/>
        </w:rPr>
        <w:t>will</w:t>
      </w:r>
      <w:r>
        <w:rPr>
          <w:rFonts w:ascii="Arial" w:cs="Arial" w:eastAsia="Arial" w:hAnsi="Arial"/>
          <w:sz w:val="15"/>
          <w:szCs w:val="15"/>
          <w:color w:val="1A1A1A"/>
        </w:rPr>
        <w:t xml:space="preserve"> be $1,500,000.00. The number of shares granted to you will be calculated by dividing the grant date value by the closing price of Biogen stock </w:t>
      </w:r>
      <w:r>
        <w:rPr>
          <w:rFonts w:ascii="Arial" w:cs="Arial" w:eastAsia="Arial" w:hAnsi="Arial"/>
          <w:sz w:val="15"/>
          <w:szCs w:val="15"/>
          <w:color w:val="2D2D2D"/>
        </w:rPr>
        <w:t>(NASDAQ)</w:t>
      </w:r>
      <w:r>
        <w:rPr>
          <w:rFonts w:ascii="Arial" w:cs="Arial" w:eastAsia="Arial" w:hAnsi="Arial"/>
          <w:sz w:val="15"/>
          <w:szCs w:val="15"/>
          <w:color w:val="1A1A1A"/>
        </w:rPr>
        <w:t xml:space="preserve"> on the grant date</w:t>
      </w:r>
      <w:r>
        <w:rPr>
          <w:rFonts w:ascii="Arial" w:cs="Arial" w:eastAsia="Arial" w:hAnsi="Arial"/>
          <w:sz w:val="15"/>
          <w:szCs w:val="15"/>
          <w:color w:val="3D3D3D"/>
        </w:rPr>
        <w:t>,</w:t>
      </w:r>
      <w:r>
        <w:rPr>
          <w:rFonts w:ascii="Arial" w:cs="Arial" w:eastAsia="Arial" w:hAnsi="Arial"/>
          <w:sz w:val="15"/>
          <w:szCs w:val="15"/>
          <w:color w:val="1A1A1A"/>
        </w:rPr>
        <w:t xml:space="preserve"> with the resulting number of shares rounded to the nearest five shares. You will also be granted Market Stock Units (MSU) in connection with the commencement of your employment. The approximate grant date value of your MSU award will be $1</w:t>
      </w:r>
      <w:r>
        <w:rPr>
          <w:rFonts w:ascii="Arial" w:cs="Arial" w:eastAsia="Arial" w:hAnsi="Arial"/>
          <w:sz w:val="15"/>
          <w:szCs w:val="15"/>
          <w:color w:val="3D3D3D"/>
        </w:rPr>
        <w:t>,</w:t>
      </w:r>
      <w:r>
        <w:rPr>
          <w:rFonts w:ascii="Arial" w:cs="Arial" w:eastAsia="Arial" w:hAnsi="Arial"/>
          <w:sz w:val="15"/>
          <w:szCs w:val="15"/>
          <w:color w:val="1A1A1A"/>
        </w:rPr>
        <w:t xml:space="preserve">500,000.00. The number of shares granted to you will be calculated by dividing the grant date value by the closing price of Biogen stock (NASDAQ) on the grant date, with the resulting </w:t>
      </w:r>
      <w:r>
        <w:rPr>
          <w:rFonts w:ascii="Arial" w:cs="Arial" w:eastAsia="Arial" w:hAnsi="Arial"/>
          <w:sz w:val="15"/>
          <w:szCs w:val="15"/>
          <w:color w:val="2D2D2D"/>
        </w:rPr>
        <w:t>number</w:t>
      </w:r>
      <w:r>
        <w:rPr>
          <w:rFonts w:ascii="Arial" w:cs="Arial" w:eastAsia="Arial" w:hAnsi="Arial"/>
          <w:sz w:val="15"/>
          <w:szCs w:val="15"/>
          <w:color w:val="1A1A1A"/>
        </w:rPr>
        <w:t xml:space="preserve"> of shares rounded to the nearest five shares. Your PSU and MSU awards will be granted on the first trading day of the month following your start date. Your PSU award will be subject to three-year cliff vesting and your MSU award will vest ratably over three years beginning on the first anniversary of the grant date</w:t>
      </w:r>
      <w:r>
        <w:rPr>
          <w:rFonts w:ascii="Arial" w:cs="Arial" w:eastAsia="Arial" w:hAnsi="Arial"/>
          <w:sz w:val="15"/>
          <w:szCs w:val="15"/>
          <w:color w:val="010101"/>
        </w:rPr>
        <w:t>.</w:t>
      </w:r>
      <w:r>
        <w:rPr>
          <w:rFonts w:ascii="Arial" w:cs="Arial" w:eastAsia="Arial" w:hAnsi="Arial"/>
          <w:sz w:val="15"/>
          <w:szCs w:val="15"/>
          <w:color w:val="1A1A1A"/>
        </w:rPr>
        <w:t xml:space="preserve"> Your grant amount has been determined based upon the start date listed </w:t>
      </w:r>
      <w:r>
        <w:rPr>
          <w:rFonts w:ascii="Arial" w:cs="Arial" w:eastAsia="Arial" w:hAnsi="Arial"/>
          <w:sz w:val="15"/>
          <w:szCs w:val="15"/>
          <w:color w:val="2D2D2D"/>
        </w:rPr>
        <w:t>in</w:t>
      </w:r>
      <w:r>
        <w:rPr>
          <w:rFonts w:ascii="Arial" w:cs="Arial" w:eastAsia="Arial" w:hAnsi="Arial"/>
          <w:sz w:val="15"/>
          <w:szCs w:val="15"/>
          <w:color w:val="1A1A1A"/>
        </w:rPr>
        <w:t xml:space="preserve"> this offer letter</w:t>
      </w:r>
      <w:r>
        <w:rPr>
          <w:rFonts w:ascii="Arial" w:cs="Arial" w:eastAsia="Arial" w:hAnsi="Arial"/>
          <w:sz w:val="15"/>
          <w:szCs w:val="15"/>
          <w:color w:val="010101"/>
        </w:rPr>
        <w:t>.</w:t>
      </w:r>
      <w:r>
        <w:rPr>
          <w:rFonts w:ascii="Arial" w:cs="Arial" w:eastAsia="Arial" w:hAnsi="Arial"/>
          <w:sz w:val="15"/>
          <w:szCs w:val="15"/>
          <w:color w:val="1A1A1A"/>
        </w:rPr>
        <w:t xml:space="preserve"> If your start date is delayed, the amount of the grant may decrease.</w:t>
      </w:r>
    </w:p>
    <w:p>
      <w:pPr>
        <w:spacing w:after="0" w:line="194" w:lineRule="exact"/>
        <w:rPr>
          <w:sz w:val="20"/>
          <w:szCs w:val="20"/>
          <w:color w:val="auto"/>
        </w:rPr>
      </w:pPr>
    </w:p>
    <w:p>
      <w:pPr>
        <w:ind w:left="140" w:right="80" w:hanging="25"/>
        <w:spacing w:after="0" w:line="258" w:lineRule="auto"/>
        <w:rPr>
          <w:sz w:val="20"/>
          <w:szCs w:val="20"/>
          <w:color w:val="auto"/>
        </w:rPr>
      </w:pPr>
      <w:r>
        <w:rPr>
          <w:rFonts w:ascii="Arial" w:cs="Arial" w:eastAsia="Arial" w:hAnsi="Arial"/>
          <w:sz w:val="15"/>
          <w:szCs w:val="15"/>
          <w:color w:val="1A1A1A"/>
        </w:rPr>
        <w:t xml:space="preserve">The actual terms of your PSU and MSU awards will be communicated to you following </w:t>
      </w:r>
      <w:r>
        <w:rPr>
          <w:rFonts w:ascii="Arial" w:cs="Arial" w:eastAsia="Arial" w:hAnsi="Arial"/>
          <w:sz w:val="15"/>
          <w:szCs w:val="15"/>
          <w:color w:val="2D2D2D"/>
        </w:rPr>
        <w:t>the</w:t>
      </w:r>
      <w:r>
        <w:rPr>
          <w:rFonts w:ascii="Arial" w:cs="Arial" w:eastAsia="Arial" w:hAnsi="Arial"/>
          <w:sz w:val="15"/>
          <w:szCs w:val="15"/>
          <w:color w:val="1A1A1A"/>
        </w:rPr>
        <w:t xml:space="preserve"> grant date. Your grants will be awarded under the Biogen </w:t>
      </w:r>
      <w:r>
        <w:rPr>
          <w:rFonts w:ascii="Arial" w:cs="Arial" w:eastAsia="Arial" w:hAnsi="Arial"/>
          <w:sz w:val="15"/>
          <w:szCs w:val="15"/>
          <w:color w:val="2D2D2D"/>
        </w:rPr>
        <w:t>Inc</w:t>
      </w:r>
      <w:r>
        <w:rPr>
          <w:rFonts w:ascii="Arial" w:cs="Arial" w:eastAsia="Arial" w:hAnsi="Arial"/>
          <w:sz w:val="15"/>
          <w:szCs w:val="15"/>
          <w:color w:val="010101"/>
        </w:rPr>
        <w:t>.</w:t>
      </w:r>
      <w:r>
        <w:rPr>
          <w:rFonts w:ascii="Arial" w:cs="Arial" w:eastAsia="Arial" w:hAnsi="Arial"/>
          <w:sz w:val="15"/>
          <w:szCs w:val="15"/>
          <w:color w:val="2D2D2D"/>
        </w:rPr>
        <w:t xml:space="preserve"> </w:t>
      </w:r>
      <w:r>
        <w:rPr>
          <w:rFonts w:ascii="Arial" w:cs="Arial" w:eastAsia="Arial" w:hAnsi="Arial"/>
          <w:sz w:val="15"/>
          <w:szCs w:val="15"/>
          <w:color w:val="1A1A1A"/>
        </w:rPr>
        <w:t>2017 Omnibus Equity Plan</w:t>
      </w:r>
      <w:r>
        <w:rPr>
          <w:rFonts w:ascii="Arial" w:cs="Arial" w:eastAsia="Arial" w:hAnsi="Arial"/>
          <w:sz w:val="15"/>
          <w:szCs w:val="15"/>
          <w:color w:val="2D2D2D"/>
        </w:rPr>
        <w:t xml:space="preserve"> (the </w:t>
      </w:r>
      <w:r>
        <w:rPr>
          <w:rFonts w:ascii="Arial" w:cs="Arial" w:eastAsia="Arial" w:hAnsi="Arial"/>
          <w:sz w:val="15"/>
          <w:szCs w:val="15"/>
          <w:color w:val="1A1A1A"/>
        </w:rPr>
        <w:t>"2017 Plan"). You are considered a</w:t>
      </w:r>
      <w:r>
        <w:rPr>
          <w:rFonts w:ascii="Arial" w:cs="Arial" w:eastAsia="Arial" w:hAnsi="Arial"/>
          <w:sz w:val="15"/>
          <w:szCs w:val="15"/>
          <w:color w:val="2D2D2D"/>
        </w:rPr>
        <w:t xml:space="preserve"> "designated </w:t>
      </w:r>
      <w:r>
        <w:rPr>
          <w:rFonts w:ascii="Arial" w:cs="Arial" w:eastAsia="Arial" w:hAnsi="Arial"/>
          <w:sz w:val="15"/>
          <w:szCs w:val="15"/>
          <w:color w:val="1A1A1A"/>
        </w:rPr>
        <w:t>employee," as defined in the Plan. The Plan and Prospectus</w:t>
      </w:r>
      <w:r>
        <w:rPr>
          <w:rFonts w:ascii="Arial" w:cs="Arial" w:eastAsia="Arial" w:hAnsi="Arial"/>
          <w:sz w:val="15"/>
          <w:szCs w:val="15"/>
          <w:color w:val="2D2D2D"/>
        </w:rPr>
        <w:t xml:space="preserve"> </w:t>
      </w:r>
      <w:r>
        <w:rPr>
          <w:rFonts w:ascii="Arial" w:cs="Arial" w:eastAsia="Arial" w:hAnsi="Arial"/>
          <w:sz w:val="15"/>
          <w:szCs w:val="15"/>
          <w:color w:val="1A1A1A"/>
        </w:rPr>
        <w:t>will be available on HRConnect: [website]</w:t>
      </w:r>
      <w:r>
        <w:rPr>
          <w:rFonts w:ascii="Arial" w:cs="Arial" w:eastAsia="Arial" w:hAnsi="Arial"/>
          <w:sz w:val="15"/>
          <w:szCs w:val="15"/>
          <w:color w:val="243152"/>
        </w:rPr>
        <w:t>.</w:t>
      </w:r>
      <w:r>
        <w:rPr>
          <w:rFonts w:ascii="Arial" w:cs="Arial" w:eastAsia="Arial" w:hAnsi="Arial"/>
          <w:sz w:val="15"/>
          <w:szCs w:val="15"/>
          <w:color w:val="1A1A1A"/>
        </w:rPr>
        <w:t xml:space="preserve"> Please read these documents for information about your Long-term Incentive grants.</w:t>
      </w:r>
    </w:p>
    <w:p>
      <w:pPr>
        <w:spacing w:after="0" w:line="200" w:lineRule="exact"/>
        <w:rPr>
          <w:sz w:val="20"/>
          <w:szCs w:val="20"/>
          <w:color w:val="auto"/>
        </w:rPr>
      </w:pPr>
    </w:p>
    <w:p>
      <w:pPr>
        <w:spacing w:after="0" w:line="389" w:lineRule="exact"/>
        <w:rPr>
          <w:sz w:val="20"/>
          <w:szCs w:val="20"/>
          <w:color w:val="auto"/>
        </w:rPr>
      </w:pPr>
    </w:p>
    <w:p>
      <w:pPr>
        <w:ind w:left="1020"/>
        <w:spacing w:after="0"/>
        <w:rPr>
          <w:sz w:val="20"/>
          <w:szCs w:val="20"/>
          <w:color w:val="auto"/>
        </w:rPr>
      </w:pPr>
      <w:r>
        <w:rPr>
          <w:rFonts w:ascii="Arial" w:cs="Arial" w:eastAsia="Arial" w:hAnsi="Arial"/>
          <w:sz w:val="12"/>
          <w:szCs w:val="12"/>
          <w:color w:val="3B5B80"/>
        </w:rPr>
        <w:t>225 B</w:t>
      </w:r>
      <w:r>
        <w:rPr>
          <w:rFonts w:ascii="Arial" w:cs="Arial" w:eastAsia="Arial" w:hAnsi="Arial"/>
          <w:sz w:val="12"/>
          <w:szCs w:val="12"/>
          <w:color w:val="7285A3"/>
        </w:rPr>
        <w:t>i</w:t>
      </w:r>
      <w:r>
        <w:rPr>
          <w:rFonts w:ascii="Arial" w:cs="Arial" w:eastAsia="Arial" w:hAnsi="Arial"/>
          <w:sz w:val="12"/>
          <w:szCs w:val="12"/>
          <w:color w:val="3B5B80"/>
        </w:rPr>
        <w:t>nney Street</w:t>
      </w:r>
      <w:r>
        <w:rPr>
          <w:rFonts w:ascii="Arial" w:cs="Arial" w:eastAsia="Arial" w:hAnsi="Arial"/>
          <w:sz w:val="12"/>
          <w:szCs w:val="12"/>
          <w:color w:val="4D565B"/>
        </w:rPr>
        <w:t>,</w:t>
      </w:r>
      <w:r>
        <w:rPr>
          <w:rFonts w:ascii="Arial" w:cs="Arial" w:eastAsia="Arial" w:hAnsi="Arial"/>
          <w:sz w:val="12"/>
          <w:szCs w:val="12"/>
          <w:color w:val="3B5B80"/>
        </w:rPr>
        <w:t xml:space="preserve"> Cam</w:t>
      </w:r>
      <w:r>
        <w:rPr>
          <w:rFonts w:ascii="Arial" w:cs="Arial" w:eastAsia="Arial" w:hAnsi="Arial"/>
          <w:sz w:val="12"/>
          <w:szCs w:val="12"/>
          <w:color w:val="2F67A1"/>
        </w:rPr>
        <w:t>b</w:t>
      </w:r>
      <w:r>
        <w:rPr>
          <w:rFonts w:ascii="Arial" w:cs="Arial" w:eastAsia="Arial" w:hAnsi="Arial"/>
          <w:sz w:val="12"/>
          <w:szCs w:val="12"/>
          <w:color w:val="567C99"/>
        </w:rPr>
        <w:t>ridge</w:t>
      </w:r>
      <w:r>
        <w:rPr>
          <w:rFonts w:ascii="Arial" w:cs="Arial" w:eastAsia="Arial" w:hAnsi="Arial"/>
          <w:sz w:val="12"/>
          <w:szCs w:val="12"/>
          <w:color w:val="6E7277"/>
        </w:rPr>
        <w:t>,</w:t>
      </w:r>
      <w:r>
        <w:rPr>
          <w:rFonts w:ascii="Arial" w:cs="Arial" w:eastAsia="Arial" w:hAnsi="Arial"/>
          <w:sz w:val="12"/>
          <w:szCs w:val="12"/>
          <w:color w:val="3B5B80"/>
        </w:rPr>
        <w:t xml:space="preserve"> MA 02142 Phone 781</w:t>
      </w:r>
      <w:r>
        <w:rPr>
          <w:rFonts w:ascii="Arial" w:cs="Arial" w:eastAsia="Arial" w:hAnsi="Arial"/>
          <w:sz w:val="12"/>
          <w:szCs w:val="12"/>
          <w:color w:val="4D565B"/>
        </w:rPr>
        <w:t>-</w:t>
      </w:r>
      <w:r>
        <w:rPr>
          <w:rFonts w:ascii="Arial" w:cs="Arial" w:eastAsia="Arial" w:hAnsi="Arial"/>
          <w:sz w:val="12"/>
          <w:szCs w:val="12"/>
          <w:color w:val="3B5B80"/>
        </w:rPr>
        <w:t>464</w:t>
      </w:r>
      <w:r>
        <w:rPr>
          <w:rFonts w:ascii="Arial" w:cs="Arial" w:eastAsia="Arial" w:hAnsi="Arial"/>
          <w:sz w:val="12"/>
          <w:szCs w:val="12"/>
          <w:color w:val="4D565B"/>
        </w:rPr>
        <w:t>-</w:t>
      </w:r>
      <w:r>
        <w:rPr>
          <w:rFonts w:ascii="Arial" w:cs="Arial" w:eastAsia="Arial" w:hAnsi="Arial"/>
          <w:sz w:val="12"/>
          <w:szCs w:val="12"/>
          <w:color w:val="3B5B80"/>
        </w:rPr>
        <w:t xml:space="preserve">2000 </w:t>
      </w:r>
      <w:r>
        <w:rPr>
          <w:rFonts w:ascii="Arial" w:cs="Arial" w:eastAsia="Arial" w:hAnsi="Arial"/>
          <w:sz w:val="12"/>
          <w:szCs w:val="12"/>
          <w:color w:val="4B6991"/>
        </w:rPr>
        <w:t>www</w:t>
      </w:r>
      <w:r>
        <w:rPr>
          <w:rFonts w:ascii="Arial" w:cs="Arial" w:eastAsia="Arial" w:hAnsi="Arial"/>
          <w:sz w:val="12"/>
          <w:szCs w:val="12"/>
          <w:color w:val="7285A3"/>
        </w:rPr>
        <w:t>.</w:t>
      </w:r>
      <w:r>
        <w:rPr>
          <w:rFonts w:ascii="Arial" w:cs="Arial" w:eastAsia="Arial" w:hAnsi="Arial"/>
          <w:sz w:val="12"/>
          <w:szCs w:val="12"/>
          <w:color w:val="3B5B80"/>
        </w:rPr>
        <w:t>biogen</w:t>
      </w:r>
      <w:r>
        <w:rPr>
          <w:rFonts w:ascii="Arial" w:cs="Arial" w:eastAsia="Arial" w:hAnsi="Arial"/>
          <w:sz w:val="12"/>
          <w:szCs w:val="12"/>
          <w:color w:val="4D565B"/>
        </w:rPr>
        <w:t>.</w:t>
      </w:r>
      <w:r>
        <w:rPr>
          <w:rFonts w:ascii="Arial" w:cs="Arial" w:eastAsia="Arial" w:hAnsi="Arial"/>
          <w:sz w:val="12"/>
          <w:szCs w:val="12"/>
          <w:color w:val="3B5B80"/>
        </w:rPr>
        <w:t>com</w:t>
      </w:r>
    </w:p>
    <w:p>
      <w:pPr>
        <w:sectPr>
          <w:pgSz w:w="11900" w:h="16838" w:orient="portrait"/>
          <w:cols w:equalWidth="0" w:num="1">
            <w:col w:w="10220"/>
          </w:cols>
          <w:pgMar w:left="1440" w:top="577" w:right="239" w:bottom="1440" w:gutter="0" w:footer="0" w:header="0"/>
        </w:sectPr>
      </w:pPr>
    </w:p>
    <w:bookmarkStart w:id="188" w:name="page189"/>
    <w:bookmarkEnd w:id="1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528320</wp:posOffset>
            </wp:positionV>
            <wp:extent cx="1406525" cy="4635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8">
                      <a:clrChange>
                        <a:clrFrom>
                          <a:srgbClr val="FFFFFF"/>
                        </a:clrFrom>
                        <a:clrTo>
                          <a:srgbClr val="FFFFFF">
                            <a:alpha val="0"/>
                          </a:srgbClr>
                        </a:clrTo>
                      </a:clrChange>
                      <a:extLst>
                        <a:ext uri="{28A0092B-C50C-407E-A947-70E740481C1C}"/>
                      </a:extLst>
                    </a:blip>
                    <a:srcRect/>
                    <a:stretch>
                      <a:fillRect/>
                    </a:stretch>
                  </pic:blipFill>
                  <pic:spPr bwMode="auto">
                    <a:xfrm>
                      <a:off x="0" y="0"/>
                      <a:ext cx="1406525" cy="463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left="180" w:firstLine="13"/>
        <w:spacing w:after="0" w:line="254" w:lineRule="auto"/>
        <w:rPr>
          <w:sz w:val="20"/>
          <w:szCs w:val="20"/>
          <w:color w:val="auto"/>
        </w:rPr>
      </w:pPr>
      <w:r>
        <w:rPr>
          <w:rFonts w:ascii="Arial" w:cs="Arial" w:eastAsia="Arial" w:hAnsi="Arial"/>
          <w:sz w:val="15"/>
          <w:szCs w:val="15"/>
          <w:color w:val="1A1A1A"/>
        </w:rPr>
        <w:t>Beginning in 2019, we expect that you will be eligible to participate in the Biogen Annual Long Term Incentive (LTI) program. Approved awards would be made under the 2017 Plan. Actual LTl award va</w:t>
      </w:r>
      <w:r>
        <w:rPr>
          <w:rFonts w:ascii="Arial" w:cs="Arial" w:eastAsia="Arial" w:hAnsi="Arial"/>
          <w:sz w:val="15"/>
          <w:szCs w:val="15"/>
          <w:color w:val="3D3D3D"/>
        </w:rPr>
        <w:t>l</w:t>
      </w:r>
      <w:r>
        <w:rPr>
          <w:rFonts w:ascii="Arial" w:cs="Arial" w:eastAsia="Arial" w:hAnsi="Arial"/>
          <w:sz w:val="15"/>
          <w:szCs w:val="15"/>
          <w:color w:val="1A1A1A"/>
        </w:rPr>
        <w:t>ues and details, including, amounts, delivery vehicles and payout percentages and metrics will be determined by the Compensation and Management Development Committee of the Board of Directors (CMDC) in its sole discretion based upon performance</w:t>
      </w:r>
      <w:r>
        <w:rPr>
          <w:rFonts w:ascii="Arial" w:cs="Arial" w:eastAsia="Arial" w:hAnsi="Arial"/>
          <w:sz w:val="15"/>
          <w:szCs w:val="15"/>
          <w:color w:val="3D3D3D"/>
        </w:rPr>
        <w:t>,</w:t>
      </w:r>
      <w:r>
        <w:rPr>
          <w:rFonts w:ascii="Arial" w:cs="Arial" w:eastAsia="Arial" w:hAnsi="Arial"/>
          <w:sz w:val="15"/>
          <w:szCs w:val="15"/>
          <w:color w:val="1A1A1A"/>
        </w:rPr>
        <w:t xml:space="preserve"> future contribution expectations and other considerations. The first time you will be eligible for an annual grant will be February 2019.</w:t>
      </w:r>
    </w:p>
    <w:p>
      <w:pPr>
        <w:spacing w:after="0" w:line="200" w:lineRule="exact"/>
        <w:rPr>
          <w:sz w:val="20"/>
          <w:szCs w:val="20"/>
          <w:color w:val="auto"/>
        </w:rPr>
      </w:pPr>
    </w:p>
    <w:p>
      <w:pPr>
        <w:spacing w:after="0" w:line="358" w:lineRule="exact"/>
        <w:rPr>
          <w:sz w:val="20"/>
          <w:szCs w:val="20"/>
          <w:color w:val="auto"/>
        </w:rPr>
      </w:pPr>
    </w:p>
    <w:p>
      <w:pPr>
        <w:ind w:left="160" w:right="100" w:firstLine="13"/>
        <w:spacing w:after="0" w:line="263" w:lineRule="auto"/>
        <w:rPr>
          <w:sz w:val="20"/>
          <w:szCs w:val="20"/>
          <w:color w:val="auto"/>
        </w:rPr>
      </w:pPr>
      <w:r>
        <w:rPr>
          <w:rFonts w:ascii="Arial" w:cs="Arial" w:eastAsia="Arial" w:hAnsi="Arial"/>
          <w:sz w:val="15"/>
          <w:szCs w:val="15"/>
          <w:b w:val="1"/>
          <w:bCs w:val="1"/>
          <w:color w:val="1A1A1A"/>
        </w:rPr>
        <w:t xml:space="preserve">Employee Benefits: </w:t>
      </w:r>
      <w:r>
        <w:rPr>
          <w:rFonts w:ascii="Arial" w:cs="Arial" w:eastAsia="Arial" w:hAnsi="Arial"/>
          <w:sz w:val="15"/>
          <w:szCs w:val="15"/>
          <w:color w:val="1A1A1A"/>
        </w:rPr>
        <w:t>Biogen offers a robust and highly competitive employee benefits program. As an employee, you will be able to choose from a</w:t>
      </w:r>
      <w:r>
        <w:rPr>
          <w:rFonts w:ascii="Arial" w:cs="Arial" w:eastAsia="Arial" w:hAnsi="Arial"/>
          <w:sz w:val="15"/>
          <w:szCs w:val="15"/>
          <w:b w:val="1"/>
          <w:bCs w:val="1"/>
          <w:color w:val="1A1A1A"/>
        </w:rPr>
        <w:t xml:space="preserve"> </w:t>
      </w:r>
      <w:r>
        <w:rPr>
          <w:rFonts w:ascii="Arial" w:cs="Arial" w:eastAsia="Arial" w:hAnsi="Arial"/>
          <w:sz w:val="15"/>
          <w:szCs w:val="15"/>
          <w:color w:val="1A1A1A"/>
        </w:rPr>
        <w:t>menu of options through our flexible benefits program. These benefits include a 401(k) savings plan; group health care, including medical</w:t>
      </w:r>
      <w:r>
        <w:rPr>
          <w:rFonts w:ascii="Arial" w:cs="Arial" w:eastAsia="Arial" w:hAnsi="Arial"/>
          <w:sz w:val="15"/>
          <w:szCs w:val="15"/>
          <w:color w:val="3D3D3D"/>
        </w:rPr>
        <w:t>,</w:t>
      </w:r>
      <w:r>
        <w:rPr>
          <w:rFonts w:ascii="Arial" w:cs="Arial" w:eastAsia="Arial" w:hAnsi="Arial"/>
          <w:sz w:val="15"/>
          <w:szCs w:val="15"/>
          <w:color w:val="1A1A1A"/>
        </w:rPr>
        <w:t xml:space="preserve"> dental, prescription drug and vision coverage; life, dependent life and disability insurance; as well as flexible spending accounts for eligible medi</w:t>
      </w:r>
      <w:r>
        <w:rPr>
          <w:rFonts w:ascii="Arial" w:cs="Arial" w:eastAsia="Arial" w:hAnsi="Arial"/>
          <w:sz w:val="15"/>
          <w:szCs w:val="15"/>
          <w:color w:val="3D3D3D"/>
        </w:rPr>
        <w:t>c</w:t>
      </w:r>
      <w:r>
        <w:rPr>
          <w:rFonts w:ascii="Arial" w:cs="Arial" w:eastAsia="Arial" w:hAnsi="Arial"/>
          <w:sz w:val="15"/>
          <w:szCs w:val="15"/>
          <w:color w:val="1A1A1A"/>
        </w:rPr>
        <w:t>al and dependent care expenses</w:t>
      </w:r>
      <w:r>
        <w:rPr>
          <w:rFonts w:ascii="Arial" w:cs="Arial" w:eastAsia="Arial" w:hAnsi="Arial"/>
          <w:sz w:val="15"/>
          <w:szCs w:val="15"/>
          <w:color w:val="3D3D3D"/>
        </w:rPr>
        <w:t>.</w:t>
      </w:r>
    </w:p>
    <w:p>
      <w:pPr>
        <w:spacing w:after="0" w:line="197" w:lineRule="exact"/>
        <w:rPr>
          <w:sz w:val="20"/>
          <w:szCs w:val="20"/>
          <w:color w:val="auto"/>
        </w:rPr>
      </w:pPr>
    </w:p>
    <w:p>
      <w:pPr>
        <w:jc w:val="both"/>
        <w:ind w:left="160"/>
        <w:spacing w:after="0" w:line="258" w:lineRule="auto"/>
        <w:rPr>
          <w:sz w:val="20"/>
          <w:szCs w:val="20"/>
          <w:color w:val="auto"/>
        </w:rPr>
      </w:pPr>
      <w:r>
        <w:rPr>
          <w:rFonts w:ascii="Arial" w:cs="Arial" w:eastAsia="Arial" w:hAnsi="Arial"/>
          <w:sz w:val="15"/>
          <w:szCs w:val="15"/>
          <w:color w:val="1A1A1A"/>
        </w:rPr>
        <w:t>You are also entitled to up to 20 vacation days (160 hours) per year (pro-rated if you work part time)</w:t>
      </w:r>
      <w:r>
        <w:rPr>
          <w:rFonts w:ascii="Arial" w:cs="Arial" w:eastAsia="Arial" w:hAnsi="Arial"/>
          <w:sz w:val="15"/>
          <w:szCs w:val="15"/>
          <w:color w:val="3D3D3D"/>
        </w:rPr>
        <w:t>.</w:t>
      </w:r>
      <w:r>
        <w:rPr>
          <w:rFonts w:ascii="Arial" w:cs="Arial" w:eastAsia="Arial" w:hAnsi="Arial"/>
          <w:sz w:val="15"/>
          <w:szCs w:val="15"/>
          <w:color w:val="1A1A1A"/>
        </w:rPr>
        <w:t xml:space="preserve"> Additional benefit offerings include an Employee Stock Purchase Plan (ESPP) and work/life benefits such as a concierge service and access to subsidized back-up dependent care. Please vis</w:t>
      </w:r>
      <w:r>
        <w:rPr>
          <w:rFonts w:ascii="Arial" w:cs="Arial" w:eastAsia="Arial" w:hAnsi="Arial"/>
          <w:sz w:val="15"/>
          <w:szCs w:val="15"/>
          <w:color w:val="3D3D3D"/>
        </w:rPr>
        <w:t>i</w:t>
      </w:r>
      <w:r>
        <w:rPr>
          <w:rFonts w:ascii="Arial" w:cs="Arial" w:eastAsia="Arial" w:hAnsi="Arial"/>
          <w:sz w:val="15"/>
          <w:szCs w:val="15"/>
          <w:color w:val="1A1A1A"/>
        </w:rPr>
        <w:t>t Biogen's Benefits website using the below link and login information to familiarize yourself with Biogen's complete benefit plan offerings.</w:t>
      </w:r>
    </w:p>
    <w:p>
      <w:pPr>
        <w:spacing w:after="0" w:line="186" w:lineRule="exact"/>
        <w:rPr>
          <w:sz w:val="20"/>
          <w:szCs w:val="20"/>
          <w:color w:val="auto"/>
        </w:rPr>
      </w:pPr>
    </w:p>
    <w:p>
      <w:pPr>
        <w:ind w:left="740"/>
        <w:spacing w:after="0"/>
        <w:rPr>
          <w:sz w:val="20"/>
          <w:szCs w:val="20"/>
          <w:color w:val="auto"/>
        </w:rPr>
      </w:pPr>
      <w:r>
        <w:rPr>
          <w:rFonts w:ascii="Arial" w:cs="Arial" w:eastAsia="Arial" w:hAnsi="Arial"/>
          <w:sz w:val="15"/>
          <w:szCs w:val="15"/>
          <w:color w:val="1A1A1A"/>
        </w:rPr>
        <w:t>URL: [website]</w:t>
      </w:r>
    </w:p>
    <w:p>
      <w:pPr>
        <w:spacing w:after="0" w:line="7" w:lineRule="exact"/>
        <w:rPr>
          <w:sz w:val="20"/>
          <w:szCs w:val="20"/>
          <w:color w:val="auto"/>
        </w:rPr>
      </w:pPr>
    </w:p>
    <w:p>
      <w:pPr>
        <w:ind w:left="740"/>
        <w:spacing w:after="0"/>
        <w:rPr>
          <w:sz w:val="20"/>
          <w:szCs w:val="20"/>
          <w:color w:val="auto"/>
        </w:rPr>
      </w:pPr>
      <w:r>
        <w:rPr>
          <w:rFonts w:ascii="Arial" w:cs="Arial" w:eastAsia="Arial" w:hAnsi="Arial"/>
          <w:sz w:val="15"/>
          <w:szCs w:val="15"/>
          <w:color w:val="1A1A1A"/>
        </w:rPr>
        <w:t>Username: [username]</w:t>
      </w:r>
    </w:p>
    <w:p>
      <w:pPr>
        <w:spacing w:after="0" w:line="7" w:lineRule="exact"/>
        <w:rPr>
          <w:sz w:val="20"/>
          <w:szCs w:val="20"/>
          <w:color w:val="auto"/>
        </w:rPr>
      </w:pPr>
    </w:p>
    <w:p>
      <w:pPr>
        <w:ind w:left="740"/>
        <w:spacing w:after="0"/>
        <w:rPr>
          <w:sz w:val="20"/>
          <w:szCs w:val="20"/>
          <w:color w:val="auto"/>
        </w:rPr>
      </w:pPr>
      <w:r>
        <w:rPr>
          <w:rFonts w:ascii="Arial" w:cs="Arial" w:eastAsia="Arial" w:hAnsi="Arial"/>
          <w:sz w:val="15"/>
          <w:szCs w:val="15"/>
          <w:color w:val="1A1A1A"/>
        </w:rPr>
        <w:t>Password: [password]</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5"/>
          <w:szCs w:val="15"/>
          <w:color w:val="1A1A1A"/>
        </w:rPr>
        <w:t>Additional Executive Benefits</w:t>
      </w:r>
    </w:p>
    <w:p>
      <w:pPr>
        <w:spacing w:after="0" w:line="194" w:lineRule="exact"/>
        <w:rPr>
          <w:sz w:val="20"/>
          <w:szCs w:val="20"/>
          <w:color w:val="auto"/>
        </w:rPr>
      </w:pPr>
    </w:p>
    <w:p>
      <w:pPr>
        <w:jc w:val="both"/>
        <w:ind w:left="440"/>
        <w:spacing w:after="0" w:line="263" w:lineRule="auto"/>
        <w:rPr>
          <w:sz w:val="20"/>
          <w:szCs w:val="20"/>
          <w:color w:val="auto"/>
        </w:rPr>
      </w:pPr>
      <w:r>
        <w:rPr>
          <w:rFonts w:ascii="Arial" w:cs="Arial" w:eastAsia="Arial" w:hAnsi="Arial"/>
          <w:sz w:val="15"/>
          <w:szCs w:val="15"/>
          <w:b w:val="1"/>
          <w:bCs w:val="1"/>
          <w:color w:val="1A1A1A"/>
        </w:rPr>
        <w:t xml:space="preserve">Supplemental Savings Plan: </w:t>
      </w:r>
      <w:r>
        <w:rPr>
          <w:rFonts w:ascii="Arial" w:cs="Arial" w:eastAsia="Arial" w:hAnsi="Arial"/>
          <w:sz w:val="15"/>
          <w:szCs w:val="15"/>
          <w:color w:val="1A1A1A"/>
        </w:rPr>
        <w:t>You will be entitled to participate in Biogen's Supplemental Savings Plan (SSP)</w:t>
      </w:r>
      <w:r>
        <w:rPr>
          <w:rFonts w:ascii="Arial" w:cs="Arial" w:eastAsia="Arial" w:hAnsi="Arial"/>
          <w:sz w:val="15"/>
          <w:szCs w:val="15"/>
          <w:color w:val="525260"/>
        </w:rPr>
        <w:t>.</w:t>
      </w:r>
      <w:r>
        <w:rPr>
          <w:rFonts w:ascii="Arial" w:cs="Arial" w:eastAsia="Arial" w:hAnsi="Arial"/>
          <w:sz w:val="15"/>
          <w:szCs w:val="15"/>
          <w:b w:val="1"/>
          <w:bCs w:val="1"/>
          <w:color w:val="1A1A1A"/>
        </w:rPr>
        <w:t xml:space="preserve"> </w:t>
      </w:r>
      <w:r>
        <w:rPr>
          <w:rFonts w:ascii="Arial" w:cs="Arial" w:eastAsia="Arial" w:hAnsi="Arial"/>
          <w:sz w:val="15"/>
          <w:szCs w:val="15"/>
          <w:color w:val="1A1A1A"/>
        </w:rPr>
        <w:t>This plan allows you to make</w:t>
      </w:r>
      <w:r>
        <w:rPr>
          <w:rFonts w:ascii="Arial" w:cs="Arial" w:eastAsia="Arial" w:hAnsi="Arial"/>
          <w:sz w:val="15"/>
          <w:szCs w:val="15"/>
          <w:b w:val="1"/>
          <w:bCs w:val="1"/>
          <w:color w:val="1A1A1A"/>
        </w:rPr>
        <w:t xml:space="preserve"> </w:t>
      </w:r>
      <w:r>
        <w:rPr>
          <w:rFonts w:ascii="Arial" w:cs="Arial" w:eastAsia="Arial" w:hAnsi="Arial"/>
          <w:sz w:val="15"/>
          <w:szCs w:val="15"/>
          <w:color w:val="1A1A1A"/>
        </w:rPr>
        <w:t>pre-tax deferrals of up to 80% of your base salary and up to 100% of your Annual Bonus payment and certain other eligible incentive payments. Your contributions to this plan may be limited by your contr</w:t>
      </w:r>
      <w:r>
        <w:rPr>
          <w:rFonts w:ascii="Arial" w:cs="Arial" w:eastAsia="Arial" w:hAnsi="Arial"/>
          <w:sz w:val="15"/>
          <w:szCs w:val="15"/>
          <w:color w:val="3D3D3D"/>
        </w:rPr>
        <w:t>i</w:t>
      </w:r>
      <w:r>
        <w:rPr>
          <w:rFonts w:ascii="Arial" w:cs="Arial" w:eastAsia="Arial" w:hAnsi="Arial"/>
          <w:sz w:val="15"/>
          <w:szCs w:val="15"/>
          <w:color w:val="1A1A1A"/>
        </w:rPr>
        <w:t>butions towards other plans (e.g., 401(k), ESPP, medical, etc.). You will be provided with SSP enrollment information upon your employment with the Company</w:t>
      </w:r>
      <w:r>
        <w:rPr>
          <w:rFonts w:ascii="Arial" w:cs="Arial" w:eastAsia="Arial" w:hAnsi="Arial"/>
          <w:sz w:val="15"/>
          <w:szCs w:val="15"/>
          <w:color w:val="3D3D3D"/>
        </w:rPr>
        <w:t>.</w:t>
      </w:r>
    </w:p>
    <w:p>
      <w:pPr>
        <w:spacing w:after="0" w:line="179" w:lineRule="exact"/>
        <w:rPr>
          <w:sz w:val="20"/>
          <w:szCs w:val="20"/>
          <w:color w:val="auto"/>
        </w:rPr>
      </w:pPr>
    </w:p>
    <w:p>
      <w:pPr>
        <w:jc w:val="both"/>
        <w:ind w:left="440"/>
        <w:spacing w:after="0" w:line="266" w:lineRule="auto"/>
        <w:rPr>
          <w:sz w:val="20"/>
          <w:szCs w:val="20"/>
          <w:color w:val="auto"/>
        </w:rPr>
      </w:pPr>
      <w:r>
        <w:rPr>
          <w:rFonts w:ascii="Arial" w:cs="Arial" w:eastAsia="Arial" w:hAnsi="Arial"/>
          <w:sz w:val="15"/>
          <w:szCs w:val="15"/>
          <w:b w:val="1"/>
          <w:bCs w:val="1"/>
          <w:color w:val="1A1A1A"/>
        </w:rPr>
        <w:t xml:space="preserve">Life Insurance: </w:t>
      </w:r>
      <w:r>
        <w:rPr>
          <w:rFonts w:ascii="Arial" w:cs="Arial" w:eastAsia="Arial" w:hAnsi="Arial"/>
          <w:sz w:val="15"/>
          <w:szCs w:val="15"/>
          <w:color w:val="1A1A1A"/>
        </w:rPr>
        <w:t>You will be provided life insurance coverage equal to three times your annual base salary</w:t>
      </w:r>
      <w:r>
        <w:rPr>
          <w:rFonts w:ascii="Arial" w:cs="Arial" w:eastAsia="Arial" w:hAnsi="Arial"/>
          <w:sz w:val="15"/>
          <w:szCs w:val="15"/>
          <w:color w:val="3D3D3D"/>
        </w:rPr>
        <w:t>,</w:t>
      </w:r>
      <w:r>
        <w:rPr>
          <w:rFonts w:ascii="Arial" w:cs="Arial" w:eastAsia="Arial" w:hAnsi="Arial"/>
          <w:sz w:val="15"/>
          <w:szCs w:val="15"/>
          <w:b w:val="1"/>
          <w:bCs w:val="1"/>
          <w:color w:val="1A1A1A"/>
        </w:rPr>
        <w:t xml:space="preserve"> </w:t>
      </w:r>
      <w:r>
        <w:rPr>
          <w:rFonts w:ascii="Arial" w:cs="Arial" w:eastAsia="Arial" w:hAnsi="Arial"/>
          <w:sz w:val="15"/>
          <w:szCs w:val="15"/>
          <w:color w:val="1A1A1A"/>
        </w:rPr>
        <w:t>subject to meeting the medical</w:t>
      </w:r>
      <w:r>
        <w:rPr>
          <w:rFonts w:ascii="Arial" w:cs="Arial" w:eastAsia="Arial" w:hAnsi="Arial"/>
          <w:sz w:val="15"/>
          <w:szCs w:val="15"/>
          <w:b w:val="1"/>
          <w:bCs w:val="1"/>
          <w:color w:val="1A1A1A"/>
        </w:rPr>
        <w:t xml:space="preserve"> </w:t>
      </w:r>
      <w:r>
        <w:rPr>
          <w:rFonts w:ascii="Arial" w:cs="Arial" w:eastAsia="Arial" w:hAnsi="Arial"/>
          <w:sz w:val="15"/>
          <w:szCs w:val="15"/>
          <w:color w:val="1A1A1A"/>
        </w:rPr>
        <w:t>standards stated in the group term life insurance policy for U.S</w:t>
      </w:r>
      <w:r>
        <w:rPr>
          <w:rFonts w:ascii="Arial" w:cs="Arial" w:eastAsia="Arial" w:hAnsi="Arial"/>
          <w:sz w:val="15"/>
          <w:szCs w:val="15"/>
          <w:color w:val="3D3D3D"/>
        </w:rPr>
        <w:t>.</w:t>
      </w:r>
      <w:r>
        <w:rPr>
          <w:rFonts w:ascii="Arial" w:cs="Arial" w:eastAsia="Arial" w:hAnsi="Arial"/>
          <w:sz w:val="15"/>
          <w:szCs w:val="15"/>
          <w:color w:val="1A1A1A"/>
        </w:rPr>
        <w:t xml:space="preserve"> employees</w:t>
      </w:r>
      <w:r>
        <w:rPr>
          <w:rFonts w:ascii="Arial" w:cs="Arial" w:eastAsia="Arial" w:hAnsi="Arial"/>
          <w:sz w:val="15"/>
          <w:szCs w:val="15"/>
          <w:color w:val="3D3D3D"/>
        </w:rPr>
        <w:t>.</w:t>
      </w:r>
      <w:r>
        <w:rPr>
          <w:rFonts w:ascii="Arial" w:cs="Arial" w:eastAsia="Arial" w:hAnsi="Arial"/>
          <w:sz w:val="15"/>
          <w:szCs w:val="15"/>
          <w:color w:val="1A1A1A"/>
        </w:rPr>
        <w:t xml:space="preserve"> Biogen pays the premium for this insurance. The IRS requires employers to impute the value of company-paid life insurance for coverage over $50,000</w:t>
      </w:r>
      <w:r>
        <w:rPr>
          <w:rFonts w:ascii="Arial" w:cs="Arial" w:eastAsia="Arial" w:hAnsi="Arial"/>
          <w:sz w:val="15"/>
          <w:szCs w:val="15"/>
          <w:color w:val="3D3D3D"/>
        </w:rPr>
        <w:t>.</w:t>
      </w:r>
      <w:r>
        <w:rPr>
          <w:rFonts w:ascii="Arial" w:cs="Arial" w:eastAsia="Arial" w:hAnsi="Arial"/>
          <w:sz w:val="15"/>
          <w:szCs w:val="15"/>
          <w:color w:val="1A1A1A"/>
        </w:rPr>
        <w:t xml:space="preserve"> This imputed income will be displayed on your pay stub</w:t>
      </w:r>
      <w:r>
        <w:rPr>
          <w:rFonts w:ascii="Arial" w:cs="Arial" w:eastAsia="Arial" w:hAnsi="Arial"/>
          <w:sz w:val="15"/>
          <w:szCs w:val="15"/>
          <w:color w:val="3D3D3D"/>
        </w:rPr>
        <w:t>.</w:t>
      </w:r>
    </w:p>
    <w:p>
      <w:pPr>
        <w:spacing w:after="0" w:line="349" w:lineRule="exact"/>
        <w:rPr>
          <w:sz w:val="20"/>
          <w:szCs w:val="20"/>
          <w:color w:val="auto"/>
        </w:rPr>
      </w:pPr>
    </w:p>
    <w:p>
      <w:pPr>
        <w:ind w:left="420"/>
        <w:spacing w:after="0" w:line="292" w:lineRule="auto"/>
        <w:rPr>
          <w:sz w:val="20"/>
          <w:szCs w:val="20"/>
          <w:color w:val="auto"/>
        </w:rPr>
      </w:pPr>
      <w:r>
        <w:rPr>
          <w:rFonts w:ascii="Arial" w:cs="Arial" w:eastAsia="Arial" w:hAnsi="Arial"/>
          <w:sz w:val="15"/>
          <w:szCs w:val="15"/>
          <w:b w:val="1"/>
          <w:bCs w:val="1"/>
          <w:color w:val="1A1A1A"/>
        </w:rPr>
        <w:t xml:space="preserve">Severance: </w:t>
      </w:r>
      <w:r>
        <w:rPr>
          <w:rFonts w:ascii="Arial" w:cs="Arial" w:eastAsia="Arial" w:hAnsi="Arial"/>
          <w:sz w:val="15"/>
          <w:szCs w:val="15"/>
          <w:color w:val="1A1A1A"/>
        </w:rPr>
        <w:t>You will be entitled to severance benefits in accordance with the attached executive severance document, as it may be amended in</w:t>
      </w:r>
      <w:r>
        <w:rPr>
          <w:rFonts w:ascii="Arial" w:cs="Arial" w:eastAsia="Arial" w:hAnsi="Arial"/>
          <w:sz w:val="15"/>
          <w:szCs w:val="15"/>
          <w:b w:val="1"/>
          <w:bCs w:val="1"/>
          <w:color w:val="1A1A1A"/>
        </w:rPr>
        <w:t xml:space="preserve"> </w:t>
      </w:r>
      <w:r>
        <w:rPr>
          <w:rFonts w:ascii="Arial" w:cs="Arial" w:eastAsia="Arial" w:hAnsi="Arial"/>
          <w:sz w:val="15"/>
          <w:szCs w:val="15"/>
          <w:color w:val="1A1A1A"/>
        </w:rPr>
        <w:t>the future from time to time</w:t>
      </w:r>
      <w:r>
        <w:rPr>
          <w:rFonts w:ascii="Arial" w:cs="Arial" w:eastAsia="Arial" w:hAnsi="Arial"/>
          <w:sz w:val="15"/>
          <w:szCs w:val="15"/>
          <w:color w:val="3D3D3D"/>
        </w:rPr>
        <w:t>,</w:t>
      </w:r>
      <w:r>
        <w:rPr>
          <w:rFonts w:ascii="Arial" w:cs="Arial" w:eastAsia="Arial" w:hAnsi="Arial"/>
          <w:sz w:val="15"/>
          <w:szCs w:val="15"/>
          <w:color w:val="1A1A1A"/>
        </w:rPr>
        <w:t xml:space="preserve"> and should refer to such document fo</w:t>
      </w:r>
      <w:r>
        <w:rPr>
          <w:rFonts w:ascii="Arial" w:cs="Arial" w:eastAsia="Arial" w:hAnsi="Arial"/>
          <w:sz w:val="15"/>
          <w:szCs w:val="15"/>
          <w:color w:val="3D3D3D"/>
        </w:rPr>
        <w:t>r</w:t>
      </w:r>
      <w:r>
        <w:rPr>
          <w:rFonts w:ascii="Arial" w:cs="Arial" w:eastAsia="Arial" w:hAnsi="Arial"/>
          <w:sz w:val="15"/>
          <w:szCs w:val="15"/>
          <w:color w:val="1A1A1A"/>
        </w:rPr>
        <w:t xml:space="preserve"> details regarding terms, conditions, eligibility and potential tax implications.</w:t>
      </w:r>
    </w:p>
    <w:p>
      <w:pPr>
        <w:spacing w:after="0" w:line="144" w:lineRule="exact"/>
        <w:rPr>
          <w:sz w:val="20"/>
          <w:szCs w:val="20"/>
          <w:color w:val="auto"/>
        </w:rPr>
      </w:pPr>
    </w:p>
    <w:p>
      <w:pPr>
        <w:ind w:left="420" w:right="100"/>
        <w:spacing w:after="0" w:line="263" w:lineRule="auto"/>
        <w:rPr>
          <w:sz w:val="20"/>
          <w:szCs w:val="20"/>
          <w:color w:val="auto"/>
        </w:rPr>
      </w:pPr>
      <w:r>
        <w:rPr>
          <w:rFonts w:ascii="Arial" w:cs="Arial" w:eastAsia="Arial" w:hAnsi="Arial"/>
          <w:sz w:val="15"/>
          <w:szCs w:val="15"/>
          <w:b w:val="1"/>
          <w:bCs w:val="1"/>
          <w:color w:val="1A1A1A"/>
        </w:rPr>
        <w:t xml:space="preserve">Tax &amp; Financial Planning and Executive Physicals: </w:t>
      </w:r>
      <w:r>
        <w:rPr>
          <w:rFonts w:ascii="Arial" w:cs="Arial" w:eastAsia="Arial" w:hAnsi="Arial"/>
          <w:sz w:val="15"/>
          <w:szCs w:val="15"/>
          <w:color w:val="1A1A1A"/>
        </w:rPr>
        <w:t>You are eligible for annual reimbursement of expenses for qualified services such as</w:t>
      </w:r>
      <w:r>
        <w:rPr>
          <w:rFonts w:ascii="Arial" w:cs="Arial" w:eastAsia="Arial" w:hAnsi="Arial"/>
          <w:sz w:val="15"/>
          <w:szCs w:val="15"/>
          <w:b w:val="1"/>
          <w:bCs w:val="1"/>
          <w:color w:val="1A1A1A"/>
        </w:rPr>
        <w:t xml:space="preserve"> </w:t>
      </w:r>
      <w:r>
        <w:rPr>
          <w:rFonts w:ascii="Arial" w:cs="Arial" w:eastAsia="Arial" w:hAnsi="Arial"/>
          <w:sz w:val="15"/>
          <w:szCs w:val="15"/>
          <w:color w:val="1A1A1A"/>
        </w:rPr>
        <w:t>federal and state income tax planning and/or preparation, financial and estate planning services, and the purchase of ta</w:t>
      </w:r>
      <w:r>
        <w:rPr>
          <w:rFonts w:ascii="Arial" w:cs="Arial" w:eastAsia="Arial" w:hAnsi="Arial"/>
          <w:sz w:val="15"/>
          <w:szCs w:val="15"/>
          <w:color w:val="3D3D3D"/>
        </w:rPr>
        <w:t>x</w:t>
      </w:r>
      <w:r>
        <w:rPr>
          <w:rFonts w:ascii="Arial" w:cs="Arial" w:eastAsia="Arial" w:hAnsi="Arial"/>
          <w:sz w:val="15"/>
          <w:szCs w:val="15"/>
          <w:color w:val="1A1A1A"/>
        </w:rPr>
        <w:t xml:space="preserve"> and/or financial planning tools. Additionally, the Company will reimburse you for the expenses of an annual comprehensive physical exam when coordinated by the Executive Health Services team at Mass. General Hospital (MGH)</w:t>
      </w:r>
      <w:r>
        <w:rPr>
          <w:rFonts w:ascii="Arial" w:cs="Arial" w:eastAsia="Arial" w:hAnsi="Arial"/>
          <w:sz w:val="15"/>
          <w:szCs w:val="15"/>
          <w:color w:val="000000"/>
        </w:rPr>
        <w:t>.</w:t>
      </w:r>
    </w:p>
    <w:p>
      <w:pPr>
        <w:spacing w:after="0" w:line="381" w:lineRule="exact"/>
        <w:rPr>
          <w:sz w:val="20"/>
          <w:szCs w:val="20"/>
          <w:color w:val="auto"/>
        </w:rPr>
      </w:pPr>
    </w:p>
    <w:p>
      <w:pPr>
        <w:ind w:left="1040"/>
        <w:spacing w:after="0"/>
        <w:rPr>
          <w:sz w:val="20"/>
          <w:szCs w:val="20"/>
          <w:color w:val="auto"/>
        </w:rPr>
      </w:pPr>
      <w:r>
        <w:rPr>
          <w:rFonts w:ascii="Arial" w:cs="Arial" w:eastAsia="Arial" w:hAnsi="Arial"/>
          <w:sz w:val="12"/>
          <w:szCs w:val="12"/>
          <w:color w:val="4D6D93"/>
        </w:rPr>
        <w:t xml:space="preserve">225 </w:t>
      </w:r>
      <w:r>
        <w:rPr>
          <w:rFonts w:ascii="Arial" w:cs="Arial" w:eastAsia="Arial" w:hAnsi="Arial"/>
          <w:sz w:val="12"/>
          <w:szCs w:val="12"/>
          <w:color w:val="3F5B85"/>
        </w:rPr>
        <w:t>B</w:t>
      </w:r>
      <w:r>
        <w:rPr>
          <w:rFonts w:ascii="Arial" w:cs="Arial" w:eastAsia="Arial" w:hAnsi="Arial"/>
          <w:sz w:val="12"/>
          <w:szCs w:val="12"/>
          <w:color w:val="4880AC"/>
        </w:rPr>
        <w:t>i</w:t>
      </w:r>
      <w:r>
        <w:rPr>
          <w:rFonts w:ascii="Arial" w:cs="Arial" w:eastAsia="Arial" w:hAnsi="Arial"/>
          <w:sz w:val="12"/>
          <w:szCs w:val="12"/>
          <w:color w:val="3F5B85"/>
        </w:rPr>
        <w:t>nney St</w:t>
      </w:r>
      <w:r>
        <w:rPr>
          <w:rFonts w:ascii="Arial" w:cs="Arial" w:eastAsia="Arial" w:hAnsi="Arial"/>
          <w:sz w:val="12"/>
          <w:szCs w:val="12"/>
          <w:color w:val="243152"/>
        </w:rPr>
        <w:t>r</w:t>
      </w:r>
      <w:r>
        <w:rPr>
          <w:rFonts w:ascii="Arial" w:cs="Arial" w:eastAsia="Arial" w:hAnsi="Arial"/>
          <w:sz w:val="12"/>
          <w:szCs w:val="12"/>
          <w:color w:val="4D6D93"/>
        </w:rPr>
        <w:t>eet</w:t>
      </w:r>
      <w:r>
        <w:rPr>
          <w:rFonts w:ascii="Arial" w:cs="Arial" w:eastAsia="Arial" w:hAnsi="Arial"/>
          <w:sz w:val="12"/>
          <w:szCs w:val="12"/>
          <w:color w:val="8991A1"/>
        </w:rPr>
        <w:t>.</w:t>
      </w:r>
      <w:r>
        <w:rPr>
          <w:rFonts w:ascii="Arial" w:cs="Arial" w:eastAsia="Arial" w:hAnsi="Arial"/>
          <w:sz w:val="12"/>
          <w:szCs w:val="12"/>
          <w:color w:val="4D6D93"/>
        </w:rPr>
        <w:t xml:space="preserve"> </w:t>
      </w:r>
      <w:r>
        <w:rPr>
          <w:rFonts w:ascii="Arial" w:cs="Arial" w:eastAsia="Arial" w:hAnsi="Arial"/>
          <w:sz w:val="12"/>
          <w:szCs w:val="12"/>
          <w:color w:val="3F5B85"/>
        </w:rPr>
        <w:t>Cambridge</w:t>
      </w:r>
      <w:r>
        <w:rPr>
          <w:rFonts w:ascii="Arial" w:cs="Arial" w:eastAsia="Arial" w:hAnsi="Arial"/>
          <w:sz w:val="12"/>
          <w:szCs w:val="12"/>
          <w:color w:val="727082"/>
        </w:rPr>
        <w:t>.</w:t>
      </w:r>
      <w:r>
        <w:rPr>
          <w:rFonts w:ascii="Arial" w:cs="Arial" w:eastAsia="Arial" w:hAnsi="Arial"/>
          <w:sz w:val="12"/>
          <w:szCs w:val="12"/>
          <w:color w:val="4D6D93"/>
        </w:rPr>
        <w:t xml:space="preserve"> </w:t>
      </w:r>
      <w:r>
        <w:rPr>
          <w:rFonts w:ascii="Arial" w:cs="Arial" w:eastAsia="Arial" w:hAnsi="Arial"/>
          <w:sz w:val="12"/>
          <w:szCs w:val="12"/>
          <w:color w:val="3F5B85"/>
        </w:rPr>
        <w:t>MA 02142 Phone 781</w:t>
      </w:r>
      <w:r>
        <w:rPr>
          <w:rFonts w:ascii="Arial" w:cs="Arial" w:eastAsia="Arial" w:hAnsi="Arial"/>
          <w:sz w:val="12"/>
          <w:szCs w:val="12"/>
          <w:color w:val="727082"/>
        </w:rPr>
        <w:t>-</w:t>
      </w:r>
      <w:r>
        <w:rPr>
          <w:rFonts w:ascii="Arial" w:cs="Arial" w:eastAsia="Arial" w:hAnsi="Arial"/>
          <w:sz w:val="12"/>
          <w:szCs w:val="12"/>
          <w:color w:val="3F5B85"/>
        </w:rPr>
        <w:t>46</w:t>
      </w:r>
      <w:r>
        <w:rPr>
          <w:rFonts w:ascii="Arial" w:cs="Arial" w:eastAsia="Arial" w:hAnsi="Arial"/>
          <w:sz w:val="12"/>
          <w:szCs w:val="12"/>
          <w:color w:val="28367B"/>
        </w:rPr>
        <w:t>4</w:t>
      </w:r>
      <w:r>
        <w:rPr>
          <w:rFonts w:ascii="Arial" w:cs="Arial" w:eastAsia="Arial" w:hAnsi="Arial"/>
          <w:sz w:val="12"/>
          <w:szCs w:val="12"/>
          <w:color w:val="4D6D93"/>
        </w:rPr>
        <w:t xml:space="preserve"> </w:t>
      </w:r>
      <w:r>
        <w:rPr>
          <w:rFonts w:ascii="Arial" w:cs="Arial" w:eastAsia="Arial" w:hAnsi="Arial"/>
          <w:sz w:val="12"/>
          <w:szCs w:val="12"/>
          <w:color w:val="727082"/>
        </w:rPr>
        <w:t>-</w:t>
      </w:r>
      <w:r>
        <w:rPr>
          <w:rFonts w:ascii="Arial" w:cs="Arial" w:eastAsia="Arial" w:hAnsi="Arial"/>
          <w:sz w:val="12"/>
          <w:szCs w:val="12"/>
          <w:color w:val="3F5B85"/>
        </w:rPr>
        <w:t>2000</w:t>
      </w:r>
      <w:r>
        <w:rPr>
          <w:rFonts w:ascii="Arial" w:cs="Arial" w:eastAsia="Arial" w:hAnsi="Arial"/>
          <w:sz w:val="12"/>
          <w:szCs w:val="12"/>
          <w:color w:val="4D6D93"/>
        </w:rPr>
        <w:t xml:space="preserve"> </w:t>
      </w:r>
      <w:r>
        <w:rPr>
          <w:rFonts w:ascii="Arial" w:cs="Arial" w:eastAsia="Arial" w:hAnsi="Arial"/>
          <w:sz w:val="12"/>
          <w:szCs w:val="12"/>
          <w:color w:val="4880AC"/>
        </w:rPr>
        <w:t>www</w:t>
      </w:r>
      <w:r>
        <w:rPr>
          <w:rFonts w:ascii="Arial" w:cs="Arial" w:eastAsia="Arial" w:hAnsi="Arial"/>
          <w:sz w:val="12"/>
          <w:szCs w:val="12"/>
          <w:color w:val="758789"/>
        </w:rPr>
        <w:t>.</w:t>
      </w:r>
      <w:r>
        <w:rPr>
          <w:rFonts w:ascii="Arial" w:cs="Arial" w:eastAsia="Arial" w:hAnsi="Arial"/>
          <w:sz w:val="12"/>
          <w:szCs w:val="12"/>
          <w:color w:val="3F5B85"/>
        </w:rPr>
        <w:t>b</w:t>
      </w:r>
      <w:r>
        <w:rPr>
          <w:rFonts w:ascii="Arial" w:cs="Arial" w:eastAsia="Arial" w:hAnsi="Arial"/>
          <w:sz w:val="12"/>
          <w:szCs w:val="12"/>
          <w:color w:val="4880AC"/>
        </w:rPr>
        <w:t>l</w:t>
      </w:r>
      <w:r>
        <w:rPr>
          <w:rFonts w:ascii="Arial" w:cs="Arial" w:eastAsia="Arial" w:hAnsi="Arial"/>
          <w:sz w:val="12"/>
          <w:szCs w:val="12"/>
          <w:color w:val="4D6D93"/>
        </w:rPr>
        <w:t>oge</w:t>
      </w:r>
      <w:r>
        <w:rPr>
          <w:rFonts w:ascii="Arial" w:cs="Arial" w:eastAsia="Arial" w:hAnsi="Arial"/>
          <w:sz w:val="12"/>
          <w:szCs w:val="12"/>
          <w:color w:val="1C62AA"/>
        </w:rPr>
        <w:t>n</w:t>
      </w:r>
      <w:r>
        <w:rPr>
          <w:rFonts w:ascii="Arial" w:cs="Arial" w:eastAsia="Arial" w:hAnsi="Arial"/>
          <w:sz w:val="12"/>
          <w:szCs w:val="12"/>
          <w:color w:val="8991A1"/>
        </w:rPr>
        <w:t>.</w:t>
      </w:r>
      <w:r>
        <w:rPr>
          <w:rFonts w:ascii="Arial" w:cs="Arial" w:eastAsia="Arial" w:hAnsi="Arial"/>
          <w:sz w:val="12"/>
          <w:szCs w:val="12"/>
          <w:color w:val="4D6D93"/>
        </w:rPr>
        <w:t>co</w:t>
      </w:r>
      <w:r>
        <w:rPr>
          <w:rFonts w:ascii="Arial" w:cs="Arial" w:eastAsia="Arial" w:hAnsi="Arial"/>
          <w:sz w:val="12"/>
          <w:szCs w:val="12"/>
          <w:color w:val="3B4B70"/>
        </w:rPr>
        <w:t>m</w:t>
      </w:r>
    </w:p>
    <w:p>
      <w:pPr>
        <w:sectPr>
          <w:pgSz w:w="11900" w:h="16838" w:orient="portrait"/>
          <w:cols w:equalWidth="0" w:num="1">
            <w:col w:w="10220"/>
          </w:cols>
          <w:pgMar w:left="1440" w:top="1440" w:right="239" w:bottom="1440" w:gutter="0" w:footer="0" w:header="0"/>
        </w:sectPr>
      </w:pPr>
    </w:p>
    <w:bookmarkStart w:id="189" w:name="page190"/>
    <w:bookmarkEnd w:id="189"/>
    <w:p>
      <w:pPr>
        <w:spacing w:after="0" w:line="3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398145</wp:posOffset>
            </wp:positionV>
            <wp:extent cx="1406525" cy="4635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9">
                      <a:clrChange>
                        <a:clrFrom>
                          <a:srgbClr val="FFFFFF"/>
                        </a:clrFrom>
                        <a:clrTo>
                          <a:srgbClr val="FFFFFF">
                            <a:alpha val="0"/>
                          </a:srgbClr>
                        </a:clrTo>
                      </a:clrChange>
                      <a:extLst>
                        <a:ext uri="{28A0092B-C50C-407E-A947-70E740481C1C}"/>
                      </a:extLst>
                    </a:blip>
                    <a:srcRect/>
                    <a:stretch>
                      <a:fillRect/>
                    </a:stretch>
                  </pic:blipFill>
                  <pic:spPr bwMode="auto">
                    <a:xfrm>
                      <a:off x="0" y="0"/>
                      <a:ext cx="1406525" cy="463550"/>
                    </a:xfrm>
                    <a:prstGeom prst="rect">
                      <a:avLst/>
                    </a:prstGeom>
                    <a:noFill/>
                  </pic:spPr>
                </pic:pic>
              </a:graphicData>
            </a:graphic>
          </wp:anchor>
        </w:drawing>
      </w:r>
    </w:p>
    <w:p>
      <w:pPr>
        <w:jc w:val="both"/>
        <w:ind w:left="500"/>
        <w:spacing w:after="0" w:line="258" w:lineRule="auto"/>
        <w:rPr>
          <w:sz w:val="20"/>
          <w:szCs w:val="20"/>
          <w:color w:val="auto"/>
        </w:rPr>
      </w:pPr>
      <w:r>
        <w:rPr>
          <w:rFonts w:ascii="Arial" w:cs="Arial" w:eastAsia="Arial" w:hAnsi="Arial"/>
          <w:sz w:val="15"/>
          <w:szCs w:val="15"/>
          <w:color w:val="1A1A1A"/>
        </w:rPr>
        <w:t xml:space="preserve">The combined annual reimbursement you are eligible to receive is $7,500 per calendar year (January 1 - December 31), subject to the guidelines of the Tax </w:t>
      </w:r>
      <w:r>
        <w:rPr>
          <w:rFonts w:ascii="Arial" w:cs="Arial" w:eastAsia="Arial" w:hAnsi="Arial"/>
          <w:sz w:val="13"/>
          <w:szCs w:val="13"/>
          <w:color w:val="1A1A1A"/>
        </w:rPr>
        <w:t>&amp;</w:t>
      </w:r>
      <w:r>
        <w:rPr>
          <w:rFonts w:ascii="Arial" w:cs="Arial" w:eastAsia="Arial" w:hAnsi="Arial"/>
          <w:sz w:val="15"/>
          <w:szCs w:val="15"/>
          <w:color w:val="1A1A1A"/>
        </w:rPr>
        <w:t xml:space="preserve"> Financial Planning and Executive Physical Reimbursement Prog</w:t>
      </w:r>
      <w:r>
        <w:rPr>
          <w:rFonts w:ascii="Arial" w:cs="Arial" w:eastAsia="Arial" w:hAnsi="Arial"/>
          <w:sz w:val="15"/>
          <w:szCs w:val="15"/>
          <w:color w:val="383838"/>
        </w:rPr>
        <w:t>r</w:t>
      </w:r>
      <w:r>
        <w:rPr>
          <w:rFonts w:ascii="Arial" w:cs="Arial" w:eastAsia="Arial" w:hAnsi="Arial"/>
          <w:sz w:val="15"/>
          <w:szCs w:val="15"/>
          <w:color w:val="1A1A1A"/>
        </w:rPr>
        <w:t>am. The details of these benefits are available upon your employment with the Company</w:t>
      </w:r>
      <w:r>
        <w:rPr>
          <w:rFonts w:ascii="Arial" w:cs="Arial" w:eastAsia="Arial" w:hAnsi="Arial"/>
          <w:sz w:val="15"/>
          <w:szCs w:val="15"/>
          <w:color w:val="383838"/>
        </w:rPr>
        <w:t>.</w:t>
      </w:r>
    </w:p>
    <w:p>
      <w:pPr>
        <w:spacing w:after="0" w:line="399"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1A1A1A"/>
        </w:rPr>
        <w:t>Stock Trading Plan</w:t>
      </w:r>
      <w:r>
        <w:rPr>
          <w:rFonts w:ascii="Arial" w:cs="Arial" w:eastAsia="Arial" w:hAnsi="Arial"/>
          <w:sz w:val="15"/>
          <w:szCs w:val="15"/>
          <w:b w:val="1"/>
          <w:bCs w:val="1"/>
          <w:color w:val="383838"/>
        </w:rPr>
        <w:t>:</w:t>
      </w:r>
      <w:r>
        <w:rPr>
          <w:rFonts w:ascii="Arial" w:cs="Arial" w:eastAsia="Arial" w:hAnsi="Arial"/>
          <w:sz w:val="15"/>
          <w:szCs w:val="15"/>
          <w:b w:val="1"/>
          <w:bCs w:val="1"/>
          <w:color w:val="1A1A1A"/>
        </w:rPr>
        <w:t xml:space="preserve"> </w:t>
      </w:r>
      <w:r>
        <w:rPr>
          <w:rFonts w:ascii="Arial" w:cs="Arial" w:eastAsia="Arial" w:hAnsi="Arial"/>
          <w:sz w:val="15"/>
          <w:szCs w:val="15"/>
          <w:color w:val="1A1A1A"/>
        </w:rPr>
        <w:t>Upon employment with the Company, you will become subject to Biogen's Globa</w:t>
      </w:r>
      <w:r>
        <w:rPr>
          <w:rFonts w:ascii="Arial" w:cs="Arial" w:eastAsia="Arial" w:hAnsi="Arial"/>
          <w:sz w:val="15"/>
          <w:szCs w:val="15"/>
          <w:color w:val="383838"/>
        </w:rPr>
        <w:t>l</w:t>
      </w:r>
      <w:r>
        <w:rPr>
          <w:rFonts w:ascii="Arial" w:cs="Arial" w:eastAsia="Arial" w:hAnsi="Arial"/>
          <w:sz w:val="15"/>
          <w:szCs w:val="15"/>
          <w:b w:val="1"/>
          <w:bCs w:val="1"/>
          <w:color w:val="1A1A1A"/>
        </w:rPr>
        <w:t xml:space="preserve"> </w:t>
      </w:r>
      <w:r>
        <w:rPr>
          <w:rFonts w:ascii="Arial" w:cs="Arial" w:eastAsia="Arial" w:hAnsi="Arial"/>
          <w:sz w:val="15"/>
          <w:szCs w:val="15"/>
          <w:color w:val="1A1A1A"/>
        </w:rPr>
        <w:t>Insider Trading Policy</w:t>
      </w:r>
      <w:r>
        <w:rPr>
          <w:rFonts w:ascii="Arial" w:cs="Arial" w:eastAsia="Arial" w:hAnsi="Arial"/>
          <w:sz w:val="15"/>
          <w:szCs w:val="15"/>
          <w:color w:val="383838"/>
        </w:rPr>
        <w:t>,</w:t>
      </w:r>
      <w:r>
        <w:rPr>
          <w:rFonts w:ascii="Arial" w:cs="Arial" w:eastAsia="Arial" w:hAnsi="Arial"/>
          <w:sz w:val="15"/>
          <w:szCs w:val="15"/>
          <w:b w:val="1"/>
          <w:bCs w:val="1"/>
          <w:color w:val="1A1A1A"/>
        </w:rPr>
        <w:t xml:space="preserve"> </w:t>
      </w:r>
      <w:r>
        <w:rPr>
          <w:rFonts w:ascii="Arial" w:cs="Arial" w:eastAsia="Arial" w:hAnsi="Arial"/>
          <w:sz w:val="15"/>
          <w:szCs w:val="15"/>
          <w:color w:val="1A1A1A"/>
        </w:rPr>
        <w:t>a copy of which will</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5"/>
          <w:szCs w:val="15"/>
          <w:color w:val="1A1A1A"/>
        </w:rPr>
        <w:t>be provided to you</w:t>
      </w:r>
      <w:r>
        <w:rPr>
          <w:rFonts w:ascii="Arial" w:cs="Arial" w:eastAsia="Arial" w:hAnsi="Arial"/>
          <w:sz w:val="15"/>
          <w:szCs w:val="15"/>
          <w:color w:val="000000"/>
        </w:rPr>
        <w:t>.</w:t>
      </w:r>
      <w:r>
        <w:rPr>
          <w:rFonts w:ascii="Arial" w:cs="Arial" w:eastAsia="Arial" w:hAnsi="Arial"/>
          <w:sz w:val="15"/>
          <w:szCs w:val="15"/>
          <w:color w:val="1A1A1A"/>
        </w:rPr>
        <w:t xml:space="preserve"> The Biogen Global Insider Trading Policy sets forth guidelines designed to promote compliance with applicable federal and</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5"/>
          <w:szCs w:val="15"/>
          <w:color w:val="1A1A1A"/>
        </w:rPr>
        <w:t>state securities laws that prohibit persons who are aware of material nonpublic information about the company from trading in securities of the</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5"/>
          <w:szCs w:val="15"/>
          <w:color w:val="383838"/>
        </w:rPr>
        <w:t>c</w:t>
      </w:r>
      <w:r>
        <w:rPr>
          <w:rFonts w:ascii="Arial" w:cs="Arial" w:eastAsia="Arial" w:hAnsi="Arial"/>
          <w:sz w:val="15"/>
          <w:szCs w:val="15"/>
          <w:color w:val="1A1A1A"/>
        </w:rPr>
        <w:t>ompany or providing material nonpublic information to other persons who may trade on the basis of that information</w:t>
      </w:r>
      <w:r>
        <w:rPr>
          <w:rFonts w:ascii="Arial" w:cs="Arial" w:eastAsia="Arial" w:hAnsi="Arial"/>
          <w:sz w:val="15"/>
          <w:szCs w:val="15"/>
          <w:color w:val="383838"/>
        </w:rPr>
        <w:t xml:space="preserve">. </w:t>
      </w:r>
      <w:r>
        <w:rPr>
          <w:rFonts w:ascii="Arial" w:cs="Arial" w:eastAsia="Arial" w:hAnsi="Arial"/>
          <w:sz w:val="15"/>
          <w:szCs w:val="15"/>
          <w:color w:val="1A1A1A"/>
        </w:rPr>
        <w:t>Upon your employment, you</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5"/>
          <w:szCs w:val="15"/>
          <w:color w:val="1A1A1A"/>
        </w:rPr>
        <w:t>will be assigned, based on your job, to a specific trading group that will determine your obligations and restrictions under the policy, and you will be</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5"/>
          <w:szCs w:val="15"/>
          <w:color w:val="1A1A1A"/>
        </w:rPr>
        <w:t>required to complete training on the policy.</w:t>
      </w:r>
    </w:p>
    <w:p>
      <w:pPr>
        <w:spacing w:after="0" w:line="207" w:lineRule="exact"/>
        <w:rPr>
          <w:sz w:val="20"/>
          <w:szCs w:val="20"/>
          <w:color w:val="auto"/>
        </w:rPr>
      </w:pPr>
    </w:p>
    <w:p>
      <w:pPr>
        <w:ind w:left="200" w:right="40"/>
        <w:spacing w:after="0" w:line="270" w:lineRule="auto"/>
        <w:rPr>
          <w:sz w:val="20"/>
          <w:szCs w:val="20"/>
          <w:color w:val="auto"/>
        </w:rPr>
      </w:pPr>
      <w:r>
        <w:rPr>
          <w:rFonts w:ascii="Arial" w:cs="Arial" w:eastAsia="Arial" w:hAnsi="Arial"/>
          <w:sz w:val="15"/>
          <w:szCs w:val="15"/>
          <w:b w:val="1"/>
          <w:bCs w:val="1"/>
          <w:color w:val="1A1A1A"/>
        </w:rPr>
        <w:t xml:space="preserve">Share Ownership Requirement: </w:t>
      </w:r>
      <w:r>
        <w:rPr>
          <w:rFonts w:ascii="Arial" w:cs="Arial" w:eastAsia="Arial" w:hAnsi="Arial"/>
          <w:sz w:val="15"/>
          <w:szCs w:val="15"/>
          <w:color w:val="1A1A1A"/>
        </w:rPr>
        <w:t>A key object</w:t>
      </w:r>
      <w:r>
        <w:rPr>
          <w:rFonts w:ascii="Arial" w:cs="Arial" w:eastAsia="Arial" w:hAnsi="Arial"/>
          <w:sz w:val="15"/>
          <w:szCs w:val="15"/>
          <w:color w:val="383838"/>
        </w:rPr>
        <w:t>i</w:t>
      </w:r>
      <w:r>
        <w:rPr>
          <w:rFonts w:ascii="Arial" w:cs="Arial" w:eastAsia="Arial" w:hAnsi="Arial"/>
          <w:sz w:val="15"/>
          <w:szCs w:val="15"/>
          <w:color w:val="1A1A1A"/>
        </w:rPr>
        <w:t>ve of our long-term incentive plans is to ensure strong alignment between the interests of our senior</w:t>
      </w:r>
      <w:r>
        <w:rPr>
          <w:rFonts w:ascii="Arial" w:cs="Arial" w:eastAsia="Arial" w:hAnsi="Arial"/>
          <w:sz w:val="15"/>
          <w:szCs w:val="15"/>
          <w:b w:val="1"/>
          <w:bCs w:val="1"/>
          <w:color w:val="1A1A1A"/>
        </w:rPr>
        <w:t xml:space="preserve"> </w:t>
      </w:r>
      <w:r>
        <w:rPr>
          <w:rFonts w:ascii="Arial" w:cs="Arial" w:eastAsia="Arial" w:hAnsi="Arial"/>
          <w:sz w:val="15"/>
          <w:szCs w:val="15"/>
          <w:color w:val="1A1A1A"/>
        </w:rPr>
        <w:t>executives and those of our stockholders</w:t>
      </w:r>
      <w:r>
        <w:rPr>
          <w:rFonts w:ascii="Arial" w:cs="Arial" w:eastAsia="Arial" w:hAnsi="Arial"/>
          <w:sz w:val="15"/>
          <w:szCs w:val="15"/>
          <w:color w:val="383838"/>
        </w:rPr>
        <w:t>.</w:t>
      </w:r>
      <w:r>
        <w:rPr>
          <w:rFonts w:ascii="Arial" w:cs="Arial" w:eastAsia="Arial" w:hAnsi="Arial"/>
          <w:sz w:val="15"/>
          <w:szCs w:val="15"/>
          <w:color w:val="1A1A1A"/>
        </w:rPr>
        <w:t xml:space="preserve"> It is expected that through our annual long-term incentive grants, you will accumulate and retain Biogen shares in an amount equivalent to 3x salary through the first 5 years of employment.</w:t>
      </w:r>
    </w:p>
    <w:p>
      <w:pPr>
        <w:spacing w:after="0" w:line="200" w:lineRule="exact"/>
        <w:rPr>
          <w:sz w:val="20"/>
          <w:szCs w:val="20"/>
          <w:color w:val="auto"/>
        </w:rPr>
      </w:pPr>
    </w:p>
    <w:p>
      <w:pPr>
        <w:spacing w:after="0" w:line="209" w:lineRule="exact"/>
        <w:rPr>
          <w:sz w:val="20"/>
          <w:szCs w:val="20"/>
          <w:color w:val="auto"/>
        </w:rPr>
      </w:pPr>
    </w:p>
    <w:p>
      <w:pPr>
        <w:ind w:left="160"/>
        <w:spacing w:after="0"/>
        <w:rPr>
          <w:sz w:val="20"/>
          <w:szCs w:val="20"/>
          <w:color w:val="auto"/>
        </w:rPr>
      </w:pPr>
      <w:r>
        <w:rPr>
          <w:rFonts w:ascii="Arial" w:cs="Arial" w:eastAsia="Arial" w:hAnsi="Arial"/>
          <w:sz w:val="15"/>
          <w:szCs w:val="15"/>
          <w:color w:val="1A1A1A"/>
        </w:rPr>
        <w:t>You are required to satisfy the foll</w:t>
      </w:r>
      <w:r>
        <w:rPr>
          <w:rFonts w:ascii="Arial" w:cs="Arial" w:eastAsia="Arial" w:hAnsi="Arial"/>
          <w:sz w:val="15"/>
          <w:szCs w:val="15"/>
          <w:color w:val="383838"/>
        </w:rPr>
        <w:t>o</w:t>
      </w:r>
      <w:r>
        <w:rPr>
          <w:rFonts w:ascii="Arial" w:cs="Arial" w:eastAsia="Arial" w:hAnsi="Arial"/>
          <w:sz w:val="15"/>
          <w:szCs w:val="15"/>
          <w:color w:val="1A1A1A"/>
        </w:rPr>
        <w:t>wing contingencies prior to employment at Biogen.</w:t>
      </w:r>
    </w:p>
    <w:p>
      <w:pPr>
        <w:spacing w:after="0" w:line="232" w:lineRule="exact"/>
        <w:rPr>
          <w:sz w:val="20"/>
          <w:szCs w:val="20"/>
          <w:color w:val="auto"/>
        </w:rPr>
      </w:pPr>
    </w:p>
    <w:p>
      <w:pPr>
        <w:ind w:left="720" w:right="280" w:hanging="278"/>
        <w:spacing w:after="0" w:line="285" w:lineRule="auto"/>
        <w:tabs>
          <w:tab w:leader="none" w:pos="720" w:val="left"/>
        </w:tabs>
        <w:numPr>
          <w:ilvl w:val="0"/>
          <w:numId w:val="153"/>
        </w:numPr>
        <w:rPr>
          <w:rFonts w:ascii="Arial" w:cs="Arial" w:eastAsia="Arial" w:hAnsi="Arial"/>
          <w:sz w:val="17"/>
          <w:szCs w:val="17"/>
          <w:color w:val="auto"/>
        </w:rPr>
      </w:pPr>
      <w:r>
        <w:rPr>
          <w:rFonts w:ascii="Arial" w:cs="Arial" w:eastAsia="Arial" w:hAnsi="Arial"/>
          <w:sz w:val="15"/>
          <w:szCs w:val="15"/>
          <w:b w:val="1"/>
          <w:bCs w:val="1"/>
          <w:color w:val="1A1A1A"/>
        </w:rPr>
        <w:t>Pre</w:t>
      </w:r>
      <w:r>
        <w:rPr>
          <w:rFonts w:ascii="Arial" w:cs="Arial" w:eastAsia="Arial" w:hAnsi="Arial"/>
          <w:sz w:val="15"/>
          <w:szCs w:val="15"/>
          <w:b w:val="1"/>
          <w:bCs w:val="1"/>
          <w:color w:val="383838"/>
        </w:rPr>
        <w:t>-</w:t>
      </w:r>
      <w:r>
        <w:rPr>
          <w:rFonts w:ascii="Arial" w:cs="Arial" w:eastAsia="Arial" w:hAnsi="Arial"/>
          <w:sz w:val="15"/>
          <w:szCs w:val="15"/>
          <w:b w:val="1"/>
          <w:bCs w:val="1"/>
          <w:color w:val="1A1A1A"/>
        </w:rPr>
        <w:t xml:space="preserve">employment screening: </w:t>
      </w:r>
      <w:r>
        <w:rPr>
          <w:rFonts w:ascii="Arial" w:cs="Arial" w:eastAsia="Arial" w:hAnsi="Arial"/>
          <w:sz w:val="15"/>
          <w:szCs w:val="15"/>
          <w:color w:val="1A1A1A"/>
        </w:rPr>
        <w:t>Employment at Biogen is contingent upon your successful completion and passing of both a background</w:t>
      </w:r>
      <w:r>
        <w:rPr>
          <w:rFonts w:ascii="Arial" w:cs="Arial" w:eastAsia="Arial" w:hAnsi="Arial"/>
          <w:sz w:val="15"/>
          <w:szCs w:val="15"/>
          <w:b w:val="1"/>
          <w:bCs w:val="1"/>
          <w:color w:val="1A1A1A"/>
        </w:rPr>
        <w:t xml:space="preserve"> </w:t>
      </w:r>
      <w:r>
        <w:rPr>
          <w:rFonts w:ascii="Arial" w:cs="Arial" w:eastAsia="Arial" w:hAnsi="Arial"/>
          <w:sz w:val="15"/>
          <w:szCs w:val="15"/>
          <w:color w:val="1A1A1A"/>
        </w:rPr>
        <w:t>check and drug screen. Biogen's background check includes verification of employment history, educational and professional licenses, degrees and/or credentials, a criminal records check, a So</w:t>
      </w:r>
      <w:r>
        <w:rPr>
          <w:rFonts w:ascii="Arial" w:cs="Arial" w:eastAsia="Arial" w:hAnsi="Arial"/>
          <w:sz w:val="15"/>
          <w:szCs w:val="15"/>
          <w:color w:val="383838"/>
        </w:rPr>
        <w:t>c</w:t>
      </w:r>
      <w:r>
        <w:rPr>
          <w:rFonts w:ascii="Arial" w:cs="Arial" w:eastAsia="Arial" w:hAnsi="Arial"/>
          <w:sz w:val="15"/>
          <w:szCs w:val="15"/>
          <w:color w:val="1A1A1A"/>
        </w:rPr>
        <w:t>ial Security Number search and verification of any other profess</w:t>
      </w:r>
      <w:r>
        <w:rPr>
          <w:rFonts w:ascii="Arial" w:cs="Arial" w:eastAsia="Arial" w:hAnsi="Arial"/>
          <w:sz w:val="15"/>
          <w:szCs w:val="15"/>
          <w:color w:val="383838"/>
        </w:rPr>
        <w:t>i</w:t>
      </w:r>
      <w:r>
        <w:rPr>
          <w:rFonts w:ascii="Arial" w:cs="Arial" w:eastAsia="Arial" w:hAnsi="Arial"/>
          <w:sz w:val="15"/>
          <w:szCs w:val="15"/>
          <w:color w:val="1A1A1A"/>
        </w:rPr>
        <w:t>onal qualifications that your position responsib</w:t>
      </w:r>
      <w:r>
        <w:rPr>
          <w:rFonts w:ascii="Arial" w:cs="Arial" w:eastAsia="Arial" w:hAnsi="Arial"/>
          <w:sz w:val="15"/>
          <w:szCs w:val="15"/>
          <w:color w:val="383838"/>
        </w:rPr>
        <w:t>i</w:t>
      </w:r>
      <w:r>
        <w:rPr>
          <w:rFonts w:ascii="Arial" w:cs="Arial" w:eastAsia="Arial" w:hAnsi="Arial"/>
          <w:sz w:val="15"/>
          <w:szCs w:val="15"/>
          <w:color w:val="1A1A1A"/>
        </w:rPr>
        <w:t>lities at Biogen may warrant. Completion of your online Application for Employment authorizes Biogen to conduct these background che</w:t>
      </w:r>
      <w:r>
        <w:rPr>
          <w:rFonts w:ascii="Arial" w:cs="Arial" w:eastAsia="Arial" w:hAnsi="Arial"/>
          <w:sz w:val="15"/>
          <w:szCs w:val="15"/>
          <w:color w:val="383838"/>
        </w:rPr>
        <w:t>c</w:t>
      </w:r>
      <w:r>
        <w:rPr>
          <w:rFonts w:ascii="Arial" w:cs="Arial" w:eastAsia="Arial" w:hAnsi="Arial"/>
          <w:sz w:val="15"/>
          <w:szCs w:val="15"/>
          <w:color w:val="1A1A1A"/>
        </w:rPr>
        <w:t>ks. If you have any questions about the background check</w:t>
      </w:r>
      <w:r>
        <w:rPr>
          <w:rFonts w:ascii="Arial" w:cs="Arial" w:eastAsia="Arial" w:hAnsi="Arial"/>
          <w:sz w:val="15"/>
          <w:szCs w:val="15"/>
          <w:color w:val="383838"/>
        </w:rPr>
        <w:t>,</w:t>
      </w:r>
      <w:r>
        <w:rPr>
          <w:rFonts w:ascii="Arial" w:cs="Arial" w:eastAsia="Arial" w:hAnsi="Arial"/>
          <w:sz w:val="15"/>
          <w:szCs w:val="15"/>
          <w:color w:val="1A1A1A"/>
        </w:rPr>
        <w:t xml:space="preserve"> please contact </w:t>
      </w:r>
      <w:r>
        <w:rPr>
          <w:rFonts w:ascii="Arial" w:cs="Arial" w:eastAsia="Arial" w:hAnsi="Arial"/>
          <w:sz w:val="15"/>
          <w:szCs w:val="15"/>
          <w:color w:val="232A4F"/>
        </w:rPr>
        <w:t>HRConne</w:t>
      </w:r>
      <w:r>
        <w:rPr>
          <w:rFonts w:ascii="Arial" w:cs="Arial" w:eastAsia="Arial" w:hAnsi="Arial"/>
          <w:sz w:val="15"/>
          <w:szCs w:val="15"/>
          <w:color w:val="3F4D64"/>
        </w:rPr>
        <w:t>c</w:t>
      </w:r>
      <w:r>
        <w:rPr>
          <w:rFonts w:ascii="Arial" w:cs="Arial" w:eastAsia="Arial" w:hAnsi="Arial"/>
          <w:sz w:val="15"/>
          <w:szCs w:val="15"/>
          <w:color w:val="232A4F"/>
        </w:rPr>
        <w:t>t@b</w:t>
      </w:r>
      <w:r>
        <w:rPr>
          <w:rFonts w:ascii="Arial" w:cs="Arial" w:eastAsia="Arial" w:hAnsi="Arial"/>
          <w:sz w:val="15"/>
          <w:szCs w:val="15"/>
          <w:color w:val="08344D"/>
        </w:rPr>
        <w:t>i</w:t>
      </w:r>
      <w:r>
        <w:rPr>
          <w:rFonts w:ascii="Arial" w:cs="Arial" w:eastAsia="Arial" w:hAnsi="Arial"/>
          <w:sz w:val="15"/>
          <w:szCs w:val="15"/>
          <w:color w:val="232A4F"/>
        </w:rPr>
        <w:t>ogen</w:t>
      </w:r>
      <w:r>
        <w:rPr>
          <w:rFonts w:ascii="Arial" w:cs="Arial" w:eastAsia="Arial" w:hAnsi="Arial"/>
          <w:sz w:val="15"/>
          <w:szCs w:val="15"/>
          <w:color w:val="706499"/>
        </w:rPr>
        <w:t>.</w:t>
      </w:r>
      <w:r>
        <w:rPr>
          <w:rFonts w:ascii="Arial" w:cs="Arial" w:eastAsia="Arial" w:hAnsi="Arial"/>
          <w:sz w:val="15"/>
          <w:szCs w:val="15"/>
          <w:color w:val="232A4F"/>
        </w:rPr>
        <w:t>com</w:t>
      </w:r>
      <w:r>
        <w:rPr>
          <w:rFonts w:ascii="Arial" w:cs="Arial" w:eastAsia="Arial" w:hAnsi="Arial"/>
          <w:sz w:val="15"/>
          <w:szCs w:val="15"/>
          <w:color w:val="1A1A1A"/>
        </w:rPr>
        <w:t>.</w:t>
      </w:r>
    </w:p>
    <w:p>
      <w:pPr>
        <w:spacing w:after="0" w:line="203" w:lineRule="exact"/>
        <w:rPr>
          <w:rFonts w:ascii="Arial" w:cs="Arial" w:eastAsia="Arial" w:hAnsi="Arial"/>
          <w:sz w:val="17"/>
          <w:szCs w:val="17"/>
          <w:color w:val="auto"/>
        </w:rPr>
      </w:pPr>
    </w:p>
    <w:p>
      <w:pPr>
        <w:ind w:left="720" w:hanging="278"/>
        <w:spacing w:after="0" w:line="295" w:lineRule="auto"/>
        <w:tabs>
          <w:tab w:leader="none" w:pos="720" w:val="left"/>
        </w:tabs>
        <w:numPr>
          <w:ilvl w:val="0"/>
          <w:numId w:val="153"/>
        </w:numPr>
        <w:rPr>
          <w:rFonts w:ascii="Arial" w:cs="Arial" w:eastAsia="Arial" w:hAnsi="Arial"/>
          <w:sz w:val="17"/>
          <w:szCs w:val="17"/>
          <w:color w:val="auto"/>
        </w:rPr>
      </w:pPr>
      <w:r>
        <w:rPr>
          <w:rFonts w:ascii="Arial" w:cs="Arial" w:eastAsia="Arial" w:hAnsi="Arial"/>
          <w:sz w:val="15"/>
          <w:szCs w:val="15"/>
          <w:b w:val="1"/>
          <w:bCs w:val="1"/>
          <w:color w:val="1A1A1A"/>
        </w:rPr>
        <w:t xml:space="preserve">Authorization to Work in the United States: </w:t>
      </w:r>
      <w:r>
        <w:rPr>
          <w:rFonts w:ascii="Arial" w:cs="Arial" w:eastAsia="Arial" w:hAnsi="Arial"/>
          <w:sz w:val="15"/>
          <w:szCs w:val="15"/>
          <w:color w:val="1A1A1A"/>
        </w:rPr>
        <w:t>Please note that Biogen is an E-Verify employer</w:t>
      </w:r>
      <w:r>
        <w:rPr>
          <w:rFonts w:ascii="Arial" w:cs="Arial" w:eastAsia="Arial" w:hAnsi="Arial"/>
          <w:sz w:val="15"/>
          <w:szCs w:val="15"/>
          <w:color w:val="383838"/>
        </w:rPr>
        <w:t>.</w:t>
      </w:r>
      <w:r>
        <w:rPr>
          <w:rFonts w:ascii="Arial" w:cs="Arial" w:eastAsia="Arial" w:hAnsi="Arial"/>
          <w:sz w:val="15"/>
          <w:szCs w:val="15"/>
          <w:b w:val="1"/>
          <w:bCs w:val="1"/>
          <w:color w:val="1A1A1A"/>
        </w:rPr>
        <w:t xml:space="preserve"> </w:t>
      </w:r>
      <w:r>
        <w:rPr>
          <w:rFonts w:ascii="Arial" w:cs="Arial" w:eastAsia="Arial" w:hAnsi="Arial"/>
          <w:sz w:val="15"/>
          <w:szCs w:val="15"/>
          <w:color w:val="1A1A1A"/>
        </w:rPr>
        <w:t>The Federal government requires you to</w:t>
      </w:r>
      <w:r>
        <w:rPr>
          <w:rFonts w:ascii="Arial" w:cs="Arial" w:eastAsia="Arial" w:hAnsi="Arial"/>
          <w:sz w:val="15"/>
          <w:szCs w:val="15"/>
          <w:b w:val="1"/>
          <w:bCs w:val="1"/>
          <w:color w:val="1A1A1A"/>
        </w:rPr>
        <w:t xml:space="preserve"> </w:t>
      </w:r>
      <w:r>
        <w:rPr>
          <w:rFonts w:ascii="Arial" w:cs="Arial" w:eastAsia="Arial" w:hAnsi="Arial"/>
          <w:sz w:val="15"/>
          <w:szCs w:val="15"/>
          <w:color w:val="1A1A1A"/>
        </w:rPr>
        <w:t>provide proper identification verifying your eligibility to work in the United States.</w:t>
      </w:r>
    </w:p>
    <w:p>
      <w:pPr>
        <w:spacing w:after="0" w:line="149" w:lineRule="exact"/>
        <w:rPr>
          <w:rFonts w:ascii="Arial" w:cs="Arial" w:eastAsia="Arial" w:hAnsi="Arial"/>
          <w:sz w:val="17"/>
          <w:szCs w:val="17"/>
          <w:color w:val="auto"/>
        </w:rPr>
      </w:pPr>
    </w:p>
    <w:p>
      <w:pPr>
        <w:jc w:val="both"/>
        <w:ind w:left="720"/>
        <w:spacing w:after="0" w:line="263" w:lineRule="auto"/>
        <w:rPr>
          <w:rFonts w:ascii="Arial" w:cs="Arial" w:eastAsia="Arial" w:hAnsi="Arial"/>
          <w:sz w:val="17"/>
          <w:szCs w:val="17"/>
          <w:color w:val="auto"/>
        </w:rPr>
      </w:pPr>
      <w:r>
        <w:rPr>
          <w:rFonts w:ascii="Arial" w:cs="Arial" w:eastAsia="Arial" w:hAnsi="Arial"/>
          <w:sz w:val="15"/>
          <w:szCs w:val="15"/>
          <w:b w:val="1"/>
          <w:bCs w:val="1"/>
          <w:color w:val="1A1A1A"/>
        </w:rPr>
        <w:t xml:space="preserve">If you will be working at one of our office locations: </w:t>
      </w:r>
      <w:r>
        <w:rPr>
          <w:rFonts w:ascii="Arial" w:cs="Arial" w:eastAsia="Arial" w:hAnsi="Arial"/>
          <w:sz w:val="15"/>
          <w:szCs w:val="15"/>
          <w:color w:val="1A1A1A"/>
        </w:rPr>
        <w:t>Please complete Section 1 of the Employment Eligibility Verification Form 1-9,</w:t>
      </w:r>
      <w:r>
        <w:rPr>
          <w:rFonts w:ascii="Arial" w:cs="Arial" w:eastAsia="Arial" w:hAnsi="Arial"/>
          <w:sz w:val="15"/>
          <w:szCs w:val="15"/>
          <w:b w:val="1"/>
          <w:bCs w:val="1"/>
          <w:color w:val="1A1A1A"/>
        </w:rPr>
        <w:t xml:space="preserve"> </w:t>
      </w:r>
      <w:r>
        <w:rPr>
          <w:rFonts w:ascii="Arial" w:cs="Arial" w:eastAsia="Arial" w:hAnsi="Arial"/>
          <w:sz w:val="15"/>
          <w:szCs w:val="15"/>
          <w:color w:val="1A1A1A"/>
        </w:rPr>
        <w:t>electronically as specified in your emails from Gua</w:t>
      </w:r>
      <w:r>
        <w:rPr>
          <w:rFonts w:ascii="Arial" w:cs="Arial" w:eastAsia="Arial" w:hAnsi="Arial"/>
          <w:sz w:val="15"/>
          <w:szCs w:val="15"/>
          <w:color w:val="383838"/>
        </w:rPr>
        <w:t>r</w:t>
      </w:r>
      <w:r>
        <w:rPr>
          <w:rFonts w:ascii="Arial" w:cs="Arial" w:eastAsia="Arial" w:hAnsi="Arial"/>
          <w:sz w:val="15"/>
          <w:szCs w:val="15"/>
          <w:color w:val="1A1A1A"/>
        </w:rPr>
        <w:t>dian</w:t>
      </w:r>
      <w:r>
        <w:rPr>
          <w:rFonts w:ascii="Arial" w:cs="Arial" w:eastAsia="Arial" w:hAnsi="Arial"/>
          <w:sz w:val="15"/>
          <w:szCs w:val="15"/>
          <w:color w:val="383838"/>
        </w:rPr>
        <w:t>.</w:t>
      </w:r>
      <w:r>
        <w:rPr>
          <w:rFonts w:ascii="Arial" w:cs="Arial" w:eastAsia="Arial" w:hAnsi="Arial"/>
          <w:sz w:val="15"/>
          <w:szCs w:val="15"/>
          <w:color w:val="1A1A1A"/>
        </w:rPr>
        <w:t xml:space="preserve"> </w:t>
      </w:r>
      <w:r>
        <w:rPr>
          <w:rFonts w:ascii="Arial" w:cs="Arial" w:eastAsia="Arial" w:hAnsi="Arial"/>
          <w:sz w:val="15"/>
          <w:szCs w:val="15"/>
          <w:b w:val="1"/>
          <w:bCs w:val="1"/>
          <w:i w:val="1"/>
          <w:iCs w:val="1"/>
          <w:u w:val="single" w:color="auto"/>
          <w:color w:val="1A1A1A"/>
        </w:rPr>
        <w:t>On your first day of employment</w:t>
      </w:r>
      <w:r>
        <w:rPr>
          <w:rFonts w:ascii="Arial" w:cs="Arial" w:eastAsia="Arial" w:hAnsi="Arial"/>
          <w:sz w:val="15"/>
          <w:szCs w:val="15"/>
          <w:color w:val="1A1A1A"/>
        </w:rPr>
        <w:t>, please bring original and unexpired documents and a scanned copy of your documents to complete the 1-9 process. A list of acceptable documents can be found on the last page of the Form 1-9 packet.</w:t>
      </w:r>
    </w:p>
    <w:p>
      <w:pPr>
        <w:spacing w:after="0" w:line="191" w:lineRule="exact"/>
        <w:rPr>
          <w:rFonts w:ascii="Arial" w:cs="Arial" w:eastAsia="Arial" w:hAnsi="Arial"/>
          <w:sz w:val="17"/>
          <w:szCs w:val="17"/>
          <w:color w:val="auto"/>
        </w:rPr>
      </w:pPr>
    </w:p>
    <w:p>
      <w:pPr>
        <w:ind w:left="720" w:right="320"/>
        <w:spacing w:after="0" w:line="292" w:lineRule="auto"/>
        <w:rPr>
          <w:rFonts w:ascii="Arial" w:cs="Arial" w:eastAsia="Arial" w:hAnsi="Arial"/>
          <w:sz w:val="17"/>
          <w:szCs w:val="17"/>
          <w:color w:val="auto"/>
        </w:rPr>
      </w:pPr>
      <w:r>
        <w:rPr>
          <w:rFonts w:ascii="Arial" w:cs="Arial" w:eastAsia="Arial" w:hAnsi="Arial"/>
          <w:sz w:val="15"/>
          <w:szCs w:val="15"/>
          <w:b w:val="1"/>
          <w:bCs w:val="1"/>
          <w:color w:val="1A1A1A"/>
        </w:rPr>
        <w:t xml:space="preserve">If you are a fleld employee: </w:t>
      </w:r>
      <w:r>
        <w:rPr>
          <w:rFonts w:ascii="Arial" w:cs="Arial" w:eastAsia="Arial" w:hAnsi="Arial"/>
          <w:sz w:val="15"/>
          <w:szCs w:val="15"/>
          <w:color w:val="1A1A1A"/>
        </w:rPr>
        <w:t>You will receive a separate email from HR Operations providing you with instructions to complete your 1-9</w:t>
      </w:r>
      <w:r>
        <w:rPr>
          <w:rFonts w:ascii="Arial" w:cs="Arial" w:eastAsia="Arial" w:hAnsi="Arial"/>
          <w:sz w:val="15"/>
          <w:szCs w:val="15"/>
          <w:b w:val="1"/>
          <w:bCs w:val="1"/>
          <w:color w:val="1A1A1A"/>
        </w:rPr>
        <w:t xml:space="preserve"> </w:t>
      </w:r>
      <w:r>
        <w:rPr>
          <w:rFonts w:ascii="Arial" w:cs="Arial" w:eastAsia="Arial" w:hAnsi="Arial"/>
          <w:sz w:val="15"/>
          <w:szCs w:val="15"/>
          <w:color w:val="383838"/>
        </w:rPr>
        <w:t>f</w:t>
      </w:r>
      <w:r>
        <w:rPr>
          <w:rFonts w:ascii="Arial" w:cs="Arial" w:eastAsia="Arial" w:hAnsi="Arial"/>
          <w:sz w:val="15"/>
          <w:szCs w:val="15"/>
          <w:color w:val="1A1A1A"/>
        </w:rPr>
        <w:t>orm. Please complete per instructions within 3 days of receipt.</w:t>
      </w:r>
    </w:p>
    <w:p>
      <w:pPr>
        <w:spacing w:after="0" w:line="349" w:lineRule="exact"/>
        <w:rPr>
          <w:sz w:val="20"/>
          <w:szCs w:val="20"/>
          <w:color w:val="auto"/>
        </w:rPr>
      </w:pPr>
    </w:p>
    <w:p>
      <w:pPr>
        <w:jc w:val="both"/>
        <w:ind w:left="140"/>
        <w:spacing w:after="0" w:line="260" w:lineRule="auto"/>
        <w:rPr>
          <w:sz w:val="20"/>
          <w:szCs w:val="20"/>
          <w:color w:val="auto"/>
        </w:rPr>
      </w:pPr>
      <w:r>
        <w:rPr>
          <w:rFonts w:ascii="Arial" w:cs="Arial" w:eastAsia="Arial" w:hAnsi="Arial"/>
          <w:sz w:val="15"/>
          <w:szCs w:val="15"/>
          <w:b w:val="1"/>
          <w:bCs w:val="1"/>
          <w:color w:val="1A1A1A"/>
        </w:rPr>
        <w:t xml:space="preserve">Signed Employee Proprietary Information and Inventions and Non-Compete Agreement: </w:t>
      </w:r>
      <w:r>
        <w:rPr>
          <w:rFonts w:ascii="Arial" w:cs="Arial" w:eastAsia="Arial" w:hAnsi="Arial"/>
          <w:sz w:val="15"/>
          <w:szCs w:val="15"/>
          <w:color w:val="1A1A1A"/>
        </w:rPr>
        <w:t>Prior to and as a condition of employment with</w:t>
      </w:r>
      <w:r>
        <w:rPr>
          <w:rFonts w:ascii="Arial" w:cs="Arial" w:eastAsia="Arial" w:hAnsi="Arial"/>
          <w:sz w:val="15"/>
          <w:szCs w:val="15"/>
          <w:b w:val="1"/>
          <w:bCs w:val="1"/>
          <w:color w:val="1A1A1A"/>
        </w:rPr>
        <w:t xml:space="preserve"> </w:t>
      </w:r>
      <w:r>
        <w:rPr>
          <w:rFonts w:ascii="Arial" w:cs="Arial" w:eastAsia="Arial" w:hAnsi="Arial"/>
          <w:sz w:val="15"/>
          <w:szCs w:val="15"/>
          <w:color w:val="1A1A1A"/>
        </w:rPr>
        <w:t>Biogen you will be required to sign Biogen's Propr</w:t>
      </w:r>
      <w:r>
        <w:rPr>
          <w:rFonts w:ascii="Arial" w:cs="Arial" w:eastAsia="Arial" w:hAnsi="Arial"/>
          <w:sz w:val="15"/>
          <w:szCs w:val="15"/>
          <w:color w:val="383838"/>
        </w:rPr>
        <w:t>i</w:t>
      </w:r>
      <w:r>
        <w:rPr>
          <w:rFonts w:ascii="Arial" w:cs="Arial" w:eastAsia="Arial" w:hAnsi="Arial"/>
          <w:sz w:val="15"/>
          <w:szCs w:val="15"/>
          <w:color w:val="1A1A1A"/>
        </w:rPr>
        <w:t xml:space="preserve">etary Information and Inventions and Non-Compete Agreement. This is required to, among other things, protect Biogen's substantial investment in creating and maintaining its </w:t>
      </w:r>
      <w:r>
        <w:rPr>
          <w:rFonts w:ascii="Arial" w:cs="Arial" w:eastAsia="Arial" w:hAnsi="Arial"/>
          <w:sz w:val="15"/>
          <w:szCs w:val="15"/>
          <w:color w:val="282828"/>
        </w:rPr>
        <w:t>confidential</w:t>
      </w:r>
      <w:r>
        <w:rPr>
          <w:rFonts w:ascii="Arial" w:cs="Arial" w:eastAsia="Arial" w:hAnsi="Arial"/>
          <w:sz w:val="15"/>
          <w:szCs w:val="15"/>
          <w:color w:val="1A1A1A"/>
        </w:rPr>
        <w:t xml:space="preserve"> and proprietary information, and to maintain goodwill </w:t>
      </w:r>
      <w:r>
        <w:rPr>
          <w:rFonts w:ascii="Arial" w:cs="Arial" w:eastAsia="Arial" w:hAnsi="Arial"/>
          <w:sz w:val="15"/>
          <w:szCs w:val="15"/>
          <w:color w:val="282828"/>
        </w:rPr>
        <w:t>with</w:t>
      </w:r>
      <w:r>
        <w:rPr>
          <w:rFonts w:ascii="Arial" w:cs="Arial" w:eastAsia="Arial" w:hAnsi="Arial"/>
          <w:sz w:val="15"/>
          <w:szCs w:val="15"/>
          <w:color w:val="1A1A1A"/>
        </w:rPr>
        <w:t xml:space="preserve"> our customers, vendors and other business partners. You </w:t>
      </w:r>
      <w:r>
        <w:rPr>
          <w:rFonts w:ascii="Arial" w:cs="Arial" w:eastAsia="Arial" w:hAnsi="Arial"/>
          <w:sz w:val="15"/>
          <w:szCs w:val="15"/>
          <w:color w:val="282828"/>
        </w:rPr>
        <w:t>will</w:t>
      </w:r>
      <w:r>
        <w:rPr>
          <w:rFonts w:ascii="Arial" w:cs="Arial" w:eastAsia="Arial" w:hAnsi="Arial"/>
          <w:sz w:val="15"/>
          <w:szCs w:val="15"/>
          <w:color w:val="1A1A1A"/>
        </w:rPr>
        <w:t xml:space="preserve"> receive an email shortly that </w:t>
      </w:r>
      <w:r>
        <w:rPr>
          <w:rFonts w:ascii="Arial" w:cs="Arial" w:eastAsia="Arial" w:hAnsi="Arial"/>
          <w:sz w:val="15"/>
          <w:szCs w:val="15"/>
          <w:color w:val="282828"/>
        </w:rPr>
        <w:t>contains</w:t>
      </w:r>
      <w:r>
        <w:rPr>
          <w:rFonts w:ascii="Arial" w:cs="Arial" w:eastAsia="Arial" w:hAnsi="Arial"/>
          <w:sz w:val="15"/>
          <w:szCs w:val="15"/>
          <w:color w:val="1A1A1A"/>
        </w:rPr>
        <w:t xml:space="preserve"> a link </w:t>
      </w:r>
      <w:r>
        <w:rPr>
          <w:rFonts w:ascii="Arial" w:cs="Arial" w:eastAsia="Arial" w:hAnsi="Arial"/>
          <w:sz w:val="15"/>
          <w:szCs w:val="15"/>
          <w:color w:val="282828"/>
        </w:rPr>
        <w:t>to</w:t>
      </w:r>
      <w:r>
        <w:rPr>
          <w:rFonts w:ascii="Arial" w:cs="Arial" w:eastAsia="Arial" w:hAnsi="Arial"/>
          <w:sz w:val="15"/>
          <w:szCs w:val="15"/>
          <w:color w:val="1A1A1A"/>
        </w:rPr>
        <w:t xml:space="preserve"> this agreement for your </w:t>
      </w:r>
      <w:r>
        <w:rPr>
          <w:rFonts w:ascii="Arial" w:cs="Arial" w:eastAsia="Arial" w:hAnsi="Arial"/>
          <w:sz w:val="15"/>
          <w:szCs w:val="15"/>
          <w:color w:val="282828"/>
        </w:rPr>
        <w:t>review</w:t>
      </w:r>
      <w:r>
        <w:rPr>
          <w:rFonts w:ascii="Arial" w:cs="Arial" w:eastAsia="Arial" w:hAnsi="Arial"/>
          <w:sz w:val="15"/>
          <w:szCs w:val="15"/>
          <w:color w:val="1A1A1A"/>
        </w:rPr>
        <w:t xml:space="preserve"> and electronic </w:t>
      </w:r>
      <w:r>
        <w:rPr>
          <w:rFonts w:ascii="Arial" w:cs="Arial" w:eastAsia="Arial" w:hAnsi="Arial"/>
          <w:sz w:val="15"/>
          <w:szCs w:val="15"/>
          <w:color w:val="282828"/>
        </w:rPr>
        <w:t>signature.</w:t>
      </w:r>
    </w:p>
    <w:p>
      <w:pPr>
        <w:spacing w:after="0" w:line="216" w:lineRule="exact"/>
        <w:rPr>
          <w:sz w:val="20"/>
          <w:szCs w:val="20"/>
          <w:color w:val="auto"/>
        </w:rPr>
      </w:pPr>
    </w:p>
    <w:p>
      <w:pPr>
        <w:ind w:left="1040"/>
        <w:spacing w:after="0"/>
        <w:rPr>
          <w:sz w:val="20"/>
          <w:szCs w:val="20"/>
          <w:color w:val="auto"/>
        </w:rPr>
      </w:pPr>
      <w:r>
        <w:rPr>
          <w:rFonts w:ascii="Arial" w:cs="Arial" w:eastAsia="Arial" w:hAnsi="Arial"/>
          <w:sz w:val="12"/>
          <w:szCs w:val="12"/>
          <w:color w:val="44628C"/>
        </w:rPr>
        <w:t>225 B</w:t>
      </w:r>
      <w:r>
        <w:rPr>
          <w:rFonts w:ascii="Arial" w:cs="Arial" w:eastAsia="Arial" w:hAnsi="Arial"/>
          <w:sz w:val="12"/>
          <w:szCs w:val="12"/>
          <w:color w:val="3874CA"/>
        </w:rPr>
        <w:t>i</w:t>
      </w:r>
      <w:r>
        <w:rPr>
          <w:rFonts w:ascii="Arial" w:cs="Arial" w:eastAsia="Arial" w:hAnsi="Arial"/>
          <w:sz w:val="12"/>
          <w:szCs w:val="12"/>
          <w:color w:val="44628C"/>
        </w:rPr>
        <w:t>nney St</w:t>
      </w:r>
      <w:r>
        <w:rPr>
          <w:rFonts w:ascii="Arial" w:cs="Arial" w:eastAsia="Arial" w:hAnsi="Arial"/>
          <w:sz w:val="12"/>
          <w:szCs w:val="12"/>
          <w:color w:val="2164AC"/>
        </w:rPr>
        <w:t>r</w:t>
      </w:r>
      <w:r>
        <w:rPr>
          <w:rFonts w:ascii="Arial" w:cs="Arial" w:eastAsia="Arial" w:hAnsi="Arial"/>
          <w:sz w:val="12"/>
          <w:szCs w:val="12"/>
          <w:color w:val="44628C"/>
        </w:rPr>
        <w:t>ee</w:t>
      </w:r>
      <w:r>
        <w:rPr>
          <w:rFonts w:ascii="Arial" w:cs="Arial" w:eastAsia="Arial" w:hAnsi="Arial"/>
          <w:sz w:val="12"/>
          <w:szCs w:val="12"/>
          <w:color w:val="2F4677"/>
        </w:rPr>
        <w:t>t</w:t>
      </w:r>
      <w:r>
        <w:rPr>
          <w:rFonts w:ascii="Arial" w:cs="Arial" w:eastAsia="Arial" w:hAnsi="Arial"/>
          <w:sz w:val="12"/>
          <w:szCs w:val="12"/>
          <w:color w:val="798993"/>
        </w:rPr>
        <w:t>,</w:t>
      </w:r>
      <w:r>
        <w:rPr>
          <w:rFonts w:ascii="Arial" w:cs="Arial" w:eastAsia="Arial" w:hAnsi="Arial"/>
          <w:sz w:val="12"/>
          <w:szCs w:val="12"/>
          <w:color w:val="44628C"/>
        </w:rPr>
        <w:t xml:space="preserve"> Ca</w:t>
      </w:r>
      <w:r>
        <w:rPr>
          <w:rFonts w:ascii="Arial" w:cs="Arial" w:eastAsia="Arial" w:hAnsi="Arial"/>
          <w:sz w:val="12"/>
          <w:szCs w:val="12"/>
          <w:color w:val="2F4677"/>
        </w:rPr>
        <w:t>m</w:t>
      </w:r>
      <w:r>
        <w:rPr>
          <w:rFonts w:ascii="Arial" w:cs="Arial" w:eastAsia="Arial" w:hAnsi="Arial"/>
          <w:sz w:val="12"/>
          <w:szCs w:val="12"/>
          <w:color w:val="44628C"/>
        </w:rPr>
        <w:t>bridge</w:t>
      </w:r>
      <w:r>
        <w:rPr>
          <w:rFonts w:ascii="Arial" w:cs="Arial" w:eastAsia="Arial" w:hAnsi="Arial"/>
          <w:sz w:val="12"/>
          <w:szCs w:val="12"/>
          <w:color w:val="3F4D64"/>
        </w:rPr>
        <w:t>,</w:t>
      </w:r>
      <w:r>
        <w:rPr>
          <w:rFonts w:ascii="Arial" w:cs="Arial" w:eastAsia="Arial" w:hAnsi="Arial"/>
          <w:sz w:val="12"/>
          <w:szCs w:val="12"/>
          <w:color w:val="44628C"/>
        </w:rPr>
        <w:t xml:space="preserve"> MA 0</w:t>
      </w:r>
      <w:r>
        <w:rPr>
          <w:rFonts w:ascii="Arial" w:cs="Arial" w:eastAsia="Arial" w:hAnsi="Arial"/>
          <w:sz w:val="12"/>
          <w:szCs w:val="12"/>
          <w:color w:val="3F4D64"/>
        </w:rPr>
        <w:t>2</w:t>
      </w:r>
      <w:r>
        <w:rPr>
          <w:rFonts w:ascii="Arial" w:cs="Arial" w:eastAsia="Arial" w:hAnsi="Arial"/>
          <w:sz w:val="12"/>
          <w:szCs w:val="12"/>
          <w:color w:val="44628C"/>
        </w:rPr>
        <w:t>1</w:t>
      </w:r>
      <w:r>
        <w:rPr>
          <w:rFonts w:ascii="Arial" w:cs="Arial" w:eastAsia="Arial" w:hAnsi="Arial"/>
          <w:sz w:val="12"/>
          <w:szCs w:val="12"/>
          <w:color w:val="2F4677"/>
        </w:rPr>
        <w:t>4</w:t>
      </w:r>
      <w:r>
        <w:rPr>
          <w:rFonts w:ascii="Arial" w:cs="Arial" w:eastAsia="Arial" w:hAnsi="Arial"/>
          <w:sz w:val="12"/>
          <w:szCs w:val="12"/>
          <w:color w:val="44628C"/>
        </w:rPr>
        <w:t>2 Phone 78</w:t>
      </w:r>
      <w:r>
        <w:rPr>
          <w:rFonts w:ascii="Arial" w:cs="Arial" w:eastAsia="Arial" w:hAnsi="Arial"/>
          <w:sz w:val="12"/>
          <w:szCs w:val="12"/>
          <w:color w:val="2F4677"/>
        </w:rPr>
        <w:t>1</w:t>
      </w:r>
      <w:r>
        <w:rPr>
          <w:rFonts w:ascii="Arial" w:cs="Arial" w:eastAsia="Arial" w:hAnsi="Arial"/>
          <w:sz w:val="12"/>
          <w:szCs w:val="12"/>
          <w:color w:val="626977"/>
        </w:rPr>
        <w:t>-</w:t>
      </w:r>
      <w:r>
        <w:rPr>
          <w:rFonts w:ascii="Arial" w:cs="Arial" w:eastAsia="Arial" w:hAnsi="Arial"/>
          <w:sz w:val="12"/>
          <w:szCs w:val="12"/>
          <w:color w:val="44628C"/>
        </w:rPr>
        <w:t>464-2000 www</w:t>
      </w:r>
      <w:r>
        <w:rPr>
          <w:rFonts w:ascii="Arial" w:cs="Arial" w:eastAsia="Arial" w:hAnsi="Arial"/>
          <w:sz w:val="12"/>
          <w:szCs w:val="12"/>
          <w:color w:val="798993"/>
        </w:rPr>
        <w:t>.</w:t>
      </w:r>
      <w:r>
        <w:rPr>
          <w:rFonts w:ascii="Arial" w:cs="Arial" w:eastAsia="Arial" w:hAnsi="Arial"/>
          <w:sz w:val="12"/>
          <w:szCs w:val="12"/>
          <w:color w:val="44628C"/>
        </w:rPr>
        <w:t>blogen</w:t>
      </w:r>
      <w:r>
        <w:rPr>
          <w:rFonts w:ascii="Arial" w:cs="Arial" w:eastAsia="Arial" w:hAnsi="Arial"/>
          <w:sz w:val="12"/>
          <w:szCs w:val="12"/>
          <w:color w:val="626977"/>
        </w:rPr>
        <w:t>.</w:t>
      </w:r>
      <w:r>
        <w:rPr>
          <w:rFonts w:ascii="Arial" w:cs="Arial" w:eastAsia="Arial" w:hAnsi="Arial"/>
          <w:sz w:val="12"/>
          <w:szCs w:val="12"/>
          <w:color w:val="44628C"/>
        </w:rPr>
        <w:t>co</w:t>
      </w:r>
      <w:r>
        <w:rPr>
          <w:rFonts w:ascii="Arial" w:cs="Arial" w:eastAsia="Arial" w:hAnsi="Arial"/>
          <w:sz w:val="12"/>
          <w:szCs w:val="12"/>
          <w:color w:val="2164AC"/>
        </w:rPr>
        <w:t>m</w:t>
      </w:r>
    </w:p>
    <w:p>
      <w:pPr>
        <w:sectPr>
          <w:pgSz w:w="11900" w:h="16838" w:orient="portrait"/>
          <w:cols w:equalWidth="0" w:num="1">
            <w:col w:w="10220"/>
          </w:cols>
          <w:pgMar w:left="1440" w:top="1440" w:right="239" w:bottom="1440" w:gutter="0" w:footer="0" w:header="0"/>
        </w:sectPr>
      </w:pPr>
    </w:p>
    <w:bookmarkStart w:id="190" w:name="page191"/>
    <w:bookmarkEnd w:id="19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398145</wp:posOffset>
            </wp:positionV>
            <wp:extent cx="1406525" cy="4635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0">
                      <a:clrChange>
                        <a:clrFrom>
                          <a:srgbClr val="FFFFFF"/>
                        </a:clrFrom>
                        <a:clrTo>
                          <a:srgbClr val="FFFFFF">
                            <a:alpha val="0"/>
                          </a:srgbClr>
                        </a:clrTo>
                      </a:clrChange>
                      <a:extLst>
                        <a:ext uri="{28A0092B-C50C-407E-A947-70E740481C1C}"/>
                      </a:extLst>
                    </a:blip>
                    <a:srcRect/>
                    <a:stretch>
                      <a:fillRect/>
                    </a:stretch>
                  </pic:blipFill>
                  <pic:spPr bwMode="auto">
                    <a:xfrm>
                      <a:off x="0" y="0"/>
                      <a:ext cx="1406525" cy="463550"/>
                    </a:xfrm>
                    <a:prstGeom prst="rect">
                      <a:avLst/>
                    </a:prstGeom>
                    <a:noFill/>
                  </pic:spPr>
                </pic:pic>
              </a:graphicData>
            </a:graphic>
          </wp:anchor>
        </w:drawing>
      </w:r>
    </w:p>
    <w:p>
      <w:pPr>
        <w:spacing w:after="0" w:line="359" w:lineRule="exact"/>
        <w:rPr>
          <w:sz w:val="20"/>
          <w:szCs w:val="20"/>
          <w:color w:val="auto"/>
        </w:rPr>
      </w:pPr>
    </w:p>
    <w:p>
      <w:pPr>
        <w:jc w:val="both"/>
        <w:ind w:left="220"/>
        <w:spacing w:after="0" w:line="258" w:lineRule="auto"/>
        <w:rPr>
          <w:sz w:val="20"/>
          <w:szCs w:val="20"/>
          <w:color w:val="auto"/>
        </w:rPr>
      </w:pPr>
      <w:r>
        <w:rPr>
          <w:rFonts w:ascii="Arial" w:cs="Arial" w:eastAsia="Arial" w:hAnsi="Arial"/>
          <w:sz w:val="15"/>
          <w:szCs w:val="15"/>
          <w:color w:val="1A1A1A"/>
        </w:rPr>
        <w:t>Jeffrey, we are excited at the prospect of your joining Biogen</w:t>
      </w:r>
      <w:r>
        <w:rPr>
          <w:rFonts w:ascii="Arial" w:cs="Arial" w:eastAsia="Arial" w:hAnsi="Arial"/>
          <w:sz w:val="15"/>
          <w:szCs w:val="15"/>
          <w:color w:val="010101"/>
        </w:rPr>
        <w:t>.</w:t>
      </w:r>
      <w:r>
        <w:rPr>
          <w:rFonts w:ascii="Arial" w:cs="Arial" w:eastAsia="Arial" w:hAnsi="Arial"/>
          <w:sz w:val="15"/>
          <w:szCs w:val="15"/>
          <w:color w:val="1A1A1A"/>
        </w:rPr>
        <w:t xml:space="preserve"> To confirm your acceptance of this offer of employment, please electronically sign this letter by November 18, 2017. You will be </w:t>
      </w:r>
      <w:r>
        <w:rPr>
          <w:rFonts w:ascii="Arial" w:cs="Arial" w:eastAsia="Arial" w:hAnsi="Arial"/>
          <w:sz w:val="15"/>
          <w:szCs w:val="15"/>
          <w:color w:val="282828"/>
        </w:rPr>
        <w:t>provided with</w:t>
      </w:r>
      <w:r>
        <w:rPr>
          <w:rFonts w:ascii="Arial" w:cs="Arial" w:eastAsia="Arial" w:hAnsi="Arial"/>
          <w:sz w:val="15"/>
          <w:szCs w:val="15"/>
          <w:color w:val="1A1A1A"/>
        </w:rPr>
        <w:t xml:space="preserve"> a signed </w:t>
      </w:r>
      <w:r>
        <w:rPr>
          <w:rFonts w:ascii="Arial" w:cs="Arial" w:eastAsia="Arial" w:hAnsi="Arial"/>
          <w:sz w:val="15"/>
          <w:szCs w:val="15"/>
          <w:color w:val="282828"/>
        </w:rPr>
        <w:t>copy electronically</w:t>
      </w:r>
      <w:r>
        <w:rPr>
          <w:rFonts w:ascii="Arial" w:cs="Arial" w:eastAsia="Arial" w:hAnsi="Arial"/>
          <w:sz w:val="15"/>
          <w:szCs w:val="15"/>
          <w:color w:val="1A1A1A"/>
        </w:rPr>
        <w:t xml:space="preserve"> for your personal records. We </w:t>
      </w:r>
      <w:r>
        <w:rPr>
          <w:rFonts w:ascii="Arial" w:cs="Arial" w:eastAsia="Arial" w:hAnsi="Arial"/>
          <w:sz w:val="15"/>
          <w:szCs w:val="15"/>
          <w:color w:val="282828"/>
        </w:rPr>
        <w:t>would</w:t>
      </w:r>
      <w:r>
        <w:rPr>
          <w:rFonts w:ascii="Arial" w:cs="Arial" w:eastAsia="Arial" w:hAnsi="Arial"/>
          <w:sz w:val="15"/>
          <w:szCs w:val="15"/>
          <w:color w:val="1A1A1A"/>
        </w:rPr>
        <w:t xml:space="preserve"> anticipate your first day </w:t>
      </w:r>
      <w:r>
        <w:rPr>
          <w:rFonts w:ascii="Arial" w:cs="Arial" w:eastAsia="Arial" w:hAnsi="Arial"/>
          <w:sz w:val="15"/>
          <w:szCs w:val="15"/>
          <w:color w:val="282828"/>
        </w:rPr>
        <w:t>of</w:t>
      </w:r>
      <w:r>
        <w:rPr>
          <w:rFonts w:ascii="Arial" w:cs="Arial" w:eastAsia="Arial" w:hAnsi="Arial"/>
          <w:sz w:val="15"/>
          <w:szCs w:val="15"/>
          <w:color w:val="1A1A1A"/>
        </w:rPr>
        <w:t xml:space="preserve"> employment to be December 11, </w:t>
      </w:r>
      <w:r>
        <w:rPr>
          <w:rFonts w:ascii="Arial" w:cs="Arial" w:eastAsia="Arial" w:hAnsi="Arial"/>
          <w:sz w:val="15"/>
          <w:szCs w:val="15"/>
          <w:color w:val="282828"/>
        </w:rPr>
        <w:t>2017.</w:t>
      </w:r>
      <w:r>
        <w:rPr>
          <w:rFonts w:ascii="Arial" w:cs="Arial" w:eastAsia="Arial" w:hAnsi="Arial"/>
          <w:sz w:val="15"/>
          <w:szCs w:val="15"/>
          <w:color w:val="1A1A1A"/>
        </w:rPr>
        <w:t xml:space="preserve"> If you have any questions, please feel free to </w:t>
      </w:r>
      <w:r>
        <w:rPr>
          <w:rFonts w:ascii="Arial" w:cs="Arial" w:eastAsia="Arial" w:hAnsi="Arial"/>
          <w:sz w:val="15"/>
          <w:szCs w:val="15"/>
          <w:color w:val="282828"/>
        </w:rPr>
        <w:t>contact</w:t>
      </w:r>
      <w:r>
        <w:rPr>
          <w:rFonts w:ascii="Arial" w:cs="Arial" w:eastAsia="Arial" w:hAnsi="Arial"/>
          <w:sz w:val="15"/>
          <w:szCs w:val="15"/>
          <w:color w:val="1A1A1A"/>
        </w:rPr>
        <w:t xml:space="preserve"> me.</w:t>
      </w:r>
    </w:p>
    <w:p>
      <w:pPr>
        <w:spacing w:after="0" w:line="391" w:lineRule="exact"/>
        <w:rPr>
          <w:sz w:val="20"/>
          <w:szCs w:val="20"/>
          <w:color w:val="auto"/>
        </w:rPr>
      </w:pPr>
    </w:p>
    <w:p>
      <w:pPr>
        <w:ind w:left="180"/>
        <w:spacing w:after="0"/>
        <w:rPr>
          <w:sz w:val="20"/>
          <w:szCs w:val="20"/>
          <w:color w:val="auto"/>
        </w:rPr>
      </w:pPr>
      <w:r>
        <w:rPr>
          <w:rFonts w:ascii="Arial" w:cs="Arial" w:eastAsia="Arial" w:hAnsi="Arial"/>
          <w:sz w:val="15"/>
          <w:szCs w:val="15"/>
          <w:color w:val="auto"/>
        </w:rPr>
        <w:t>Best Regards,</w:t>
      </w:r>
    </w:p>
    <w:p>
      <w:pPr>
        <w:spacing w:after="0" w:line="20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/s/ Ginger Gregory</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5"/>
          <w:szCs w:val="15"/>
          <w:color w:val="1A1A1A"/>
        </w:rPr>
        <w:t>Ginger Gregory</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5"/>
          <w:szCs w:val="15"/>
          <w:color w:val="1A1A1A"/>
        </w:rPr>
        <w:t>EVP</w:t>
      </w:r>
      <w:r>
        <w:rPr>
          <w:rFonts w:ascii="Arial" w:cs="Arial" w:eastAsia="Arial" w:hAnsi="Arial"/>
          <w:sz w:val="15"/>
          <w:szCs w:val="15"/>
          <w:color w:val="010101"/>
        </w:rPr>
        <w:t>,</w:t>
      </w:r>
      <w:r>
        <w:rPr>
          <w:rFonts w:ascii="Arial" w:cs="Arial" w:eastAsia="Arial" w:hAnsi="Arial"/>
          <w:sz w:val="15"/>
          <w:szCs w:val="15"/>
          <w:color w:val="1A1A1A"/>
        </w:rPr>
        <w:t xml:space="preserve"> Human Resources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5"/>
          <w:szCs w:val="15"/>
          <w:color w:val="1A1A1A"/>
        </w:rPr>
        <w:t>Cc: Michel Vounatsos</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5"/>
          <w:szCs w:val="15"/>
          <w:color w:val="1A1A1A"/>
        </w:rPr>
        <w:t>31947BR</w:t>
      </w:r>
    </w:p>
    <w:p>
      <w:pPr>
        <w:spacing w:after="0" w:line="212" w:lineRule="exact"/>
        <w:rPr>
          <w:sz w:val="20"/>
          <w:szCs w:val="20"/>
          <w:color w:val="auto"/>
        </w:rPr>
      </w:pPr>
    </w:p>
    <w:p>
      <w:pPr>
        <w:ind w:left="180" w:right="840"/>
        <w:spacing w:after="0" w:line="266" w:lineRule="auto"/>
        <w:rPr>
          <w:sz w:val="20"/>
          <w:szCs w:val="20"/>
          <w:color w:val="auto"/>
        </w:rPr>
      </w:pPr>
      <w:r>
        <w:rPr>
          <w:rFonts w:ascii="Arial" w:cs="Arial" w:eastAsia="Arial" w:hAnsi="Arial"/>
          <w:sz w:val="15"/>
          <w:szCs w:val="15"/>
          <w:color w:val="1A1A1A"/>
        </w:rPr>
        <w:t xml:space="preserve">I accept this offer of employment </w:t>
      </w:r>
      <w:r>
        <w:rPr>
          <w:rFonts w:ascii="Arial" w:cs="Arial" w:eastAsia="Arial" w:hAnsi="Arial"/>
          <w:sz w:val="15"/>
          <w:szCs w:val="15"/>
          <w:color w:val="282828"/>
        </w:rPr>
        <w:t>and</w:t>
      </w:r>
      <w:r>
        <w:rPr>
          <w:rFonts w:ascii="Arial" w:cs="Arial" w:eastAsia="Arial" w:hAnsi="Arial"/>
          <w:sz w:val="15"/>
          <w:szCs w:val="15"/>
          <w:color w:val="1A1A1A"/>
        </w:rPr>
        <w:t xml:space="preserve"> acknowledge the contingencies of employment described above, including the at-will nature of my employment.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1A1A1A"/>
        </w:rPr>
        <w:t>ACCEPTED:</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5"/>
          <w:szCs w:val="15"/>
          <w:u w:val="single" w:color="auto"/>
          <w:color w:val="282828"/>
        </w:rPr>
        <w:t>/s/ Jeffrey Capello</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5"/>
          <w:szCs w:val="15"/>
          <w:color w:val="282828"/>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040"/>
        <w:spacing w:after="0"/>
        <w:rPr>
          <w:sz w:val="20"/>
          <w:szCs w:val="20"/>
          <w:color w:val="auto"/>
        </w:rPr>
      </w:pPr>
      <w:r>
        <w:rPr>
          <w:rFonts w:ascii="Arial" w:cs="Arial" w:eastAsia="Arial" w:hAnsi="Arial"/>
          <w:sz w:val="12"/>
          <w:szCs w:val="12"/>
          <w:color w:val="42608C"/>
        </w:rPr>
        <w:t>225 B</w:t>
      </w:r>
      <w:r>
        <w:rPr>
          <w:rFonts w:ascii="Arial" w:cs="Arial" w:eastAsia="Arial" w:hAnsi="Arial"/>
          <w:sz w:val="12"/>
          <w:szCs w:val="12"/>
          <w:color w:val="2F4682"/>
        </w:rPr>
        <w:t>i</w:t>
      </w:r>
      <w:r>
        <w:rPr>
          <w:rFonts w:ascii="Arial" w:cs="Arial" w:eastAsia="Arial" w:hAnsi="Arial"/>
          <w:sz w:val="12"/>
          <w:szCs w:val="12"/>
          <w:color w:val="42608C"/>
        </w:rPr>
        <w:t>nney S</w:t>
      </w:r>
      <w:r>
        <w:rPr>
          <w:rFonts w:ascii="Arial" w:cs="Arial" w:eastAsia="Arial" w:hAnsi="Arial"/>
          <w:sz w:val="12"/>
          <w:szCs w:val="12"/>
          <w:color w:val="607287"/>
        </w:rPr>
        <w:t>t</w:t>
      </w:r>
      <w:r>
        <w:rPr>
          <w:rFonts w:ascii="Arial" w:cs="Arial" w:eastAsia="Arial" w:hAnsi="Arial"/>
          <w:sz w:val="12"/>
          <w:szCs w:val="12"/>
          <w:color w:val="1A62AA"/>
        </w:rPr>
        <w:t>r</w:t>
      </w:r>
      <w:r>
        <w:rPr>
          <w:rFonts w:ascii="Arial" w:cs="Arial" w:eastAsia="Arial" w:hAnsi="Arial"/>
          <w:sz w:val="12"/>
          <w:szCs w:val="12"/>
          <w:color w:val="42608C"/>
        </w:rPr>
        <w:t>ee</w:t>
      </w:r>
      <w:r>
        <w:rPr>
          <w:rFonts w:ascii="Arial" w:cs="Arial" w:eastAsia="Arial" w:hAnsi="Arial"/>
          <w:sz w:val="12"/>
          <w:szCs w:val="12"/>
          <w:color w:val="2F4682"/>
        </w:rPr>
        <w:t>t</w:t>
      </w:r>
      <w:r>
        <w:rPr>
          <w:rFonts w:ascii="Arial" w:cs="Arial" w:eastAsia="Arial" w:hAnsi="Arial"/>
          <w:sz w:val="12"/>
          <w:szCs w:val="12"/>
          <w:color w:val="607287"/>
        </w:rPr>
        <w:t>. C</w:t>
      </w:r>
      <w:r>
        <w:rPr>
          <w:rFonts w:ascii="Arial" w:cs="Arial" w:eastAsia="Arial" w:hAnsi="Arial"/>
          <w:sz w:val="12"/>
          <w:szCs w:val="12"/>
          <w:color w:val="42608C"/>
        </w:rPr>
        <w:t>amb</w:t>
      </w:r>
      <w:r>
        <w:rPr>
          <w:rFonts w:ascii="Arial" w:cs="Arial" w:eastAsia="Arial" w:hAnsi="Arial"/>
          <w:sz w:val="12"/>
          <w:szCs w:val="12"/>
          <w:color w:val="2F4682"/>
        </w:rPr>
        <w:t>r</w:t>
      </w:r>
      <w:r>
        <w:rPr>
          <w:rFonts w:ascii="Arial" w:cs="Arial" w:eastAsia="Arial" w:hAnsi="Arial"/>
          <w:sz w:val="12"/>
          <w:szCs w:val="12"/>
          <w:color w:val="42608C"/>
        </w:rPr>
        <w:t>idge</w:t>
      </w:r>
      <w:r>
        <w:rPr>
          <w:rFonts w:ascii="Arial" w:cs="Arial" w:eastAsia="Arial" w:hAnsi="Arial"/>
          <w:sz w:val="12"/>
          <w:szCs w:val="12"/>
          <w:color w:val="607287"/>
        </w:rPr>
        <w:t>,</w:t>
      </w:r>
      <w:r>
        <w:rPr>
          <w:rFonts w:ascii="Arial" w:cs="Arial" w:eastAsia="Arial" w:hAnsi="Arial"/>
          <w:sz w:val="12"/>
          <w:szCs w:val="12"/>
          <w:color w:val="42608C"/>
        </w:rPr>
        <w:t xml:space="preserve"> MA 0214</w:t>
      </w:r>
      <w:r>
        <w:rPr>
          <w:rFonts w:ascii="Arial" w:cs="Arial" w:eastAsia="Arial" w:hAnsi="Arial"/>
          <w:sz w:val="12"/>
          <w:szCs w:val="12"/>
          <w:color w:val="3B4F70"/>
        </w:rPr>
        <w:t>2</w:t>
      </w:r>
      <w:r>
        <w:rPr>
          <w:rFonts w:ascii="Arial" w:cs="Arial" w:eastAsia="Arial" w:hAnsi="Arial"/>
          <w:sz w:val="12"/>
          <w:szCs w:val="12"/>
          <w:color w:val="42608C"/>
        </w:rPr>
        <w:t xml:space="preserve"> P</w:t>
      </w:r>
      <w:r>
        <w:rPr>
          <w:rFonts w:ascii="Arial" w:cs="Arial" w:eastAsia="Arial" w:hAnsi="Arial"/>
          <w:sz w:val="12"/>
          <w:szCs w:val="12"/>
          <w:color w:val="3B4F70"/>
        </w:rPr>
        <w:t>h</w:t>
      </w:r>
      <w:r>
        <w:rPr>
          <w:rFonts w:ascii="Arial" w:cs="Arial" w:eastAsia="Arial" w:hAnsi="Arial"/>
          <w:sz w:val="12"/>
          <w:szCs w:val="12"/>
          <w:color w:val="42608C"/>
        </w:rPr>
        <w:t xml:space="preserve">one </w:t>
      </w:r>
      <w:r>
        <w:rPr>
          <w:rFonts w:ascii="Arial" w:cs="Arial" w:eastAsia="Arial" w:hAnsi="Arial"/>
          <w:sz w:val="12"/>
          <w:szCs w:val="12"/>
          <w:color w:val="3B4F70"/>
        </w:rPr>
        <w:t>7</w:t>
      </w:r>
      <w:r>
        <w:rPr>
          <w:rFonts w:ascii="Arial" w:cs="Arial" w:eastAsia="Arial" w:hAnsi="Arial"/>
          <w:sz w:val="12"/>
          <w:szCs w:val="12"/>
          <w:color w:val="42608C"/>
        </w:rPr>
        <w:t>81</w:t>
      </w:r>
      <w:r>
        <w:rPr>
          <w:rFonts w:ascii="Arial" w:cs="Arial" w:eastAsia="Arial" w:hAnsi="Arial"/>
          <w:sz w:val="12"/>
          <w:szCs w:val="12"/>
          <w:color w:val="3B4F70"/>
        </w:rPr>
        <w:t>-</w:t>
      </w:r>
      <w:r>
        <w:rPr>
          <w:rFonts w:ascii="Arial" w:cs="Arial" w:eastAsia="Arial" w:hAnsi="Arial"/>
          <w:sz w:val="12"/>
          <w:szCs w:val="12"/>
          <w:color w:val="42608C"/>
        </w:rPr>
        <w:t>464</w:t>
      </w:r>
      <w:r>
        <w:rPr>
          <w:rFonts w:ascii="Arial" w:cs="Arial" w:eastAsia="Arial" w:hAnsi="Arial"/>
          <w:sz w:val="12"/>
          <w:szCs w:val="12"/>
          <w:color w:val="214B4D"/>
        </w:rPr>
        <w:t>-</w:t>
      </w:r>
      <w:r>
        <w:rPr>
          <w:rFonts w:ascii="Arial" w:cs="Arial" w:eastAsia="Arial" w:hAnsi="Arial"/>
          <w:sz w:val="12"/>
          <w:szCs w:val="12"/>
          <w:color w:val="42608C"/>
        </w:rPr>
        <w:t>2</w:t>
      </w:r>
      <w:r>
        <w:rPr>
          <w:rFonts w:ascii="Arial" w:cs="Arial" w:eastAsia="Arial" w:hAnsi="Arial"/>
          <w:sz w:val="12"/>
          <w:szCs w:val="12"/>
          <w:color w:val="3B4F70"/>
        </w:rPr>
        <w:t>0</w:t>
      </w:r>
      <w:r>
        <w:rPr>
          <w:rFonts w:ascii="Arial" w:cs="Arial" w:eastAsia="Arial" w:hAnsi="Arial"/>
          <w:sz w:val="12"/>
          <w:szCs w:val="12"/>
          <w:color w:val="42608C"/>
        </w:rPr>
        <w:t>00 www</w:t>
      </w:r>
      <w:r>
        <w:rPr>
          <w:rFonts w:ascii="Arial" w:cs="Arial" w:eastAsia="Arial" w:hAnsi="Arial"/>
          <w:sz w:val="12"/>
          <w:szCs w:val="12"/>
          <w:color w:val="878C95"/>
        </w:rPr>
        <w:t>.</w:t>
      </w:r>
      <w:r>
        <w:rPr>
          <w:rFonts w:ascii="Arial" w:cs="Arial" w:eastAsia="Arial" w:hAnsi="Arial"/>
          <w:sz w:val="12"/>
          <w:szCs w:val="12"/>
          <w:color w:val="42608C"/>
        </w:rPr>
        <w:t>b</w:t>
      </w:r>
      <w:r>
        <w:rPr>
          <w:rFonts w:ascii="Arial" w:cs="Arial" w:eastAsia="Arial" w:hAnsi="Arial"/>
          <w:sz w:val="12"/>
          <w:szCs w:val="12"/>
          <w:color w:val="3F7BB3"/>
        </w:rPr>
        <w:t>i</w:t>
      </w:r>
      <w:r>
        <w:rPr>
          <w:rFonts w:ascii="Arial" w:cs="Arial" w:eastAsia="Arial" w:hAnsi="Arial"/>
          <w:sz w:val="12"/>
          <w:szCs w:val="12"/>
          <w:color w:val="42608C"/>
        </w:rPr>
        <w:t>ogen</w:t>
      </w:r>
      <w:r>
        <w:rPr>
          <w:rFonts w:ascii="Arial" w:cs="Arial" w:eastAsia="Arial" w:hAnsi="Arial"/>
          <w:sz w:val="12"/>
          <w:szCs w:val="12"/>
          <w:color w:val="607287"/>
        </w:rPr>
        <w:t>.</w:t>
      </w:r>
      <w:r>
        <w:rPr>
          <w:rFonts w:ascii="Arial" w:cs="Arial" w:eastAsia="Arial" w:hAnsi="Arial"/>
          <w:sz w:val="12"/>
          <w:szCs w:val="12"/>
          <w:color w:val="3B4F70"/>
        </w:rPr>
        <w:t>c</w:t>
      </w:r>
      <w:r>
        <w:rPr>
          <w:rFonts w:ascii="Arial" w:cs="Arial" w:eastAsia="Arial" w:hAnsi="Arial"/>
          <w:sz w:val="12"/>
          <w:szCs w:val="12"/>
          <w:color w:val="42608C"/>
        </w:rPr>
        <w:t>om</w:t>
      </w:r>
    </w:p>
    <w:p>
      <w:pPr>
        <w:sectPr>
          <w:pgSz w:w="11900" w:h="16838" w:orient="portrait"/>
          <w:cols w:equalWidth="0" w:num="1">
            <w:col w:w="10220"/>
          </w:cols>
          <w:pgMar w:left="1440" w:top="1440" w:right="239" w:bottom="1440" w:gutter="0" w:footer="0" w:header="0"/>
        </w:sectPr>
      </w:pPr>
    </w:p>
    <w:bookmarkStart w:id="191" w:name="page192"/>
    <w:bookmarkEnd w:id="191"/>
    <w:p>
      <w:pPr>
        <w:ind w:left="1880"/>
        <w:spacing w:after="0"/>
        <w:rPr>
          <w:sz w:val="20"/>
          <w:szCs w:val="20"/>
          <w:color w:val="auto"/>
        </w:rPr>
      </w:pPr>
      <w:r>
        <w:rPr>
          <w:rFonts w:ascii="Arial" w:cs="Arial" w:eastAsia="Arial" w:hAnsi="Arial"/>
          <w:sz w:val="15"/>
          <w:szCs w:val="15"/>
          <w:color w:val="1A1A1A"/>
        </w:rPr>
        <w:drawing>
          <wp:anchor simplePos="0" relativeHeight="251657728" behindDoc="1" locked="0" layoutInCell="0" allowOverlap="1">
            <wp:simplePos x="0" y="0"/>
            <wp:positionH relativeFrom="page">
              <wp:posOffset>153670</wp:posOffset>
            </wp:positionH>
            <wp:positionV relativeFrom="page">
              <wp:posOffset>398145</wp:posOffset>
            </wp:positionV>
            <wp:extent cx="1406525" cy="4635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1">
                      <a:clrChange>
                        <a:clrFrom>
                          <a:srgbClr val="FFFFFF"/>
                        </a:clrFrom>
                        <a:clrTo>
                          <a:srgbClr val="FFFFFF">
                            <a:alpha val="0"/>
                          </a:srgbClr>
                        </a:clrTo>
                      </a:clrChange>
                      <a:extLst>
                        <a:ext uri="{28A0092B-C50C-407E-A947-70E740481C1C}"/>
                      </a:extLst>
                    </a:blip>
                    <a:srcRect/>
                    <a:stretch>
                      <a:fillRect/>
                    </a:stretch>
                  </pic:blipFill>
                  <pic:spPr bwMode="auto">
                    <a:xfrm>
                      <a:off x="0" y="0"/>
                      <a:ext cx="1406525" cy="463550"/>
                    </a:xfrm>
                    <a:prstGeom prst="rect">
                      <a:avLst/>
                    </a:prstGeom>
                    <a:noFill/>
                  </pic:spPr>
                </pic:pic>
              </a:graphicData>
            </a:graphic>
          </wp:anchor>
        </w:drawing>
        <w:t>BIOGEN CASH SIGN-ON BONUS AGREEMENT</w:t>
      </w:r>
    </w:p>
    <w:p>
      <w:pPr>
        <w:spacing w:after="0" w:line="212" w:lineRule="exact"/>
        <w:rPr>
          <w:sz w:val="20"/>
          <w:szCs w:val="20"/>
          <w:color w:val="auto"/>
        </w:rPr>
      </w:pPr>
    </w:p>
    <w:p>
      <w:pPr>
        <w:jc w:val="both"/>
        <w:ind w:left="220" w:firstLine="13"/>
        <w:spacing w:after="0" w:line="258" w:lineRule="auto"/>
        <w:rPr>
          <w:sz w:val="20"/>
          <w:szCs w:val="20"/>
          <w:color w:val="auto"/>
        </w:rPr>
      </w:pPr>
      <w:r>
        <w:rPr>
          <w:rFonts w:ascii="Arial" w:cs="Arial" w:eastAsia="Arial" w:hAnsi="Arial"/>
          <w:sz w:val="15"/>
          <w:szCs w:val="15"/>
          <w:color w:val="1A1A1A"/>
        </w:rPr>
        <w:t xml:space="preserve">I have accepted </w:t>
      </w:r>
      <w:r>
        <w:rPr>
          <w:rFonts w:ascii="Arial" w:cs="Arial" w:eastAsia="Arial" w:hAnsi="Arial"/>
          <w:sz w:val="15"/>
          <w:szCs w:val="15"/>
          <w:color w:val="313131"/>
        </w:rPr>
        <w:t>a</w:t>
      </w:r>
      <w:r>
        <w:rPr>
          <w:rFonts w:ascii="Arial" w:cs="Arial" w:eastAsia="Arial" w:hAnsi="Arial"/>
          <w:sz w:val="15"/>
          <w:szCs w:val="15"/>
          <w:color w:val="1A1A1A"/>
        </w:rPr>
        <w:t xml:space="preserve"> position of employment with Biogen that provides for payment of a cash sign on bonus of </w:t>
      </w:r>
      <w:r>
        <w:rPr>
          <w:rFonts w:ascii="Arial" w:cs="Arial" w:eastAsia="Arial" w:hAnsi="Arial"/>
          <w:sz w:val="15"/>
          <w:szCs w:val="15"/>
          <w:color w:val="313131"/>
        </w:rPr>
        <w:t>$520,000.00</w:t>
      </w:r>
      <w:r>
        <w:rPr>
          <w:rFonts w:ascii="Arial" w:cs="Arial" w:eastAsia="Arial" w:hAnsi="Arial"/>
          <w:sz w:val="15"/>
          <w:szCs w:val="15"/>
          <w:color w:val="1A1A1A"/>
        </w:rPr>
        <w:t xml:space="preserve"> to me following commencement of employment. I understand that the full benefit of this cash sign-on bonus is conditioned upon my remaining an employee of Biogen for at least 36 months. I hereby accept Biogen's offer of a </w:t>
      </w:r>
      <w:r>
        <w:rPr>
          <w:rFonts w:ascii="Arial" w:cs="Arial" w:eastAsia="Arial" w:hAnsi="Arial"/>
          <w:sz w:val="15"/>
          <w:szCs w:val="15"/>
          <w:color w:val="313131"/>
        </w:rPr>
        <w:t>cash</w:t>
      </w:r>
      <w:r>
        <w:rPr>
          <w:rFonts w:ascii="Arial" w:cs="Arial" w:eastAsia="Arial" w:hAnsi="Arial"/>
          <w:sz w:val="15"/>
          <w:szCs w:val="15"/>
          <w:color w:val="1A1A1A"/>
        </w:rPr>
        <w:t xml:space="preserve"> sign-on bonus according to the following terms:</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5"/>
          <w:szCs w:val="15"/>
          <w:color w:val="1A1A1A"/>
        </w:rPr>
        <w:t>The payment of the cash sign-on bonus by Biogen is taxable income to me and will be taxed at the time of payment.</w:t>
      </w:r>
    </w:p>
    <w:p>
      <w:pPr>
        <w:spacing w:after="0" w:line="365" w:lineRule="exact"/>
        <w:rPr>
          <w:sz w:val="20"/>
          <w:szCs w:val="20"/>
          <w:color w:val="auto"/>
        </w:rPr>
      </w:pPr>
    </w:p>
    <w:p>
      <w:pPr>
        <w:jc w:val="both"/>
        <w:ind w:left="180" w:hanging="281"/>
        <w:spacing w:after="0" w:line="255" w:lineRule="auto"/>
        <w:rPr>
          <w:sz w:val="20"/>
          <w:szCs w:val="20"/>
          <w:color w:val="auto"/>
        </w:rPr>
      </w:pPr>
      <w:r>
        <w:rPr>
          <w:rFonts w:ascii="Arial" w:cs="Arial" w:eastAsia="Arial" w:hAnsi="Arial"/>
          <w:sz w:val="15"/>
          <w:szCs w:val="15"/>
          <w:color w:val="1A1A1A"/>
        </w:rPr>
        <w:t xml:space="preserve">I acknowledge and agree </w:t>
      </w:r>
      <w:r>
        <w:rPr>
          <w:rFonts w:ascii="Arial" w:cs="Arial" w:eastAsia="Arial" w:hAnsi="Arial"/>
          <w:sz w:val="15"/>
          <w:szCs w:val="15"/>
          <w:color w:val="313131"/>
        </w:rPr>
        <w:t>that</w:t>
      </w:r>
      <w:r>
        <w:rPr>
          <w:rFonts w:ascii="Arial" w:cs="Arial" w:eastAsia="Arial" w:hAnsi="Arial"/>
          <w:sz w:val="15"/>
          <w:szCs w:val="15"/>
          <w:color w:val="1A1A1A"/>
        </w:rPr>
        <w:t xml:space="preserve"> if, within </w:t>
      </w:r>
      <w:r>
        <w:rPr>
          <w:rFonts w:ascii="Arial" w:cs="Arial" w:eastAsia="Arial" w:hAnsi="Arial"/>
          <w:sz w:val="15"/>
          <w:szCs w:val="15"/>
          <w:color w:val="313131"/>
        </w:rPr>
        <w:t>36</w:t>
      </w:r>
      <w:r>
        <w:rPr>
          <w:rFonts w:ascii="Arial" w:cs="Arial" w:eastAsia="Arial" w:hAnsi="Arial"/>
          <w:sz w:val="15"/>
          <w:szCs w:val="15"/>
          <w:color w:val="1A1A1A"/>
        </w:rPr>
        <w:t xml:space="preserve"> months of the effective date of my employment (start date), I voluntarily terminate my employment or Biogen terminates my employment For Cause, as defined in the Biogen Inc. 2017 Omnibus Equity Plan, or for misconduct or poor performance, as determined in good faith by the Company</w:t>
      </w:r>
      <w:r>
        <w:rPr>
          <w:rFonts w:ascii="Arial" w:cs="Arial" w:eastAsia="Arial" w:hAnsi="Arial"/>
          <w:sz w:val="15"/>
          <w:szCs w:val="15"/>
          <w:color w:val="484949"/>
        </w:rPr>
        <w:t>,</w:t>
      </w:r>
      <w:r>
        <w:rPr>
          <w:rFonts w:ascii="Arial" w:cs="Arial" w:eastAsia="Arial" w:hAnsi="Arial"/>
          <w:sz w:val="15"/>
          <w:szCs w:val="15"/>
          <w:color w:val="1A1A1A"/>
        </w:rPr>
        <w:t xml:space="preserve"> I will not have earned the cash sign-on bonus provided to me under this Agreement and I will repay such bonus according to the following schedule:</w:t>
      </w:r>
    </w:p>
    <w:p>
      <w:pPr>
        <w:spacing w:after="0" w:line="163" w:lineRule="exact"/>
        <w:rPr>
          <w:sz w:val="20"/>
          <w:szCs w:val="20"/>
          <w:color w:val="auto"/>
        </w:rPr>
      </w:pPr>
    </w:p>
    <w:p>
      <w:pPr>
        <w:ind w:left="1040" w:hanging="573"/>
        <w:spacing w:after="0" w:line="249" w:lineRule="auto"/>
        <w:tabs>
          <w:tab w:leader="none" w:pos="668" w:val="left"/>
        </w:tabs>
        <w:numPr>
          <w:ilvl w:val="1"/>
          <w:numId w:val="154"/>
        </w:numPr>
        <w:rPr>
          <w:rFonts w:ascii="Arial" w:cs="Arial" w:eastAsia="Arial" w:hAnsi="Arial"/>
          <w:sz w:val="15"/>
          <w:szCs w:val="15"/>
          <w:color w:val="1A1A1A"/>
        </w:rPr>
      </w:pPr>
      <w:r>
        <w:rPr>
          <w:rFonts w:ascii="Arial" w:cs="Arial" w:eastAsia="Arial" w:hAnsi="Arial"/>
          <w:sz w:val="15"/>
          <w:szCs w:val="15"/>
          <w:color w:val="1A1A1A"/>
        </w:rPr>
        <w:t xml:space="preserve">If my </w:t>
      </w:r>
      <w:r>
        <w:rPr>
          <w:rFonts w:ascii="Arial" w:cs="Arial" w:eastAsia="Arial" w:hAnsi="Arial"/>
          <w:sz w:val="15"/>
          <w:szCs w:val="15"/>
          <w:color w:val="313131"/>
        </w:rPr>
        <w:t>employment</w:t>
      </w:r>
      <w:r>
        <w:rPr>
          <w:rFonts w:ascii="Arial" w:cs="Arial" w:eastAsia="Arial" w:hAnsi="Arial"/>
          <w:sz w:val="15"/>
          <w:szCs w:val="15"/>
          <w:color w:val="1A1A1A"/>
        </w:rPr>
        <w:t xml:space="preserve"> terminates on or before 12 months from my start date</w:t>
      </w:r>
      <w:r>
        <w:rPr>
          <w:rFonts w:ascii="Arial" w:cs="Arial" w:eastAsia="Arial" w:hAnsi="Arial"/>
          <w:sz w:val="15"/>
          <w:szCs w:val="15"/>
          <w:color w:val="484949"/>
        </w:rPr>
        <w:t>,</w:t>
      </w:r>
      <w:r>
        <w:rPr>
          <w:rFonts w:ascii="Arial" w:cs="Arial" w:eastAsia="Arial" w:hAnsi="Arial"/>
          <w:sz w:val="15"/>
          <w:szCs w:val="15"/>
          <w:color w:val="1A1A1A"/>
        </w:rPr>
        <w:t xml:space="preserve"> the full amount of the cash sign-on bonus, net of the applicable proportion of tax withholdings;</w:t>
      </w:r>
    </w:p>
    <w:p>
      <w:pPr>
        <w:ind w:left="1040" w:hanging="573"/>
        <w:spacing w:after="0" w:line="249" w:lineRule="auto"/>
        <w:tabs>
          <w:tab w:leader="none" w:pos="690" w:val="left"/>
        </w:tabs>
        <w:numPr>
          <w:ilvl w:val="1"/>
          <w:numId w:val="154"/>
        </w:numPr>
        <w:rPr>
          <w:rFonts w:ascii="Arial" w:cs="Arial" w:eastAsia="Arial" w:hAnsi="Arial"/>
          <w:sz w:val="15"/>
          <w:szCs w:val="15"/>
          <w:color w:val="1A1A1A"/>
        </w:rPr>
      </w:pPr>
      <w:r>
        <w:rPr>
          <w:rFonts w:ascii="Arial" w:cs="Arial" w:eastAsia="Arial" w:hAnsi="Arial"/>
          <w:sz w:val="15"/>
          <w:szCs w:val="15"/>
          <w:color w:val="1A1A1A"/>
        </w:rPr>
        <w:t>If my employment terminates after 12 months and on or before 24 months from my start date, 70% of the amount of the cash sign-on bonus, net of the applicable proportion of tax withholdings; or</w:t>
      </w:r>
    </w:p>
    <w:p>
      <w:pPr>
        <w:ind w:left="1040" w:hanging="598"/>
        <w:spacing w:after="0" w:line="266" w:lineRule="auto"/>
        <w:tabs>
          <w:tab w:leader="none" w:pos="698" w:val="left"/>
        </w:tabs>
        <w:numPr>
          <w:ilvl w:val="0"/>
          <w:numId w:val="155"/>
        </w:numPr>
        <w:rPr>
          <w:rFonts w:ascii="Arial" w:cs="Arial" w:eastAsia="Arial" w:hAnsi="Arial"/>
          <w:sz w:val="15"/>
          <w:szCs w:val="15"/>
          <w:color w:val="1A1A1A"/>
        </w:rPr>
      </w:pPr>
      <w:r>
        <w:rPr>
          <w:rFonts w:ascii="Arial" w:cs="Arial" w:eastAsia="Arial" w:hAnsi="Arial"/>
          <w:sz w:val="15"/>
          <w:szCs w:val="15"/>
          <w:color w:val="1A1A1A"/>
        </w:rPr>
        <w:t xml:space="preserve">If my employment terminates after 24 months and on or before 36 months from my </w:t>
      </w:r>
      <w:r>
        <w:rPr>
          <w:rFonts w:ascii="Arial" w:cs="Arial" w:eastAsia="Arial" w:hAnsi="Arial"/>
          <w:sz w:val="15"/>
          <w:szCs w:val="15"/>
          <w:color w:val="313131"/>
        </w:rPr>
        <w:t>start</w:t>
      </w:r>
      <w:r>
        <w:rPr>
          <w:rFonts w:ascii="Arial" w:cs="Arial" w:eastAsia="Arial" w:hAnsi="Arial"/>
          <w:sz w:val="15"/>
          <w:szCs w:val="15"/>
          <w:color w:val="1A1A1A"/>
        </w:rPr>
        <w:t xml:space="preserve"> date, 35% of the amount of the cash sign</w:t>
      </w:r>
      <w:r>
        <w:rPr>
          <w:rFonts w:ascii="Arial" w:cs="Arial" w:eastAsia="Arial" w:hAnsi="Arial"/>
          <w:sz w:val="15"/>
          <w:szCs w:val="15"/>
          <w:color w:val="484949"/>
        </w:rPr>
        <w:t>-</w:t>
      </w:r>
      <w:r>
        <w:rPr>
          <w:rFonts w:ascii="Arial" w:cs="Arial" w:eastAsia="Arial" w:hAnsi="Arial"/>
          <w:sz w:val="15"/>
          <w:szCs w:val="15"/>
          <w:color w:val="1A1A1A"/>
        </w:rPr>
        <w:t>on bonus, net of the applicable proportion of tax withholdings.</w:t>
      </w:r>
    </w:p>
    <w:p>
      <w:pPr>
        <w:spacing w:after="0" w:line="181" w:lineRule="exact"/>
        <w:rPr>
          <w:sz w:val="20"/>
          <w:szCs w:val="20"/>
          <w:color w:val="auto"/>
        </w:rPr>
      </w:pPr>
    </w:p>
    <w:p>
      <w:pPr>
        <w:jc w:val="both"/>
        <w:ind w:left="180" w:hanging="281"/>
        <w:spacing w:after="0" w:line="253" w:lineRule="auto"/>
        <w:rPr>
          <w:sz w:val="20"/>
          <w:szCs w:val="20"/>
          <w:color w:val="auto"/>
        </w:rPr>
      </w:pPr>
      <w:r>
        <w:rPr>
          <w:rFonts w:ascii="Arial" w:cs="Arial" w:eastAsia="Arial" w:hAnsi="Arial"/>
          <w:sz w:val="15"/>
          <w:szCs w:val="15"/>
          <w:color w:val="1A1A1A"/>
        </w:rPr>
        <w:t>I shall pay to Biogen all such repayable amounts within thirty (30) days of the effective date of my employment termination or by the end of the year in which my employment terminates, whichever comes first. I voluntarily authorize Biogen to deduct, withhold and/or retain all or any portion of the amount which I may be required to refund or repay to Biogen hereunder from any wages, salary, vacation pay, severance pay or other pay which may be due and owing to me upon termination of employment, to the extent permitted under applicable law. I shall remain liable to Biogen for any amounts in excess of the sums so deducted, withheld and/or retained by Biogen.</w:t>
      </w:r>
    </w:p>
    <w:p>
      <w:pPr>
        <w:spacing w:after="0" w:line="167" w:lineRule="exact"/>
        <w:rPr>
          <w:sz w:val="20"/>
          <w:szCs w:val="20"/>
          <w:color w:val="auto"/>
        </w:rPr>
      </w:pPr>
    </w:p>
    <w:p>
      <w:pPr>
        <w:jc w:val="both"/>
        <w:ind w:left="160"/>
        <w:spacing w:after="0" w:line="266" w:lineRule="auto"/>
        <w:rPr>
          <w:sz w:val="20"/>
          <w:szCs w:val="20"/>
          <w:color w:val="auto"/>
        </w:rPr>
      </w:pPr>
      <w:r>
        <w:rPr>
          <w:rFonts w:ascii="Arial" w:cs="Arial" w:eastAsia="Arial" w:hAnsi="Arial"/>
          <w:sz w:val="15"/>
          <w:szCs w:val="15"/>
          <w:color w:val="1A1A1A"/>
        </w:rPr>
        <w:t>Except as stated above, I shall have no liability or responsibility to refund or repay to Biogen any amounts paid by Biogen to me in connection with this sign-on bonus.</w:t>
      </w:r>
    </w:p>
    <w:p>
      <w:pPr>
        <w:spacing w:after="0" w:line="156" w:lineRule="exact"/>
        <w:rPr>
          <w:sz w:val="20"/>
          <w:szCs w:val="20"/>
          <w:color w:val="auto"/>
        </w:rPr>
      </w:pPr>
    </w:p>
    <w:p>
      <w:pPr>
        <w:jc w:val="both"/>
        <w:ind w:left="160"/>
        <w:spacing w:after="0" w:line="258" w:lineRule="auto"/>
        <w:rPr>
          <w:sz w:val="20"/>
          <w:szCs w:val="20"/>
          <w:color w:val="auto"/>
        </w:rPr>
      </w:pPr>
      <w:r>
        <w:rPr>
          <w:rFonts w:ascii="Arial" w:cs="Arial" w:eastAsia="Arial" w:hAnsi="Arial"/>
          <w:sz w:val="15"/>
          <w:szCs w:val="15"/>
          <w:color w:val="1A1A1A"/>
        </w:rPr>
        <w:t>Nothing in this Agreement shall alter the at-will emp</w:t>
      </w:r>
      <w:r>
        <w:rPr>
          <w:rFonts w:ascii="Arial" w:cs="Arial" w:eastAsia="Arial" w:hAnsi="Arial"/>
          <w:sz w:val="15"/>
          <w:szCs w:val="15"/>
          <w:color w:val="484949"/>
        </w:rPr>
        <w:t>l</w:t>
      </w:r>
      <w:r>
        <w:rPr>
          <w:rFonts w:ascii="Arial" w:cs="Arial" w:eastAsia="Arial" w:hAnsi="Arial"/>
          <w:sz w:val="15"/>
          <w:szCs w:val="15"/>
          <w:color w:val="1A1A1A"/>
        </w:rPr>
        <w:t>oyment relationship between Biogen and me (e.g</w:t>
      </w:r>
      <w:r>
        <w:rPr>
          <w:rFonts w:ascii="Arial" w:cs="Arial" w:eastAsia="Arial" w:hAnsi="Arial"/>
          <w:sz w:val="15"/>
          <w:szCs w:val="15"/>
          <w:color w:val="484949"/>
        </w:rPr>
        <w:t>.</w:t>
      </w:r>
      <w:r>
        <w:rPr>
          <w:rFonts w:ascii="Arial" w:cs="Arial" w:eastAsia="Arial" w:hAnsi="Arial"/>
          <w:sz w:val="15"/>
          <w:szCs w:val="15"/>
          <w:color w:val="313131"/>
        </w:rPr>
        <w:t>,</w:t>
      </w:r>
      <w:r>
        <w:rPr>
          <w:rFonts w:ascii="Arial" w:cs="Arial" w:eastAsia="Arial" w:hAnsi="Arial"/>
          <w:sz w:val="15"/>
          <w:szCs w:val="15"/>
          <w:color w:val="1A1A1A"/>
        </w:rPr>
        <w:t xml:space="preserve"> Biogen and I can end the employment relationship at </w:t>
      </w:r>
      <w:r>
        <w:rPr>
          <w:rFonts w:ascii="Arial" w:cs="Arial" w:eastAsia="Arial" w:hAnsi="Arial"/>
          <w:sz w:val="15"/>
          <w:szCs w:val="15"/>
          <w:i w:val="1"/>
          <w:iCs w:val="1"/>
          <w:color w:val="1A1A1A"/>
        </w:rPr>
        <w:t>any</w:t>
      </w:r>
      <w:r>
        <w:rPr>
          <w:rFonts w:ascii="Arial" w:cs="Arial" w:eastAsia="Arial" w:hAnsi="Arial"/>
          <w:sz w:val="15"/>
          <w:szCs w:val="15"/>
          <w:color w:val="1A1A1A"/>
        </w:rPr>
        <w:t xml:space="preserve"> time with or without cause). Therefore, I understand that nothing in this Agreement guarantees that the Company will employ me for any specific period of time.</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5"/>
          <w:szCs w:val="15"/>
          <w:color w:val="1A1A1A"/>
        </w:rPr>
        <w:t>My signature below acknowledges that I have read and understand this Agreement and agree to be bound by its terms.</w:t>
      </w:r>
    </w:p>
    <w:p>
      <w:pPr>
        <w:spacing w:after="0" w:line="200" w:lineRule="exact"/>
        <w:rPr>
          <w:sz w:val="20"/>
          <w:szCs w:val="20"/>
          <w:color w:val="auto"/>
        </w:rPr>
      </w:pPr>
    </w:p>
    <w:p>
      <w:pPr>
        <w:spacing w:after="0" w:line="234"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1400" w:type="dxa"/>
            <w:vAlign w:val="bottom"/>
          </w:tcPr>
          <w:p>
            <w:pPr>
              <w:spacing w:after="0"/>
              <w:rPr>
                <w:sz w:val="20"/>
                <w:szCs w:val="20"/>
                <w:color w:val="auto"/>
              </w:rPr>
            </w:pPr>
            <w:r>
              <w:rPr>
                <w:rFonts w:ascii="Arial" w:cs="Arial" w:eastAsia="Arial" w:hAnsi="Arial"/>
                <w:sz w:val="15"/>
                <w:szCs w:val="15"/>
                <w:color w:val="1A1A1A"/>
              </w:rPr>
              <w:t>/s/ Jeffrey Capello</w:t>
            </w:r>
          </w:p>
        </w:tc>
        <w:tc>
          <w:tcPr>
            <w:tcW w:w="1360" w:type="dxa"/>
            <w:vAlign w:val="bottom"/>
            <w:gridSpan w:val="2"/>
          </w:tcPr>
          <w:p>
            <w:pPr>
              <w:ind w:left="180"/>
              <w:spacing w:after="0"/>
              <w:rPr>
                <w:sz w:val="20"/>
                <w:szCs w:val="20"/>
                <w:color w:val="auto"/>
              </w:rPr>
            </w:pPr>
            <w:r>
              <w:rPr>
                <w:rFonts w:ascii="Arial" w:cs="Arial" w:eastAsia="Arial" w:hAnsi="Arial"/>
                <w:sz w:val="15"/>
                <w:szCs w:val="15"/>
                <w:color w:val="1A1A1A"/>
              </w:rPr>
              <w:t>Jeffrey Capello</w:t>
            </w:r>
          </w:p>
        </w:tc>
        <w:tc>
          <w:tcPr>
            <w:tcW w:w="1580" w:type="dxa"/>
            <w:vAlign w:val="bottom"/>
            <w:gridSpan w:val="3"/>
          </w:tcPr>
          <w:p>
            <w:pPr>
              <w:jc w:val="right"/>
              <w:ind w:right="460"/>
              <w:spacing w:after="0"/>
              <w:rPr>
                <w:sz w:val="20"/>
                <w:szCs w:val="20"/>
                <w:color w:val="auto"/>
              </w:rPr>
            </w:pPr>
            <w:r>
              <w:rPr>
                <w:rFonts w:ascii="Arial" w:cs="Arial" w:eastAsia="Arial" w:hAnsi="Arial"/>
                <w:sz w:val="15"/>
                <w:szCs w:val="15"/>
                <w:color w:val="1A1A1A"/>
              </w:rPr>
              <w:t>11/18/2017</w:t>
            </w:r>
          </w:p>
        </w:tc>
      </w:tr>
      <w:tr>
        <w:trPr>
          <w:trHeight w:val="20"/>
        </w:trPr>
        <w:tc>
          <w:tcPr>
            <w:tcW w:w="1400" w:type="dxa"/>
            <w:vAlign w:val="bottom"/>
            <w:shd w:val="clear" w:color="auto" w:fill="1A1A1A"/>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shd w:val="clear" w:color="auto" w:fill="1A1A1A"/>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1A1A1A"/>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2"/>
        </w:trPr>
        <w:tc>
          <w:tcPr>
            <w:tcW w:w="1400" w:type="dxa"/>
            <w:vAlign w:val="bottom"/>
          </w:tcPr>
          <w:p>
            <w:pPr>
              <w:spacing w:after="0"/>
              <w:rPr>
                <w:sz w:val="20"/>
                <w:szCs w:val="20"/>
                <w:color w:val="auto"/>
              </w:rPr>
            </w:pPr>
            <w:r>
              <w:rPr>
                <w:rFonts w:ascii="Arial" w:cs="Arial" w:eastAsia="Arial" w:hAnsi="Arial"/>
                <w:sz w:val="15"/>
                <w:szCs w:val="15"/>
                <w:color w:val="1A1A1A"/>
              </w:rPr>
              <w:t>Employee Signature</w:t>
            </w:r>
          </w:p>
        </w:tc>
        <w:tc>
          <w:tcPr>
            <w:tcW w:w="180" w:type="dxa"/>
            <w:vAlign w:val="bottom"/>
          </w:tcPr>
          <w:p>
            <w:pPr>
              <w:spacing w:after="0"/>
              <w:rPr>
                <w:sz w:val="16"/>
                <w:szCs w:val="16"/>
                <w:color w:val="auto"/>
              </w:rPr>
            </w:pPr>
          </w:p>
        </w:tc>
        <w:tc>
          <w:tcPr>
            <w:tcW w:w="2760" w:type="dxa"/>
            <w:vAlign w:val="bottom"/>
            <w:gridSpan w:val="4"/>
          </w:tcPr>
          <w:p>
            <w:pPr>
              <w:ind w:left="160"/>
              <w:spacing w:after="0"/>
              <w:rPr>
                <w:sz w:val="20"/>
                <w:szCs w:val="20"/>
                <w:color w:val="auto"/>
              </w:rPr>
            </w:pPr>
            <w:r>
              <w:rPr>
                <w:rFonts w:ascii="Arial" w:cs="Arial" w:eastAsia="Arial" w:hAnsi="Arial"/>
                <w:sz w:val="15"/>
                <w:szCs w:val="15"/>
                <w:color w:val="1A1A1A"/>
              </w:rPr>
              <w:t>Employee Name (Please Print)  Date</w:t>
            </w:r>
          </w:p>
        </w:tc>
      </w:tr>
    </w:tbl>
    <w:p>
      <w:pPr>
        <w:sectPr>
          <w:pgSz w:w="11900" w:h="16838" w:orient="portrait"/>
          <w:cols w:equalWidth="0" w:num="1">
            <w:col w:w="10220"/>
          </w:cols>
          <w:pgMar w:left="1440" w:top="1383"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5"/>
          <w:szCs w:val="15"/>
          <w:u w:val="single" w:color="auto"/>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27940</wp:posOffset>
            </wp:positionV>
            <wp:extent cx="1146810" cy="2686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2">
                      <a:extLst>
                        <a:ext uri="{28A0092B-C50C-407E-A947-70E740481C1C}"/>
                      </a:extLst>
                    </a:blip>
                    <a:srcRect/>
                    <a:stretch>
                      <a:fillRect/>
                    </a:stretch>
                  </pic:blipFill>
                  <pic:spPr bwMode="auto">
                    <a:xfrm>
                      <a:off x="0" y="0"/>
                      <a:ext cx="1146810" cy="268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80"/>
        <w:spacing w:after="0"/>
        <w:rPr>
          <w:sz w:val="20"/>
          <w:szCs w:val="20"/>
          <w:color w:val="auto"/>
        </w:rPr>
      </w:pPr>
      <w:r>
        <w:rPr>
          <w:rFonts w:ascii="Arial" w:cs="Arial" w:eastAsia="Arial" w:hAnsi="Arial"/>
          <w:sz w:val="15"/>
          <w:szCs w:val="15"/>
          <w:color w:val="auto"/>
        </w:rPr>
        <w:t>February 25, 2012</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5"/>
          <w:szCs w:val="15"/>
          <w:color w:val="auto"/>
        </w:rPr>
        <w:t>Greg Covino</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[address]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[address]</w:t>
      </w:r>
    </w:p>
    <w:p>
      <w:pPr>
        <w:spacing w:after="0" w:line="200" w:lineRule="exact"/>
        <w:rPr>
          <w:sz w:val="20"/>
          <w:szCs w:val="20"/>
          <w:color w:val="auto"/>
        </w:rPr>
      </w:pPr>
    </w:p>
    <w:p>
      <w:pPr>
        <w:spacing w:after="0" w:line="24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Dear Greg:</w:t>
      </w:r>
    </w:p>
    <w:p>
      <w:pPr>
        <w:spacing w:after="0" w:line="237" w:lineRule="exact"/>
        <w:rPr>
          <w:sz w:val="20"/>
          <w:szCs w:val="20"/>
          <w:color w:val="auto"/>
        </w:rPr>
      </w:pPr>
    </w:p>
    <w:p>
      <w:pPr>
        <w:ind w:left="180"/>
        <w:spacing w:after="0" w:line="258" w:lineRule="auto"/>
        <w:rPr>
          <w:sz w:val="20"/>
          <w:szCs w:val="20"/>
          <w:color w:val="auto"/>
        </w:rPr>
      </w:pPr>
      <w:r>
        <w:rPr>
          <w:rFonts w:ascii="Arial" w:cs="Arial" w:eastAsia="Arial" w:hAnsi="Arial"/>
          <w:sz w:val="15"/>
          <w:szCs w:val="15"/>
          <w:color w:val="auto"/>
        </w:rPr>
        <w:t>I am pleased to extend you this offer of employment to join Biogen Idec as Vice President of Finance. You will be appointed as the Company's Chief Accounting Officer as of the day following the filing of the Company's Form 10-Q for Q1 of 2012. This position will report to Paul Clancy, Executive Vice President, and Chief Financial Officer. The position will be based at our Weston, Massachusetts facility.</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auto"/>
        </w:rPr>
        <w:t xml:space="preserve">Base Salary: </w:t>
      </w:r>
      <w:r>
        <w:rPr>
          <w:rFonts w:ascii="Arial" w:cs="Arial" w:eastAsia="Arial" w:hAnsi="Arial"/>
          <w:sz w:val="15"/>
          <w:szCs w:val="15"/>
          <w:color w:val="auto"/>
        </w:rPr>
        <w:t>Your starting bi-weekly salary will be $11,923.08, which is equivalent to an annual salary of $310,000.08.</w:t>
      </w:r>
    </w:p>
    <w:p>
      <w:pPr>
        <w:spacing w:after="0" w:line="237" w:lineRule="exact"/>
        <w:rPr>
          <w:sz w:val="20"/>
          <w:szCs w:val="20"/>
          <w:color w:val="auto"/>
        </w:rPr>
      </w:pPr>
    </w:p>
    <w:p>
      <w:pPr>
        <w:ind w:left="180" w:right="200"/>
        <w:spacing w:after="0" w:line="270" w:lineRule="auto"/>
        <w:rPr>
          <w:sz w:val="20"/>
          <w:szCs w:val="20"/>
          <w:color w:val="auto"/>
        </w:rPr>
      </w:pPr>
      <w:r>
        <w:rPr>
          <w:rFonts w:ascii="Arial" w:cs="Arial" w:eastAsia="Arial" w:hAnsi="Arial"/>
          <w:sz w:val="15"/>
          <w:szCs w:val="15"/>
          <w:b w:val="1"/>
          <w:bCs w:val="1"/>
          <w:color w:val="auto"/>
        </w:rPr>
        <w:t xml:space="preserve">One-time Cash Sign-On Bonus: </w:t>
      </w:r>
      <w:r>
        <w:rPr>
          <w:rFonts w:ascii="Arial" w:cs="Arial" w:eastAsia="Arial" w:hAnsi="Arial"/>
          <w:sz w:val="15"/>
          <w:szCs w:val="15"/>
          <w:color w:val="auto"/>
        </w:rPr>
        <w:t>Upon employment, you will receive $35,000.00 as a one-time cash bonus. The bonus will be paid to you within</w:t>
      </w:r>
      <w:r>
        <w:rPr>
          <w:rFonts w:ascii="Arial" w:cs="Arial" w:eastAsia="Arial" w:hAnsi="Arial"/>
          <w:sz w:val="15"/>
          <w:szCs w:val="15"/>
          <w:b w:val="1"/>
          <w:bCs w:val="1"/>
          <w:color w:val="auto"/>
        </w:rPr>
        <w:t xml:space="preserve"> </w:t>
      </w:r>
      <w:r>
        <w:rPr>
          <w:rFonts w:ascii="Arial" w:cs="Arial" w:eastAsia="Arial" w:hAnsi="Arial"/>
          <w:sz w:val="15"/>
          <w:szCs w:val="15"/>
          <w:color w:val="auto"/>
        </w:rPr>
        <w:t>two pay periods after your start date provided that you sign the enclosed Cash Sign-On Bonus Agreement, which describes the terms and conditions of the cash sign-on bonus.</w:t>
      </w:r>
    </w:p>
    <w:p>
      <w:pPr>
        <w:spacing w:after="0" w:line="186" w:lineRule="exact"/>
        <w:rPr>
          <w:sz w:val="20"/>
          <w:szCs w:val="20"/>
          <w:color w:val="auto"/>
        </w:rPr>
      </w:pPr>
    </w:p>
    <w:p>
      <w:pPr>
        <w:ind w:left="180" w:right="160"/>
        <w:spacing w:after="0" w:line="270" w:lineRule="auto"/>
        <w:rPr>
          <w:sz w:val="20"/>
          <w:szCs w:val="20"/>
          <w:color w:val="auto"/>
        </w:rPr>
      </w:pPr>
      <w:r>
        <w:rPr>
          <w:rFonts w:ascii="Arial" w:cs="Arial" w:eastAsia="Arial" w:hAnsi="Arial"/>
          <w:sz w:val="15"/>
          <w:szCs w:val="15"/>
          <w:b w:val="1"/>
          <w:bCs w:val="1"/>
          <w:color w:val="auto"/>
        </w:rPr>
        <w:t xml:space="preserve">Annual Bonus Plan: </w:t>
      </w:r>
      <w:r>
        <w:rPr>
          <w:rFonts w:ascii="Arial" w:cs="Arial" w:eastAsia="Arial" w:hAnsi="Arial"/>
          <w:sz w:val="15"/>
          <w:szCs w:val="15"/>
          <w:color w:val="auto"/>
        </w:rPr>
        <w:t>You will be eligible to participate in the Biogen Idec Annual Bonus Plan, with a target bonus opportunity of 35% of your</w:t>
      </w:r>
      <w:r>
        <w:rPr>
          <w:rFonts w:ascii="Arial" w:cs="Arial" w:eastAsia="Arial" w:hAnsi="Arial"/>
          <w:sz w:val="15"/>
          <w:szCs w:val="15"/>
          <w:b w:val="1"/>
          <w:bCs w:val="1"/>
          <w:color w:val="auto"/>
        </w:rPr>
        <w:t xml:space="preserve"> </w:t>
      </w:r>
      <w:r>
        <w:rPr>
          <w:rFonts w:ascii="Arial" w:cs="Arial" w:eastAsia="Arial" w:hAnsi="Arial"/>
          <w:sz w:val="15"/>
          <w:szCs w:val="15"/>
          <w:color w:val="auto"/>
        </w:rPr>
        <w:t>annualized base salary. Based upon your start date, your target bonus amount may be pro-rated. Eligibility details and other terms of the Plan are included in the current years Plan document which will be made available upon your employment with the Company.</w:t>
      </w:r>
    </w:p>
    <w:p>
      <w:pPr>
        <w:spacing w:after="0" w:line="186" w:lineRule="exact"/>
        <w:rPr>
          <w:sz w:val="20"/>
          <w:szCs w:val="20"/>
          <w:color w:val="auto"/>
        </w:rPr>
      </w:pPr>
    </w:p>
    <w:p>
      <w:pPr>
        <w:jc w:val="both"/>
        <w:ind w:left="180" w:right="100"/>
        <w:spacing w:after="0" w:line="263" w:lineRule="auto"/>
        <w:rPr>
          <w:sz w:val="20"/>
          <w:szCs w:val="20"/>
          <w:color w:val="auto"/>
        </w:rPr>
      </w:pPr>
      <w:r>
        <w:rPr>
          <w:rFonts w:ascii="Arial" w:cs="Arial" w:eastAsia="Arial" w:hAnsi="Arial"/>
          <w:sz w:val="15"/>
          <w:szCs w:val="15"/>
          <w:b w:val="1"/>
          <w:bCs w:val="1"/>
          <w:color w:val="auto"/>
        </w:rPr>
        <w:t xml:space="preserve">Long-Term Incentive: </w:t>
      </w:r>
      <w:r>
        <w:rPr>
          <w:rFonts w:ascii="Arial" w:cs="Arial" w:eastAsia="Arial" w:hAnsi="Arial"/>
          <w:sz w:val="15"/>
          <w:szCs w:val="15"/>
          <w:color w:val="auto"/>
        </w:rPr>
        <w:t>You will be granted Cash-Settled Performance Shares (CSPS) in connection with the commencement of your employment.</w:t>
      </w:r>
      <w:r>
        <w:rPr>
          <w:rFonts w:ascii="Arial" w:cs="Arial" w:eastAsia="Arial" w:hAnsi="Arial"/>
          <w:sz w:val="15"/>
          <w:szCs w:val="15"/>
          <w:b w:val="1"/>
          <w:bCs w:val="1"/>
          <w:color w:val="auto"/>
        </w:rPr>
        <w:t xml:space="preserve"> </w:t>
      </w:r>
      <w:r>
        <w:rPr>
          <w:rFonts w:ascii="Arial" w:cs="Arial" w:eastAsia="Arial" w:hAnsi="Arial"/>
          <w:sz w:val="15"/>
          <w:szCs w:val="15"/>
          <w:color w:val="auto"/>
        </w:rPr>
        <w:t>The approximate grant date value of your CSPS award will be $137,500. You will also be granted Market Stock Units (MSU) in connection with the commencement of your employment. The approximate grant date value of your MSU award will be $137,500. Your CSPS and MSU awards will be granted on the first trading day of the month following your start date.</w:t>
      </w:r>
    </w:p>
    <w:p>
      <w:pPr>
        <w:spacing w:after="0" w:line="210" w:lineRule="exact"/>
        <w:rPr>
          <w:sz w:val="20"/>
          <w:szCs w:val="20"/>
          <w:color w:val="auto"/>
        </w:rPr>
      </w:pPr>
    </w:p>
    <w:p>
      <w:pPr>
        <w:ind w:left="180" w:right="120"/>
        <w:spacing w:after="0" w:line="255" w:lineRule="auto"/>
        <w:rPr>
          <w:sz w:val="20"/>
          <w:szCs w:val="20"/>
          <w:color w:val="auto"/>
        </w:rPr>
      </w:pPr>
      <w:r>
        <w:rPr>
          <w:rFonts w:ascii="Arial" w:cs="Arial" w:eastAsia="Arial" w:hAnsi="Arial"/>
          <w:sz w:val="15"/>
          <w:szCs w:val="15"/>
          <w:color w:val="auto"/>
        </w:rPr>
        <w:t>The actual terms of your CSPS and MSU awards will be communicated to you following the grant date. Your grants will be awarded under the Biogen Idec Inc. 2008 Omnibus Equity Plan. You are considered a "designated employee," as defined in the 2008 Omnibus Equity Plan. Our 2008 Omnibus Equity Plan and Prospectus are available to you on Biogen Idec's benefits website at [website]. Please read these documents for information about your Long-term Incentive grants.</w:t>
      </w:r>
    </w:p>
    <w:p>
      <w:pPr>
        <w:spacing w:after="0" w:line="197" w:lineRule="exact"/>
        <w:rPr>
          <w:sz w:val="20"/>
          <w:szCs w:val="20"/>
          <w:color w:val="auto"/>
        </w:rPr>
      </w:pPr>
    </w:p>
    <w:p>
      <w:pPr>
        <w:ind w:left="180" w:right="300"/>
        <w:spacing w:after="0" w:line="260" w:lineRule="auto"/>
        <w:rPr>
          <w:sz w:val="20"/>
          <w:szCs w:val="20"/>
          <w:color w:val="auto"/>
        </w:rPr>
      </w:pPr>
      <w:r>
        <w:rPr>
          <w:rFonts w:ascii="Arial" w:cs="Arial" w:eastAsia="Arial" w:hAnsi="Arial"/>
          <w:sz w:val="15"/>
          <w:szCs w:val="15"/>
          <w:b w:val="1"/>
          <w:bCs w:val="1"/>
          <w:color w:val="auto"/>
        </w:rPr>
        <w:t xml:space="preserve">Stock Trading Plan: </w:t>
      </w:r>
      <w:r>
        <w:rPr>
          <w:rFonts w:ascii="Arial" w:cs="Arial" w:eastAsia="Arial" w:hAnsi="Arial"/>
          <w:sz w:val="15"/>
          <w:szCs w:val="15"/>
          <w:color w:val="auto"/>
        </w:rPr>
        <w:t>You have been designated as a member of Trading Group A pursuant to Biogen Idec's Global Insider Trading Policy. As a</w:t>
      </w:r>
      <w:r>
        <w:rPr>
          <w:rFonts w:ascii="Arial" w:cs="Arial" w:eastAsia="Arial" w:hAnsi="Arial"/>
          <w:sz w:val="15"/>
          <w:szCs w:val="15"/>
          <w:b w:val="1"/>
          <w:bCs w:val="1"/>
          <w:color w:val="auto"/>
        </w:rPr>
        <w:t xml:space="preserve"> </w:t>
      </w:r>
      <w:r>
        <w:rPr>
          <w:rFonts w:ascii="Arial" w:cs="Arial" w:eastAsia="Arial" w:hAnsi="Arial"/>
          <w:sz w:val="15"/>
          <w:szCs w:val="15"/>
          <w:color w:val="auto"/>
        </w:rPr>
        <w:t>member of Trading Group A, you are required to enter into a 10b5-1 trading plan for all sales of Biogen Idec stock and you may only purchase Biogen Idec stock on the open market during Biogen Idec's quarterly open trading window periods, as described and in accordance with the requirements outlined in the Global Insider Trading Policy, More information about the Biogen Idec Global Insider Trading Policy, insider trading restrictions, and 10b5-1 trading plans will be made available upon your employment with the Company.</w:t>
      </w:r>
    </w:p>
    <w:p>
      <w:pPr>
        <w:sectPr>
          <w:pgSz w:w="11900" w:h="16838" w:orient="portrait"/>
          <w:cols w:equalWidth="0" w:num="1">
            <w:col w:w="10220"/>
          </w:cols>
          <w:pgMar w:left="1440" w:top="615" w:right="239" w:bottom="1440" w:gutter="0" w:footer="0" w:header="0"/>
        </w:sectPr>
      </w:pPr>
    </w:p>
    <w:bookmarkStart w:id="193" w:name="page194"/>
    <w:bookmarkEnd w:id="193"/>
    <w:p>
      <w:pPr>
        <w:ind w:left="180" w:right="80"/>
        <w:spacing w:after="0" w:line="256" w:lineRule="auto"/>
        <w:rPr>
          <w:sz w:val="20"/>
          <w:szCs w:val="20"/>
          <w:color w:val="auto"/>
        </w:rPr>
      </w:pPr>
      <w:r>
        <w:rPr>
          <w:rFonts w:ascii="Arial" w:cs="Arial" w:eastAsia="Arial" w:hAnsi="Arial"/>
          <w:sz w:val="15"/>
          <w:szCs w:val="15"/>
          <w:b w:val="1"/>
          <w:bCs w:val="1"/>
          <w:color w:val="auto"/>
        </w:rPr>
        <w:t xml:space="preserve">Employee Benefits and Total Rewards: </w:t>
      </w:r>
      <w:r>
        <w:rPr>
          <w:rFonts w:ascii="Arial" w:cs="Arial" w:eastAsia="Arial" w:hAnsi="Arial"/>
          <w:sz w:val="15"/>
          <w:szCs w:val="15"/>
          <w:color w:val="auto"/>
        </w:rPr>
        <w:t>Biogen Idec offers a robust and highly competitive employee benefits program. As an employee, you will</w:t>
      </w:r>
      <w:r>
        <w:rPr>
          <w:rFonts w:ascii="Arial" w:cs="Arial" w:eastAsia="Arial" w:hAnsi="Arial"/>
          <w:sz w:val="15"/>
          <w:szCs w:val="15"/>
          <w:b w:val="1"/>
          <w:bCs w:val="1"/>
          <w:color w:val="auto"/>
        </w:rPr>
        <w:t xml:space="preserve"> </w:t>
      </w:r>
      <w:r>
        <w:rPr>
          <w:rFonts w:ascii="Arial" w:cs="Arial" w:eastAsia="Arial" w:hAnsi="Arial"/>
          <w:sz w:val="15"/>
          <w:szCs w:val="15"/>
          <w:color w:val="auto"/>
        </w:rPr>
        <w:t>be able to choose from a menu of options through our flexible Total Rewards program. These benefits include a 401(k) savings plan; group health care, including medical, dental, prescription drug and vision coverage; life, dependent life and disability insurance; as well as flexible spending accounts for eligible medical and dependent care expenses. You are also entitled to 20 vacation days per year, accrued on a per pay period basis. Additional benefit offerings include an Employee Stock Purchase Plan (ESPP) and work/life benefits such as a concierge service and access to subsidized back-up dependent care. Please visit Biogen Idec's Total Rewards website at [website] (user ID = [user ID], password = [password]) to familiarize yourself with Biogen Idec's complete benefit plan offerings.</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auto"/>
        </w:rPr>
        <w:t>Additional Executive Benefits</w:t>
      </w:r>
    </w:p>
    <w:p>
      <w:pPr>
        <w:spacing w:after="0" w:line="237" w:lineRule="exact"/>
        <w:rPr>
          <w:sz w:val="20"/>
          <w:szCs w:val="20"/>
          <w:color w:val="auto"/>
        </w:rPr>
      </w:pPr>
    </w:p>
    <w:p>
      <w:pPr>
        <w:ind w:left="180" w:right="20"/>
        <w:spacing w:after="0" w:line="263" w:lineRule="auto"/>
        <w:rPr>
          <w:sz w:val="20"/>
          <w:szCs w:val="20"/>
          <w:color w:val="auto"/>
        </w:rPr>
      </w:pPr>
      <w:r>
        <w:rPr>
          <w:rFonts w:ascii="Arial" w:cs="Arial" w:eastAsia="Arial" w:hAnsi="Arial"/>
          <w:sz w:val="15"/>
          <w:szCs w:val="15"/>
          <w:b w:val="1"/>
          <w:bCs w:val="1"/>
          <w:color w:val="auto"/>
        </w:rPr>
        <w:t xml:space="preserve">Supplemental Savings Plan: </w:t>
      </w:r>
      <w:r>
        <w:rPr>
          <w:rFonts w:ascii="Arial" w:cs="Arial" w:eastAsia="Arial" w:hAnsi="Arial"/>
          <w:sz w:val="15"/>
          <w:szCs w:val="15"/>
          <w:color w:val="auto"/>
        </w:rPr>
        <w:t>You will be entitled to participate in Biogen Idec's Supplemental Savings Plan (SSP). This plan allows you to make</w:t>
      </w:r>
      <w:r>
        <w:rPr>
          <w:rFonts w:ascii="Arial" w:cs="Arial" w:eastAsia="Arial" w:hAnsi="Arial"/>
          <w:sz w:val="15"/>
          <w:szCs w:val="15"/>
          <w:b w:val="1"/>
          <w:bCs w:val="1"/>
          <w:color w:val="auto"/>
        </w:rPr>
        <w:t xml:space="preserve"> </w:t>
      </w:r>
      <w:r>
        <w:rPr>
          <w:rFonts w:ascii="Arial" w:cs="Arial" w:eastAsia="Arial" w:hAnsi="Arial"/>
          <w:sz w:val="15"/>
          <w:szCs w:val="15"/>
          <w:color w:val="auto"/>
        </w:rPr>
        <w:t>pre-tax deferrals of up to 80% of your base salary and up to 100% of your Annual Bonus payment and certain other eligible incentive payments. Your contributions to this plan may be limited by your contributions towards other plans (e.g., 401(k), ESPP, medical, etc.). You will be provided with SSP enrollment information upon your employment with the Company.</w:t>
      </w:r>
    </w:p>
    <w:p>
      <w:pPr>
        <w:spacing w:after="0" w:line="192" w:lineRule="exact"/>
        <w:rPr>
          <w:sz w:val="20"/>
          <w:szCs w:val="20"/>
          <w:color w:val="auto"/>
        </w:rPr>
      </w:pPr>
    </w:p>
    <w:p>
      <w:pPr>
        <w:ind w:left="180" w:right="120"/>
        <w:spacing w:after="0" w:line="270" w:lineRule="auto"/>
        <w:rPr>
          <w:sz w:val="20"/>
          <w:szCs w:val="20"/>
          <w:color w:val="auto"/>
        </w:rPr>
      </w:pPr>
      <w:r>
        <w:rPr>
          <w:rFonts w:ascii="Arial" w:cs="Arial" w:eastAsia="Arial" w:hAnsi="Arial"/>
          <w:sz w:val="15"/>
          <w:szCs w:val="15"/>
          <w:b w:val="1"/>
          <w:bCs w:val="1"/>
          <w:color w:val="auto"/>
        </w:rPr>
        <w:t xml:space="preserve">Life Insurance: </w:t>
      </w:r>
      <w:r>
        <w:rPr>
          <w:rFonts w:ascii="Arial" w:cs="Arial" w:eastAsia="Arial" w:hAnsi="Arial"/>
          <w:sz w:val="15"/>
          <w:szCs w:val="15"/>
          <w:color w:val="auto"/>
        </w:rPr>
        <w:t>You will be provided life insurance coverage equal to three times your annual base salary, subject to meeting the medical</w:t>
      </w:r>
      <w:r>
        <w:rPr>
          <w:rFonts w:ascii="Arial" w:cs="Arial" w:eastAsia="Arial" w:hAnsi="Arial"/>
          <w:sz w:val="15"/>
          <w:szCs w:val="15"/>
          <w:b w:val="1"/>
          <w:bCs w:val="1"/>
          <w:color w:val="auto"/>
        </w:rPr>
        <w:t xml:space="preserve"> </w:t>
      </w:r>
      <w:r>
        <w:rPr>
          <w:rFonts w:ascii="Arial" w:cs="Arial" w:eastAsia="Arial" w:hAnsi="Arial"/>
          <w:sz w:val="15"/>
          <w:szCs w:val="15"/>
          <w:color w:val="auto"/>
        </w:rPr>
        <w:t>standards stated in the group term life insurance policy for U.S. employees. Biogen Idec pays the premium for this insurance. The IRS requires employers to impute the value of company-paid life insurance for coverage over $50,000. This imputed income will be displayed on your pay stub.</w:t>
      </w:r>
    </w:p>
    <w:p>
      <w:pPr>
        <w:spacing w:after="0" w:line="186" w:lineRule="exact"/>
        <w:rPr>
          <w:sz w:val="20"/>
          <w:szCs w:val="20"/>
          <w:color w:val="auto"/>
        </w:rPr>
      </w:pPr>
    </w:p>
    <w:p>
      <w:pPr>
        <w:ind w:left="180" w:right="60"/>
        <w:spacing w:after="0" w:line="263" w:lineRule="auto"/>
        <w:rPr>
          <w:sz w:val="20"/>
          <w:szCs w:val="20"/>
          <w:color w:val="auto"/>
        </w:rPr>
      </w:pPr>
      <w:r>
        <w:rPr>
          <w:rFonts w:ascii="Arial" w:cs="Arial" w:eastAsia="Arial" w:hAnsi="Arial"/>
          <w:sz w:val="15"/>
          <w:szCs w:val="15"/>
          <w:b w:val="1"/>
          <w:bCs w:val="1"/>
          <w:color w:val="auto"/>
        </w:rPr>
        <w:t xml:space="preserve">Severance: </w:t>
      </w:r>
      <w:r>
        <w:rPr>
          <w:rFonts w:ascii="Arial" w:cs="Arial" w:eastAsia="Arial" w:hAnsi="Arial"/>
          <w:sz w:val="15"/>
          <w:szCs w:val="15"/>
          <w:color w:val="auto"/>
        </w:rPr>
        <w:t>Under certain circumstances, you will be entitled to receive severance benefits. Your severance benefits are explained in detail in the</w:t>
      </w:r>
      <w:r>
        <w:rPr>
          <w:rFonts w:ascii="Arial" w:cs="Arial" w:eastAsia="Arial" w:hAnsi="Arial"/>
          <w:sz w:val="15"/>
          <w:szCs w:val="15"/>
          <w:b w:val="1"/>
          <w:bCs w:val="1"/>
          <w:color w:val="auto"/>
        </w:rPr>
        <w:t xml:space="preserve"> </w:t>
      </w:r>
      <w:r>
        <w:rPr>
          <w:rFonts w:ascii="Arial" w:cs="Arial" w:eastAsia="Arial" w:hAnsi="Arial"/>
          <w:sz w:val="15"/>
          <w:szCs w:val="15"/>
          <w:color w:val="auto"/>
        </w:rPr>
        <w:t>attached executive severance document. If your total severance benefits will trigger 28OG excise taxes, you may elect to have Biogen Idec reduce the amount of your total payment to reduce your total payments to an amount below the 28OG trigger. To facilitate your decision, Biogen Idec will estimate whether any 28OG excise tax will be owed on severance and the amount of that excise tax.</w:t>
      </w:r>
    </w:p>
    <w:p>
      <w:pPr>
        <w:spacing w:after="0" w:line="192" w:lineRule="exact"/>
        <w:rPr>
          <w:sz w:val="20"/>
          <w:szCs w:val="20"/>
          <w:color w:val="auto"/>
        </w:rPr>
      </w:pPr>
    </w:p>
    <w:p>
      <w:pPr>
        <w:ind w:left="180"/>
        <w:spacing w:after="0" w:line="260" w:lineRule="auto"/>
        <w:rPr>
          <w:sz w:val="20"/>
          <w:szCs w:val="20"/>
          <w:color w:val="auto"/>
        </w:rPr>
      </w:pPr>
      <w:r>
        <w:rPr>
          <w:rFonts w:ascii="Arial" w:cs="Arial" w:eastAsia="Arial" w:hAnsi="Arial"/>
          <w:sz w:val="15"/>
          <w:szCs w:val="15"/>
          <w:b w:val="1"/>
          <w:bCs w:val="1"/>
          <w:color w:val="auto"/>
        </w:rPr>
        <w:t xml:space="preserve">Tax Preparation, Financial and Estate Planning: </w:t>
      </w:r>
      <w:r>
        <w:rPr>
          <w:rFonts w:ascii="Arial" w:cs="Arial" w:eastAsia="Arial" w:hAnsi="Arial"/>
          <w:sz w:val="15"/>
          <w:szCs w:val="15"/>
          <w:color w:val="auto"/>
        </w:rPr>
        <w:t>You are entitled to reimbursement of up to $4,500 per calendar year (January 1 - December 31)</w:t>
      </w:r>
      <w:r>
        <w:rPr>
          <w:rFonts w:ascii="Arial" w:cs="Arial" w:eastAsia="Arial" w:hAnsi="Arial"/>
          <w:sz w:val="15"/>
          <w:szCs w:val="15"/>
          <w:b w:val="1"/>
          <w:bCs w:val="1"/>
          <w:color w:val="auto"/>
        </w:rPr>
        <w:t xml:space="preserve"> </w:t>
      </w:r>
      <w:r>
        <w:rPr>
          <w:rFonts w:ascii="Arial" w:cs="Arial" w:eastAsia="Arial" w:hAnsi="Arial"/>
          <w:sz w:val="15"/>
          <w:szCs w:val="15"/>
          <w:color w:val="auto"/>
        </w:rPr>
        <w:t>for expenses incurred due to tax preparation, financial and/or estate planning services, as well as the purchase of tax preparation and/or financial planning software. You will be provided with details of this benefit upon your employment with the Company. Reimbursement must be made no later than the end of the calendar year following the year in which the expense is incurred, and must be requested within the deadlines and processes established in the policy.</w:t>
      </w:r>
    </w:p>
    <w:p>
      <w:pPr>
        <w:sectPr>
          <w:pgSz w:w="11900" w:h="16838" w:orient="portrait"/>
          <w:cols w:equalWidth="0" w:num="1">
            <w:col w:w="10200"/>
          </w:cols>
          <w:pgMar w:left="1440" w:top="1199" w:right="259" w:bottom="1440" w:gutter="0" w:footer="0" w:header="0"/>
        </w:sectPr>
      </w:pPr>
    </w:p>
    <w:bookmarkStart w:id="194" w:name="page195"/>
    <w:bookmarkEnd w:id="194"/>
    <w:p>
      <w:pPr>
        <w:ind w:left="302"/>
        <w:spacing w:after="0"/>
        <w:rPr>
          <w:sz w:val="20"/>
          <w:szCs w:val="20"/>
          <w:color w:val="auto"/>
        </w:rPr>
      </w:pPr>
      <w:r>
        <w:rPr>
          <w:rFonts w:ascii="Arial" w:cs="Arial" w:eastAsia="Arial" w:hAnsi="Arial"/>
          <w:sz w:val="15"/>
          <w:szCs w:val="15"/>
          <w:color w:val="auto"/>
        </w:rPr>
        <w:t>You are required to satisfy the following contingencies prior to employment at Biogen Idec.</w:t>
      </w:r>
    </w:p>
    <w:p>
      <w:pPr>
        <w:spacing w:after="0" w:line="245" w:lineRule="exact"/>
        <w:rPr>
          <w:sz w:val="20"/>
          <w:szCs w:val="20"/>
          <w:color w:val="auto"/>
        </w:rPr>
      </w:pPr>
    </w:p>
    <w:p>
      <w:pPr>
        <w:ind w:left="302" w:right="140" w:hanging="302"/>
        <w:spacing w:after="0" w:line="308" w:lineRule="auto"/>
        <w:tabs>
          <w:tab w:leader="none" w:pos="302" w:val="left"/>
        </w:tabs>
        <w:numPr>
          <w:ilvl w:val="0"/>
          <w:numId w:val="156"/>
        </w:numPr>
        <w:rPr>
          <w:rFonts w:ascii="Arial" w:cs="Arial" w:eastAsia="Arial" w:hAnsi="Arial"/>
          <w:sz w:val="20"/>
          <w:szCs w:val="20"/>
          <w:color w:val="auto"/>
        </w:rPr>
      </w:pPr>
      <w:r>
        <w:rPr>
          <w:rFonts w:ascii="Arial" w:cs="Arial" w:eastAsia="Arial" w:hAnsi="Arial"/>
          <w:sz w:val="15"/>
          <w:szCs w:val="15"/>
          <w:b w:val="1"/>
          <w:bCs w:val="1"/>
          <w:color w:val="auto"/>
        </w:rPr>
        <w:t xml:space="preserve">Drug Screen: </w:t>
      </w:r>
      <w:r>
        <w:rPr>
          <w:rFonts w:ascii="Arial" w:cs="Arial" w:eastAsia="Arial" w:hAnsi="Arial"/>
          <w:sz w:val="15"/>
          <w:szCs w:val="15"/>
          <w:color w:val="auto"/>
        </w:rPr>
        <w:t>A completed drug-screening test is required within one (1) week of accepting this offer of employment. Please see the enclosed</w:t>
      </w:r>
      <w:r>
        <w:rPr>
          <w:rFonts w:ascii="Arial" w:cs="Arial" w:eastAsia="Arial" w:hAnsi="Arial"/>
          <w:sz w:val="15"/>
          <w:szCs w:val="15"/>
          <w:b w:val="1"/>
          <w:bCs w:val="1"/>
          <w:color w:val="auto"/>
        </w:rPr>
        <w:t xml:space="preserve"> </w:t>
      </w:r>
      <w:r>
        <w:rPr>
          <w:rFonts w:ascii="Arial" w:cs="Arial" w:eastAsia="Arial" w:hAnsi="Arial"/>
          <w:sz w:val="15"/>
          <w:szCs w:val="15"/>
          <w:color w:val="auto"/>
        </w:rPr>
        <w:t>information regarding Biogen Idec's Pre-Employment Drug Testing program. Your employment is subject to Biogen Idec receiving negative results (i.e., no drugs found) from your drug test.</w:t>
      </w:r>
    </w:p>
    <w:p>
      <w:pPr>
        <w:spacing w:after="0" w:line="222" w:lineRule="exact"/>
        <w:rPr>
          <w:rFonts w:ascii="Arial" w:cs="Arial" w:eastAsia="Arial" w:hAnsi="Arial"/>
          <w:sz w:val="20"/>
          <w:szCs w:val="20"/>
          <w:color w:val="auto"/>
        </w:rPr>
      </w:pPr>
    </w:p>
    <w:p>
      <w:pPr>
        <w:ind w:left="302" w:right="80" w:hanging="302"/>
        <w:spacing w:after="0" w:line="322" w:lineRule="auto"/>
        <w:tabs>
          <w:tab w:leader="none" w:pos="302" w:val="left"/>
        </w:tabs>
        <w:numPr>
          <w:ilvl w:val="0"/>
          <w:numId w:val="156"/>
        </w:numPr>
        <w:rPr>
          <w:rFonts w:ascii="Arial" w:cs="Arial" w:eastAsia="Arial" w:hAnsi="Arial"/>
          <w:sz w:val="20"/>
          <w:szCs w:val="20"/>
          <w:color w:val="auto"/>
        </w:rPr>
      </w:pPr>
      <w:r>
        <w:rPr>
          <w:rFonts w:ascii="Arial" w:cs="Arial" w:eastAsia="Arial" w:hAnsi="Arial"/>
          <w:sz w:val="15"/>
          <w:szCs w:val="15"/>
          <w:b w:val="1"/>
          <w:bCs w:val="1"/>
          <w:color w:val="auto"/>
        </w:rPr>
        <w:t xml:space="preserve">Background Check: </w:t>
      </w:r>
      <w:r>
        <w:rPr>
          <w:rFonts w:ascii="Arial" w:cs="Arial" w:eastAsia="Arial" w:hAnsi="Arial"/>
          <w:sz w:val="15"/>
          <w:szCs w:val="15"/>
          <w:color w:val="auto"/>
        </w:rPr>
        <w:t>Your employment is subject to satisfactory completion of Biogen Idec's background check, which includes verification of</w:t>
      </w:r>
      <w:r>
        <w:rPr>
          <w:rFonts w:ascii="Arial" w:cs="Arial" w:eastAsia="Arial" w:hAnsi="Arial"/>
          <w:sz w:val="15"/>
          <w:szCs w:val="15"/>
          <w:b w:val="1"/>
          <w:bCs w:val="1"/>
          <w:color w:val="auto"/>
        </w:rPr>
        <w:t xml:space="preserve"> </w:t>
      </w:r>
      <w:r>
        <w:rPr>
          <w:rFonts w:ascii="Arial" w:cs="Arial" w:eastAsia="Arial" w:hAnsi="Arial"/>
          <w:sz w:val="15"/>
          <w:szCs w:val="15"/>
          <w:color w:val="auto"/>
        </w:rPr>
        <w:t>employment history, educational and professional licenses, degrees and/or credentials, a criminal records check, a Social Security Number search and verification of any other professional qualifications that your position responsibilities at Biogen Idec may warrant. Completion of your online Application for Employment authorizes Biogen Idec to conduct these background checks. If you have any questions about the background check, please contact your Biogen idec recruiter.</w:t>
      </w:r>
    </w:p>
    <w:p>
      <w:pPr>
        <w:spacing w:after="0" w:line="212" w:lineRule="exact"/>
        <w:rPr>
          <w:rFonts w:ascii="Arial" w:cs="Arial" w:eastAsia="Arial" w:hAnsi="Arial"/>
          <w:sz w:val="20"/>
          <w:szCs w:val="20"/>
          <w:color w:val="auto"/>
        </w:rPr>
      </w:pPr>
    </w:p>
    <w:p>
      <w:pPr>
        <w:ind w:left="302" w:right="120" w:hanging="302"/>
        <w:spacing w:after="0" w:line="317" w:lineRule="auto"/>
        <w:tabs>
          <w:tab w:leader="none" w:pos="302" w:val="left"/>
        </w:tabs>
        <w:numPr>
          <w:ilvl w:val="0"/>
          <w:numId w:val="156"/>
        </w:numPr>
        <w:rPr>
          <w:rFonts w:ascii="Arial" w:cs="Arial" w:eastAsia="Arial" w:hAnsi="Arial"/>
          <w:sz w:val="20"/>
          <w:szCs w:val="20"/>
          <w:b w:val="1"/>
          <w:bCs w:val="1"/>
          <w:color w:val="auto"/>
        </w:rPr>
      </w:pPr>
      <w:r>
        <w:rPr>
          <w:rFonts w:ascii="Arial" w:cs="Arial" w:eastAsia="Arial" w:hAnsi="Arial"/>
          <w:sz w:val="15"/>
          <w:szCs w:val="15"/>
          <w:b w:val="1"/>
          <w:bCs w:val="1"/>
          <w:color w:val="auto"/>
        </w:rPr>
        <w:t xml:space="preserve">New Employee Forms: </w:t>
      </w:r>
      <w:r>
        <w:rPr>
          <w:rFonts w:ascii="Arial" w:cs="Arial" w:eastAsia="Arial" w:hAnsi="Arial"/>
          <w:sz w:val="15"/>
          <w:szCs w:val="15"/>
          <w:color w:val="auto"/>
        </w:rPr>
        <w:t>Upon your acceptance of Biogen Idec's offer of employment, please visit our Company website, www.biogenidec.com.</w:t>
      </w:r>
      <w:r>
        <w:rPr>
          <w:rFonts w:ascii="Arial" w:cs="Arial" w:eastAsia="Arial" w:hAnsi="Arial"/>
          <w:sz w:val="15"/>
          <w:szCs w:val="15"/>
          <w:b w:val="1"/>
          <w:bCs w:val="1"/>
          <w:color w:val="auto"/>
        </w:rPr>
        <w:t xml:space="preserve"> </w:t>
      </w:r>
      <w:r>
        <w:rPr>
          <w:rFonts w:ascii="Arial" w:cs="Arial" w:eastAsia="Arial" w:hAnsi="Arial"/>
          <w:sz w:val="15"/>
          <w:szCs w:val="15"/>
          <w:color w:val="auto"/>
        </w:rPr>
        <w:t>Under 'Careers,' click 'New Employees.' This site contains the forms you must complete in order to add you to Biogen Idec's Payroll and Human Resources systems. Completion of these forms is required within 48 hours of accepting this offer of employment at Biogen idec. Your username is [username] and your password is [password].</w:t>
      </w:r>
    </w:p>
    <w:p>
      <w:pPr>
        <w:spacing w:after="0" w:line="216" w:lineRule="exact"/>
        <w:rPr>
          <w:rFonts w:ascii="Arial" w:cs="Arial" w:eastAsia="Arial" w:hAnsi="Arial"/>
          <w:sz w:val="20"/>
          <w:szCs w:val="20"/>
          <w:b w:val="1"/>
          <w:bCs w:val="1"/>
          <w:color w:val="auto"/>
        </w:rPr>
      </w:pPr>
    </w:p>
    <w:p>
      <w:pPr>
        <w:ind w:left="302" w:right="60" w:hanging="302"/>
        <w:spacing w:after="0" w:line="319" w:lineRule="auto"/>
        <w:tabs>
          <w:tab w:leader="none" w:pos="302" w:val="left"/>
        </w:tabs>
        <w:numPr>
          <w:ilvl w:val="0"/>
          <w:numId w:val="156"/>
        </w:numPr>
        <w:rPr>
          <w:rFonts w:ascii="Arial" w:cs="Arial" w:eastAsia="Arial" w:hAnsi="Arial"/>
          <w:sz w:val="20"/>
          <w:szCs w:val="20"/>
          <w:b w:val="1"/>
          <w:bCs w:val="1"/>
          <w:color w:val="auto"/>
        </w:rPr>
      </w:pPr>
      <w:r>
        <w:rPr>
          <w:rFonts w:ascii="Arial" w:cs="Arial" w:eastAsia="Arial" w:hAnsi="Arial"/>
          <w:sz w:val="15"/>
          <w:szCs w:val="15"/>
          <w:b w:val="1"/>
          <w:bCs w:val="1"/>
          <w:color w:val="auto"/>
        </w:rPr>
        <w:t xml:space="preserve">Authorization to Work in the United States: </w:t>
      </w:r>
      <w:r>
        <w:rPr>
          <w:rFonts w:ascii="Arial" w:cs="Arial" w:eastAsia="Arial" w:hAnsi="Arial"/>
          <w:sz w:val="15"/>
          <w:szCs w:val="15"/>
          <w:color w:val="auto"/>
        </w:rPr>
        <w:t>The Federal government requires you to provide proper identification verifying your eligibility to work</w:t>
      </w:r>
      <w:r>
        <w:rPr>
          <w:rFonts w:ascii="Arial" w:cs="Arial" w:eastAsia="Arial" w:hAnsi="Arial"/>
          <w:sz w:val="15"/>
          <w:szCs w:val="15"/>
          <w:b w:val="1"/>
          <w:bCs w:val="1"/>
          <w:color w:val="auto"/>
        </w:rPr>
        <w:t xml:space="preserve"> </w:t>
      </w:r>
      <w:r>
        <w:rPr>
          <w:rFonts w:ascii="Arial" w:cs="Arial" w:eastAsia="Arial" w:hAnsi="Arial"/>
          <w:sz w:val="15"/>
          <w:szCs w:val="15"/>
          <w:color w:val="auto"/>
        </w:rPr>
        <w:t>in the United States. Please bring documents necessary to complete the Employment Eligibility Verification Form 1-9 on your first day of employment.</w:t>
      </w:r>
    </w:p>
    <w:p>
      <w:pPr>
        <w:spacing w:after="0" w:line="200" w:lineRule="exact"/>
        <w:rPr>
          <w:rFonts w:ascii="Arial" w:cs="Arial" w:eastAsia="Arial" w:hAnsi="Arial"/>
          <w:sz w:val="20"/>
          <w:szCs w:val="20"/>
          <w:b w:val="1"/>
          <w:bCs w:val="1"/>
          <w:color w:val="auto"/>
        </w:rPr>
      </w:pPr>
    </w:p>
    <w:p>
      <w:pPr>
        <w:spacing w:after="0" w:line="225" w:lineRule="exact"/>
        <w:rPr>
          <w:rFonts w:ascii="Arial" w:cs="Arial" w:eastAsia="Arial" w:hAnsi="Arial"/>
          <w:sz w:val="20"/>
          <w:szCs w:val="20"/>
          <w:b w:val="1"/>
          <w:bCs w:val="1"/>
          <w:color w:val="auto"/>
        </w:rPr>
      </w:pPr>
    </w:p>
    <w:p>
      <w:pPr>
        <w:ind w:left="302" w:hanging="302"/>
        <w:spacing w:after="0" w:line="317" w:lineRule="auto"/>
        <w:tabs>
          <w:tab w:leader="none" w:pos="302" w:val="left"/>
        </w:tabs>
        <w:numPr>
          <w:ilvl w:val="0"/>
          <w:numId w:val="156"/>
        </w:numPr>
        <w:rPr>
          <w:rFonts w:ascii="Arial" w:cs="Arial" w:eastAsia="Arial" w:hAnsi="Arial"/>
          <w:sz w:val="20"/>
          <w:szCs w:val="20"/>
          <w:b w:val="1"/>
          <w:bCs w:val="1"/>
          <w:color w:val="auto"/>
        </w:rPr>
      </w:pPr>
      <w:r>
        <w:rPr>
          <w:rFonts w:ascii="Arial" w:cs="Arial" w:eastAsia="Arial" w:hAnsi="Arial"/>
          <w:sz w:val="15"/>
          <w:szCs w:val="15"/>
          <w:b w:val="1"/>
          <w:bCs w:val="1"/>
          <w:color w:val="auto"/>
        </w:rPr>
        <w:t xml:space="preserve">Signed Proprietary Agreement: </w:t>
      </w:r>
      <w:r>
        <w:rPr>
          <w:rFonts w:ascii="Arial" w:cs="Arial" w:eastAsia="Arial" w:hAnsi="Arial"/>
          <w:sz w:val="15"/>
          <w:szCs w:val="15"/>
          <w:color w:val="auto"/>
        </w:rPr>
        <w:t>In order to protect Biogen Idec's substantial investment in creating and maintaining its confidential and proprietary</w:t>
      </w:r>
      <w:r>
        <w:rPr>
          <w:rFonts w:ascii="Arial" w:cs="Arial" w:eastAsia="Arial" w:hAnsi="Arial"/>
          <w:sz w:val="15"/>
          <w:szCs w:val="15"/>
          <w:b w:val="1"/>
          <w:bCs w:val="1"/>
          <w:color w:val="auto"/>
        </w:rPr>
        <w:t xml:space="preserve"> </w:t>
      </w:r>
      <w:r>
        <w:rPr>
          <w:rFonts w:ascii="Arial" w:cs="Arial" w:eastAsia="Arial" w:hAnsi="Arial"/>
          <w:sz w:val="15"/>
          <w:szCs w:val="15"/>
          <w:color w:val="auto"/>
        </w:rPr>
        <w:t>information, and to maintain goodwill with our customers, vendors and other business partners, you will be required to sign our 'Employee Proprietary Information and Inventions and Dispute Resolution Agreement' as a condition of employment. A copy of the Agreement is enclosed with this letter for your reference. Please sign and return this Agreement with your signed acceptance of our offer.</w:t>
      </w:r>
    </w:p>
    <w:p>
      <w:pPr>
        <w:sectPr>
          <w:pgSz w:w="11900" w:h="16838" w:orient="portrait"/>
          <w:cols w:equalWidth="0" w:num="1">
            <w:col w:w="10322"/>
          </w:cols>
          <w:pgMar w:left="1318" w:top="1217" w:right="259" w:bottom="1440" w:gutter="0" w:footer="0" w:header="0"/>
        </w:sectPr>
      </w:pPr>
    </w:p>
    <w:bookmarkStart w:id="195" w:name="page196"/>
    <w:bookmarkEnd w:id="195"/>
    <w:p>
      <w:pPr>
        <w:ind w:left="180" w:right="160"/>
        <w:spacing w:after="0" w:line="280" w:lineRule="auto"/>
        <w:rPr>
          <w:sz w:val="20"/>
          <w:szCs w:val="20"/>
          <w:color w:val="auto"/>
        </w:rPr>
      </w:pPr>
      <w:r>
        <w:rPr>
          <w:rFonts w:ascii="Arial" w:cs="Arial" w:eastAsia="Arial" w:hAnsi="Arial"/>
          <w:sz w:val="15"/>
          <w:szCs w:val="15"/>
          <w:b w:val="1"/>
          <w:bCs w:val="1"/>
          <w:color w:val="auto"/>
        </w:rPr>
        <w:t>Your employment at Biogen Idec is employment at-will. This means that just as you are free to leave your employment at any time, with or without cause or notice, Biogen Idec also has the same right to terminate your employment at any time, with or without cause or notice.</w:t>
      </w:r>
    </w:p>
    <w:p>
      <w:pPr>
        <w:spacing w:after="0" w:line="384" w:lineRule="exact"/>
        <w:rPr>
          <w:sz w:val="20"/>
          <w:szCs w:val="20"/>
          <w:color w:val="auto"/>
        </w:rPr>
      </w:pPr>
    </w:p>
    <w:p>
      <w:pPr>
        <w:ind w:left="180" w:right="140"/>
        <w:spacing w:after="0" w:line="255" w:lineRule="auto"/>
        <w:rPr>
          <w:sz w:val="20"/>
          <w:szCs w:val="20"/>
          <w:color w:val="auto"/>
        </w:rPr>
      </w:pPr>
      <w:r>
        <w:rPr>
          <w:rFonts w:ascii="Arial" w:cs="Arial" w:eastAsia="Arial" w:hAnsi="Arial"/>
          <w:sz w:val="15"/>
          <w:szCs w:val="15"/>
          <w:color w:val="auto"/>
        </w:rPr>
        <w:t>To confirm your acceptance of this offer of employment, please sign and return this letter and keep the other copy for your records. Review and complete the enclosed New Employee Checklist with actions required in order to begin your acceptance process. Your new employee paperwork should be completed on line within 48 hours of accepting this offer and the drug screen should be completed within one (1) week of accepting this offer of employment.</w:t>
      </w:r>
    </w:p>
    <w:p>
      <w:pPr>
        <w:spacing w:after="0" w:line="215" w:lineRule="exact"/>
        <w:rPr>
          <w:sz w:val="20"/>
          <w:szCs w:val="20"/>
          <w:color w:val="auto"/>
        </w:rPr>
      </w:pPr>
    </w:p>
    <w:p>
      <w:pPr>
        <w:jc w:val="both"/>
        <w:ind w:left="180" w:right="100"/>
        <w:spacing w:after="0" w:line="255" w:lineRule="auto"/>
        <w:rPr>
          <w:sz w:val="20"/>
          <w:szCs w:val="20"/>
          <w:color w:val="auto"/>
        </w:rPr>
      </w:pPr>
      <w:r>
        <w:rPr>
          <w:rFonts w:ascii="Arial" w:cs="Arial" w:eastAsia="Arial" w:hAnsi="Arial"/>
          <w:sz w:val="15"/>
          <w:szCs w:val="15"/>
          <w:color w:val="auto"/>
        </w:rPr>
        <w:t>Please work with your supervisor or Biogen Idec recruiter to establish a start date. Your start date must be a Monday coinciding with Biogen Idec's New Employee Orientation schedule which is included in your offer package details. (unless it is a holiday, in which case your start date will be on the Tuesday of that week). The New Employee Checklist provides an overview of all required steps and instructions to prepare for your first day of employment.</w:t>
      </w:r>
    </w:p>
    <w:p>
      <w:pPr>
        <w:spacing w:after="0" w:line="215" w:lineRule="exact"/>
        <w:rPr>
          <w:sz w:val="20"/>
          <w:szCs w:val="20"/>
          <w:color w:val="auto"/>
        </w:rPr>
      </w:pPr>
    </w:p>
    <w:p>
      <w:pPr>
        <w:ind w:left="180"/>
        <w:spacing w:after="0" w:line="266" w:lineRule="auto"/>
        <w:rPr>
          <w:sz w:val="20"/>
          <w:szCs w:val="20"/>
          <w:color w:val="auto"/>
        </w:rPr>
      </w:pPr>
      <w:r>
        <w:rPr>
          <w:rFonts w:ascii="Arial" w:cs="Arial" w:eastAsia="Arial" w:hAnsi="Arial"/>
          <w:sz w:val="15"/>
          <w:szCs w:val="15"/>
          <w:color w:val="auto"/>
        </w:rPr>
        <w:t>We are very excited about the prospect of you joining Biogen Idec. We encourage you to accept this offer of employment, noting your intended start date, by February 29, 2012.</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5"/>
          <w:szCs w:val="15"/>
          <w:color w:val="auto"/>
        </w:rPr>
        <w:t>Best regards,</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5"/>
          <w:szCs w:val="15"/>
          <w:color w:val="auto"/>
        </w:rPr>
        <w:t>/s/ Luci Celona</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5"/>
          <w:szCs w:val="15"/>
          <w:color w:val="auto"/>
        </w:rPr>
        <w:t>Luci Celona</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Vice President, Human Resources</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cc: Paul Clancy</w:t>
      </w:r>
    </w:p>
    <w:p>
      <w:pPr>
        <w:spacing w:after="0" w:line="200" w:lineRule="exact"/>
        <w:rPr>
          <w:sz w:val="20"/>
          <w:szCs w:val="20"/>
          <w:color w:val="auto"/>
        </w:rPr>
      </w:pPr>
    </w:p>
    <w:p>
      <w:pPr>
        <w:spacing w:after="0" w:line="242" w:lineRule="exact"/>
        <w:rPr>
          <w:sz w:val="20"/>
          <w:szCs w:val="20"/>
          <w:color w:val="auto"/>
        </w:rPr>
      </w:pPr>
    </w:p>
    <w:p>
      <w:pPr>
        <w:ind w:left="180" w:right="820"/>
        <w:spacing w:after="0" w:line="266" w:lineRule="auto"/>
        <w:rPr>
          <w:sz w:val="20"/>
          <w:szCs w:val="20"/>
          <w:color w:val="auto"/>
        </w:rPr>
      </w:pPr>
      <w:r>
        <w:rPr>
          <w:rFonts w:ascii="Arial" w:cs="Arial" w:eastAsia="Arial" w:hAnsi="Arial"/>
          <w:sz w:val="15"/>
          <w:szCs w:val="15"/>
          <w:color w:val="auto"/>
        </w:rPr>
        <w:t>I accept this offer of employment and acknowledge the contingencies of employment described above, including the at-will nature of my employment.</w:t>
      </w:r>
    </w:p>
    <w:p>
      <w:pPr>
        <w:spacing w:after="0" w:line="189" w:lineRule="exact"/>
        <w:rPr>
          <w:sz w:val="20"/>
          <w:szCs w:val="20"/>
          <w:color w:val="auto"/>
        </w:rPr>
      </w:pPr>
    </w:p>
    <w:tbl>
      <w:tblPr>
        <w:tblLayout w:type="fixed"/>
        <w:tblInd w:w="180" w:type="dxa"/>
        <w:tblCellMar>
          <w:top w:w="0" w:type="dxa"/>
          <w:left w:w="0" w:type="dxa"/>
          <w:bottom w:w="0" w:type="dxa"/>
          <w:right w:w="0" w:type="dxa"/>
        </w:tblCellMar>
      </w:tblPr>
      <w:tr>
        <w:trPr>
          <w:trHeight w:val="203"/>
        </w:trPr>
        <w:tc>
          <w:tcPr>
            <w:tcW w:w="1220" w:type="dxa"/>
            <w:vAlign w:val="bottom"/>
          </w:tcPr>
          <w:p>
            <w:pPr>
              <w:spacing w:after="0"/>
              <w:rPr>
                <w:sz w:val="20"/>
                <w:szCs w:val="20"/>
                <w:color w:val="auto"/>
              </w:rPr>
            </w:pPr>
            <w:r>
              <w:rPr>
                <w:rFonts w:ascii="Arial" w:cs="Arial" w:eastAsia="Arial" w:hAnsi="Arial"/>
                <w:sz w:val="15"/>
                <w:szCs w:val="15"/>
                <w:b w:val="1"/>
                <w:bCs w:val="1"/>
                <w:color w:val="auto"/>
              </w:rPr>
              <w:t>ACCEPTED:</w:t>
            </w:r>
          </w:p>
        </w:tc>
        <w:tc>
          <w:tcPr>
            <w:tcW w:w="1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377"/>
        </w:trPr>
        <w:tc>
          <w:tcPr>
            <w:tcW w:w="12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Greg Covino</w:t>
            </w:r>
          </w:p>
        </w:tc>
        <w:tc>
          <w:tcPr>
            <w:tcW w:w="134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color w:val="auto"/>
              </w:rPr>
              <w:t>2/27/12</w:t>
            </w:r>
          </w:p>
        </w:tc>
        <w:tc>
          <w:tcPr>
            <w:tcW w:w="90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rPr>
              <w:t>4/2/12</w:t>
            </w:r>
          </w:p>
        </w:tc>
        <w:tc>
          <w:tcPr>
            <w:tcW w:w="320" w:type="dxa"/>
            <w:vAlign w:val="bottom"/>
          </w:tcPr>
          <w:p>
            <w:pPr>
              <w:spacing w:after="0"/>
              <w:rPr>
                <w:sz w:val="24"/>
                <w:szCs w:val="24"/>
                <w:color w:val="auto"/>
              </w:rPr>
            </w:pPr>
          </w:p>
        </w:tc>
      </w:tr>
      <w:tr>
        <w:trPr>
          <w:trHeight w:val="218"/>
        </w:trPr>
        <w:tc>
          <w:tcPr>
            <w:tcW w:w="1220" w:type="dxa"/>
            <w:vAlign w:val="bottom"/>
          </w:tcPr>
          <w:p>
            <w:pPr>
              <w:spacing w:after="0"/>
              <w:rPr>
                <w:sz w:val="20"/>
                <w:szCs w:val="20"/>
                <w:color w:val="auto"/>
              </w:rPr>
            </w:pPr>
            <w:r>
              <w:rPr>
                <w:rFonts w:ascii="Arial" w:cs="Arial" w:eastAsia="Arial" w:hAnsi="Arial"/>
                <w:sz w:val="15"/>
                <w:szCs w:val="15"/>
                <w:color w:val="auto"/>
              </w:rPr>
              <w:t>Greg Covino</w:t>
            </w:r>
          </w:p>
        </w:tc>
        <w:tc>
          <w:tcPr>
            <w:tcW w:w="1340" w:type="dxa"/>
            <w:vAlign w:val="bottom"/>
          </w:tcPr>
          <w:p>
            <w:pPr>
              <w:jc w:val="right"/>
              <w:ind w:right="83"/>
              <w:spacing w:after="0"/>
              <w:rPr>
                <w:sz w:val="20"/>
                <w:szCs w:val="20"/>
                <w:color w:val="auto"/>
              </w:rPr>
            </w:pPr>
            <w:r>
              <w:rPr>
                <w:rFonts w:ascii="Arial" w:cs="Arial" w:eastAsia="Arial" w:hAnsi="Arial"/>
                <w:sz w:val="15"/>
                <w:szCs w:val="15"/>
                <w:color w:val="auto"/>
              </w:rPr>
              <w:t>Signature Date</w:t>
            </w:r>
          </w:p>
        </w:tc>
        <w:tc>
          <w:tcPr>
            <w:tcW w:w="1220" w:type="dxa"/>
            <w:vAlign w:val="bottom"/>
            <w:gridSpan w:val="2"/>
          </w:tcPr>
          <w:p>
            <w:pPr>
              <w:ind w:left="520"/>
              <w:spacing w:after="0"/>
              <w:rPr>
                <w:sz w:val="20"/>
                <w:szCs w:val="20"/>
                <w:color w:val="auto"/>
              </w:rPr>
            </w:pPr>
            <w:r>
              <w:rPr>
                <w:rFonts w:ascii="Arial" w:cs="Arial" w:eastAsia="Arial" w:hAnsi="Arial"/>
                <w:sz w:val="15"/>
                <w:szCs w:val="15"/>
                <w:color w:val="auto"/>
              </w:rPr>
              <w:t>Start Date</w:t>
            </w:r>
          </w:p>
        </w:tc>
      </w:tr>
    </w:tbl>
    <w:p>
      <w:pPr>
        <w:sectPr>
          <w:pgSz w:w="11900" w:h="16838" w:orient="portrait"/>
          <w:cols w:equalWidth="0" w:num="1">
            <w:col w:w="10200"/>
          </w:cols>
          <w:pgMar w:left="1440" w:top="1404" w:right="259" w:bottom="1440" w:gutter="0" w:footer="0" w:header="0"/>
        </w:sectPr>
      </w:pPr>
    </w:p>
    <w:bookmarkStart w:id="196" w:name="page197"/>
    <w:bookmarkEnd w:id="196"/>
    <w:p>
      <w:pPr>
        <w:jc w:val="right"/>
        <w:spacing w:after="0"/>
        <w:rPr>
          <w:sz w:val="20"/>
          <w:szCs w:val="20"/>
          <w:color w:val="auto"/>
        </w:rPr>
      </w:pPr>
      <w:r>
        <w:rPr>
          <w:rFonts w:ascii="Arial" w:cs="Arial" w:eastAsia="Arial" w:hAnsi="Arial"/>
          <w:sz w:val="15"/>
          <w:szCs w:val="15"/>
          <w:u w:val="single" w:color="auto"/>
          <w:color w:val="auto"/>
        </w:rPr>
        <w:t>Exhibit 10.33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27305</wp:posOffset>
            </wp:positionV>
            <wp:extent cx="1406525" cy="4635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3">
                      <a:extLst>
                        <a:ext uri="{28A0092B-C50C-407E-A947-70E740481C1C}"/>
                      </a:extLst>
                    </a:blip>
                    <a:srcRect/>
                    <a:stretch>
                      <a:fillRect/>
                    </a:stretch>
                  </pic:blipFill>
                  <pic:spPr bwMode="auto">
                    <a:xfrm>
                      <a:off x="0" y="0"/>
                      <a:ext cx="1406525" cy="463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80"/>
        <w:spacing w:after="0"/>
        <w:rPr>
          <w:sz w:val="20"/>
          <w:szCs w:val="20"/>
          <w:color w:val="auto"/>
        </w:rPr>
      </w:pPr>
      <w:r>
        <w:rPr>
          <w:rFonts w:ascii="Arial" w:cs="Arial" w:eastAsia="Arial" w:hAnsi="Arial"/>
          <w:sz w:val="15"/>
          <w:szCs w:val="15"/>
          <w:color w:val="23242D"/>
        </w:rPr>
        <w:t>REVISED</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5"/>
          <w:szCs w:val="15"/>
          <w:color w:val="23242D"/>
        </w:rPr>
        <w:t>April 18</w:t>
      </w:r>
      <w:r>
        <w:rPr>
          <w:rFonts w:ascii="Arial" w:cs="Arial" w:eastAsia="Arial" w:hAnsi="Arial"/>
          <w:sz w:val="15"/>
          <w:szCs w:val="15"/>
          <w:color w:val="4F5257"/>
        </w:rPr>
        <w:t>,</w:t>
      </w:r>
      <w:r>
        <w:rPr>
          <w:rFonts w:ascii="Arial" w:cs="Arial" w:eastAsia="Arial" w:hAnsi="Arial"/>
          <w:sz w:val="15"/>
          <w:szCs w:val="15"/>
          <w:color w:val="23242D"/>
        </w:rPr>
        <w:t xml:space="preserve"> </w:t>
      </w:r>
      <w:r>
        <w:rPr>
          <w:rFonts w:ascii="Arial" w:cs="Arial" w:eastAsia="Arial" w:hAnsi="Arial"/>
          <w:sz w:val="15"/>
          <w:szCs w:val="15"/>
          <w:color w:val="343841"/>
        </w:rPr>
        <w:t>2016</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5"/>
          <w:szCs w:val="15"/>
          <w:color w:val="23242D"/>
        </w:rPr>
        <w:t xml:space="preserve">Michael </w:t>
      </w:r>
      <w:r>
        <w:rPr>
          <w:rFonts w:ascii="Arial" w:cs="Arial" w:eastAsia="Arial" w:hAnsi="Arial"/>
          <w:sz w:val="15"/>
          <w:szCs w:val="15"/>
          <w:color w:val="343841"/>
        </w:rPr>
        <w:t>Ehlers</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5"/>
          <w:szCs w:val="15"/>
          <w:color w:val="auto"/>
        </w:rPr>
        <w:t>[address]</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5"/>
          <w:szCs w:val="15"/>
          <w:color w:val="auto"/>
        </w:rPr>
        <w:t>[address]</w:t>
      </w:r>
    </w:p>
    <w:p>
      <w:pPr>
        <w:spacing w:after="0" w:line="365" w:lineRule="exact"/>
        <w:rPr>
          <w:sz w:val="20"/>
          <w:szCs w:val="20"/>
          <w:color w:val="auto"/>
        </w:rPr>
      </w:pPr>
    </w:p>
    <w:p>
      <w:pPr>
        <w:ind w:left="180"/>
        <w:spacing w:after="0"/>
        <w:rPr>
          <w:sz w:val="20"/>
          <w:szCs w:val="20"/>
          <w:color w:val="auto"/>
        </w:rPr>
      </w:pPr>
      <w:r>
        <w:rPr>
          <w:rFonts w:ascii="Arial" w:cs="Arial" w:eastAsia="Arial" w:hAnsi="Arial"/>
          <w:sz w:val="15"/>
          <w:szCs w:val="15"/>
          <w:color w:val="23242D"/>
        </w:rPr>
        <w:t>Dea</w:t>
      </w:r>
      <w:r>
        <w:rPr>
          <w:rFonts w:ascii="Arial" w:cs="Arial" w:eastAsia="Arial" w:hAnsi="Arial"/>
          <w:sz w:val="15"/>
          <w:szCs w:val="15"/>
          <w:color w:val="4F5257"/>
        </w:rPr>
        <w:t>r</w:t>
      </w:r>
      <w:r>
        <w:rPr>
          <w:rFonts w:ascii="Arial" w:cs="Arial" w:eastAsia="Arial" w:hAnsi="Arial"/>
          <w:sz w:val="15"/>
          <w:szCs w:val="15"/>
          <w:color w:val="23242D"/>
        </w:rPr>
        <w:t xml:space="preserve"> Mike,</w:t>
      </w:r>
    </w:p>
    <w:p>
      <w:pPr>
        <w:spacing w:after="0" w:line="212" w:lineRule="exact"/>
        <w:rPr>
          <w:sz w:val="20"/>
          <w:szCs w:val="20"/>
          <w:color w:val="auto"/>
        </w:rPr>
      </w:pPr>
    </w:p>
    <w:p>
      <w:pPr>
        <w:ind w:left="180" w:right="20"/>
        <w:spacing w:after="0" w:line="253" w:lineRule="auto"/>
        <w:rPr>
          <w:sz w:val="20"/>
          <w:szCs w:val="20"/>
          <w:color w:val="auto"/>
        </w:rPr>
      </w:pPr>
      <w:r>
        <w:rPr>
          <w:rFonts w:ascii="Arial" w:cs="Arial" w:eastAsia="Arial" w:hAnsi="Arial"/>
          <w:sz w:val="15"/>
          <w:szCs w:val="15"/>
          <w:color w:val="23242D"/>
        </w:rPr>
        <w:t xml:space="preserve">I </w:t>
      </w:r>
      <w:r>
        <w:rPr>
          <w:rFonts w:ascii="Arial" w:cs="Arial" w:eastAsia="Arial" w:hAnsi="Arial"/>
          <w:sz w:val="15"/>
          <w:szCs w:val="15"/>
          <w:color w:val="343841"/>
        </w:rPr>
        <w:t>am pleased</w:t>
      </w:r>
      <w:r>
        <w:rPr>
          <w:rFonts w:ascii="Arial" w:cs="Arial" w:eastAsia="Arial" w:hAnsi="Arial"/>
          <w:sz w:val="15"/>
          <w:szCs w:val="15"/>
          <w:color w:val="23242D"/>
        </w:rPr>
        <w:t xml:space="preserve"> to e</w:t>
      </w:r>
      <w:r>
        <w:rPr>
          <w:rFonts w:ascii="Arial" w:cs="Arial" w:eastAsia="Arial" w:hAnsi="Arial"/>
          <w:sz w:val="15"/>
          <w:szCs w:val="15"/>
          <w:color w:val="4F5257"/>
        </w:rPr>
        <w:t>x</w:t>
      </w:r>
      <w:r>
        <w:rPr>
          <w:rFonts w:ascii="Arial" w:cs="Arial" w:eastAsia="Arial" w:hAnsi="Arial"/>
          <w:sz w:val="15"/>
          <w:szCs w:val="15"/>
          <w:color w:val="23242D"/>
        </w:rPr>
        <w:t xml:space="preserve">tend </w:t>
      </w:r>
      <w:r>
        <w:rPr>
          <w:rFonts w:ascii="Arial" w:cs="Arial" w:eastAsia="Arial" w:hAnsi="Arial"/>
          <w:sz w:val="15"/>
          <w:szCs w:val="15"/>
          <w:color w:val="343841"/>
        </w:rPr>
        <w:t>you</w:t>
      </w:r>
      <w:r>
        <w:rPr>
          <w:rFonts w:ascii="Arial" w:cs="Arial" w:eastAsia="Arial" w:hAnsi="Arial"/>
          <w:sz w:val="15"/>
          <w:szCs w:val="15"/>
          <w:color w:val="23242D"/>
        </w:rPr>
        <w:t xml:space="preserve"> this offer of </w:t>
      </w:r>
      <w:r>
        <w:rPr>
          <w:rFonts w:ascii="Arial" w:cs="Arial" w:eastAsia="Arial" w:hAnsi="Arial"/>
          <w:sz w:val="15"/>
          <w:szCs w:val="15"/>
          <w:color w:val="343841"/>
        </w:rPr>
        <w:t>employment</w:t>
      </w:r>
      <w:r>
        <w:rPr>
          <w:rFonts w:ascii="Arial" w:cs="Arial" w:eastAsia="Arial" w:hAnsi="Arial"/>
          <w:sz w:val="15"/>
          <w:szCs w:val="15"/>
          <w:color w:val="23242D"/>
        </w:rPr>
        <w:t xml:space="preserve"> to join Biogen with the job title of Executive Vice President, Research </w:t>
      </w:r>
      <w:r>
        <w:rPr>
          <w:rFonts w:ascii="Arial" w:cs="Arial" w:eastAsia="Arial" w:hAnsi="Arial"/>
          <w:sz w:val="15"/>
          <w:szCs w:val="15"/>
          <w:color w:val="343841"/>
        </w:rPr>
        <w:t>and</w:t>
      </w:r>
      <w:r>
        <w:rPr>
          <w:rFonts w:ascii="Arial" w:cs="Arial" w:eastAsia="Arial" w:hAnsi="Arial"/>
          <w:sz w:val="15"/>
          <w:szCs w:val="15"/>
          <w:color w:val="23242D"/>
        </w:rPr>
        <w:t xml:space="preserve"> Development. This position will report to </w:t>
      </w:r>
      <w:r>
        <w:rPr>
          <w:rFonts w:ascii="Arial" w:cs="Arial" w:eastAsia="Arial" w:hAnsi="Arial"/>
          <w:sz w:val="15"/>
          <w:szCs w:val="15"/>
          <w:color w:val="343841"/>
        </w:rPr>
        <w:t>George</w:t>
      </w:r>
      <w:r>
        <w:rPr>
          <w:rFonts w:ascii="Arial" w:cs="Arial" w:eastAsia="Arial" w:hAnsi="Arial"/>
          <w:sz w:val="15"/>
          <w:szCs w:val="15"/>
          <w:color w:val="23242D"/>
        </w:rPr>
        <w:t xml:space="preserve"> Scangos</w:t>
      </w:r>
      <w:r>
        <w:rPr>
          <w:rFonts w:ascii="Arial" w:cs="Arial" w:eastAsia="Arial" w:hAnsi="Arial"/>
          <w:sz w:val="15"/>
          <w:szCs w:val="15"/>
          <w:color w:val="4F5257"/>
        </w:rPr>
        <w:t>,</w:t>
      </w:r>
      <w:r>
        <w:rPr>
          <w:rFonts w:ascii="Arial" w:cs="Arial" w:eastAsia="Arial" w:hAnsi="Arial"/>
          <w:sz w:val="15"/>
          <w:szCs w:val="15"/>
          <w:color w:val="23242D"/>
        </w:rPr>
        <w:t xml:space="preserve"> Chief Executive </w:t>
      </w:r>
      <w:r>
        <w:rPr>
          <w:rFonts w:ascii="Arial" w:cs="Arial" w:eastAsia="Arial" w:hAnsi="Arial"/>
          <w:sz w:val="15"/>
          <w:szCs w:val="15"/>
          <w:color w:val="343841"/>
        </w:rPr>
        <w:t>Officer.</w:t>
      </w:r>
      <w:r>
        <w:rPr>
          <w:rFonts w:ascii="Arial" w:cs="Arial" w:eastAsia="Arial" w:hAnsi="Arial"/>
          <w:sz w:val="15"/>
          <w:szCs w:val="15"/>
          <w:color w:val="23242D"/>
        </w:rPr>
        <w:t xml:space="preserve"> Please note that neither this letter nor </w:t>
      </w:r>
      <w:r>
        <w:rPr>
          <w:rFonts w:ascii="Arial" w:cs="Arial" w:eastAsia="Arial" w:hAnsi="Arial"/>
          <w:sz w:val="15"/>
          <w:szCs w:val="15"/>
          <w:color w:val="343841"/>
        </w:rPr>
        <w:t>any</w:t>
      </w:r>
      <w:r>
        <w:rPr>
          <w:rFonts w:ascii="Arial" w:cs="Arial" w:eastAsia="Arial" w:hAnsi="Arial"/>
          <w:sz w:val="15"/>
          <w:szCs w:val="15"/>
          <w:color w:val="23242D"/>
        </w:rPr>
        <w:t xml:space="preserve"> other materials </w:t>
      </w:r>
      <w:r>
        <w:rPr>
          <w:rFonts w:ascii="Arial" w:cs="Arial" w:eastAsia="Arial" w:hAnsi="Arial"/>
          <w:sz w:val="15"/>
          <w:szCs w:val="15"/>
          <w:color w:val="343841"/>
        </w:rPr>
        <w:t>constitute</w:t>
      </w:r>
      <w:r>
        <w:rPr>
          <w:rFonts w:ascii="Arial" w:cs="Arial" w:eastAsia="Arial" w:hAnsi="Arial"/>
          <w:sz w:val="15"/>
          <w:szCs w:val="15"/>
          <w:color w:val="23242D"/>
        </w:rPr>
        <w:t xml:space="preserve"> a contract of employment </w:t>
      </w:r>
      <w:r>
        <w:rPr>
          <w:rFonts w:ascii="Arial" w:cs="Arial" w:eastAsia="Arial" w:hAnsi="Arial"/>
          <w:sz w:val="15"/>
          <w:szCs w:val="15"/>
          <w:color w:val="343841"/>
        </w:rPr>
        <w:t>with</w:t>
      </w:r>
      <w:r>
        <w:rPr>
          <w:rFonts w:ascii="Arial" w:cs="Arial" w:eastAsia="Arial" w:hAnsi="Arial"/>
          <w:sz w:val="15"/>
          <w:szCs w:val="15"/>
          <w:color w:val="23242D"/>
        </w:rPr>
        <w:t xml:space="preserve"> Biogen</w:t>
      </w:r>
      <w:r>
        <w:rPr>
          <w:rFonts w:ascii="Arial" w:cs="Arial" w:eastAsia="Arial" w:hAnsi="Arial"/>
          <w:sz w:val="15"/>
          <w:szCs w:val="15"/>
          <w:color w:val="828585"/>
        </w:rPr>
        <w:t>.</w:t>
      </w:r>
      <w:r>
        <w:rPr>
          <w:rFonts w:ascii="Arial" w:cs="Arial" w:eastAsia="Arial" w:hAnsi="Arial"/>
          <w:sz w:val="15"/>
          <w:szCs w:val="15"/>
          <w:color w:val="23242D"/>
        </w:rPr>
        <w:t xml:space="preserve"> Your </w:t>
      </w:r>
      <w:r>
        <w:rPr>
          <w:rFonts w:ascii="Arial" w:cs="Arial" w:eastAsia="Arial" w:hAnsi="Arial"/>
          <w:sz w:val="15"/>
          <w:szCs w:val="15"/>
          <w:color w:val="343841"/>
        </w:rPr>
        <w:t>employment at</w:t>
      </w:r>
      <w:r>
        <w:rPr>
          <w:rFonts w:ascii="Arial" w:cs="Arial" w:eastAsia="Arial" w:hAnsi="Arial"/>
          <w:sz w:val="15"/>
          <w:szCs w:val="15"/>
          <w:color w:val="23242D"/>
        </w:rPr>
        <w:t xml:space="preserve"> Biogen is </w:t>
      </w:r>
      <w:r>
        <w:rPr>
          <w:rFonts w:ascii="Arial" w:cs="Arial" w:eastAsia="Arial" w:hAnsi="Arial"/>
          <w:sz w:val="15"/>
          <w:szCs w:val="15"/>
          <w:color w:val="343841"/>
        </w:rPr>
        <w:t>employment</w:t>
      </w:r>
      <w:r>
        <w:rPr>
          <w:rFonts w:ascii="Arial" w:cs="Arial" w:eastAsia="Arial" w:hAnsi="Arial"/>
          <w:sz w:val="15"/>
          <w:szCs w:val="15"/>
          <w:color w:val="23242D"/>
        </w:rPr>
        <w:t xml:space="preserve"> at-will</w:t>
      </w:r>
      <w:r>
        <w:rPr>
          <w:rFonts w:ascii="Arial" w:cs="Arial" w:eastAsia="Arial" w:hAnsi="Arial"/>
          <w:sz w:val="15"/>
          <w:szCs w:val="15"/>
          <w:color w:val="626467"/>
        </w:rPr>
        <w:t>.</w:t>
      </w:r>
      <w:r>
        <w:rPr>
          <w:rFonts w:ascii="Arial" w:cs="Arial" w:eastAsia="Arial" w:hAnsi="Arial"/>
          <w:sz w:val="15"/>
          <w:szCs w:val="15"/>
          <w:color w:val="23242D"/>
        </w:rPr>
        <w:t xml:space="preserve"> </w:t>
      </w:r>
      <w:r>
        <w:rPr>
          <w:rFonts w:ascii="Arial" w:cs="Arial" w:eastAsia="Arial" w:hAnsi="Arial"/>
          <w:sz w:val="15"/>
          <w:szCs w:val="15"/>
          <w:color w:val="343841"/>
        </w:rPr>
        <w:t>This</w:t>
      </w:r>
      <w:r>
        <w:rPr>
          <w:rFonts w:ascii="Arial" w:cs="Arial" w:eastAsia="Arial" w:hAnsi="Arial"/>
          <w:sz w:val="15"/>
          <w:szCs w:val="15"/>
          <w:color w:val="23242D"/>
        </w:rPr>
        <w:t xml:space="preserve"> means that </w:t>
      </w:r>
      <w:r>
        <w:rPr>
          <w:rFonts w:ascii="Arial" w:cs="Arial" w:eastAsia="Arial" w:hAnsi="Arial"/>
          <w:sz w:val="15"/>
          <w:szCs w:val="15"/>
          <w:color w:val="343841"/>
        </w:rPr>
        <w:t>just</w:t>
      </w:r>
      <w:r>
        <w:rPr>
          <w:rFonts w:ascii="Arial" w:cs="Arial" w:eastAsia="Arial" w:hAnsi="Arial"/>
          <w:sz w:val="15"/>
          <w:szCs w:val="15"/>
          <w:color w:val="23242D"/>
        </w:rPr>
        <w:t xml:space="preserve"> as you are free to leave your </w:t>
      </w:r>
      <w:r>
        <w:rPr>
          <w:rFonts w:ascii="Arial" w:cs="Arial" w:eastAsia="Arial" w:hAnsi="Arial"/>
          <w:sz w:val="15"/>
          <w:szCs w:val="15"/>
          <w:color w:val="343841"/>
        </w:rPr>
        <w:t>employment at</w:t>
      </w:r>
      <w:r>
        <w:rPr>
          <w:rFonts w:ascii="Arial" w:cs="Arial" w:eastAsia="Arial" w:hAnsi="Arial"/>
          <w:sz w:val="15"/>
          <w:szCs w:val="15"/>
          <w:color w:val="23242D"/>
        </w:rPr>
        <w:t xml:space="preserve"> any time</w:t>
      </w:r>
      <w:r>
        <w:rPr>
          <w:rFonts w:ascii="Arial" w:cs="Arial" w:eastAsia="Arial" w:hAnsi="Arial"/>
          <w:sz w:val="15"/>
          <w:szCs w:val="15"/>
          <w:color w:val="707477"/>
        </w:rPr>
        <w:t>,</w:t>
      </w:r>
      <w:r>
        <w:rPr>
          <w:rFonts w:ascii="Arial" w:cs="Arial" w:eastAsia="Arial" w:hAnsi="Arial"/>
          <w:sz w:val="15"/>
          <w:szCs w:val="15"/>
          <w:color w:val="23242D"/>
        </w:rPr>
        <w:t xml:space="preserve"> with or </w:t>
      </w:r>
      <w:r>
        <w:rPr>
          <w:rFonts w:ascii="Arial" w:cs="Arial" w:eastAsia="Arial" w:hAnsi="Arial"/>
          <w:sz w:val="15"/>
          <w:szCs w:val="15"/>
          <w:color w:val="343841"/>
        </w:rPr>
        <w:t>without</w:t>
      </w:r>
      <w:r>
        <w:rPr>
          <w:rFonts w:ascii="Arial" w:cs="Arial" w:eastAsia="Arial" w:hAnsi="Arial"/>
          <w:sz w:val="15"/>
          <w:szCs w:val="15"/>
          <w:color w:val="23242D"/>
        </w:rPr>
        <w:t xml:space="preserve"> cause or notice, Biogen also has the same right to terminate your employment at any time, </w:t>
      </w:r>
      <w:r>
        <w:rPr>
          <w:rFonts w:ascii="Arial" w:cs="Arial" w:eastAsia="Arial" w:hAnsi="Arial"/>
          <w:sz w:val="15"/>
          <w:szCs w:val="15"/>
          <w:color w:val="343841"/>
        </w:rPr>
        <w:t>with</w:t>
      </w:r>
      <w:r>
        <w:rPr>
          <w:rFonts w:ascii="Arial" w:cs="Arial" w:eastAsia="Arial" w:hAnsi="Arial"/>
          <w:sz w:val="15"/>
          <w:szCs w:val="15"/>
          <w:color w:val="23242D"/>
        </w:rPr>
        <w:t xml:space="preserve"> or without </w:t>
      </w:r>
      <w:r>
        <w:rPr>
          <w:rFonts w:ascii="Arial" w:cs="Arial" w:eastAsia="Arial" w:hAnsi="Arial"/>
          <w:sz w:val="15"/>
          <w:szCs w:val="15"/>
          <w:color w:val="343841"/>
        </w:rPr>
        <w:t>cause or</w:t>
      </w:r>
      <w:r>
        <w:rPr>
          <w:rFonts w:ascii="Arial" w:cs="Arial" w:eastAsia="Arial" w:hAnsi="Arial"/>
          <w:sz w:val="15"/>
          <w:szCs w:val="15"/>
          <w:color w:val="23242D"/>
        </w:rPr>
        <w:t xml:space="preserve"> not</w:t>
      </w:r>
      <w:r>
        <w:rPr>
          <w:rFonts w:ascii="Arial" w:cs="Arial" w:eastAsia="Arial" w:hAnsi="Arial"/>
          <w:sz w:val="15"/>
          <w:szCs w:val="15"/>
          <w:color w:val="4F5257"/>
        </w:rPr>
        <w:t>i</w:t>
      </w:r>
      <w:r>
        <w:rPr>
          <w:rFonts w:ascii="Arial" w:cs="Arial" w:eastAsia="Arial" w:hAnsi="Arial"/>
          <w:sz w:val="15"/>
          <w:szCs w:val="15"/>
          <w:color w:val="343841"/>
        </w:rPr>
        <w:t>ce</w:t>
      </w:r>
      <w:r>
        <w:rPr>
          <w:rFonts w:ascii="Arial" w:cs="Arial" w:eastAsia="Arial" w:hAnsi="Arial"/>
          <w:sz w:val="15"/>
          <w:szCs w:val="15"/>
          <w:color w:val="4F5257"/>
        </w:rPr>
        <w:t>.</w:t>
      </w:r>
      <w:r>
        <w:rPr>
          <w:rFonts w:ascii="Arial" w:cs="Arial" w:eastAsia="Arial" w:hAnsi="Arial"/>
          <w:sz w:val="15"/>
          <w:szCs w:val="15"/>
          <w:color w:val="23242D"/>
        </w:rPr>
        <w:t xml:space="preserve"> The specific terms of our offer </w:t>
      </w:r>
      <w:r>
        <w:rPr>
          <w:rFonts w:ascii="Arial" w:cs="Arial" w:eastAsia="Arial" w:hAnsi="Arial"/>
          <w:sz w:val="15"/>
          <w:szCs w:val="15"/>
          <w:color w:val="343841"/>
        </w:rPr>
        <w:t>are</w:t>
      </w:r>
      <w:r>
        <w:rPr>
          <w:rFonts w:ascii="Arial" w:cs="Arial" w:eastAsia="Arial" w:hAnsi="Arial"/>
          <w:sz w:val="15"/>
          <w:szCs w:val="15"/>
          <w:color w:val="23242D"/>
        </w:rPr>
        <w:t xml:space="preserve"> listed below; please take the time t</w:t>
      </w:r>
      <w:r>
        <w:rPr>
          <w:rFonts w:ascii="Arial" w:cs="Arial" w:eastAsia="Arial" w:hAnsi="Arial"/>
          <w:sz w:val="15"/>
          <w:szCs w:val="15"/>
          <w:color w:val="4F5257"/>
        </w:rPr>
        <w:t>o</w:t>
      </w:r>
      <w:r>
        <w:rPr>
          <w:rFonts w:ascii="Arial" w:cs="Arial" w:eastAsia="Arial" w:hAnsi="Arial"/>
          <w:sz w:val="15"/>
          <w:szCs w:val="15"/>
          <w:color w:val="23242D"/>
        </w:rPr>
        <w:t xml:space="preserve"> review the offer, sign </w:t>
      </w:r>
      <w:r>
        <w:rPr>
          <w:rFonts w:ascii="Arial" w:cs="Arial" w:eastAsia="Arial" w:hAnsi="Arial"/>
          <w:sz w:val="15"/>
          <w:szCs w:val="15"/>
          <w:color w:val="343841"/>
        </w:rPr>
        <w:t>and</w:t>
      </w:r>
      <w:r>
        <w:rPr>
          <w:rFonts w:ascii="Arial" w:cs="Arial" w:eastAsia="Arial" w:hAnsi="Arial"/>
          <w:sz w:val="15"/>
          <w:szCs w:val="15"/>
          <w:color w:val="23242D"/>
        </w:rPr>
        <w:t xml:space="preserve"> return to me by April 25, 2016.</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5"/>
          <w:szCs w:val="15"/>
          <w:color w:val="23242D"/>
        </w:rPr>
        <w:t xml:space="preserve">The </w:t>
      </w:r>
      <w:r>
        <w:rPr>
          <w:rFonts w:ascii="Arial" w:cs="Arial" w:eastAsia="Arial" w:hAnsi="Arial"/>
          <w:sz w:val="15"/>
          <w:szCs w:val="15"/>
          <w:color w:val="343841"/>
        </w:rPr>
        <w:t>position</w:t>
      </w:r>
      <w:r>
        <w:rPr>
          <w:rFonts w:ascii="Arial" w:cs="Arial" w:eastAsia="Arial" w:hAnsi="Arial"/>
          <w:sz w:val="15"/>
          <w:szCs w:val="15"/>
          <w:color w:val="23242D"/>
        </w:rPr>
        <w:t xml:space="preserve"> will be based </w:t>
      </w:r>
      <w:r>
        <w:rPr>
          <w:rFonts w:ascii="Arial" w:cs="Arial" w:eastAsia="Arial" w:hAnsi="Arial"/>
          <w:sz w:val="15"/>
          <w:szCs w:val="15"/>
          <w:color w:val="343841"/>
        </w:rPr>
        <w:t>at our</w:t>
      </w:r>
      <w:r>
        <w:rPr>
          <w:rFonts w:ascii="Arial" w:cs="Arial" w:eastAsia="Arial" w:hAnsi="Arial"/>
          <w:sz w:val="15"/>
          <w:szCs w:val="15"/>
          <w:color w:val="23242D"/>
        </w:rPr>
        <w:t xml:space="preserve"> Cambridge</w:t>
      </w:r>
      <w:r>
        <w:rPr>
          <w:rFonts w:ascii="Arial" w:cs="Arial" w:eastAsia="Arial" w:hAnsi="Arial"/>
          <w:sz w:val="15"/>
          <w:szCs w:val="15"/>
          <w:color w:val="4F5257"/>
        </w:rPr>
        <w:t>,</w:t>
      </w:r>
      <w:r>
        <w:rPr>
          <w:rFonts w:ascii="Arial" w:cs="Arial" w:eastAsia="Arial" w:hAnsi="Arial"/>
          <w:sz w:val="15"/>
          <w:szCs w:val="15"/>
          <w:color w:val="23242D"/>
        </w:rPr>
        <w:t xml:space="preserve"> MA facility.</w:t>
      </w:r>
    </w:p>
    <w:p>
      <w:pPr>
        <w:spacing w:after="0" w:line="219" w:lineRule="exact"/>
        <w:rPr>
          <w:sz w:val="20"/>
          <w:szCs w:val="20"/>
          <w:color w:val="auto"/>
        </w:rPr>
      </w:pPr>
    </w:p>
    <w:p>
      <w:pPr>
        <w:ind w:left="180" w:right="680"/>
        <w:spacing w:after="0" w:line="292" w:lineRule="auto"/>
        <w:rPr>
          <w:sz w:val="20"/>
          <w:szCs w:val="20"/>
          <w:color w:val="auto"/>
        </w:rPr>
      </w:pPr>
      <w:r>
        <w:rPr>
          <w:rFonts w:ascii="Arial" w:cs="Arial" w:eastAsia="Arial" w:hAnsi="Arial"/>
          <w:sz w:val="15"/>
          <w:szCs w:val="15"/>
          <w:b w:val="1"/>
          <w:bCs w:val="1"/>
          <w:color w:val="23242D"/>
        </w:rPr>
        <w:t xml:space="preserve">Salary: </w:t>
      </w:r>
      <w:r>
        <w:rPr>
          <w:rFonts w:ascii="Arial" w:cs="Arial" w:eastAsia="Arial" w:hAnsi="Arial"/>
          <w:sz w:val="15"/>
          <w:szCs w:val="15"/>
          <w:color w:val="23242D"/>
        </w:rPr>
        <w:t>This is a full-time,</w:t>
      </w:r>
      <w:r>
        <w:rPr>
          <w:rFonts w:ascii="Arial" w:cs="Arial" w:eastAsia="Arial" w:hAnsi="Arial"/>
          <w:sz w:val="15"/>
          <w:szCs w:val="15"/>
          <w:b w:val="1"/>
          <w:bCs w:val="1"/>
          <w:color w:val="23242D"/>
        </w:rPr>
        <w:t xml:space="preserve"> </w:t>
      </w:r>
      <w:r>
        <w:rPr>
          <w:rFonts w:ascii="Arial" w:cs="Arial" w:eastAsia="Arial" w:hAnsi="Arial"/>
          <w:sz w:val="15"/>
          <w:szCs w:val="15"/>
          <w:color w:val="343841"/>
        </w:rPr>
        <w:t>exempt</w:t>
      </w:r>
      <w:r>
        <w:rPr>
          <w:rFonts w:ascii="Arial" w:cs="Arial" w:eastAsia="Arial" w:hAnsi="Arial"/>
          <w:sz w:val="15"/>
          <w:szCs w:val="15"/>
          <w:b w:val="1"/>
          <w:bCs w:val="1"/>
          <w:color w:val="23242D"/>
        </w:rPr>
        <w:t xml:space="preserve"> </w:t>
      </w:r>
      <w:r>
        <w:rPr>
          <w:rFonts w:ascii="Arial" w:cs="Arial" w:eastAsia="Arial" w:hAnsi="Arial"/>
          <w:sz w:val="15"/>
          <w:szCs w:val="15"/>
          <w:color w:val="23242D"/>
        </w:rPr>
        <w:t>posi</w:t>
      </w:r>
      <w:r>
        <w:rPr>
          <w:rFonts w:ascii="Arial" w:cs="Arial" w:eastAsia="Arial" w:hAnsi="Arial"/>
          <w:sz w:val="15"/>
          <w:szCs w:val="15"/>
          <w:color w:val="4F5257"/>
        </w:rPr>
        <w:t>t</w:t>
      </w:r>
      <w:r>
        <w:rPr>
          <w:rFonts w:ascii="Arial" w:cs="Arial" w:eastAsia="Arial" w:hAnsi="Arial"/>
          <w:sz w:val="15"/>
          <w:szCs w:val="15"/>
          <w:color w:val="23242D"/>
        </w:rPr>
        <w:t>ion</w:t>
      </w:r>
      <w:r>
        <w:rPr>
          <w:rFonts w:ascii="Arial" w:cs="Arial" w:eastAsia="Arial" w:hAnsi="Arial"/>
          <w:sz w:val="15"/>
          <w:szCs w:val="15"/>
          <w:b w:val="1"/>
          <w:bCs w:val="1"/>
          <w:color w:val="23242D"/>
        </w:rPr>
        <w:t xml:space="preserve"> </w:t>
      </w:r>
      <w:r>
        <w:rPr>
          <w:rFonts w:ascii="Arial" w:cs="Arial" w:eastAsia="Arial" w:hAnsi="Arial"/>
          <w:sz w:val="15"/>
          <w:szCs w:val="15"/>
          <w:color w:val="343841"/>
        </w:rPr>
        <w:t>and</w:t>
      </w:r>
      <w:r>
        <w:rPr>
          <w:rFonts w:ascii="Arial" w:cs="Arial" w:eastAsia="Arial" w:hAnsi="Arial"/>
          <w:sz w:val="15"/>
          <w:szCs w:val="15"/>
          <w:b w:val="1"/>
          <w:bCs w:val="1"/>
          <w:color w:val="23242D"/>
        </w:rPr>
        <w:t xml:space="preserve"> </w:t>
      </w:r>
      <w:r>
        <w:rPr>
          <w:rFonts w:ascii="Arial" w:cs="Arial" w:eastAsia="Arial" w:hAnsi="Arial"/>
          <w:sz w:val="15"/>
          <w:szCs w:val="15"/>
          <w:color w:val="23242D"/>
        </w:rPr>
        <w:t>your</w:t>
      </w:r>
      <w:r>
        <w:rPr>
          <w:rFonts w:ascii="Arial" w:cs="Arial" w:eastAsia="Arial" w:hAnsi="Arial"/>
          <w:sz w:val="15"/>
          <w:szCs w:val="15"/>
          <w:b w:val="1"/>
          <w:bCs w:val="1"/>
          <w:color w:val="23242D"/>
        </w:rPr>
        <w:t xml:space="preserve"> </w:t>
      </w:r>
      <w:r>
        <w:rPr>
          <w:rFonts w:ascii="Arial" w:cs="Arial" w:eastAsia="Arial" w:hAnsi="Arial"/>
          <w:sz w:val="15"/>
          <w:szCs w:val="15"/>
          <w:color w:val="4F5257"/>
        </w:rPr>
        <w:t>s</w:t>
      </w:r>
      <w:r>
        <w:rPr>
          <w:rFonts w:ascii="Arial" w:cs="Arial" w:eastAsia="Arial" w:hAnsi="Arial"/>
          <w:sz w:val="15"/>
          <w:szCs w:val="15"/>
          <w:color w:val="343841"/>
        </w:rPr>
        <w:t>tarting</w:t>
      </w:r>
      <w:r>
        <w:rPr>
          <w:rFonts w:ascii="Arial" w:cs="Arial" w:eastAsia="Arial" w:hAnsi="Arial"/>
          <w:sz w:val="15"/>
          <w:szCs w:val="15"/>
          <w:b w:val="1"/>
          <w:bCs w:val="1"/>
          <w:color w:val="23242D"/>
        </w:rPr>
        <w:t xml:space="preserve"> </w:t>
      </w:r>
      <w:r>
        <w:rPr>
          <w:rFonts w:ascii="Arial" w:cs="Arial" w:eastAsia="Arial" w:hAnsi="Arial"/>
          <w:sz w:val="15"/>
          <w:szCs w:val="15"/>
          <w:color w:val="23242D"/>
        </w:rPr>
        <w:t>bi-weekly salary will be</w:t>
      </w:r>
      <w:r>
        <w:rPr>
          <w:rFonts w:ascii="Arial" w:cs="Arial" w:eastAsia="Arial" w:hAnsi="Arial"/>
          <w:sz w:val="15"/>
          <w:szCs w:val="15"/>
          <w:b w:val="1"/>
          <w:bCs w:val="1"/>
          <w:color w:val="23242D"/>
        </w:rPr>
        <w:t xml:space="preserve"> </w:t>
      </w:r>
      <w:r>
        <w:rPr>
          <w:rFonts w:ascii="Arial" w:cs="Arial" w:eastAsia="Arial" w:hAnsi="Arial"/>
          <w:sz w:val="15"/>
          <w:szCs w:val="15"/>
          <w:color w:val="343841"/>
        </w:rPr>
        <w:t>$29,807.70,</w:t>
      </w:r>
      <w:r>
        <w:rPr>
          <w:rFonts w:ascii="Arial" w:cs="Arial" w:eastAsia="Arial" w:hAnsi="Arial"/>
          <w:sz w:val="15"/>
          <w:szCs w:val="15"/>
          <w:b w:val="1"/>
          <w:bCs w:val="1"/>
          <w:color w:val="23242D"/>
        </w:rPr>
        <w:t xml:space="preserve"> </w:t>
      </w:r>
      <w:r>
        <w:rPr>
          <w:rFonts w:ascii="Arial" w:cs="Arial" w:eastAsia="Arial" w:hAnsi="Arial"/>
          <w:sz w:val="15"/>
          <w:szCs w:val="15"/>
          <w:color w:val="23242D"/>
        </w:rPr>
        <w:t>which is</w:t>
      </w:r>
      <w:r>
        <w:rPr>
          <w:rFonts w:ascii="Arial" w:cs="Arial" w:eastAsia="Arial" w:hAnsi="Arial"/>
          <w:sz w:val="15"/>
          <w:szCs w:val="15"/>
          <w:b w:val="1"/>
          <w:bCs w:val="1"/>
          <w:color w:val="23242D"/>
        </w:rPr>
        <w:t xml:space="preserve"> </w:t>
      </w:r>
      <w:r>
        <w:rPr>
          <w:rFonts w:ascii="Arial" w:cs="Arial" w:eastAsia="Arial" w:hAnsi="Arial"/>
          <w:sz w:val="15"/>
          <w:szCs w:val="15"/>
          <w:color w:val="343841"/>
        </w:rPr>
        <w:t>equivalent</w:t>
      </w:r>
      <w:r>
        <w:rPr>
          <w:rFonts w:ascii="Arial" w:cs="Arial" w:eastAsia="Arial" w:hAnsi="Arial"/>
          <w:sz w:val="15"/>
          <w:szCs w:val="15"/>
          <w:b w:val="1"/>
          <w:bCs w:val="1"/>
          <w:color w:val="23242D"/>
        </w:rPr>
        <w:t xml:space="preserve"> </w:t>
      </w:r>
      <w:r>
        <w:rPr>
          <w:rFonts w:ascii="Arial" w:cs="Arial" w:eastAsia="Arial" w:hAnsi="Arial"/>
          <w:sz w:val="15"/>
          <w:szCs w:val="15"/>
          <w:color w:val="23242D"/>
        </w:rPr>
        <w:t>to an annual</w:t>
      </w:r>
      <w:r>
        <w:rPr>
          <w:rFonts w:ascii="Arial" w:cs="Arial" w:eastAsia="Arial" w:hAnsi="Arial"/>
          <w:sz w:val="15"/>
          <w:szCs w:val="15"/>
          <w:b w:val="1"/>
          <w:bCs w:val="1"/>
          <w:color w:val="23242D"/>
        </w:rPr>
        <w:t xml:space="preserve"> </w:t>
      </w:r>
      <w:r>
        <w:rPr>
          <w:rFonts w:ascii="Arial" w:cs="Arial" w:eastAsia="Arial" w:hAnsi="Arial"/>
          <w:sz w:val="15"/>
          <w:szCs w:val="15"/>
          <w:color w:val="343841"/>
        </w:rPr>
        <w:t>salary of</w:t>
      </w:r>
      <w:r>
        <w:rPr>
          <w:rFonts w:ascii="Arial" w:cs="Arial" w:eastAsia="Arial" w:hAnsi="Arial"/>
          <w:sz w:val="15"/>
          <w:szCs w:val="15"/>
          <w:b w:val="1"/>
          <w:bCs w:val="1"/>
          <w:color w:val="23242D"/>
        </w:rPr>
        <w:t xml:space="preserve"> </w:t>
      </w:r>
      <w:r>
        <w:rPr>
          <w:rFonts w:ascii="Arial" w:cs="Arial" w:eastAsia="Arial" w:hAnsi="Arial"/>
          <w:sz w:val="15"/>
          <w:szCs w:val="15"/>
          <w:color w:val="343841"/>
        </w:rPr>
        <w:t>$775,000</w:t>
      </w:r>
      <w:r>
        <w:rPr>
          <w:rFonts w:ascii="Arial" w:cs="Arial" w:eastAsia="Arial" w:hAnsi="Arial"/>
          <w:sz w:val="15"/>
          <w:szCs w:val="15"/>
          <w:color w:val="626467"/>
        </w:rPr>
        <w:t>.</w:t>
      </w:r>
      <w:r>
        <w:rPr>
          <w:rFonts w:ascii="Arial" w:cs="Arial" w:eastAsia="Arial" w:hAnsi="Arial"/>
          <w:sz w:val="15"/>
          <w:szCs w:val="15"/>
          <w:color w:val="343841"/>
        </w:rPr>
        <w:t xml:space="preserve">20, </w:t>
      </w:r>
      <w:r>
        <w:rPr>
          <w:rFonts w:ascii="Arial" w:cs="Arial" w:eastAsia="Arial" w:hAnsi="Arial"/>
          <w:sz w:val="15"/>
          <w:szCs w:val="15"/>
          <w:color w:val="23242D"/>
        </w:rPr>
        <w:t>and which will be paid in accordance with our</w:t>
      </w:r>
      <w:r>
        <w:rPr>
          <w:rFonts w:ascii="Arial" w:cs="Arial" w:eastAsia="Arial" w:hAnsi="Arial"/>
          <w:sz w:val="15"/>
          <w:szCs w:val="15"/>
          <w:color w:val="343841"/>
        </w:rPr>
        <w:t xml:space="preserve"> standard </w:t>
      </w:r>
      <w:r>
        <w:rPr>
          <w:rFonts w:ascii="Arial" w:cs="Arial" w:eastAsia="Arial" w:hAnsi="Arial"/>
          <w:sz w:val="15"/>
          <w:szCs w:val="15"/>
          <w:color w:val="23242D"/>
        </w:rPr>
        <w:t>payroll policies.</w:t>
      </w:r>
    </w:p>
    <w:p>
      <w:pPr>
        <w:spacing w:after="0" w:line="169" w:lineRule="exact"/>
        <w:rPr>
          <w:sz w:val="20"/>
          <w:szCs w:val="20"/>
          <w:color w:val="auto"/>
        </w:rPr>
      </w:pPr>
    </w:p>
    <w:p>
      <w:pPr>
        <w:ind w:left="180" w:right="120"/>
        <w:spacing w:after="0" w:line="270" w:lineRule="auto"/>
        <w:rPr>
          <w:sz w:val="20"/>
          <w:szCs w:val="20"/>
          <w:color w:val="auto"/>
        </w:rPr>
      </w:pPr>
      <w:r>
        <w:rPr>
          <w:rFonts w:ascii="Arial" w:cs="Arial" w:eastAsia="Arial" w:hAnsi="Arial"/>
          <w:sz w:val="15"/>
          <w:szCs w:val="15"/>
          <w:b w:val="1"/>
          <w:bCs w:val="1"/>
          <w:color w:val="23242D"/>
        </w:rPr>
        <w:t>Sign-On Bonus</w:t>
      </w:r>
      <w:r>
        <w:rPr>
          <w:rFonts w:ascii="Arial" w:cs="Arial" w:eastAsia="Arial" w:hAnsi="Arial"/>
          <w:sz w:val="15"/>
          <w:szCs w:val="15"/>
          <w:b w:val="1"/>
          <w:bCs w:val="1"/>
          <w:color w:val="4F5257"/>
        </w:rPr>
        <w:t>:</w:t>
      </w:r>
      <w:r>
        <w:rPr>
          <w:rFonts w:ascii="Arial" w:cs="Arial" w:eastAsia="Arial" w:hAnsi="Arial"/>
          <w:sz w:val="15"/>
          <w:szCs w:val="15"/>
          <w:b w:val="1"/>
          <w:bCs w:val="1"/>
          <w:color w:val="23242D"/>
        </w:rPr>
        <w:t xml:space="preserve"> </w:t>
      </w:r>
      <w:r>
        <w:rPr>
          <w:rFonts w:ascii="Arial" w:cs="Arial" w:eastAsia="Arial" w:hAnsi="Arial"/>
          <w:sz w:val="15"/>
          <w:szCs w:val="15"/>
          <w:color w:val="23242D"/>
        </w:rPr>
        <w:t>Upon</w:t>
      </w:r>
      <w:r>
        <w:rPr>
          <w:rFonts w:ascii="Arial" w:cs="Arial" w:eastAsia="Arial" w:hAnsi="Arial"/>
          <w:sz w:val="15"/>
          <w:szCs w:val="15"/>
          <w:b w:val="1"/>
          <w:bCs w:val="1"/>
          <w:color w:val="23242D"/>
        </w:rPr>
        <w:t xml:space="preserve"> </w:t>
      </w:r>
      <w:r>
        <w:rPr>
          <w:rFonts w:ascii="Arial" w:cs="Arial" w:eastAsia="Arial" w:hAnsi="Arial"/>
          <w:sz w:val="15"/>
          <w:szCs w:val="15"/>
          <w:color w:val="343841"/>
        </w:rPr>
        <w:t>employment,</w:t>
      </w:r>
      <w:r>
        <w:rPr>
          <w:rFonts w:ascii="Arial" w:cs="Arial" w:eastAsia="Arial" w:hAnsi="Arial"/>
          <w:sz w:val="15"/>
          <w:szCs w:val="15"/>
          <w:b w:val="1"/>
          <w:bCs w:val="1"/>
          <w:color w:val="23242D"/>
        </w:rPr>
        <w:t xml:space="preserve"> </w:t>
      </w:r>
      <w:r>
        <w:rPr>
          <w:rFonts w:ascii="Arial" w:cs="Arial" w:eastAsia="Arial" w:hAnsi="Arial"/>
          <w:sz w:val="15"/>
          <w:szCs w:val="15"/>
          <w:color w:val="23242D"/>
        </w:rPr>
        <w:t>you</w:t>
      </w:r>
      <w:r>
        <w:rPr>
          <w:rFonts w:ascii="Arial" w:cs="Arial" w:eastAsia="Arial" w:hAnsi="Arial"/>
          <w:sz w:val="15"/>
          <w:szCs w:val="15"/>
          <w:b w:val="1"/>
          <w:bCs w:val="1"/>
          <w:color w:val="23242D"/>
        </w:rPr>
        <w:t xml:space="preserve"> </w:t>
      </w:r>
      <w:r>
        <w:rPr>
          <w:rFonts w:ascii="Arial" w:cs="Arial" w:eastAsia="Arial" w:hAnsi="Arial"/>
          <w:sz w:val="15"/>
          <w:szCs w:val="15"/>
          <w:color w:val="343841"/>
        </w:rPr>
        <w:t>will</w:t>
      </w:r>
      <w:r>
        <w:rPr>
          <w:rFonts w:ascii="Arial" w:cs="Arial" w:eastAsia="Arial" w:hAnsi="Arial"/>
          <w:sz w:val="15"/>
          <w:szCs w:val="15"/>
          <w:b w:val="1"/>
          <w:bCs w:val="1"/>
          <w:color w:val="23242D"/>
        </w:rPr>
        <w:t xml:space="preserve"> </w:t>
      </w:r>
      <w:r>
        <w:rPr>
          <w:rFonts w:ascii="Arial" w:cs="Arial" w:eastAsia="Arial" w:hAnsi="Arial"/>
          <w:sz w:val="15"/>
          <w:szCs w:val="15"/>
          <w:color w:val="23242D"/>
        </w:rPr>
        <w:t>re</w:t>
      </w:r>
      <w:r>
        <w:rPr>
          <w:rFonts w:ascii="Arial" w:cs="Arial" w:eastAsia="Arial" w:hAnsi="Arial"/>
          <w:sz w:val="15"/>
          <w:szCs w:val="15"/>
          <w:color w:val="4F5257"/>
        </w:rPr>
        <w:t>c</w:t>
      </w:r>
      <w:r>
        <w:rPr>
          <w:rFonts w:ascii="Arial" w:cs="Arial" w:eastAsia="Arial" w:hAnsi="Arial"/>
          <w:sz w:val="15"/>
          <w:szCs w:val="15"/>
          <w:color w:val="343841"/>
        </w:rPr>
        <w:t>eive $300</w:t>
      </w:r>
      <w:r>
        <w:rPr>
          <w:rFonts w:ascii="Arial" w:cs="Arial" w:eastAsia="Arial" w:hAnsi="Arial"/>
          <w:sz w:val="15"/>
          <w:szCs w:val="15"/>
          <w:color w:val="4F5257"/>
        </w:rPr>
        <w:t>,</w:t>
      </w:r>
      <w:r>
        <w:rPr>
          <w:rFonts w:ascii="Arial" w:cs="Arial" w:eastAsia="Arial" w:hAnsi="Arial"/>
          <w:sz w:val="15"/>
          <w:szCs w:val="15"/>
          <w:color w:val="23242D"/>
        </w:rPr>
        <w:t>000</w:t>
      </w:r>
      <w:r>
        <w:rPr>
          <w:rFonts w:ascii="Arial" w:cs="Arial" w:eastAsia="Arial" w:hAnsi="Arial"/>
          <w:sz w:val="15"/>
          <w:szCs w:val="15"/>
          <w:color w:val="9C9CA3"/>
        </w:rPr>
        <w:t>.</w:t>
      </w:r>
      <w:r>
        <w:rPr>
          <w:rFonts w:ascii="Arial" w:cs="Arial" w:eastAsia="Arial" w:hAnsi="Arial"/>
          <w:sz w:val="15"/>
          <w:szCs w:val="15"/>
          <w:color w:val="23242D"/>
        </w:rPr>
        <w:t>00</w:t>
      </w:r>
      <w:r>
        <w:rPr>
          <w:rFonts w:ascii="Arial" w:cs="Arial" w:eastAsia="Arial" w:hAnsi="Arial"/>
          <w:sz w:val="15"/>
          <w:szCs w:val="15"/>
          <w:b w:val="1"/>
          <w:bCs w:val="1"/>
          <w:color w:val="23242D"/>
        </w:rPr>
        <w:t xml:space="preserve"> </w:t>
      </w:r>
      <w:r>
        <w:rPr>
          <w:rFonts w:ascii="Arial" w:cs="Arial" w:eastAsia="Arial" w:hAnsi="Arial"/>
          <w:sz w:val="15"/>
          <w:szCs w:val="15"/>
          <w:color w:val="343841"/>
        </w:rPr>
        <w:t>as a one-time</w:t>
      </w:r>
      <w:r>
        <w:rPr>
          <w:rFonts w:ascii="Arial" w:cs="Arial" w:eastAsia="Arial" w:hAnsi="Arial"/>
          <w:sz w:val="15"/>
          <w:szCs w:val="15"/>
          <w:b w:val="1"/>
          <w:bCs w:val="1"/>
          <w:color w:val="23242D"/>
        </w:rPr>
        <w:t xml:space="preserve"> </w:t>
      </w:r>
      <w:r>
        <w:rPr>
          <w:rFonts w:ascii="Arial" w:cs="Arial" w:eastAsia="Arial" w:hAnsi="Arial"/>
          <w:sz w:val="15"/>
          <w:szCs w:val="15"/>
          <w:color w:val="23242D"/>
        </w:rPr>
        <w:t>cash bonus. The bonus</w:t>
      </w:r>
      <w:r>
        <w:rPr>
          <w:rFonts w:ascii="Arial" w:cs="Arial" w:eastAsia="Arial" w:hAnsi="Arial"/>
          <w:sz w:val="15"/>
          <w:szCs w:val="15"/>
          <w:b w:val="1"/>
          <w:bCs w:val="1"/>
          <w:color w:val="23242D"/>
        </w:rPr>
        <w:t xml:space="preserve"> </w:t>
      </w:r>
      <w:r>
        <w:rPr>
          <w:rFonts w:ascii="Arial" w:cs="Arial" w:eastAsia="Arial" w:hAnsi="Arial"/>
          <w:sz w:val="15"/>
          <w:szCs w:val="15"/>
          <w:color w:val="343841"/>
        </w:rPr>
        <w:t>will</w:t>
      </w:r>
      <w:r>
        <w:rPr>
          <w:rFonts w:ascii="Arial" w:cs="Arial" w:eastAsia="Arial" w:hAnsi="Arial"/>
          <w:sz w:val="15"/>
          <w:szCs w:val="15"/>
          <w:b w:val="1"/>
          <w:bCs w:val="1"/>
          <w:color w:val="23242D"/>
        </w:rPr>
        <w:t xml:space="preserve"> </w:t>
      </w:r>
      <w:r>
        <w:rPr>
          <w:rFonts w:ascii="Arial" w:cs="Arial" w:eastAsia="Arial" w:hAnsi="Arial"/>
          <w:sz w:val="15"/>
          <w:szCs w:val="15"/>
          <w:color w:val="23242D"/>
        </w:rPr>
        <w:t>be paid to you within two pay periods</w:t>
      </w:r>
      <w:r>
        <w:rPr>
          <w:rFonts w:ascii="Arial" w:cs="Arial" w:eastAsia="Arial" w:hAnsi="Arial"/>
          <w:sz w:val="15"/>
          <w:szCs w:val="15"/>
          <w:b w:val="1"/>
          <w:bCs w:val="1"/>
          <w:color w:val="23242D"/>
        </w:rPr>
        <w:t xml:space="preserve"> </w:t>
      </w:r>
      <w:r>
        <w:rPr>
          <w:rFonts w:ascii="Arial" w:cs="Arial" w:eastAsia="Arial" w:hAnsi="Arial"/>
          <w:sz w:val="15"/>
          <w:szCs w:val="15"/>
          <w:color w:val="23242D"/>
        </w:rPr>
        <w:t xml:space="preserve">after your start date provided that you </w:t>
      </w:r>
      <w:r>
        <w:rPr>
          <w:rFonts w:ascii="Arial" w:cs="Arial" w:eastAsia="Arial" w:hAnsi="Arial"/>
          <w:sz w:val="15"/>
          <w:szCs w:val="15"/>
          <w:color w:val="343841"/>
        </w:rPr>
        <w:t>sign</w:t>
      </w:r>
      <w:r>
        <w:rPr>
          <w:rFonts w:ascii="Arial" w:cs="Arial" w:eastAsia="Arial" w:hAnsi="Arial"/>
          <w:sz w:val="15"/>
          <w:szCs w:val="15"/>
          <w:color w:val="23242D"/>
        </w:rPr>
        <w:t xml:space="preserve"> the </w:t>
      </w:r>
      <w:r>
        <w:rPr>
          <w:rFonts w:ascii="Arial" w:cs="Arial" w:eastAsia="Arial" w:hAnsi="Arial"/>
          <w:sz w:val="15"/>
          <w:szCs w:val="15"/>
          <w:color w:val="343841"/>
        </w:rPr>
        <w:t>enclosed Cash Sign-On</w:t>
      </w:r>
      <w:r>
        <w:rPr>
          <w:rFonts w:ascii="Arial" w:cs="Arial" w:eastAsia="Arial" w:hAnsi="Arial"/>
          <w:sz w:val="15"/>
          <w:szCs w:val="15"/>
          <w:color w:val="23242D"/>
        </w:rPr>
        <w:t xml:space="preserve"> Bonus Agreement</w:t>
      </w:r>
      <w:r>
        <w:rPr>
          <w:rFonts w:ascii="Arial" w:cs="Arial" w:eastAsia="Arial" w:hAnsi="Arial"/>
          <w:sz w:val="15"/>
          <w:szCs w:val="15"/>
          <w:color w:val="707477"/>
        </w:rPr>
        <w:t>,</w:t>
      </w:r>
      <w:r>
        <w:rPr>
          <w:rFonts w:ascii="Arial" w:cs="Arial" w:eastAsia="Arial" w:hAnsi="Arial"/>
          <w:sz w:val="15"/>
          <w:szCs w:val="15"/>
          <w:color w:val="23242D"/>
        </w:rPr>
        <w:t xml:space="preserve"> </w:t>
      </w:r>
      <w:r>
        <w:rPr>
          <w:rFonts w:ascii="Arial" w:cs="Arial" w:eastAsia="Arial" w:hAnsi="Arial"/>
          <w:sz w:val="15"/>
          <w:szCs w:val="15"/>
          <w:color w:val="343841"/>
        </w:rPr>
        <w:t>which</w:t>
      </w:r>
      <w:r>
        <w:rPr>
          <w:rFonts w:ascii="Arial" w:cs="Arial" w:eastAsia="Arial" w:hAnsi="Arial"/>
          <w:sz w:val="15"/>
          <w:szCs w:val="15"/>
          <w:color w:val="23242D"/>
        </w:rPr>
        <w:t xml:space="preserve"> des</w:t>
      </w:r>
      <w:r>
        <w:rPr>
          <w:rFonts w:ascii="Arial" w:cs="Arial" w:eastAsia="Arial" w:hAnsi="Arial"/>
          <w:sz w:val="15"/>
          <w:szCs w:val="15"/>
          <w:color w:val="4F5257"/>
        </w:rPr>
        <w:t>c</w:t>
      </w:r>
      <w:r>
        <w:rPr>
          <w:rFonts w:ascii="Arial" w:cs="Arial" w:eastAsia="Arial" w:hAnsi="Arial"/>
          <w:sz w:val="15"/>
          <w:szCs w:val="15"/>
          <w:color w:val="23242D"/>
        </w:rPr>
        <w:t xml:space="preserve">ribes the terms </w:t>
      </w:r>
      <w:r>
        <w:rPr>
          <w:rFonts w:ascii="Arial" w:cs="Arial" w:eastAsia="Arial" w:hAnsi="Arial"/>
          <w:sz w:val="15"/>
          <w:szCs w:val="15"/>
          <w:color w:val="343841"/>
        </w:rPr>
        <w:t>and conditions of</w:t>
      </w:r>
      <w:r>
        <w:rPr>
          <w:rFonts w:ascii="Arial" w:cs="Arial" w:eastAsia="Arial" w:hAnsi="Arial"/>
          <w:sz w:val="15"/>
          <w:szCs w:val="15"/>
          <w:color w:val="23242D"/>
        </w:rPr>
        <w:t xml:space="preserve"> the cash </w:t>
      </w:r>
      <w:r>
        <w:rPr>
          <w:rFonts w:ascii="Arial" w:cs="Arial" w:eastAsia="Arial" w:hAnsi="Arial"/>
          <w:sz w:val="15"/>
          <w:szCs w:val="15"/>
          <w:color w:val="343841"/>
        </w:rPr>
        <w:t xml:space="preserve">sign on </w:t>
      </w:r>
      <w:r>
        <w:rPr>
          <w:rFonts w:ascii="Arial" w:cs="Arial" w:eastAsia="Arial" w:hAnsi="Arial"/>
          <w:sz w:val="15"/>
          <w:szCs w:val="15"/>
          <w:color w:val="23242D"/>
        </w:rPr>
        <w:t>bonus</w:t>
      </w:r>
      <w:r>
        <w:rPr>
          <w:rFonts w:ascii="Arial" w:cs="Arial" w:eastAsia="Arial" w:hAnsi="Arial"/>
          <w:sz w:val="15"/>
          <w:szCs w:val="15"/>
          <w:color w:val="707477"/>
        </w:rPr>
        <w:t>.</w:t>
      </w:r>
    </w:p>
    <w:p>
      <w:pPr>
        <w:spacing w:after="0" w:line="186" w:lineRule="exact"/>
        <w:rPr>
          <w:sz w:val="20"/>
          <w:szCs w:val="20"/>
          <w:color w:val="auto"/>
        </w:rPr>
      </w:pPr>
    </w:p>
    <w:p>
      <w:pPr>
        <w:ind w:left="180" w:right="180"/>
        <w:spacing w:after="0" w:line="270" w:lineRule="auto"/>
        <w:rPr>
          <w:sz w:val="20"/>
          <w:szCs w:val="20"/>
          <w:color w:val="auto"/>
        </w:rPr>
      </w:pPr>
      <w:r>
        <w:rPr>
          <w:rFonts w:ascii="Arial" w:cs="Arial" w:eastAsia="Arial" w:hAnsi="Arial"/>
          <w:sz w:val="15"/>
          <w:szCs w:val="15"/>
          <w:b w:val="1"/>
          <w:bCs w:val="1"/>
          <w:color w:val="23242D"/>
        </w:rPr>
        <w:t>Annual Bonus Plan</w:t>
      </w:r>
      <w:r>
        <w:rPr>
          <w:rFonts w:ascii="Arial" w:cs="Arial" w:eastAsia="Arial" w:hAnsi="Arial"/>
          <w:sz w:val="15"/>
          <w:szCs w:val="15"/>
          <w:b w:val="1"/>
          <w:bCs w:val="1"/>
          <w:color w:val="4F5257"/>
        </w:rPr>
        <w:t>:</w:t>
      </w:r>
      <w:r>
        <w:rPr>
          <w:rFonts w:ascii="Arial" w:cs="Arial" w:eastAsia="Arial" w:hAnsi="Arial"/>
          <w:sz w:val="15"/>
          <w:szCs w:val="15"/>
          <w:b w:val="1"/>
          <w:bCs w:val="1"/>
          <w:color w:val="23242D"/>
        </w:rPr>
        <w:t xml:space="preserve"> </w:t>
      </w:r>
      <w:r>
        <w:rPr>
          <w:rFonts w:ascii="Arial" w:cs="Arial" w:eastAsia="Arial" w:hAnsi="Arial"/>
          <w:sz w:val="15"/>
          <w:szCs w:val="15"/>
          <w:color w:val="23242D"/>
        </w:rPr>
        <w:t>You will be</w:t>
      </w:r>
      <w:r>
        <w:rPr>
          <w:rFonts w:ascii="Arial" w:cs="Arial" w:eastAsia="Arial" w:hAnsi="Arial"/>
          <w:sz w:val="15"/>
          <w:szCs w:val="15"/>
          <w:b w:val="1"/>
          <w:bCs w:val="1"/>
          <w:color w:val="23242D"/>
        </w:rPr>
        <w:t xml:space="preserve"> </w:t>
      </w:r>
      <w:r>
        <w:rPr>
          <w:rFonts w:ascii="Arial" w:cs="Arial" w:eastAsia="Arial" w:hAnsi="Arial"/>
          <w:sz w:val="15"/>
          <w:szCs w:val="15"/>
          <w:color w:val="343841"/>
        </w:rPr>
        <w:t>elig</w:t>
      </w:r>
      <w:r>
        <w:rPr>
          <w:rFonts w:ascii="Arial" w:cs="Arial" w:eastAsia="Arial" w:hAnsi="Arial"/>
          <w:sz w:val="15"/>
          <w:szCs w:val="15"/>
          <w:color w:val="4F5257"/>
        </w:rPr>
        <w:t>i</w:t>
      </w:r>
      <w:r>
        <w:rPr>
          <w:rFonts w:ascii="Arial" w:cs="Arial" w:eastAsia="Arial" w:hAnsi="Arial"/>
          <w:sz w:val="15"/>
          <w:szCs w:val="15"/>
          <w:color w:val="23242D"/>
        </w:rPr>
        <w:t>ble to</w:t>
      </w:r>
      <w:r>
        <w:rPr>
          <w:rFonts w:ascii="Arial" w:cs="Arial" w:eastAsia="Arial" w:hAnsi="Arial"/>
          <w:sz w:val="15"/>
          <w:szCs w:val="15"/>
          <w:b w:val="1"/>
          <w:bCs w:val="1"/>
          <w:color w:val="23242D"/>
        </w:rPr>
        <w:t xml:space="preserve"> </w:t>
      </w:r>
      <w:r>
        <w:rPr>
          <w:rFonts w:ascii="Arial" w:cs="Arial" w:eastAsia="Arial" w:hAnsi="Arial"/>
          <w:sz w:val="15"/>
          <w:szCs w:val="15"/>
          <w:color w:val="343841"/>
        </w:rPr>
        <w:t>participate</w:t>
      </w:r>
      <w:r>
        <w:rPr>
          <w:rFonts w:ascii="Arial" w:cs="Arial" w:eastAsia="Arial" w:hAnsi="Arial"/>
          <w:sz w:val="15"/>
          <w:szCs w:val="15"/>
          <w:b w:val="1"/>
          <w:bCs w:val="1"/>
          <w:color w:val="23242D"/>
        </w:rPr>
        <w:t xml:space="preserve"> </w:t>
      </w:r>
      <w:r>
        <w:rPr>
          <w:rFonts w:ascii="Arial" w:cs="Arial" w:eastAsia="Arial" w:hAnsi="Arial"/>
          <w:sz w:val="15"/>
          <w:szCs w:val="15"/>
          <w:color w:val="23242D"/>
        </w:rPr>
        <w:t>in the</w:t>
      </w:r>
      <w:r>
        <w:rPr>
          <w:rFonts w:ascii="Arial" w:cs="Arial" w:eastAsia="Arial" w:hAnsi="Arial"/>
          <w:sz w:val="15"/>
          <w:szCs w:val="15"/>
          <w:b w:val="1"/>
          <w:bCs w:val="1"/>
          <w:color w:val="23242D"/>
        </w:rPr>
        <w:t xml:space="preserve"> </w:t>
      </w:r>
      <w:r>
        <w:rPr>
          <w:rFonts w:ascii="Arial" w:cs="Arial" w:eastAsia="Arial" w:hAnsi="Arial"/>
          <w:sz w:val="15"/>
          <w:szCs w:val="15"/>
          <w:color w:val="343841"/>
        </w:rPr>
        <w:t>Biogen</w:t>
      </w:r>
      <w:r>
        <w:rPr>
          <w:rFonts w:ascii="Arial" w:cs="Arial" w:eastAsia="Arial" w:hAnsi="Arial"/>
          <w:sz w:val="15"/>
          <w:szCs w:val="15"/>
          <w:b w:val="1"/>
          <w:bCs w:val="1"/>
          <w:color w:val="23242D"/>
        </w:rPr>
        <w:t xml:space="preserve"> </w:t>
      </w:r>
      <w:r>
        <w:rPr>
          <w:rFonts w:ascii="Arial" w:cs="Arial" w:eastAsia="Arial" w:hAnsi="Arial"/>
          <w:sz w:val="15"/>
          <w:szCs w:val="15"/>
          <w:color w:val="23242D"/>
        </w:rPr>
        <w:t>Annual Bonus Plan</w:t>
      </w:r>
      <w:r>
        <w:rPr>
          <w:rFonts w:ascii="Arial" w:cs="Arial" w:eastAsia="Arial" w:hAnsi="Arial"/>
          <w:sz w:val="15"/>
          <w:szCs w:val="15"/>
          <w:color w:val="425B75"/>
        </w:rPr>
        <w:t>,</w:t>
      </w:r>
      <w:r>
        <w:rPr>
          <w:rFonts w:ascii="Arial" w:cs="Arial" w:eastAsia="Arial" w:hAnsi="Arial"/>
          <w:sz w:val="15"/>
          <w:szCs w:val="15"/>
          <w:b w:val="1"/>
          <w:bCs w:val="1"/>
          <w:color w:val="23242D"/>
        </w:rPr>
        <w:t xml:space="preserve"> </w:t>
      </w:r>
      <w:r>
        <w:rPr>
          <w:rFonts w:ascii="Arial" w:cs="Arial" w:eastAsia="Arial" w:hAnsi="Arial"/>
          <w:sz w:val="15"/>
          <w:szCs w:val="15"/>
          <w:color w:val="23242D"/>
        </w:rPr>
        <w:t>with</w:t>
      </w:r>
      <w:r>
        <w:rPr>
          <w:rFonts w:ascii="Arial" w:cs="Arial" w:eastAsia="Arial" w:hAnsi="Arial"/>
          <w:sz w:val="15"/>
          <w:szCs w:val="15"/>
          <w:b w:val="1"/>
          <w:bCs w:val="1"/>
          <w:color w:val="23242D"/>
        </w:rPr>
        <w:t xml:space="preserve"> </w:t>
      </w:r>
      <w:r>
        <w:rPr>
          <w:rFonts w:ascii="Arial" w:cs="Arial" w:eastAsia="Arial" w:hAnsi="Arial"/>
          <w:sz w:val="15"/>
          <w:szCs w:val="15"/>
          <w:color w:val="343841"/>
        </w:rPr>
        <w:t>a</w:t>
      </w:r>
      <w:r>
        <w:rPr>
          <w:rFonts w:ascii="Arial" w:cs="Arial" w:eastAsia="Arial" w:hAnsi="Arial"/>
          <w:sz w:val="15"/>
          <w:szCs w:val="15"/>
          <w:b w:val="1"/>
          <w:bCs w:val="1"/>
          <w:color w:val="23242D"/>
        </w:rPr>
        <w:t xml:space="preserve"> </w:t>
      </w:r>
      <w:r>
        <w:rPr>
          <w:rFonts w:ascii="Arial" w:cs="Arial" w:eastAsia="Arial" w:hAnsi="Arial"/>
          <w:sz w:val="15"/>
          <w:szCs w:val="15"/>
          <w:color w:val="23242D"/>
        </w:rPr>
        <w:t>target</w:t>
      </w:r>
      <w:r>
        <w:rPr>
          <w:rFonts w:ascii="Arial" w:cs="Arial" w:eastAsia="Arial" w:hAnsi="Arial"/>
          <w:sz w:val="15"/>
          <w:szCs w:val="15"/>
          <w:b w:val="1"/>
          <w:bCs w:val="1"/>
          <w:color w:val="23242D"/>
        </w:rPr>
        <w:t xml:space="preserve"> </w:t>
      </w:r>
      <w:r>
        <w:rPr>
          <w:rFonts w:ascii="Arial" w:cs="Arial" w:eastAsia="Arial" w:hAnsi="Arial"/>
          <w:sz w:val="15"/>
          <w:szCs w:val="15"/>
          <w:color w:val="343841"/>
        </w:rPr>
        <w:t>bonus opportunity of 70%</w:t>
      </w:r>
      <w:r>
        <w:rPr>
          <w:rFonts w:ascii="Arial" w:cs="Arial" w:eastAsia="Arial" w:hAnsi="Arial"/>
          <w:sz w:val="15"/>
          <w:szCs w:val="15"/>
          <w:b w:val="1"/>
          <w:bCs w:val="1"/>
          <w:color w:val="23242D"/>
        </w:rPr>
        <w:t xml:space="preserve"> </w:t>
      </w:r>
      <w:r>
        <w:rPr>
          <w:rFonts w:ascii="Arial" w:cs="Arial" w:eastAsia="Arial" w:hAnsi="Arial"/>
          <w:sz w:val="15"/>
          <w:szCs w:val="15"/>
          <w:color w:val="23242D"/>
        </w:rPr>
        <w:t>of your annual</w:t>
      </w:r>
      <w:r>
        <w:rPr>
          <w:rFonts w:ascii="Arial" w:cs="Arial" w:eastAsia="Arial" w:hAnsi="Arial"/>
          <w:sz w:val="15"/>
          <w:szCs w:val="15"/>
          <w:b w:val="1"/>
          <w:bCs w:val="1"/>
          <w:color w:val="23242D"/>
        </w:rPr>
        <w:t xml:space="preserve"> </w:t>
      </w:r>
      <w:r>
        <w:rPr>
          <w:rFonts w:ascii="Arial" w:cs="Arial" w:eastAsia="Arial" w:hAnsi="Arial"/>
          <w:sz w:val="15"/>
          <w:szCs w:val="15"/>
          <w:color w:val="23242D"/>
        </w:rPr>
        <w:t>ba</w:t>
      </w:r>
      <w:r>
        <w:rPr>
          <w:rFonts w:ascii="Arial" w:cs="Arial" w:eastAsia="Arial" w:hAnsi="Arial"/>
          <w:sz w:val="15"/>
          <w:szCs w:val="15"/>
          <w:color w:val="4F5257"/>
        </w:rPr>
        <w:t>s</w:t>
      </w:r>
      <w:r>
        <w:rPr>
          <w:rFonts w:ascii="Arial" w:cs="Arial" w:eastAsia="Arial" w:hAnsi="Arial"/>
          <w:sz w:val="15"/>
          <w:szCs w:val="15"/>
          <w:color w:val="343841"/>
        </w:rPr>
        <w:t>e salary.</w:t>
      </w:r>
      <w:r>
        <w:rPr>
          <w:rFonts w:ascii="Arial" w:cs="Arial" w:eastAsia="Arial" w:hAnsi="Arial"/>
          <w:sz w:val="15"/>
          <w:szCs w:val="15"/>
          <w:color w:val="23242D"/>
        </w:rPr>
        <w:t xml:space="preserve"> Based upon </w:t>
      </w:r>
      <w:r>
        <w:rPr>
          <w:rFonts w:ascii="Arial" w:cs="Arial" w:eastAsia="Arial" w:hAnsi="Arial"/>
          <w:sz w:val="15"/>
          <w:szCs w:val="15"/>
          <w:color w:val="343841"/>
        </w:rPr>
        <w:t>your</w:t>
      </w:r>
      <w:r>
        <w:rPr>
          <w:rFonts w:ascii="Arial" w:cs="Arial" w:eastAsia="Arial" w:hAnsi="Arial"/>
          <w:sz w:val="15"/>
          <w:szCs w:val="15"/>
          <w:color w:val="23242D"/>
        </w:rPr>
        <w:t xml:space="preserve"> start date, your target bonus </w:t>
      </w:r>
      <w:r>
        <w:rPr>
          <w:rFonts w:ascii="Arial" w:cs="Arial" w:eastAsia="Arial" w:hAnsi="Arial"/>
          <w:sz w:val="15"/>
          <w:szCs w:val="15"/>
          <w:color w:val="343841"/>
        </w:rPr>
        <w:t>amount</w:t>
      </w:r>
      <w:r>
        <w:rPr>
          <w:rFonts w:ascii="Arial" w:cs="Arial" w:eastAsia="Arial" w:hAnsi="Arial"/>
          <w:sz w:val="15"/>
          <w:szCs w:val="15"/>
          <w:color w:val="23242D"/>
        </w:rPr>
        <w:t xml:space="preserve"> may be pro-rated</w:t>
      </w:r>
      <w:r>
        <w:rPr>
          <w:rFonts w:ascii="Arial" w:cs="Arial" w:eastAsia="Arial" w:hAnsi="Arial"/>
          <w:sz w:val="15"/>
          <w:szCs w:val="15"/>
          <w:color w:val="626467"/>
        </w:rPr>
        <w:t>.</w:t>
      </w:r>
      <w:r>
        <w:rPr>
          <w:rFonts w:ascii="Arial" w:cs="Arial" w:eastAsia="Arial" w:hAnsi="Arial"/>
          <w:sz w:val="15"/>
          <w:szCs w:val="15"/>
          <w:color w:val="23242D"/>
        </w:rPr>
        <w:t xml:space="preserve"> </w:t>
      </w:r>
      <w:r>
        <w:rPr>
          <w:rFonts w:ascii="Arial" w:cs="Arial" w:eastAsia="Arial" w:hAnsi="Arial"/>
          <w:sz w:val="15"/>
          <w:szCs w:val="15"/>
          <w:color w:val="343841"/>
        </w:rPr>
        <w:t>E</w:t>
      </w:r>
      <w:r>
        <w:rPr>
          <w:rFonts w:ascii="Arial" w:cs="Arial" w:eastAsia="Arial" w:hAnsi="Arial"/>
          <w:sz w:val="15"/>
          <w:szCs w:val="15"/>
          <w:color w:val="425B75"/>
        </w:rPr>
        <w:t>l</w:t>
      </w:r>
      <w:r>
        <w:rPr>
          <w:rFonts w:ascii="Arial" w:cs="Arial" w:eastAsia="Arial" w:hAnsi="Arial"/>
          <w:sz w:val="15"/>
          <w:szCs w:val="15"/>
          <w:color w:val="343841"/>
        </w:rPr>
        <w:t>igibility</w:t>
      </w:r>
      <w:r>
        <w:rPr>
          <w:rFonts w:ascii="Arial" w:cs="Arial" w:eastAsia="Arial" w:hAnsi="Arial"/>
          <w:sz w:val="15"/>
          <w:szCs w:val="15"/>
          <w:color w:val="23242D"/>
        </w:rPr>
        <w:t xml:space="preserve"> details </w:t>
      </w:r>
      <w:r>
        <w:rPr>
          <w:rFonts w:ascii="Arial" w:cs="Arial" w:eastAsia="Arial" w:hAnsi="Arial"/>
          <w:sz w:val="15"/>
          <w:szCs w:val="15"/>
          <w:color w:val="343841"/>
        </w:rPr>
        <w:t>and other</w:t>
      </w:r>
      <w:r>
        <w:rPr>
          <w:rFonts w:ascii="Arial" w:cs="Arial" w:eastAsia="Arial" w:hAnsi="Arial"/>
          <w:sz w:val="15"/>
          <w:szCs w:val="15"/>
          <w:color w:val="23242D"/>
        </w:rPr>
        <w:t xml:space="preserve"> terms </w:t>
      </w:r>
      <w:r>
        <w:rPr>
          <w:rFonts w:ascii="Arial" w:cs="Arial" w:eastAsia="Arial" w:hAnsi="Arial"/>
          <w:sz w:val="15"/>
          <w:szCs w:val="15"/>
          <w:color w:val="343841"/>
        </w:rPr>
        <w:t>of</w:t>
      </w:r>
      <w:r>
        <w:rPr>
          <w:rFonts w:ascii="Arial" w:cs="Arial" w:eastAsia="Arial" w:hAnsi="Arial"/>
          <w:sz w:val="15"/>
          <w:szCs w:val="15"/>
          <w:color w:val="23242D"/>
        </w:rPr>
        <w:t xml:space="preserve"> the Plan are </w:t>
      </w:r>
      <w:r>
        <w:rPr>
          <w:rFonts w:ascii="Arial" w:cs="Arial" w:eastAsia="Arial" w:hAnsi="Arial"/>
          <w:sz w:val="15"/>
          <w:szCs w:val="15"/>
          <w:color w:val="343841"/>
        </w:rPr>
        <w:t>included</w:t>
      </w:r>
      <w:r>
        <w:rPr>
          <w:rFonts w:ascii="Arial" w:cs="Arial" w:eastAsia="Arial" w:hAnsi="Arial"/>
          <w:sz w:val="15"/>
          <w:szCs w:val="15"/>
          <w:color w:val="23242D"/>
        </w:rPr>
        <w:t xml:space="preserve"> in the current year's Plan document</w:t>
      </w:r>
      <w:r>
        <w:rPr>
          <w:rFonts w:ascii="Arial" w:cs="Arial" w:eastAsia="Arial" w:hAnsi="Arial"/>
          <w:sz w:val="15"/>
          <w:szCs w:val="15"/>
          <w:color w:val="828585"/>
        </w:rPr>
        <w:t>,</w:t>
      </w:r>
      <w:r>
        <w:rPr>
          <w:rFonts w:ascii="Arial" w:cs="Arial" w:eastAsia="Arial" w:hAnsi="Arial"/>
          <w:sz w:val="15"/>
          <w:szCs w:val="15"/>
          <w:color w:val="23242D"/>
        </w:rPr>
        <w:t xml:space="preserve"> </w:t>
      </w:r>
      <w:r>
        <w:rPr>
          <w:rFonts w:ascii="Arial" w:cs="Arial" w:eastAsia="Arial" w:hAnsi="Arial"/>
          <w:sz w:val="15"/>
          <w:szCs w:val="15"/>
          <w:color w:val="343841"/>
        </w:rPr>
        <w:t>which will be</w:t>
      </w:r>
      <w:r>
        <w:rPr>
          <w:rFonts w:ascii="Arial" w:cs="Arial" w:eastAsia="Arial" w:hAnsi="Arial"/>
          <w:sz w:val="15"/>
          <w:szCs w:val="15"/>
          <w:color w:val="23242D"/>
        </w:rPr>
        <w:t xml:space="preserve"> mad</w:t>
      </w:r>
      <w:r>
        <w:rPr>
          <w:rFonts w:ascii="Arial" w:cs="Arial" w:eastAsia="Arial" w:hAnsi="Arial"/>
          <w:sz w:val="15"/>
          <w:szCs w:val="15"/>
          <w:color w:val="4F5257"/>
        </w:rPr>
        <w:t>e</w:t>
      </w:r>
      <w:r>
        <w:rPr>
          <w:rFonts w:ascii="Arial" w:cs="Arial" w:eastAsia="Arial" w:hAnsi="Arial"/>
          <w:sz w:val="15"/>
          <w:szCs w:val="15"/>
          <w:color w:val="23242D"/>
        </w:rPr>
        <w:t xml:space="preserve"> </w:t>
      </w:r>
      <w:r>
        <w:rPr>
          <w:rFonts w:ascii="Arial" w:cs="Arial" w:eastAsia="Arial" w:hAnsi="Arial"/>
          <w:sz w:val="15"/>
          <w:szCs w:val="15"/>
          <w:color w:val="343841"/>
        </w:rPr>
        <w:t>available</w:t>
      </w:r>
      <w:r>
        <w:rPr>
          <w:rFonts w:ascii="Arial" w:cs="Arial" w:eastAsia="Arial" w:hAnsi="Arial"/>
          <w:sz w:val="15"/>
          <w:szCs w:val="15"/>
          <w:color w:val="23242D"/>
        </w:rPr>
        <w:t xml:space="preserve"> upon your employment with the Company</w:t>
      </w:r>
      <w:r>
        <w:rPr>
          <w:rFonts w:ascii="Arial" w:cs="Arial" w:eastAsia="Arial" w:hAnsi="Arial"/>
          <w:sz w:val="15"/>
          <w:szCs w:val="15"/>
          <w:color w:val="828585"/>
        </w:rPr>
        <w:t>.</w:t>
      </w:r>
    </w:p>
    <w:p>
      <w:pPr>
        <w:spacing w:after="0" w:line="161" w:lineRule="exact"/>
        <w:rPr>
          <w:sz w:val="20"/>
          <w:szCs w:val="20"/>
          <w:color w:val="auto"/>
        </w:rPr>
      </w:pPr>
    </w:p>
    <w:p>
      <w:pPr>
        <w:ind w:left="180" w:right="120"/>
        <w:spacing w:after="0" w:line="255" w:lineRule="auto"/>
        <w:rPr>
          <w:sz w:val="20"/>
          <w:szCs w:val="20"/>
          <w:color w:val="auto"/>
        </w:rPr>
      </w:pPr>
      <w:r>
        <w:rPr>
          <w:rFonts w:ascii="Arial" w:cs="Arial" w:eastAsia="Arial" w:hAnsi="Arial"/>
          <w:sz w:val="15"/>
          <w:szCs w:val="15"/>
          <w:b w:val="1"/>
          <w:bCs w:val="1"/>
          <w:color w:val="23242D"/>
        </w:rPr>
        <w:t>Long-Term Incentive Plan</w:t>
      </w:r>
      <w:r>
        <w:rPr>
          <w:rFonts w:ascii="Arial" w:cs="Arial" w:eastAsia="Arial" w:hAnsi="Arial"/>
          <w:sz w:val="15"/>
          <w:szCs w:val="15"/>
          <w:b w:val="1"/>
          <w:bCs w:val="1"/>
          <w:color w:val="707477"/>
        </w:rPr>
        <w:t>:</w:t>
      </w:r>
      <w:r>
        <w:rPr>
          <w:rFonts w:ascii="Arial" w:cs="Arial" w:eastAsia="Arial" w:hAnsi="Arial"/>
          <w:sz w:val="15"/>
          <w:szCs w:val="15"/>
          <w:b w:val="1"/>
          <w:bCs w:val="1"/>
          <w:color w:val="23242D"/>
        </w:rPr>
        <w:t xml:space="preserve"> </w:t>
      </w:r>
      <w:r>
        <w:rPr>
          <w:rFonts w:ascii="Arial" w:cs="Arial" w:eastAsia="Arial" w:hAnsi="Arial"/>
          <w:sz w:val="15"/>
          <w:szCs w:val="15"/>
          <w:color w:val="4F5257"/>
        </w:rPr>
        <w:t>Yo</w:t>
      </w:r>
      <w:r>
        <w:rPr>
          <w:rFonts w:ascii="Arial" w:cs="Arial" w:eastAsia="Arial" w:hAnsi="Arial"/>
          <w:sz w:val="15"/>
          <w:szCs w:val="15"/>
          <w:color w:val="343841"/>
        </w:rPr>
        <w:t>u will</w:t>
      </w:r>
      <w:r>
        <w:rPr>
          <w:rFonts w:ascii="Arial" w:cs="Arial" w:eastAsia="Arial" w:hAnsi="Arial"/>
          <w:sz w:val="15"/>
          <w:szCs w:val="15"/>
          <w:b w:val="1"/>
          <w:bCs w:val="1"/>
          <w:color w:val="23242D"/>
        </w:rPr>
        <w:t xml:space="preserve"> </w:t>
      </w:r>
      <w:r>
        <w:rPr>
          <w:rFonts w:ascii="Arial" w:cs="Arial" w:eastAsia="Arial" w:hAnsi="Arial"/>
          <w:sz w:val="15"/>
          <w:szCs w:val="15"/>
          <w:color w:val="23242D"/>
        </w:rPr>
        <w:t>b</w:t>
      </w:r>
      <w:r>
        <w:rPr>
          <w:rFonts w:ascii="Arial" w:cs="Arial" w:eastAsia="Arial" w:hAnsi="Arial"/>
          <w:sz w:val="15"/>
          <w:szCs w:val="15"/>
          <w:color w:val="4F5257"/>
        </w:rPr>
        <w:t>e</w:t>
      </w:r>
      <w:r>
        <w:rPr>
          <w:rFonts w:ascii="Arial" w:cs="Arial" w:eastAsia="Arial" w:hAnsi="Arial"/>
          <w:sz w:val="15"/>
          <w:szCs w:val="15"/>
          <w:b w:val="1"/>
          <w:bCs w:val="1"/>
          <w:color w:val="23242D"/>
        </w:rPr>
        <w:t xml:space="preserve"> </w:t>
      </w:r>
      <w:r>
        <w:rPr>
          <w:rFonts w:ascii="Arial" w:cs="Arial" w:eastAsia="Arial" w:hAnsi="Arial"/>
          <w:sz w:val="15"/>
          <w:szCs w:val="15"/>
          <w:color w:val="23242D"/>
        </w:rPr>
        <w:t>granted Cash</w:t>
      </w:r>
      <w:r>
        <w:rPr>
          <w:rFonts w:ascii="Arial" w:cs="Arial" w:eastAsia="Arial" w:hAnsi="Arial"/>
          <w:sz w:val="15"/>
          <w:szCs w:val="15"/>
          <w:color w:val="707477"/>
        </w:rPr>
        <w:t>-</w:t>
      </w:r>
      <w:r>
        <w:rPr>
          <w:rFonts w:ascii="Arial" w:cs="Arial" w:eastAsia="Arial" w:hAnsi="Arial"/>
          <w:sz w:val="15"/>
          <w:szCs w:val="15"/>
          <w:color w:val="23242D"/>
        </w:rPr>
        <w:t>Settled Performance Units</w:t>
      </w:r>
      <w:r>
        <w:rPr>
          <w:rFonts w:ascii="Arial" w:cs="Arial" w:eastAsia="Arial" w:hAnsi="Arial"/>
          <w:sz w:val="15"/>
          <w:szCs w:val="15"/>
          <w:b w:val="1"/>
          <w:bCs w:val="1"/>
          <w:color w:val="23242D"/>
        </w:rPr>
        <w:t xml:space="preserve"> </w:t>
      </w:r>
      <w:r>
        <w:rPr>
          <w:rFonts w:ascii="Arial" w:cs="Arial" w:eastAsia="Arial" w:hAnsi="Arial"/>
          <w:sz w:val="15"/>
          <w:szCs w:val="15"/>
          <w:color w:val="343841"/>
        </w:rPr>
        <w:t>(CSPU)</w:t>
      </w:r>
      <w:r>
        <w:rPr>
          <w:rFonts w:ascii="Arial" w:cs="Arial" w:eastAsia="Arial" w:hAnsi="Arial"/>
          <w:sz w:val="15"/>
          <w:szCs w:val="15"/>
          <w:b w:val="1"/>
          <w:bCs w:val="1"/>
          <w:color w:val="23242D"/>
        </w:rPr>
        <w:t xml:space="preserve"> </w:t>
      </w:r>
      <w:r>
        <w:rPr>
          <w:rFonts w:ascii="Arial" w:cs="Arial" w:eastAsia="Arial" w:hAnsi="Arial"/>
          <w:sz w:val="15"/>
          <w:szCs w:val="15"/>
          <w:color w:val="23242D"/>
        </w:rPr>
        <w:t>in</w:t>
      </w:r>
      <w:r>
        <w:rPr>
          <w:rFonts w:ascii="Arial" w:cs="Arial" w:eastAsia="Arial" w:hAnsi="Arial"/>
          <w:sz w:val="15"/>
          <w:szCs w:val="15"/>
          <w:b w:val="1"/>
          <w:bCs w:val="1"/>
          <w:color w:val="23242D"/>
        </w:rPr>
        <w:t xml:space="preserve"> </w:t>
      </w:r>
      <w:r>
        <w:rPr>
          <w:rFonts w:ascii="Arial" w:cs="Arial" w:eastAsia="Arial" w:hAnsi="Arial"/>
          <w:sz w:val="15"/>
          <w:szCs w:val="15"/>
          <w:color w:val="4F5257"/>
        </w:rPr>
        <w:t>c</w:t>
      </w:r>
      <w:r>
        <w:rPr>
          <w:rFonts w:ascii="Arial" w:cs="Arial" w:eastAsia="Arial" w:hAnsi="Arial"/>
          <w:sz w:val="15"/>
          <w:szCs w:val="15"/>
          <w:color w:val="23242D"/>
        </w:rPr>
        <w:t>onnection</w:t>
      </w:r>
      <w:r>
        <w:rPr>
          <w:rFonts w:ascii="Arial" w:cs="Arial" w:eastAsia="Arial" w:hAnsi="Arial"/>
          <w:sz w:val="15"/>
          <w:szCs w:val="15"/>
          <w:b w:val="1"/>
          <w:bCs w:val="1"/>
          <w:color w:val="23242D"/>
        </w:rPr>
        <w:t xml:space="preserve"> </w:t>
      </w:r>
      <w:r>
        <w:rPr>
          <w:rFonts w:ascii="Arial" w:cs="Arial" w:eastAsia="Arial" w:hAnsi="Arial"/>
          <w:sz w:val="15"/>
          <w:szCs w:val="15"/>
          <w:color w:val="343841"/>
        </w:rPr>
        <w:t>with</w:t>
      </w:r>
      <w:r>
        <w:rPr>
          <w:rFonts w:ascii="Arial" w:cs="Arial" w:eastAsia="Arial" w:hAnsi="Arial"/>
          <w:sz w:val="15"/>
          <w:szCs w:val="15"/>
          <w:b w:val="1"/>
          <w:bCs w:val="1"/>
          <w:color w:val="23242D"/>
        </w:rPr>
        <w:t xml:space="preserve"> </w:t>
      </w:r>
      <w:r>
        <w:rPr>
          <w:rFonts w:ascii="Arial" w:cs="Arial" w:eastAsia="Arial" w:hAnsi="Arial"/>
          <w:sz w:val="15"/>
          <w:szCs w:val="15"/>
          <w:color w:val="23242D"/>
        </w:rPr>
        <w:t>the</w:t>
      </w:r>
      <w:r>
        <w:rPr>
          <w:rFonts w:ascii="Arial" w:cs="Arial" w:eastAsia="Arial" w:hAnsi="Arial"/>
          <w:sz w:val="15"/>
          <w:szCs w:val="15"/>
          <w:b w:val="1"/>
          <w:bCs w:val="1"/>
          <w:color w:val="23242D"/>
        </w:rPr>
        <w:t xml:space="preserve"> </w:t>
      </w:r>
      <w:r>
        <w:rPr>
          <w:rFonts w:ascii="Arial" w:cs="Arial" w:eastAsia="Arial" w:hAnsi="Arial"/>
          <w:sz w:val="15"/>
          <w:szCs w:val="15"/>
          <w:color w:val="343841"/>
        </w:rPr>
        <w:t>commencem</w:t>
      </w:r>
      <w:r>
        <w:rPr>
          <w:rFonts w:ascii="Arial" w:cs="Arial" w:eastAsia="Arial" w:hAnsi="Arial"/>
          <w:sz w:val="15"/>
          <w:szCs w:val="15"/>
          <w:color w:val="4F5257"/>
        </w:rPr>
        <w:t>e</w:t>
      </w:r>
      <w:r>
        <w:rPr>
          <w:rFonts w:ascii="Arial" w:cs="Arial" w:eastAsia="Arial" w:hAnsi="Arial"/>
          <w:sz w:val="15"/>
          <w:szCs w:val="15"/>
          <w:color w:val="343841"/>
        </w:rPr>
        <w:t>nt of your</w:t>
      </w:r>
      <w:r>
        <w:rPr>
          <w:rFonts w:ascii="Arial" w:cs="Arial" w:eastAsia="Arial" w:hAnsi="Arial"/>
          <w:sz w:val="15"/>
          <w:szCs w:val="15"/>
          <w:b w:val="1"/>
          <w:bCs w:val="1"/>
          <w:color w:val="23242D"/>
        </w:rPr>
        <w:t xml:space="preserve"> </w:t>
      </w:r>
      <w:r>
        <w:rPr>
          <w:rFonts w:ascii="Arial" w:cs="Arial" w:eastAsia="Arial" w:hAnsi="Arial"/>
          <w:sz w:val="15"/>
          <w:szCs w:val="15"/>
          <w:color w:val="23242D"/>
        </w:rPr>
        <w:t xml:space="preserve">employment. The approximate grant date </w:t>
      </w:r>
      <w:r>
        <w:rPr>
          <w:rFonts w:ascii="Arial" w:cs="Arial" w:eastAsia="Arial" w:hAnsi="Arial"/>
          <w:sz w:val="15"/>
          <w:szCs w:val="15"/>
          <w:color w:val="343841"/>
        </w:rPr>
        <w:t>value of</w:t>
      </w:r>
      <w:r>
        <w:rPr>
          <w:rFonts w:ascii="Arial" w:cs="Arial" w:eastAsia="Arial" w:hAnsi="Arial"/>
          <w:sz w:val="15"/>
          <w:szCs w:val="15"/>
          <w:color w:val="23242D"/>
        </w:rPr>
        <w:t xml:space="preserve"> your CSPU </w:t>
      </w:r>
      <w:r>
        <w:rPr>
          <w:rFonts w:ascii="Arial" w:cs="Arial" w:eastAsia="Arial" w:hAnsi="Arial"/>
          <w:sz w:val="15"/>
          <w:szCs w:val="15"/>
          <w:color w:val="343841"/>
        </w:rPr>
        <w:t>award will</w:t>
      </w:r>
      <w:r>
        <w:rPr>
          <w:rFonts w:ascii="Arial" w:cs="Arial" w:eastAsia="Arial" w:hAnsi="Arial"/>
          <w:sz w:val="15"/>
          <w:szCs w:val="15"/>
          <w:color w:val="23242D"/>
        </w:rPr>
        <w:t xml:space="preserve"> be </w:t>
      </w:r>
      <w:r>
        <w:rPr>
          <w:rFonts w:ascii="Arial" w:cs="Arial" w:eastAsia="Arial" w:hAnsi="Arial"/>
          <w:sz w:val="15"/>
          <w:szCs w:val="15"/>
          <w:color w:val="343841"/>
        </w:rPr>
        <w:t>$1</w:t>
      </w:r>
      <w:r>
        <w:rPr>
          <w:rFonts w:ascii="Arial" w:cs="Arial" w:eastAsia="Arial" w:hAnsi="Arial"/>
          <w:sz w:val="15"/>
          <w:szCs w:val="15"/>
          <w:color w:val="4F5257"/>
        </w:rPr>
        <w:t>,</w:t>
      </w:r>
      <w:r>
        <w:rPr>
          <w:rFonts w:ascii="Arial" w:cs="Arial" w:eastAsia="Arial" w:hAnsi="Arial"/>
          <w:sz w:val="15"/>
          <w:szCs w:val="15"/>
          <w:color w:val="343841"/>
        </w:rPr>
        <w:t>250</w:t>
      </w:r>
      <w:r>
        <w:rPr>
          <w:rFonts w:ascii="Arial" w:cs="Arial" w:eastAsia="Arial" w:hAnsi="Arial"/>
          <w:sz w:val="15"/>
          <w:szCs w:val="15"/>
          <w:color w:val="4F5257"/>
        </w:rPr>
        <w:t>,</w:t>
      </w:r>
      <w:r>
        <w:rPr>
          <w:rFonts w:ascii="Arial" w:cs="Arial" w:eastAsia="Arial" w:hAnsi="Arial"/>
          <w:sz w:val="15"/>
          <w:szCs w:val="15"/>
          <w:color w:val="23242D"/>
        </w:rPr>
        <w:t xml:space="preserve">000.00. </w:t>
      </w:r>
      <w:r>
        <w:rPr>
          <w:rFonts w:ascii="Arial" w:cs="Arial" w:eastAsia="Arial" w:hAnsi="Arial"/>
          <w:sz w:val="15"/>
          <w:szCs w:val="15"/>
          <w:color w:val="343841"/>
        </w:rPr>
        <w:t>The</w:t>
      </w:r>
      <w:r>
        <w:rPr>
          <w:rFonts w:ascii="Arial" w:cs="Arial" w:eastAsia="Arial" w:hAnsi="Arial"/>
          <w:sz w:val="15"/>
          <w:szCs w:val="15"/>
          <w:color w:val="23242D"/>
        </w:rPr>
        <w:t xml:space="preserve"> number of </w:t>
      </w:r>
      <w:r>
        <w:rPr>
          <w:rFonts w:ascii="Arial" w:cs="Arial" w:eastAsia="Arial" w:hAnsi="Arial"/>
          <w:sz w:val="15"/>
          <w:szCs w:val="15"/>
          <w:color w:val="343841"/>
        </w:rPr>
        <w:t>CSPU shares</w:t>
      </w:r>
      <w:r>
        <w:rPr>
          <w:rFonts w:ascii="Arial" w:cs="Arial" w:eastAsia="Arial" w:hAnsi="Arial"/>
          <w:sz w:val="15"/>
          <w:szCs w:val="15"/>
          <w:color w:val="23242D"/>
        </w:rPr>
        <w:t xml:space="preserve"> granted to you will be calculated by dividing the </w:t>
      </w:r>
      <w:r>
        <w:rPr>
          <w:rFonts w:ascii="Arial" w:cs="Arial" w:eastAsia="Arial" w:hAnsi="Arial"/>
          <w:sz w:val="15"/>
          <w:szCs w:val="15"/>
          <w:color w:val="343841"/>
        </w:rPr>
        <w:t>approximate grant</w:t>
      </w:r>
      <w:r>
        <w:rPr>
          <w:rFonts w:ascii="Arial" w:cs="Arial" w:eastAsia="Arial" w:hAnsi="Arial"/>
          <w:sz w:val="15"/>
          <w:szCs w:val="15"/>
          <w:color w:val="23242D"/>
        </w:rPr>
        <w:t xml:space="preserve"> date value by the closing price of Biogen </w:t>
      </w:r>
      <w:r>
        <w:rPr>
          <w:rFonts w:ascii="Arial" w:cs="Arial" w:eastAsia="Arial" w:hAnsi="Arial"/>
          <w:sz w:val="15"/>
          <w:szCs w:val="15"/>
          <w:color w:val="343841"/>
        </w:rPr>
        <w:t>stock</w:t>
      </w:r>
      <w:r>
        <w:rPr>
          <w:rFonts w:ascii="Arial" w:cs="Arial" w:eastAsia="Arial" w:hAnsi="Arial"/>
          <w:sz w:val="15"/>
          <w:szCs w:val="15"/>
          <w:color w:val="23242D"/>
        </w:rPr>
        <w:t xml:space="preserve"> </w:t>
      </w:r>
      <w:r>
        <w:rPr>
          <w:rFonts w:ascii="Arial" w:cs="Arial" w:eastAsia="Arial" w:hAnsi="Arial"/>
          <w:sz w:val="15"/>
          <w:szCs w:val="15"/>
          <w:color w:val="1F344F"/>
        </w:rPr>
        <w:t>(</w:t>
      </w:r>
      <w:r>
        <w:rPr>
          <w:rFonts w:ascii="Arial" w:cs="Arial" w:eastAsia="Arial" w:hAnsi="Arial"/>
          <w:sz w:val="15"/>
          <w:szCs w:val="15"/>
          <w:color w:val="23242D"/>
        </w:rPr>
        <w:t xml:space="preserve">NASDAQ) on the date </w:t>
      </w:r>
      <w:r>
        <w:rPr>
          <w:rFonts w:ascii="Arial" w:cs="Arial" w:eastAsia="Arial" w:hAnsi="Arial"/>
          <w:sz w:val="15"/>
          <w:szCs w:val="15"/>
          <w:color w:val="343841"/>
        </w:rPr>
        <w:t>of grant</w:t>
      </w:r>
      <w:r>
        <w:rPr>
          <w:rFonts w:ascii="Arial" w:cs="Arial" w:eastAsia="Arial" w:hAnsi="Arial"/>
          <w:sz w:val="15"/>
          <w:szCs w:val="15"/>
          <w:color w:val="828585"/>
        </w:rPr>
        <w:t>,</w:t>
      </w:r>
      <w:r>
        <w:rPr>
          <w:rFonts w:ascii="Arial" w:cs="Arial" w:eastAsia="Arial" w:hAnsi="Arial"/>
          <w:sz w:val="15"/>
          <w:szCs w:val="15"/>
          <w:color w:val="23242D"/>
        </w:rPr>
        <w:t xml:space="preserve"> with the resulting </w:t>
      </w:r>
      <w:r>
        <w:rPr>
          <w:rFonts w:ascii="Arial" w:cs="Arial" w:eastAsia="Arial" w:hAnsi="Arial"/>
          <w:sz w:val="15"/>
          <w:szCs w:val="15"/>
          <w:color w:val="343841"/>
        </w:rPr>
        <w:t xml:space="preserve">number </w:t>
      </w:r>
      <w:r>
        <w:rPr>
          <w:rFonts w:ascii="Arial" w:cs="Arial" w:eastAsia="Arial" w:hAnsi="Arial"/>
          <w:sz w:val="15"/>
          <w:szCs w:val="15"/>
          <w:color w:val="23242D"/>
        </w:rPr>
        <w:t>of share</w:t>
      </w:r>
      <w:r>
        <w:rPr>
          <w:rFonts w:ascii="Arial" w:cs="Arial" w:eastAsia="Arial" w:hAnsi="Arial"/>
          <w:sz w:val="15"/>
          <w:szCs w:val="15"/>
          <w:color w:val="4F5257"/>
        </w:rPr>
        <w:t>s</w:t>
      </w:r>
      <w:r>
        <w:rPr>
          <w:rFonts w:ascii="Arial" w:cs="Arial" w:eastAsia="Arial" w:hAnsi="Arial"/>
          <w:sz w:val="15"/>
          <w:szCs w:val="15"/>
          <w:color w:val="343841"/>
        </w:rPr>
        <w:t xml:space="preserve"> </w:t>
      </w:r>
      <w:r>
        <w:rPr>
          <w:rFonts w:ascii="Arial" w:cs="Arial" w:eastAsia="Arial" w:hAnsi="Arial"/>
          <w:sz w:val="15"/>
          <w:szCs w:val="15"/>
          <w:color w:val="23242D"/>
        </w:rPr>
        <w:t>rounded to the nearest five shares</w:t>
      </w:r>
      <w:r>
        <w:rPr>
          <w:rFonts w:ascii="Arial" w:cs="Arial" w:eastAsia="Arial" w:hAnsi="Arial"/>
          <w:sz w:val="15"/>
          <w:szCs w:val="15"/>
          <w:color w:val="707477"/>
        </w:rPr>
        <w:t>.</w:t>
      </w:r>
      <w:r>
        <w:rPr>
          <w:rFonts w:ascii="Arial" w:cs="Arial" w:eastAsia="Arial" w:hAnsi="Arial"/>
          <w:sz w:val="15"/>
          <w:szCs w:val="15"/>
          <w:color w:val="343841"/>
        </w:rPr>
        <w:t xml:space="preserve"> </w:t>
      </w:r>
      <w:r>
        <w:rPr>
          <w:rFonts w:ascii="Arial" w:cs="Arial" w:eastAsia="Arial" w:hAnsi="Arial"/>
          <w:sz w:val="15"/>
          <w:szCs w:val="15"/>
          <w:color w:val="23242D"/>
        </w:rPr>
        <w:t>You will also be granted Market St</w:t>
      </w:r>
      <w:r>
        <w:rPr>
          <w:rFonts w:ascii="Arial" w:cs="Arial" w:eastAsia="Arial" w:hAnsi="Arial"/>
          <w:sz w:val="15"/>
          <w:szCs w:val="15"/>
          <w:color w:val="626467"/>
        </w:rPr>
        <w:t>oc</w:t>
      </w:r>
      <w:r>
        <w:rPr>
          <w:rFonts w:ascii="Arial" w:cs="Arial" w:eastAsia="Arial" w:hAnsi="Arial"/>
          <w:sz w:val="15"/>
          <w:szCs w:val="15"/>
          <w:color w:val="343841"/>
        </w:rPr>
        <w:t xml:space="preserve">k Units </w:t>
      </w:r>
      <w:r>
        <w:rPr>
          <w:rFonts w:ascii="Arial" w:cs="Arial" w:eastAsia="Arial" w:hAnsi="Arial"/>
          <w:sz w:val="15"/>
          <w:szCs w:val="15"/>
          <w:color w:val="23242D"/>
        </w:rPr>
        <w:t>(MSU) in</w:t>
      </w:r>
      <w:r>
        <w:rPr>
          <w:rFonts w:ascii="Arial" w:cs="Arial" w:eastAsia="Arial" w:hAnsi="Arial"/>
          <w:sz w:val="15"/>
          <w:szCs w:val="15"/>
          <w:color w:val="343841"/>
        </w:rPr>
        <w:t xml:space="preserve"> conne</w:t>
      </w:r>
      <w:r>
        <w:rPr>
          <w:rFonts w:ascii="Arial" w:cs="Arial" w:eastAsia="Arial" w:hAnsi="Arial"/>
          <w:sz w:val="15"/>
          <w:szCs w:val="15"/>
          <w:color w:val="4F5257"/>
        </w:rPr>
        <w:t>c</w:t>
      </w:r>
      <w:r>
        <w:rPr>
          <w:rFonts w:ascii="Arial" w:cs="Arial" w:eastAsia="Arial" w:hAnsi="Arial"/>
          <w:sz w:val="15"/>
          <w:szCs w:val="15"/>
          <w:color w:val="343841"/>
        </w:rPr>
        <w:t xml:space="preserve">tion </w:t>
      </w:r>
      <w:r>
        <w:rPr>
          <w:rFonts w:ascii="Arial" w:cs="Arial" w:eastAsia="Arial" w:hAnsi="Arial"/>
          <w:sz w:val="15"/>
          <w:szCs w:val="15"/>
          <w:color w:val="23242D"/>
        </w:rPr>
        <w:t>with the</w:t>
      </w:r>
      <w:r>
        <w:rPr>
          <w:rFonts w:ascii="Arial" w:cs="Arial" w:eastAsia="Arial" w:hAnsi="Arial"/>
          <w:sz w:val="15"/>
          <w:szCs w:val="15"/>
          <w:color w:val="343841"/>
        </w:rPr>
        <w:t xml:space="preserve"> commencement </w:t>
      </w:r>
      <w:r>
        <w:rPr>
          <w:rFonts w:ascii="Arial" w:cs="Arial" w:eastAsia="Arial" w:hAnsi="Arial"/>
          <w:sz w:val="15"/>
          <w:szCs w:val="15"/>
          <w:color w:val="23242D"/>
        </w:rPr>
        <w:t>of</w:t>
      </w:r>
      <w:r>
        <w:rPr>
          <w:rFonts w:ascii="Arial" w:cs="Arial" w:eastAsia="Arial" w:hAnsi="Arial"/>
          <w:sz w:val="15"/>
          <w:szCs w:val="15"/>
          <w:color w:val="343841"/>
        </w:rPr>
        <w:t xml:space="preserve"> </w:t>
      </w:r>
      <w:r>
        <w:rPr>
          <w:rFonts w:ascii="Arial" w:cs="Arial" w:eastAsia="Arial" w:hAnsi="Arial"/>
          <w:sz w:val="15"/>
          <w:szCs w:val="15"/>
          <w:color w:val="23242D"/>
        </w:rPr>
        <w:t xml:space="preserve">your employment. The </w:t>
      </w:r>
      <w:r>
        <w:rPr>
          <w:rFonts w:ascii="Arial" w:cs="Arial" w:eastAsia="Arial" w:hAnsi="Arial"/>
          <w:sz w:val="15"/>
          <w:szCs w:val="15"/>
          <w:color w:val="343841"/>
        </w:rPr>
        <w:t>approximate</w:t>
      </w:r>
      <w:r>
        <w:rPr>
          <w:rFonts w:ascii="Arial" w:cs="Arial" w:eastAsia="Arial" w:hAnsi="Arial"/>
          <w:sz w:val="15"/>
          <w:szCs w:val="15"/>
          <w:color w:val="23242D"/>
        </w:rPr>
        <w:t xml:space="preserve"> grant </w:t>
      </w:r>
      <w:r>
        <w:rPr>
          <w:rFonts w:ascii="Arial" w:cs="Arial" w:eastAsia="Arial" w:hAnsi="Arial"/>
          <w:sz w:val="15"/>
          <w:szCs w:val="15"/>
          <w:color w:val="343841"/>
        </w:rPr>
        <w:t>date</w:t>
      </w:r>
      <w:r>
        <w:rPr>
          <w:rFonts w:ascii="Arial" w:cs="Arial" w:eastAsia="Arial" w:hAnsi="Arial"/>
          <w:sz w:val="15"/>
          <w:szCs w:val="15"/>
          <w:color w:val="23242D"/>
        </w:rPr>
        <w:t xml:space="preserve"> value of </w:t>
      </w:r>
      <w:r>
        <w:rPr>
          <w:rFonts w:ascii="Arial" w:cs="Arial" w:eastAsia="Arial" w:hAnsi="Arial"/>
          <w:sz w:val="15"/>
          <w:szCs w:val="15"/>
          <w:color w:val="343841"/>
        </w:rPr>
        <w:t>your</w:t>
      </w:r>
      <w:r>
        <w:rPr>
          <w:rFonts w:ascii="Arial" w:cs="Arial" w:eastAsia="Arial" w:hAnsi="Arial"/>
          <w:sz w:val="15"/>
          <w:szCs w:val="15"/>
          <w:color w:val="23242D"/>
        </w:rPr>
        <w:t xml:space="preserve"> MSU award will be $1</w:t>
      </w:r>
      <w:r>
        <w:rPr>
          <w:rFonts w:ascii="Arial" w:cs="Arial" w:eastAsia="Arial" w:hAnsi="Arial"/>
          <w:sz w:val="15"/>
          <w:szCs w:val="15"/>
          <w:color w:val="626467"/>
        </w:rPr>
        <w:t>.</w:t>
      </w:r>
      <w:r>
        <w:rPr>
          <w:rFonts w:ascii="Arial" w:cs="Arial" w:eastAsia="Arial" w:hAnsi="Arial"/>
          <w:sz w:val="15"/>
          <w:szCs w:val="15"/>
          <w:color w:val="23242D"/>
        </w:rPr>
        <w:t>250</w:t>
      </w:r>
      <w:r>
        <w:rPr>
          <w:rFonts w:ascii="Arial" w:cs="Arial" w:eastAsia="Arial" w:hAnsi="Arial"/>
          <w:sz w:val="15"/>
          <w:szCs w:val="15"/>
          <w:color w:val="626467"/>
        </w:rPr>
        <w:t>,</w:t>
      </w:r>
      <w:r>
        <w:rPr>
          <w:rFonts w:ascii="Arial" w:cs="Arial" w:eastAsia="Arial" w:hAnsi="Arial"/>
          <w:sz w:val="15"/>
          <w:szCs w:val="15"/>
          <w:color w:val="23242D"/>
        </w:rPr>
        <w:t>000</w:t>
      </w:r>
      <w:r>
        <w:rPr>
          <w:rFonts w:ascii="Arial" w:cs="Arial" w:eastAsia="Arial" w:hAnsi="Arial"/>
          <w:sz w:val="15"/>
          <w:szCs w:val="15"/>
          <w:color w:val="4F5257"/>
        </w:rPr>
        <w:t>.</w:t>
      </w:r>
      <w:r>
        <w:rPr>
          <w:rFonts w:ascii="Arial" w:cs="Arial" w:eastAsia="Arial" w:hAnsi="Arial"/>
          <w:sz w:val="15"/>
          <w:szCs w:val="15"/>
          <w:color w:val="23242D"/>
        </w:rPr>
        <w:t>00</w:t>
      </w:r>
      <w:r>
        <w:rPr>
          <w:rFonts w:ascii="Arial" w:cs="Arial" w:eastAsia="Arial" w:hAnsi="Arial"/>
          <w:sz w:val="15"/>
          <w:szCs w:val="15"/>
          <w:color w:val="707477"/>
        </w:rPr>
        <w:t>.</w:t>
      </w:r>
      <w:r>
        <w:rPr>
          <w:rFonts w:ascii="Arial" w:cs="Arial" w:eastAsia="Arial" w:hAnsi="Arial"/>
          <w:sz w:val="15"/>
          <w:szCs w:val="15"/>
          <w:color w:val="23242D"/>
        </w:rPr>
        <w:t xml:space="preserve"> The number of MSU shares granted to you will </w:t>
      </w:r>
      <w:r>
        <w:rPr>
          <w:rFonts w:ascii="Arial" w:cs="Arial" w:eastAsia="Arial" w:hAnsi="Arial"/>
          <w:sz w:val="15"/>
          <w:szCs w:val="15"/>
          <w:color w:val="343841"/>
        </w:rPr>
        <w:t>b</w:t>
      </w:r>
      <w:r>
        <w:rPr>
          <w:rFonts w:ascii="Arial" w:cs="Arial" w:eastAsia="Arial" w:hAnsi="Arial"/>
          <w:sz w:val="15"/>
          <w:szCs w:val="15"/>
          <w:color w:val="4F5257"/>
        </w:rPr>
        <w:t>e</w:t>
      </w:r>
      <w:r>
        <w:rPr>
          <w:rFonts w:ascii="Arial" w:cs="Arial" w:eastAsia="Arial" w:hAnsi="Arial"/>
          <w:sz w:val="15"/>
          <w:szCs w:val="15"/>
          <w:color w:val="23242D"/>
        </w:rPr>
        <w:t xml:space="preserve"> </w:t>
      </w:r>
      <w:r>
        <w:rPr>
          <w:rFonts w:ascii="Arial" w:cs="Arial" w:eastAsia="Arial" w:hAnsi="Arial"/>
          <w:sz w:val="15"/>
          <w:szCs w:val="15"/>
          <w:color w:val="4F5257"/>
        </w:rPr>
        <w:t>c</w:t>
      </w:r>
      <w:r>
        <w:rPr>
          <w:rFonts w:ascii="Arial" w:cs="Arial" w:eastAsia="Arial" w:hAnsi="Arial"/>
          <w:sz w:val="15"/>
          <w:szCs w:val="15"/>
          <w:color w:val="23242D"/>
        </w:rPr>
        <w:t>al</w:t>
      </w:r>
      <w:r>
        <w:rPr>
          <w:rFonts w:ascii="Arial" w:cs="Arial" w:eastAsia="Arial" w:hAnsi="Arial"/>
          <w:sz w:val="15"/>
          <w:szCs w:val="15"/>
          <w:color w:val="4F5257"/>
        </w:rPr>
        <w:t>c</w:t>
      </w:r>
      <w:r>
        <w:rPr>
          <w:rFonts w:ascii="Arial" w:cs="Arial" w:eastAsia="Arial" w:hAnsi="Arial"/>
          <w:sz w:val="15"/>
          <w:szCs w:val="15"/>
          <w:color w:val="23242D"/>
        </w:rPr>
        <w:t>ulated by dividing the</w:t>
      </w:r>
      <w:r>
        <w:rPr>
          <w:rFonts w:ascii="Arial" w:cs="Arial" w:eastAsia="Arial" w:hAnsi="Arial"/>
          <w:sz w:val="15"/>
          <w:szCs w:val="15"/>
          <w:color w:val="4F5257"/>
        </w:rPr>
        <w:t xml:space="preserve"> </w:t>
      </w:r>
      <w:r>
        <w:rPr>
          <w:rFonts w:ascii="Arial" w:cs="Arial" w:eastAsia="Arial" w:hAnsi="Arial"/>
          <w:sz w:val="15"/>
          <w:szCs w:val="15"/>
          <w:color w:val="343841"/>
        </w:rPr>
        <w:t>approximate</w:t>
      </w:r>
      <w:r>
        <w:rPr>
          <w:rFonts w:ascii="Arial" w:cs="Arial" w:eastAsia="Arial" w:hAnsi="Arial"/>
          <w:sz w:val="15"/>
          <w:szCs w:val="15"/>
          <w:color w:val="4F5257"/>
        </w:rPr>
        <w:t xml:space="preserve"> </w:t>
      </w:r>
      <w:r>
        <w:rPr>
          <w:rFonts w:ascii="Arial" w:cs="Arial" w:eastAsia="Arial" w:hAnsi="Arial"/>
          <w:sz w:val="15"/>
          <w:szCs w:val="15"/>
          <w:color w:val="23242D"/>
        </w:rPr>
        <w:t>grant date value by the closing price of Biogen stock</w:t>
      </w:r>
      <w:r>
        <w:rPr>
          <w:rFonts w:ascii="Arial" w:cs="Arial" w:eastAsia="Arial" w:hAnsi="Arial"/>
          <w:sz w:val="15"/>
          <w:szCs w:val="15"/>
          <w:color w:val="4F5257"/>
        </w:rPr>
        <w:t xml:space="preserve"> </w:t>
      </w:r>
      <w:r>
        <w:rPr>
          <w:rFonts w:ascii="Arial" w:cs="Arial" w:eastAsia="Arial" w:hAnsi="Arial"/>
          <w:sz w:val="15"/>
          <w:szCs w:val="15"/>
          <w:color w:val="343841"/>
        </w:rPr>
        <w:t>(N</w:t>
      </w:r>
      <w:r>
        <w:rPr>
          <w:rFonts w:ascii="Arial" w:cs="Arial" w:eastAsia="Arial" w:hAnsi="Arial"/>
          <w:sz w:val="15"/>
          <w:szCs w:val="15"/>
          <w:color w:val="4F5257"/>
        </w:rPr>
        <w:t>A</w:t>
      </w:r>
      <w:r>
        <w:rPr>
          <w:rFonts w:ascii="Arial" w:cs="Arial" w:eastAsia="Arial" w:hAnsi="Arial"/>
          <w:sz w:val="15"/>
          <w:szCs w:val="15"/>
          <w:color w:val="343841"/>
        </w:rPr>
        <w:t>SDAQ</w:t>
      </w:r>
      <w:r>
        <w:rPr>
          <w:rFonts w:ascii="Arial" w:cs="Arial" w:eastAsia="Arial" w:hAnsi="Arial"/>
          <w:sz w:val="15"/>
          <w:szCs w:val="15"/>
          <w:color w:val="626467"/>
        </w:rPr>
        <w:t>)</w:t>
      </w:r>
      <w:r>
        <w:rPr>
          <w:rFonts w:ascii="Arial" w:cs="Arial" w:eastAsia="Arial" w:hAnsi="Arial"/>
          <w:sz w:val="15"/>
          <w:szCs w:val="15"/>
          <w:color w:val="4F5257"/>
        </w:rPr>
        <w:t xml:space="preserve"> </w:t>
      </w:r>
      <w:r>
        <w:rPr>
          <w:rFonts w:ascii="Arial" w:cs="Arial" w:eastAsia="Arial" w:hAnsi="Arial"/>
          <w:sz w:val="15"/>
          <w:szCs w:val="15"/>
          <w:color w:val="343841"/>
        </w:rPr>
        <w:t>and</w:t>
      </w:r>
      <w:r>
        <w:rPr>
          <w:rFonts w:ascii="Arial" w:cs="Arial" w:eastAsia="Arial" w:hAnsi="Arial"/>
          <w:sz w:val="15"/>
          <w:szCs w:val="15"/>
          <w:color w:val="4F5257"/>
        </w:rPr>
        <w:t xml:space="preserve"> </w:t>
      </w:r>
      <w:r>
        <w:rPr>
          <w:rFonts w:ascii="Arial" w:cs="Arial" w:eastAsia="Arial" w:hAnsi="Arial"/>
          <w:sz w:val="15"/>
          <w:szCs w:val="15"/>
          <w:color w:val="23242D"/>
        </w:rPr>
        <w:t>the MSU</w:t>
      </w:r>
      <w:r>
        <w:rPr>
          <w:rFonts w:ascii="Arial" w:cs="Arial" w:eastAsia="Arial" w:hAnsi="Arial"/>
          <w:sz w:val="15"/>
          <w:szCs w:val="15"/>
          <w:color w:val="4F5257"/>
        </w:rPr>
        <w:t xml:space="preserve"> </w:t>
      </w:r>
      <w:r>
        <w:rPr>
          <w:rFonts w:ascii="Arial" w:cs="Arial" w:eastAsia="Arial" w:hAnsi="Arial"/>
          <w:sz w:val="15"/>
          <w:szCs w:val="15"/>
          <w:color w:val="343841"/>
        </w:rPr>
        <w:t>accounting</w:t>
      </w:r>
      <w:r>
        <w:rPr>
          <w:rFonts w:ascii="Arial" w:cs="Arial" w:eastAsia="Arial" w:hAnsi="Arial"/>
          <w:sz w:val="15"/>
          <w:szCs w:val="15"/>
          <w:color w:val="4F5257"/>
        </w:rPr>
        <w:t xml:space="preserve"> </w:t>
      </w:r>
      <w:r>
        <w:rPr>
          <w:rFonts w:ascii="Arial" w:cs="Arial" w:eastAsia="Arial" w:hAnsi="Arial"/>
          <w:sz w:val="15"/>
          <w:szCs w:val="15"/>
          <w:color w:val="23242D"/>
        </w:rPr>
        <w:t>valuation factor</w:t>
      </w:r>
      <w:r>
        <w:rPr>
          <w:rFonts w:ascii="Arial" w:cs="Arial" w:eastAsia="Arial" w:hAnsi="Arial"/>
          <w:sz w:val="15"/>
          <w:szCs w:val="15"/>
          <w:color w:val="4F5257"/>
        </w:rPr>
        <w:t xml:space="preserve"> </w:t>
      </w:r>
      <w:r>
        <w:rPr>
          <w:rFonts w:ascii="Arial" w:cs="Arial" w:eastAsia="Arial" w:hAnsi="Arial"/>
          <w:sz w:val="15"/>
          <w:szCs w:val="15"/>
          <w:color w:val="23242D"/>
        </w:rPr>
        <w:t xml:space="preserve">effective </w:t>
      </w:r>
      <w:r>
        <w:rPr>
          <w:rFonts w:ascii="Arial" w:cs="Arial" w:eastAsia="Arial" w:hAnsi="Arial"/>
          <w:sz w:val="15"/>
          <w:szCs w:val="15"/>
          <w:color w:val="343841"/>
        </w:rPr>
        <w:t>at</w:t>
      </w:r>
      <w:r>
        <w:rPr>
          <w:rFonts w:ascii="Arial" w:cs="Arial" w:eastAsia="Arial" w:hAnsi="Arial"/>
          <w:sz w:val="15"/>
          <w:szCs w:val="15"/>
          <w:color w:val="23242D"/>
        </w:rPr>
        <w:t xml:space="preserve"> the time of grant, with the resulting numb</w:t>
      </w:r>
      <w:r>
        <w:rPr>
          <w:rFonts w:ascii="Arial" w:cs="Arial" w:eastAsia="Arial" w:hAnsi="Arial"/>
          <w:sz w:val="15"/>
          <w:szCs w:val="15"/>
          <w:color w:val="4F5257"/>
        </w:rPr>
        <w:t>er</w:t>
      </w:r>
      <w:r>
        <w:rPr>
          <w:rFonts w:ascii="Arial" w:cs="Arial" w:eastAsia="Arial" w:hAnsi="Arial"/>
          <w:sz w:val="15"/>
          <w:szCs w:val="15"/>
          <w:color w:val="23242D"/>
        </w:rPr>
        <w:t xml:space="preserve"> </w:t>
      </w:r>
      <w:r>
        <w:rPr>
          <w:rFonts w:ascii="Arial" w:cs="Arial" w:eastAsia="Arial" w:hAnsi="Arial"/>
          <w:sz w:val="15"/>
          <w:szCs w:val="15"/>
          <w:color w:val="343841"/>
        </w:rPr>
        <w:t>of shares</w:t>
      </w:r>
      <w:r>
        <w:rPr>
          <w:rFonts w:ascii="Arial" w:cs="Arial" w:eastAsia="Arial" w:hAnsi="Arial"/>
          <w:sz w:val="15"/>
          <w:szCs w:val="15"/>
          <w:color w:val="23242D"/>
        </w:rPr>
        <w:t xml:space="preserve"> rounded to the nearest five </w:t>
      </w:r>
      <w:r>
        <w:rPr>
          <w:rFonts w:ascii="Arial" w:cs="Arial" w:eastAsia="Arial" w:hAnsi="Arial"/>
          <w:sz w:val="15"/>
          <w:szCs w:val="15"/>
          <w:color w:val="343841"/>
        </w:rPr>
        <w:t>shares.</w:t>
      </w:r>
      <w:r>
        <w:rPr>
          <w:rFonts w:ascii="Arial" w:cs="Arial" w:eastAsia="Arial" w:hAnsi="Arial"/>
          <w:sz w:val="15"/>
          <w:szCs w:val="15"/>
          <w:color w:val="23242D"/>
        </w:rPr>
        <w:t xml:space="preserve"> Your CSPU and MSU awards will be g</w:t>
      </w:r>
      <w:r>
        <w:rPr>
          <w:rFonts w:ascii="Arial" w:cs="Arial" w:eastAsia="Arial" w:hAnsi="Arial"/>
          <w:sz w:val="15"/>
          <w:szCs w:val="15"/>
          <w:color w:val="1F344F"/>
        </w:rPr>
        <w:t>r</w:t>
      </w:r>
      <w:r>
        <w:rPr>
          <w:rFonts w:ascii="Arial" w:cs="Arial" w:eastAsia="Arial" w:hAnsi="Arial"/>
          <w:sz w:val="15"/>
          <w:szCs w:val="15"/>
          <w:color w:val="23242D"/>
        </w:rPr>
        <w:t xml:space="preserve">anted </w:t>
      </w:r>
      <w:r>
        <w:rPr>
          <w:rFonts w:ascii="Arial" w:cs="Arial" w:eastAsia="Arial" w:hAnsi="Arial"/>
          <w:sz w:val="15"/>
          <w:szCs w:val="15"/>
          <w:color w:val="343841"/>
        </w:rPr>
        <w:t xml:space="preserve">on </w:t>
      </w:r>
      <w:r>
        <w:rPr>
          <w:rFonts w:ascii="Arial" w:cs="Arial" w:eastAsia="Arial" w:hAnsi="Arial"/>
          <w:sz w:val="15"/>
          <w:szCs w:val="15"/>
          <w:color w:val="23242D"/>
        </w:rPr>
        <w:t>the fir</w:t>
      </w:r>
      <w:r>
        <w:rPr>
          <w:rFonts w:ascii="Arial" w:cs="Arial" w:eastAsia="Arial" w:hAnsi="Arial"/>
          <w:sz w:val="15"/>
          <w:szCs w:val="15"/>
          <w:color w:val="4F5257"/>
        </w:rPr>
        <w:t>s</w:t>
      </w:r>
      <w:r>
        <w:rPr>
          <w:rFonts w:ascii="Arial" w:cs="Arial" w:eastAsia="Arial" w:hAnsi="Arial"/>
          <w:sz w:val="15"/>
          <w:szCs w:val="15"/>
          <w:color w:val="23242D"/>
        </w:rPr>
        <w:t>t trading day of the month following your</w:t>
      </w:r>
      <w:r>
        <w:rPr>
          <w:rFonts w:ascii="Arial" w:cs="Arial" w:eastAsia="Arial" w:hAnsi="Arial"/>
          <w:sz w:val="15"/>
          <w:szCs w:val="15"/>
          <w:color w:val="343841"/>
        </w:rPr>
        <w:t xml:space="preserve"> start </w:t>
      </w:r>
      <w:r>
        <w:rPr>
          <w:rFonts w:ascii="Arial" w:cs="Arial" w:eastAsia="Arial" w:hAnsi="Arial"/>
          <w:sz w:val="15"/>
          <w:szCs w:val="15"/>
          <w:color w:val="23242D"/>
        </w:rPr>
        <w:t>dale</w:t>
      </w:r>
      <w:r>
        <w:rPr>
          <w:rFonts w:ascii="Arial" w:cs="Arial" w:eastAsia="Arial" w:hAnsi="Arial"/>
          <w:sz w:val="15"/>
          <w:szCs w:val="15"/>
          <w:color w:val="828585"/>
        </w:rPr>
        <w:t>.</w:t>
      </w:r>
    </w:p>
    <w:p>
      <w:pPr>
        <w:spacing w:after="0" w:line="204" w:lineRule="exact"/>
        <w:rPr>
          <w:sz w:val="20"/>
          <w:szCs w:val="20"/>
          <w:color w:val="auto"/>
        </w:rPr>
      </w:pPr>
    </w:p>
    <w:p>
      <w:pPr>
        <w:ind w:left="180" w:right="160"/>
        <w:spacing w:after="0" w:line="255" w:lineRule="auto"/>
        <w:rPr>
          <w:sz w:val="20"/>
          <w:szCs w:val="20"/>
          <w:color w:val="auto"/>
        </w:rPr>
      </w:pPr>
      <w:r>
        <w:rPr>
          <w:rFonts w:ascii="Arial" w:cs="Arial" w:eastAsia="Arial" w:hAnsi="Arial"/>
          <w:sz w:val="15"/>
          <w:szCs w:val="15"/>
          <w:color w:val="23242D"/>
        </w:rPr>
        <w:t xml:space="preserve">The </w:t>
      </w:r>
      <w:r>
        <w:rPr>
          <w:rFonts w:ascii="Arial" w:cs="Arial" w:eastAsia="Arial" w:hAnsi="Arial"/>
          <w:sz w:val="15"/>
          <w:szCs w:val="15"/>
          <w:color w:val="343841"/>
        </w:rPr>
        <w:t>a</w:t>
      </w:r>
      <w:r>
        <w:rPr>
          <w:rFonts w:ascii="Arial" w:cs="Arial" w:eastAsia="Arial" w:hAnsi="Arial"/>
          <w:sz w:val="15"/>
          <w:szCs w:val="15"/>
          <w:color w:val="4F5257"/>
        </w:rPr>
        <w:t>ct</w:t>
      </w:r>
      <w:r>
        <w:rPr>
          <w:rFonts w:ascii="Arial" w:cs="Arial" w:eastAsia="Arial" w:hAnsi="Arial"/>
          <w:sz w:val="15"/>
          <w:szCs w:val="15"/>
          <w:color w:val="23242D"/>
        </w:rPr>
        <w:t xml:space="preserve">ual </w:t>
      </w:r>
      <w:r>
        <w:rPr>
          <w:rFonts w:ascii="Arial" w:cs="Arial" w:eastAsia="Arial" w:hAnsi="Arial"/>
          <w:sz w:val="15"/>
          <w:szCs w:val="15"/>
          <w:color w:val="4F5257"/>
        </w:rPr>
        <w:t>ter</w:t>
      </w:r>
      <w:r>
        <w:rPr>
          <w:rFonts w:ascii="Arial" w:cs="Arial" w:eastAsia="Arial" w:hAnsi="Arial"/>
          <w:sz w:val="15"/>
          <w:szCs w:val="15"/>
          <w:color w:val="23242D"/>
        </w:rPr>
        <w:t xml:space="preserve">ms </w:t>
      </w:r>
      <w:r>
        <w:rPr>
          <w:rFonts w:ascii="Arial" w:cs="Arial" w:eastAsia="Arial" w:hAnsi="Arial"/>
          <w:sz w:val="15"/>
          <w:szCs w:val="15"/>
          <w:color w:val="343841"/>
        </w:rPr>
        <w:t>of</w:t>
      </w:r>
      <w:r>
        <w:rPr>
          <w:rFonts w:ascii="Arial" w:cs="Arial" w:eastAsia="Arial" w:hAnsi="Arial"/>
          <w:sz w:val="15"/>
          <w:szCs w:val="15"/>
          <w:color w:val="23242D"/>
        </w:rPr>
        <w:t xml:space="preserve"> your CSPU </w:t>
      </w:r>
      <w:r>
        <w:rPr>
          <w:rFonts w:ascii="Arial" w:cs="Arial" w:eastAsia="Arial" w:hAnsi="Arial"/>
          <w:sz w:val="15"/>
          <w:szCs w:val="15"/>
          <w:color w:val="343841"/>
        </w:rPr>
        <w:t>and</w:t>
      </w:r>
      <w:r>
        <w:rPr>
          <w:rFonts w:ascii="Arial" w:cs="Arial" w:eastAsia="Arial" w:hAnsi="Arial"/>
          <w:sz w:val="15"/>
          <w:szCs w:val="15"/>
          <w:color w:val="23242D"/>
        </w:rPr>
        <w:t xml:space="preserve"> MSU </w:t>
      </w:r>
      <w:r>
        <w:rPr>
          <w:rFonts w:ascii="Arial" w:cs="Arial" w:eastAsia="Arial" w:hAnsi="Arial"/>
          <w:sz w:val="15"/>
          <w:szCs w:val="15"/>
          <w:color w:val="343841"/>
        </w:rPr>
        <w:t>awards will be communicated</w:t>
      </w:r>
      <w:r>
        <w:rPr>
          <w:rFonts w:ascii="Arial" w:cs="Arial" w:eastAsia="Arial" w:hAnsi="Arial"/>
          <w:sz w:val="15"/>
          <w:szCs w:val="15"/>
          <w:color w:val="23242D"/>
        </w:rPr>
        <w:t xml:space="preserve"> to you following the grant dat</w:t>
      </w:r>
      <w:r>
        <w:rPr>
          <w:rFonts w:ascii="Arial" w:cs="Arial" w:eastAsia="Arial" w:hAnsi="Arial"/>
          <w:sz w:val="15"/>
          <w:szCs w:val="15"/>
          <w:color w:val="4F5257"/>
        </w:rPr>
        <w:t>e</w:t>
      </w:r>
      <w:r>
        <w:rPr>
          <w:rFonts w:ascii="Arial" w:cs="Arial" w:eastAsia="Arial" w:hAnsi="Arial"/>
          <w:sz w:val="15"/>
          <w:szCs w:val="15"/>
          <w:color w:val="828585"/>
        </w:rPr>
        <w:t>.</w:t>
      </w:r>
      <w:r>
        <w:rPr>
          <w:rFonts w:ascii="Arial" w:cs="Arial" w:eastAsia="Arial" w:hAnsi="Arial"/>
          <w:sz w:val="15"/>
          <w:szCs w:val="15"/>
          <w:color w:val="23242D"/>
        </w:rPr>
        <w:t xml:space="preserve"> Your gr</w:t>
      </w:r>
      <w:r>
        <w:rPr>
          <w:rFonts w:ascii="Arial" w:cs="Arial" w:eastAsia="Arial" w:hAnsi="Arial"/>
          <w:sz w:val="15"/>
          <w:szCs w:val="15"/>
          <w:color w:val="4F5257"/>
        </w:rPr>
        <w:t>a</w:t>
      </w:r>
      <w:r>
        <w:rPr>
          <w:rFonts w:ascii="Arial" w:cs="Arial" w:eastAsia="Arial" w:hAnsi="Arial"/>
          <w:sz w:val="15"/>
          <w:szCs w:val="15"/>
          <w:color w:val="23242D"/>
        </w:rPr>
        <w:t>nts w</w:t>
      </w:r>
      <w:r>
        <w:rPr>
          <w:rFonts w:ascii="Arial" w:cs="Arial" w:eastAsia="Arial" w:hAnsi="Arial"/>
          <w:sz w:val="15"/>
          <w:szCs w:val="15"/>
          <w:color w:val="1F344F"/>
        </w:rPr>
        <w:t>i</w:t>
      </w:r>
      <w:r>
        <w:rPr>
          <w:rFonts w:ascii="Arial" w:cs="Arial" w:eastAsia="Arial" w:hAnsi="Arial"/>
          <w:sz w:val="15"/>
          <w:szCs w:val="15"/>
          <w:color w:val="23242D"/>
        </w:rPr>
        <w:t xml:space="preserve">ll be </w:t>
      </w:r>
      <w:r>
        <w:rPr>
          <w:rFonts w:ascii="Arial" w:cs="Arial" w:eastAsia="Arial" w:hAnsi="Arial"/>
          <w:sz w:val="15"/>
          <w:szCs w:val="15"/>
          <w:color w:val="343841"/>
        </w:rPr>
        <w:t>awarded</w:t>
      </w:r>
      <w:r>
        <w:rPr>
          <w:rFonts w:ascii="Arial" w:cs="Arial" w:eastAsia="Arial" w:hAnsi="Arial"/>
          <w:sz w:val="15"/>
          <w:szCs w:val="15"/>
          <w:color w:val="23242D"/>
        </w:rPr>
        <w:t xml:space="preserve"> under the Biogen In</w:t>
      </w:r>
      <w:r>
        <w:rPr>
          <w:rFonts w:ascii="Arial" w:cs="Arial" w:eastAsia="Arial" w:hAnsi="Arial"/>
          <w:sz w:val="15"/>
          <w:szCs w:val="15"/>
          <w:color w:val="4F5257"/>
        </w:rPr>
        <w:t>c</w:t>
      </w:r>
      <w:r>
        <w:rPr>
          <w:rFonts w:ascii="Arial" w:cs="Arial" w:eastAsia="Arial" w:hAnsi="Arial"/>
          <w:sz w:val="15"/>
          <w:szCs w:val="15"/>
          <w:color w:val="343841"/>
        </w:rPr>
        <w:t>. Amended and</w:t>
      </w:r>
      <w:r>
        <w:rPr>
          <w:rFonts w:ascii="Arial" w:cs="Arial" w:eastAsia="Arial" w:hAnsi="Arial"/>
          <w:sz w:val="15"/>
          <w:szCs w:val="15"/>
          <w:color w:val="23242D"/>
        </w:rPr>
        <w:t xml:space="preserve"> Restated </w:t>
      </w:r>
      <w:r>
        <w:rPr>
          <w:rFonts w:ascii="Arial" w:cs="Arial" w:eastAsia="Arial" w:hAnsi="Arial"/>
          <w:sz w:val="15"/>
          <w:szCs w:val="15"/>
          <w:color w:val="343841"/>
        </w:rPr>
        <w:t>2008 Omnibus</w:t>
      </w:r>
      <w:r>
        <w:rPr>
          <w:rFonts w:ascii="Arial" w:cs="Arial" w:eastAsia="Arial" w:hAnsi="Arial"/>
          <w:sz w:val="15"/>
          <w:szCs w:val="15"/>
          <w:color w:val="23242D"/>
        </w:rPr>
        <w:t xml:space="preserve"> Equity </w:t>
      </w:r>
      <w:r>
        <w:rPr>
          <w:rFonts w:ascii="Arial" w:cs="Arial" w:eastAsia="Arial" w:hAnsi="Arial"/>
          <w:sz w:val="15"/>
          <w:szCs w:val="15"/>
          <w:color w:val="383A42"/>
        </w:rPr>
        <w:t>Plan (the</w:t>
      </w:r>
      <w:r>
        <w:rPr>
          <w:rFonts w:ascii="Arial" w:cs="Arial" w:eastAsia="Arial" w:hAnsi="Arial"/>
          <w:sz w:val="15"/>
          <w:szCs w:val="15"/>
          <w:color w:val="23242D"/>
        </w:rPr>
        <w:t xml:space="preserve"> </w:t>
      </w:r>
      <w:r>
        <w:rPr>
          <w:rFonts w:ascii="Arial" w:cs="Arial" w:eastAsia="Arial" w:hAnsi="Arial"/>
          <w:sz w:val="15"/>
          <w:szCs w:val="15"/>
          <w:color w:val="919393"/>
        </w:rPr>
        <w:t>'</w:t>
      </w:r>
      <w:r>
        <w:rPr>
          <w:rFonts w:ascii="Arial" w:cs="Arial" w:eastAsia="Arial" w:hAnsi="Arial"/>
          <w:sz w:val="15"/>
          <w:szCs w:val="15"/>
          <w:color w:val="4F4F56"/>
        </w:rPr>
        <w:t>'2008</w:t>
      </w:r>
      <w:r>
        <w:rPr>
          <w:rFonts w:ascii="Arial" w:cs="Arial" w:eastAsia="Arial" w:hAnsi="Arial"/>
          <w:sz w:val="15"/>
          <w:szCs w:val="15"/>
          <w:color w:val="23242D"/>
        </w:rPr>
        <w:t xml:space="preserve"> </w:t>
      </w:r>
      <w:r>
        <w:rPr>
          <w:rFonts w:ascii="Arial" w:cs="Arial" w:eastAsia="Arial" w:hAnsi="Arial"/>
          <w:sz w:val="15"/>
          <w:szCs w:val="15"/>
          <w:color w:val="26262D"/>
        </w:rPr>
        <w:t>Plan</w:t>
      </w:r>
      <w:r>
        <w:rPr>
          <w:rFonts w:ascii="Arial" w:cs="Arial" w:eastAsia="Arial" w:hAnsi="Arial"/>
          <w:sz w:val="15"/>
          <w:szCs w:val="15"/>
          <w:color w:val="67676D"/>
        </w:rPr>
        <w:t>"</w:t>
      </w:r>
      <w:r>
        <w:rPr>
          <w:rFonts w:ascii="Arial" w:cs="Arial" w:eastAsia="Arial" w:hAnsi="Arial"/>
          <w:sz w:val="15"/>
          <w:szCs w:val="15"/>
          <w:color w:val="383A42"/>
        </w:rPr>
        <w:t>)</w:t>
      </w:r>
      <w:r>
        <w:rPr>
          <w:rFonts w:ascii="Arial" w:cs="Arial" w:eastAsia="Arial" w:hAnsi="Arial"/>
          <w:sz w:val="15"/>
          <w:szCs w:val="15"/>
          <w:color w:val="67676D"/>
        </w:rPr>
        <w:t>.</w:t>
      </w:r>
      <w:r>
        <w:rPr>
          <w:rFonts w:ascii="Arial" w:cs="Arial" w:eastAsia="Arial" w:hAnsi="Arial"/>
          <w:sz w:val="15"/>
          <w:szCs w:val="15"/>
          <w:color w:val="23242D"/>
        </w:rPr>
        <w:t xml:space="preserve"> </w:t>
      </w:r>
      <w:r>
        <w:rPr>
          <w:rFonts w:ascii="Arial" w:cs="Arial" w:eastAsia="Arial" w:hAnsi="Arial"/>
          <w:sz w:val="15"/>
          <w:szCs w:val="15"/>
          <w:color w:val="383A42"/>
        </w:rPr>
        <w:t>You are considered a</w:t>
      </w:r>
      <w:r>
        <w:rPr>
          <w:rFonts w:ascii="Arial" w:cs="Arial" w:eastAsia="Arial" w:hAnsi="Arial"/>
          <w:sz w:val="15"/>
          <w:szCs w:val="15"/>
          <w:color w:val="23242D"/>
        </w:rPr>
        <w:t xml:space="preserve"> </w:t>
      </w:r>
      <w:r>
        <w:rPr>
          <w:rFonts w:ascii="Arial" w:cs="Arial" w:eastAsia="Arial" w:hAnsi="Arial"/>
          <w:sz w:val="15"/>
          <w:szCs w:val="15"/>
          <w:color w:val="67676D"/>
        </w:rPr>
        <w:t>"</w:t>
      </w:r>
      <w:r>
        <w:rPr>
          <w:rFonts w:ascii="Arial" w:cs="Arial" w:eastAsia="Arial" w:hAnsi="Arial"/>
          <w:sz w:val="15"/>
          <w:szCs w:val="15"/>
          <w:color w:val="26262D"/>
        </w:rPr>
        <w:t>designated</w:t>
      </w:r>
      <w:r>
        <w:rPr>
          <w:rFonts w:ascii="Arial" w:cs="Arial" w:eastAsia="Arial" w:hAnsi="Arial"/>
          <w:sz w:val="15"/>
          <w:szCs w:val="15"/>
          <w:color w:val="23242D"/>
        </w:rPr>
        <w:t xml:space="preserve"> </w:t>
      </w:r>
      <w:r>
        <w:rPr>
          <w:rFonts w:ascii="Arial" w:cs="Arial" w:eastAsia="Arial" w:hAnsi="Arial"/>
          <w:sz w:val="15"/>
          <w:szCs w:val="15"/>
          <w:color w:val="383A42"/>
        </w:rPr>
        <w:t>employee,'</w:t>
      </w:r>
      <w:r>
        <w:rPr>
          <w:rFonts w:ascii="Arial" w:cs="Arial" w:eastAsia="Arial" w:hAnsi="Arial"/>
          <w:sz w:val="15"/>
          <w:szCs w:val="15"/>
          <w:color w:val="67676D"/>
        </w:rPr>
        <w:t>'</w:t>
      </w:r>
      <w:r>
        <w:rPr>
          <w:rFonts w:ascii="Arial" w:cs="Arial" w:eastAsia="Arial" w:hAnsi="Arial"/>
          <w:sz w:val="15"/>
          <w:szCs w:val="15"/>
          <w:color w:val="23242D"/>
        </w:rPr>
        <w:t xml:space="preserve"> </w:t>
      </w:r>
      <w:r>
        <w:rPr>
          <w:rFonts w:ascii="Arial" w:cs="Arial" w:eastAsia="Arial" w:hAnsi="Arial"/>
          <w:sz w:val="15"/>
          <w:szCs w:val="15"/>
          <w:color w:val="383A42"/>
        </w:rPr>
        <w:t>as defined in</w:t>
      </w:r>
      <w:r>
        <w:rPr>
          <w:rFonts w:ascii="Arial" w:cs="Arial" w:eastAsia="Arial" w:hAnsi="Arial"/>
          <w:sz w:val="15"/>
          <w:szCs w:val="15"/>
          <w:color w:val="23242D"/>
        </w:rPr>
        <w:t xml:space="preserve"> </w:t>
      </w:r>
      <w:r>
        <w:rPr>
          <w:rFonts w:ascii="Arial" w:cs="Arial" w:eastAsia="Arial" w:hAnsi="Arial"/>
          <w:sz w:val="15"/>
          <w:szCs w:val="15"/>
          <w:color w:val="26262D"/>
        </w:rPr>
        <w:t>the</w:t>
      </w:r>
      <w:r>
        <w:rPr>
          <w:rFonts w:ascii="Arial" w:cs="Arial" w:eastAsia="Arial" w:hAnsi="Arial"/>
          <w:sz w:val="15"/>
          <w:szCs w:val="15"/>
          <w:color w:val="23242D"/>
        </w:rPr>
        <w:t xml:space="preserve"> </w:t>
      </w:r>
      <w:r>
        <w:rPr>
          <w:rFonts w:ascii="Arial" w:cs="Arial" w:eastAsia="Arial" w:hAnsi="Arial"/>
          <w:sz w:val="15"/>
          <w:szCs w:val="15"/>
          <w:color w:val="26262D"/>
        </w:rPr>
        <w:t>Plan</w:t>
      </w:r>
      <w:r>
        <w:rPr>
          <w:rFonts w:ascii="Arial" w:cs="Arial" w:eastAsia="Arial" w:hAnsi="Arial"/>
          <w:sz w:val="15"/>
          <w:szCs w:val="15"/>
          <w:color w:val="67676D"/>
        </w:rPr>
        <w:t>.</w:t>
      </w:r>
      <w:r>
        <w:rPr>
          <w:rFonts w:ascii="Arial" w:cs="Arial" w:eastAsia="Arial" w:hAnsi="Arial"/>
          <w:sz w:val="15"/>
          <w:szCs w:val="15"/>
          <w:color w:val="26262D"/>
        </w:rPr>
        <w:t xml:space="preserve"> </w:t>
      </w:r>
      <w:r>
        <w:rPr>
          <w:rFonts w:ascii="Arial" w:cs="Arial" w:eastAsia="Arial" w:hAnsi="Arial"/>
          <w:sz w:val="15"/>
          <w:szCs w:val="15"/>
          <w:color w:val="383A42"/>
        </w:rPr>
        <w:t>The</w:t>
      </w:r>
      <w:r>
        <w:rPr>
          <w:rFonts w:ascii="Arial" w:cs="Arial" w:eastAsia="Arial" w:hAnsi="Arial"/>
          <w:sz w:val="15"/>
          <w:szCs w:val="15"/>
          <w:color w:val="26262D"/>
        </w:rPr>
        <w:t xml:space="preserve"> Plan </w:t>
      </w:r>
      <w:r>
        <w:rPr>
          <w:rFonts w:ascii="Arial" w:cs="Arial" w:eastAsia="Arial" w:hAnsi="Arial"/>
          <w:sz w:val="15"/>
          <w:szCs w:val="15"/>
          <w:color w:val="383A42"/>
        </w:rPr>
        <w:t>and</w:t>
      </w:r>
      <w:r>
        <w:rPr>
          <w:rFonts w:ascii="Arial" w:cs="Arial" w:eastAsia="Arial" w:hAnsi="Arial"/>
          <w:sz w:val="15"/>
          <w:szCs w:val="15"/>
          <w:color w:val="26262D"/>
        </w:rPr>
        <w:t xml:space="preserve"> Prospectus </w:t>
      </w:r>
      <w:r>
        <w:rPr>
          <w:rFonts w:ascii="Arial" w:cs="Arial" w:eastAsia="Arial" w:hAnsi="Arial"/>
          <w:sz w:val="15"/>
          <w:szCs w:val="15"/>
          <w:color w:val="383A42"/>
        </w:rPr>
        <w:t>are available to you on Biogen's benefits website at [website]. Please</w:t>
      </w:r>
      <w:r>
        <w:rPr>
          <w:rFonts w:ascii="Arial" w:cs="Arial" w:eastAsia="Arial" w:hAnsi="Arial"/>
          <w:sz w:val="15"/>
          <w:szCs w:val="15"/>
          <w:color w:val="26262D"/>
        </w:rPr>
        <w:t xml:space="preserve"> read these </w:t>
      </w:r>
      <w:r>
        <w:rPr>
          <w:rFonts w:ascii="Arial" w:cs="Arial" w:eastAsia="Arial" w:hAnsi="Arial"/>
          <w:sz w:val="15"/>
          <w:szCs w:val="15"/>
          <w:color w:val="383A42"/>
        </w:rPr>
        <w:t>documents for</w:t>
      </w:r>
      <w:r>
        <w:rPr>
          <w:rFonts w:ascii="Arial" w:cs="Arial" w:eastAsia="Arial" w:hAnsi="Arial"/>
          <w:sz w:val="15"/>
          <w:szCs w:val="15"/>
          <w:color w:val="26262D"/>
        </w:rPr>
        <w:t xml:space="preserve"> informati</w:t>
      </w:r>
      <w:r>
        <w:rPr>
          <w:rFonts w:ascii="Arial" w:cs="Arial" w:eastAsia="Arial" w:hAnsi="Arial"/>
          <w:sz w:val="15"/>
          <w:szCs w:val="15"/>
          <w:color w:val="4F4F56"/>
        </w:rPr>
        <w:t>on</w:t>
      </w:r>
      <w:r>
        <w:rPr>
          <w:rFonts w:ascii="Arial" w:cs="Arial" w:eastAsia="Arial" w:hAnsi="Arial"/>
          <w:sz w:val="15"/>
          <w:szCs w:val="15"/>
          <w:color w:val="26262D"/>
        </w:rPr>
        <w:t xml:space="preserve"> </w:t>
      </w:r>
      <w:r>
        <w:rPr>
          <w:rFonts w:ascii="Arial" w:cs="Arial" w:eastAsia="Arial" w:hAnsi="Arial"/>
          <w:sz w:val="15"/>
          <w:szCs w:val="15"/>
          <w:color w:val="383A42"/>
        </w:rPr>
        <w:t>about</w:t>
      </w:r>
      <w:r>
        <w:rPr>
          <w:rFonts w:ascii="Arial" w:cs="Arial" w:eastAsia="Arial" w:hAnsi="Arial"/>
          <w:sz w:val="15"/>
          <w:szCs w:val="15"/>
          <w:color w:val="26262D"/>
        </w:rPr>
        <w:t xml:space="preserve"> </w:t>
      </w:r>
      <w:r>
        <w:rPr>
          <w:rFonts w:ascii="Arial" w:cs="Arial" w:eastAsia="Arial" w:hAnsi="Arial"/>
          <w:sz w:val="15"/>
          <w:szCs w:val="15"/>
          <w:color w:val="383A42"/>
        </w:rPr>
        <w:t xml:space="preserve">your </w:t>
      </w:r>
      <w:r>
        <w:rPr>
          <w:rFonts w:ascii="Arial" w:cs="Arial" w:eastAsia="Arial" w:hAnsi="Arial"/>
          <w:sz w:val="15"/>
          <w:szCs w:val="15"/>
          <w:color w:val="26262D"/>
        </w:rPr>
        <w:t>L</w:t>
      </w:r>
      <w:r>
        <w:rPr>
          <w:rFonts w:ascii="Arial" w:cs="Arial" w:eastAsia="Arial" w:hAnsi="Arial"/>
          <w:sz w:val="15"/>
          <w:szCs w:val="15"/>
          <w:color w:val="383A42"/>
        </w:rPr>
        <w:t>Tl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2"/>
          <w:szCs w:val="12"/>
          <w:color w:val="3B5B80"/>
        </w:rPr>
        <w:t>225 B</w:t>
      </w:r>
      <w:r>
        <w:rPr>
          <w:rFonts w:ascii="Arial" w:cs="Arial" w:eastAsia="Arial" w:hAnsi="Arial"/>
          <w:sz w:val="12"/>
          <w:szCs w:val="12"/>
          <w:color w:val="7285A3"/>
        </w:rPr>
        <w:t>i</w:t>
      </w:r>
      <w:r>
        <w:rPr>
          <w:rFonts w:ascii="Arial" w:cs="Arial" w:eastAsia="Arial" w:hAnsi="Arial"/>
          <w:sz w:val="12"/>
          <w:szCs w:val="12"/>
          <w:color w:val="3B5B80"/>
        </w:rPr>
        <w:t>nney Street</w:t>
      </w:r>
      <w:r>
        <w:rPr>
          <w:rFonts w:ascii="Arial" w:cs="Arial" w:eastAsia="Arial" w:hAnsi="Arial"/>
          <w:sz w:val="12"/>
          <w:szCs w:val="12"/>
          <w:color w:val="4D565B"/>
        </w:rPr>
        <w:t>,</w:t>
      </w:r>
      <w:r>
        <w:rPr>
          <w:rFonts w:ascii="Arial" w:cs="Arial" w:eastAsia="Arial" w:hAnsi="Arial"/>
          <w:sz w:val="12"/>
          <w:szCs w:val="12"/>
          <w:color w:val="3B5B80"/>
        </w:rPr>
        <w:t xml:space="preserve"> Cam</w:t>
      </w:r>
      <w:r>
        <w:rPr>
          <w:rFonts w:ascii="Arial" w:cs="Arial" w:eastAsia="Arial" w:hAnsi="Arial"/>
          <w:sz w:val="12"/>
          <w:szCs w:val="12"/>
          <w:color w:val="2F67A1"/>
        </w:rPr>
        <w:t>b</w:t>
      </w:r>
      <w:r>
        <w:rPr>
          <w:rFonts w:ascii="Arial" w:cs="Arial" w:eastAsia="Arial" w:hAnsi="Arial"/>
          <w:sz w:val="12"/>
          <w:szCs w:val="12"/>
          <w:color w:val="567C99"/>
        </w:rPr>
        <w:t>ridge</w:t>
      </w:r>
      <w:r>
        <w:rPr>
          <w:rFonts w:ascii="Arial" w:cs="Arial" w:eastAsia="Arial" w:hAnsi="Arial"/>
          <w:sz w:val="12"/>
          <w:szCs w:val="12"/>
          <w:color w:val="6E7277"/>
        </w:rPr>
        <w:t>,</w:t>
      </w:r>
      <w:r>
        <w:rPr>
          <w:rFonts w:ascii="Arial" w:cs="Arial" w:eastAsia="Arial" w:hAnsi="Arial"/>
          <w:sz w:val="12"/>
          <w:szCs w:val="12"/>
          <w:color w:val="3B5B80"/>
        </w:rPr>
        <w:t xml:space="preserve"> MA 02142 Phone 781</w:t>
      </w:r>
      <w:r>
        <w:rPr>
          <w:rFonts w:ascii="Arial" w:cs="Arial" w:eastAsia="Arial" w:hAnsi="Arial"/>
          <w:sz w:val="12"/>
          <w:szCs w:val="12"/>
          <w:color w:val="4D565B"/>
        </w:rPr>
        <w:t>-</w:t>
      </w:r>
      <w:r>
        <w:rPr>
          <w:rFonts w:ascii="Arial" w:cs="Arial" w:eastAsia="Arial" w:hAnsi="Arial"/>
          <w:sz w:val="12"/>
          <w:szCs w:val="12"/>
          <w:color w:val="3B5B80"/>
        </w:rPr>
        <w:t>464</w:t>
      </w:r>
      <w:r>
        <w:rPr>
          <w:rFonts w:ascii="Arial" w:cs="Arial" w:eastAsia="Arial" w:hAnsi="Arial"/>
          <w:sz w:val="12"/>
          <w:szCs w:val="12"/>
          <w:color w:val="4D565B"/>
        </w:rPr>
        <w:t>-</w:t>
      </w:r>
      <w:r>
        <w:rPr>
          <w:rFonts w:ascii="Arial" w:cs="Arial" w:eastAsia="Arial" w:hAnsi="Arial"/>
          <w:sz w:val="12"/>
          <w:szCs w:val="12"/>
          <w:color w:val="3B5B80"/>
        </w:rPr>
        <w:t xml:space="preserve">2000 </w:t>
      </w:r>
      <w:r>
        <w:rPr>
          <w:rFonts w:ascii="Arial" w:cs="Arial" w:eastAsia="Arial" w:hAnsi="Arial"/>
          <w:sz w:val="12"/>
          <w:szCs w:val="12"/>
          <w:color w:val="4B6991"/>
        </w:rPr>
        <w:t>www</w:t>
      </w:r>
      <w:r>
        <w:rPr>
          <w:rFonts w:ascii="Arial" w:cs="Arial" w:eastAsia="Arial" w:hAnsi="Arial"/>
          <w:sz w:val="12"/>
          <w:szCs w:val="12"/>
          <w:color w:val="7285A3"/>
        </w:rPr>
        <w:t>.</w:t>
      </w:r>
      <w:r>
        <w:rPr>
          <w:rFonts w:ascii="Arial" w:cs="Arial" w:eastAsia="Arial" w:hAnsi="Arial"/>
          <w:sz w:val="12"/>
          <w:szCs w:val="12"/>
          <w:color w:val="3B5B80"/>
        </w:rPr>
        <w:t>biogen</w:t>
      </w:r>
      <w:r>
        <w:rPr>
          <w:rFonts w:ascii="Arial" w:cs="Arial" w:eastAsia="Arial" w:hAnsi="Arial"/>
          <w:sz w:val="12"/>
          <w:szCs w:val="12"/>
          <w:color w:val="4D565B"/>
        </w:rPr>
        <w:t>.</w:t>
      </w:r>
      <w:r>
        <w:rPr>
          <w:rFonts w:ascii="Arial" w:cs="Arial" w:eastAsia="Arial" w:hAnsi="Arial"/>
          <w:sz w:val="12"/>
          <w:szCs w:val="12"/>
          <w:color w:val="3B5B80"/>
        </w:rPr>
        <w:t>com</w:t>
      </w:r>
    </w:p>
    <w:p>
      <w:pPr>
        <w:sectPr>
          <w:pgSz w:w="11900" w:h="16838" w:orient="portrait"/>
          <w:cols w:equalWidth="0" w:num="1">
            <w:col w:w="10220"/>
          </w:cols>
          <w:pgMar w:left="1440" w:top="615" w:right="239" w:bottom="1440" w:gutter="0" w:footer="0" w:header="0"/>
        </w:sectPr>
      </w:pPr>
    </w:p>
    <w:bookmarkStart w:id="197" w:name="page198"/>
    <w:bookmarkEnd w:id="197"/>
    <w:p>
      <w:pPr>
        <w:ind w:left="180"/>
        <w:spacing w:after="0" w:line="255" w:lineRule="auto"/>
        <w:rPr>
          <w:sz w:val="20"/>
          <w:szCs w:val="20"/>
          <w:color w:val="auto"/>
        </w:rPr>
      </w:pPr>
      <w:r>
        <w:rPr>
          <w:rFonts w:ascii="Arial" w:cs="Arial" w:eastAsia="Arial" w:hAnsi="Arial"/>
          <w:sz w:val="15"/>
          <w:szCs w:val="15"/>
          <w:color w:val="383A42"/>
        </w:rPr>
        <w:t xml:space="preserve">Each </w:t>
      </w:r>
      <w:r>
        <w:rPr>
          <w:rFonts w:ascii="Arial" w:cs="Arial" w:eastAsia="Arial" w:hAnsi="Arial"/>
          <w:sz w:val="15"/>
          <w:szCs w:val="15"/>
          <w:color w:val="26262D"/>
        </w:rPr>
        <w:t>year, typically</w:t>
      </w:r>
      <w:r>
        <w:rPr>
          <w:rFonts w:ascii="Arial" w:cs="Arial" w:eastAsia="Arial" w:hAnsi="Arial"/>
          <w:sz w:val="15"/>
          <w:szCs w:val="15"/>
          <w:color w:val="383A42"/>
        </w:rPr>
        <w:t xml:space="preserve"> </w:t>
      </w:r>
      <w:r>
        <w:rPr>
          <w:rFonts w:ascii="Arial" w:cs="Arial" w:eastAsia="Arial" w:hAnsi="Arial"/>
          <w:sz w:val="15"/>
          <w:szCs w:val="15"/>
          <w:color w:val="4F4F56"/>
        </w:rPr>
        <w:t>i</w:t>
      </w:r>
      <w:r>
        <w:rPr>
          <w:rFonts w:ascii="Arial" w:cs="Arial" w:eastAsia="Arial" w:hAnsi="Arial"/>
          <w:sz w:val="15"/>
          <w:szCs w:val="15"/>
          <w:color w:val="26262D"/>
        </w:rPr>
        <w:t>n February</w:t>
      </w:r>
      <w:r>
        <w:rPr>
          <w:rFonts w:ascii="Arial" w:cs="Arial" w:eastAsia="Arial" w:hAnsi="Arial"/>
          <w:sz w:val="15"/>
          <w:szCs w:val="15"/>
          <w:color w:val="4F4F56"/>
        </w:rPr>
        <w:t>,</w:t>
      </w:r>
      <w:r>
        <w:rPr>
          <w:rFonts w:ascii="Arial" w:cs="Arial" w:eastAsia="Arial" w:hAnsi="Arial"/>
          <w:sz w:val="15"/>
          <w:szCs w:val="15"/>
          <w:color w:val="383A42"/>
        </w:rPr>
        <w:t xml:space="preserve"> you will </w:t>
      </w:r>
      <w:r>
        <w:rPr>
          <w:rFonts w:ascii="Arial" w:cs="Arial" w:eastAsia="Arial" w:hAnsi="Arial"/>
          <w:sz w:val="15"/>
          <w:szCs w:val="15"/>
          <w:color w:val="26262D"/>
        </w:rPr>
        <w:t>be</w:t>
      </w:r>
      <w:r>
        <w:rPr>
          <w:rFonts w:ascii="Arial" w:cs="Arial" w:eastAsia="Arial" w:hAnsi="Arial"/>
          <w:sz w:val="15"/>
          <w:szCs w:val="15"/>
          <w:color w:val="383A42"/>
        </w:rPr>
        <w:t xml:space="preserve"> eligible </w:t>
      </w:r>
      <w:r>
        <w:rPr>
          <w:rFonts w:ascii="Arial" w:cs="Arial" w:eastAsia="Arial" w:hAnsi="Arial"/>
          <w:sz w:val="15"/>
          <w:szCs w:val="15"/>
          <w:color w:val="26262D"/>
        </w:rPr>
        <w:t>to</w:t>
      </w:r>
      <w:r>
        <w:rPr>
          <w:rFonts w:ascii="Arial" w:cs="Arial" w:eastAsia="Arial" w:hAnsi="Arial"/>
          <w:sz w:val="15"/>
          <w:szCs w:val="15"/>
          <w:color w:val="383A42"/>
        </w:rPr>
        <w:t xml:space="preserve"> </w:t>
      </w:r>
      <w:r>
        <w:rPr>
          <w:rFonts w:ascii="Arial" w:cs="Arial" w:eastAsia="Arial" w:hAnsi="Arial"/>
          <w:sz w:val="15"/>
          <w:szCs w:val="15"/>
          <w:color w:val="4F4F56"/>
        </w:rPr>
        <w:t>rece</w:t>
      </w:r>
      <w:r>
        <w:rPr>
          <w:rFonts w:ascii="Arial" w:cs="Arial" w:eastAsia="Arial" w:hAnsi="Arial"/>
          <w:sz w:val="15"/>
          <w:szCs w:val="15"/>
          <w:color w:val="26262D"/>
        </w:rPr>
        <w:t>ive</w:t>
      </w:r>
      <w:r>
        <w:rPr>
          <w:rFonts w:ascii="Arial" w:cs="Arial" w:eastAsia="Arial" w:hAnsi="Arial"/>
          <w:sz w:val="15"/>
          <w:szCs w:val="15"/>
          <w:color w:val="383A42"/>
        </w:rPr>
        <w:t xml:space="preserve"> an </w:t>
      </w:r>
      <w:r>
        <w:rPr>
          <w:rFonts w:ascii="Arial" w:cs="Arial" w:eastAsia="Arial" w:hAnsi="Arial"/>
          <w:sz w:val="15"/>
          <w:szCs w:val="15"/>
          <w:color w:val="26262D"/>
        </w:rPr>
        <w:t>annual</w:t>
      </w:r>
      <w:r>
        <w:rPr>
          <w:rFonts w:ascii="Arial" w:cs="Arial" w:eastAsia="Arial" w:hAnsi="Arial"/>
          <w:sz w:val="15"/>
          <w:szCs w:val="15"/>
          <w:color w:val="383A42"/>
        </w:rPr>
        <w:t xml:space="preserve"> Long Term </w:t>
      </w:r>
      <w:r>
        <w:rPr>
          <w:rFonts w:ascii="Arial" w:cs="Arial" w:eastAsia="Arial" w:hAnsi="Arial"/>
          <w:sz w:val="15"/>
          <w:szCs w:val="15"/>
          <w:color w:val="26262D"/>
        </w:rPr>
        <w:t>Incentive</w:t>
      </w:r>
      <w:r>
        <w:rPr>
          <w:rFonts w:ascii="Arial" w:cs="Arial" w:eastAsia="Arial" w:hAnsi="Arial"/>
          <w:sz w:val="15"/>
          <w:szCs w:val="15"/>
          <w:color w:val="383A42"/>
        </w:rPr>
        <w:t xml:space="preserve"> (L</w:t>
      </w:r>
      <w:r>
        <w:rPr>
          <w:rFonts w:ascii="Arial" w:cs="Arial" w:eastAsia="Arial" w:hAnsi="Arial"/>
          <w:sz w:val="15"/>
          <w:szCs w:val="15"/>
          <w:color w:val="26262D"/>
        </w:rPr>
        <w:t>Tl)</w:t>
      </w:r>
      <w:r>
        <w:rPr>
          <w:rFonts w:ascii="Arial" w:cs="Arial" w:eastAsia="Arial" w:hAnsi="Arial"/>
          <w:sz w:val="15"/>
          <w:szCs w:val="15"/>
          <w:color w:val="383A42"/>
        </w:rPr>
        <w:t xml:space="preserve"> award which will be </w:t>
      </w:r>
      <w:r>
        <w:rPr>
          <w:rFonts w:ascii="Arial" w:cs="Arial" w:eastAsia="Arial" w:hAnsi="Arial"/>
          <w:sz w:val="15"/>
          <w:szCs w:val="15"/>
          <w:color w:val="26262D"/>
        </w:rPr>
        <w:t>based on</w:t>
      </w:r>
      <w:r>
        <w:rPr>
          <w:rFonts w:ascii="Arial" w:cs="Arial" w:eastAsia="Arial" w:hAnsi="Arial"/>
          <w:sz w:val="15"/>
          <w:szCs w:val="15"/>
          <w:color w:val="383A42"/>
        </w:rPr>
        <w:t xml:space="preserve"> the planning range </w:t>
      </w:r>
      <w:r>
        <w:rPr>
          <w:rFonts w:ascii="Arial" w:cs="Arial" w:eastAsia="Arial" w:hAnsi="Arial"/>
          <w:sz w:val="15"/>
          <w:szCs w:val="15"/>
          <w:color w:val="26262D"/>
        </w:rPr>
        <w:t xml:space="preserve">in </w:t>
      </w:r>
      <w:r>
        <w:rPr>
          <w:rFonts w:ascii="Arial" w:cs="Arial" w:eastAsia="Arial" w:hAnsi="Arial"/>
          <w:sz w:val="15"/>
          <w:szCs w:val="15"/>
          <w:color w:val="383A42"/>
        </w:rPr>
        <w:t>effect at</w:t>
      </w:r>
      <w:r>
        <w:rPr>
          <w:rFonts w:ascii="Arial" w:cs="Arial" w:eastAsia="Arial" w:hAnsi="Arial"/>
          <w:sz w:val="15"/>
          <w:szCs w:val="15"/>
          <w:color w:val="26262D"/>
        </w:rPr>
        <w:t xml:space="preserve"> the </w:t>
      </w:r>
      <w:r>
        <w:rPr>
          <w:rFonts w:ascii="Arial" w:cs="Arial" w:eastAsia="Arial" w:hAnsi="Arial"/>
          <w:sz w:val="15"/>
          <w:szCs w:val="15"/>
          <w:color w:val="383A42"/>
        </w:rPr>
        <w:t>time of grant.</w:t>
      </w:r>
      <w:r>
        <w:rPr>
          <w:rFonts w:ascii="Arial" w:cs="Arial" w:eastAsia="Arial" w:hAnsi="Arial"/>
          <w:sz w:val="15"/>
          <w:szCs w:val="15"/>
          <w:color w:val="26262D"/>
        </w:rPr>
        <w:t xml:space="preserve"> The </w:t>
      </w:r>
      <w:r>
        <w:rPr>
          <w:rFonts w:ascii="Arial" w:cs="Arial" w:eastAsia="Arial" w:hAnsi="Arial"/>
          <w:sz w:val="15"/>
          <w:szCs w:val="15"/>
          <w:color w:val="383A42"/>
        </w:rPr>
        <w:t>current planning reference</w:t>
      </w:r>
      <w:r>
        <w:rPr>
          <w:rFonts w:ascii="Arial" w:cs="Arial" w:eastAsia="Arial" w:hAnsi="Arial"/>
          <w:sz w:val="15"/>
          <w:szCs w:val="15"/>
          <w:color w:val="26262D"/>
        </w:rPr>
        <w:t xml:space="preserve"> point is </w:t>
      </w:r>
      <w:r>
        <w:rPr>
          <w:rFonts w:ascii="Arial" w:cs="Arial" w:eastAsia="Arial" w:hAnsi="Arial"/>
          <w:sz w:val="15"/>
          <w:szCs w:val="15"/>
          <w:color w:val="383A42"/>
        </w:rPr>
        <w:t>$2,</w:t>
      </w:r>
      <w:r>
        <w:rPr>
          <w:rFonts w:ascii="Arial" w:cs="Arial" w:eastAsia="Arial" w:hAnsi="Arial"/>
          <w:sz w:val="15"/>
          <w:szCs w:val="15"/>
          <w:color w:val="26262D"/>
        </w:rPr>
        <w:t>150</w:t>
      </w:r>
      <w:r>
        <w:rPr>
          <w:rFonts w:ascii="Arial" w:cs="Arial" w:eastAsia="Arial" w:hAnsi="Arial"/>
          <w:sz w:val="15"/>
          <w:szCs w:val="15"/>
          <w:color w:val="67676D"/>
        </w:rPr>
        <w:t>,</w:t>
      </w:r>
      <w:r>
        <w:rPr>
          <w:rFonts w:ascii="Arial" w:cs="Arial" w:eastAsia="Arial" w:hAnsi="Arial"/>
          <w:sz w:val="15"/>
          <w:szCs w:val="15"/>
          <w:color w:val="383A42"/>
        </w:rPr>
        <w:t>000</w:t>
      </w:r>
      <w:r>
        <w:rPr>
          <w:rFonts w:ascii="Arial" w:cs="Arial" w:eastAsia="Arial" w:hAnsi="Arial"/>
          <w:sz w:val="15"/>
          <w:szCs w:val="15"/>
          <w:color w:val="9CAAB3"/>
        </w:rPr>
        <w:t>.</w:t>
      </w:r>
      <w:r>
        <w:rPr>
          <w:rFonts w:ascii="Arial" w:cs="Arial" w:eastAsia="Arial" w:hAnsi="Arial"/>
          <w:sz w:val="15"/>
          <w:szCs w:val="15"/>
          <w:color w:val="383A42"/>
        </w:rPr>
        <w:t>00</w:t>
      </w:r>
      <w:r>
        <w:rPr>
          <w:rFonts w:ascii="Arial" w:cs="Arial" w:eastAsia="Arial" w:hAnsi="Arial"/>
          <w:sz w:val="15"/>
          <w:szCs w:val="15"/>
          <w:color w:val="67676D"/>
        </w:rPr>
        <w:t>.</w:t>
      </w:r>
      <w:r>
        <w:rPr>
          <w:rFonts w:ascii="Arial" w:cs="Arial" w:eastAsia="Arial" w:hAnsi="Arial"/>
          <w:sz w:val="15"/>
          <w:szCs w:val="15"/>
          <w:color w:val="26262D"/>
        </w:rPr>
        <w:t xml:space="preserve"> </w:t>
      </w:r>
      <w:r>
        <w:rPr>
          <w:rFonts w:ascii="Arial" w:cs="Arial" w:eastAsia="Arial" w:hAnsi="Arial"/>
          <w:sz w:val="15"/>
          <w:szCs w:val="15"/>
          <w:color w:val="383A42"/>
        </w:rPr>
        <w:t>Actual L</w:t>
      </w:r>
      <w:r>
        <w:rPr>
          <w:rFonts w:ascii="Arial" w:cs="Arial" w:eastAsia="Arial" w:hAnsi="Arial"/>
          <w:sz w:val="15"/>
          <w:szCs w:val="15"/>
          <w:color w:val="26262D"/>
        </w:rPr>
        <w:t xml:space="preserve">Tl </w:t>
      </w:r>
      <w:r>
        <w:rPr>
          <w:rFonts w:ascii="Arial" w:cs="Arial" w:eastAsia="Arial" w:hAnsi="Arial"/>
          <w:sz w:val="15"/>
          <w:szCs w:val="15"/>
          <w:color w:val="383A42"/>
        </w:rPr>
        <w:t>award amounts and delivery vehicles will be</w:t>
      </w:r>
      <w:r>
        <w:rPr>
          <w:rFonts w:ascii="Arial" w:cs="Arial" w:eastAsia="Arial" w:hAnsi="Arial"/>
          <w:sz w:val="15"/>
          <w:szCs w:val="15"/>
          <w:color w:val="26262D"/>
        </w:rPr>
        <w:t xml:space="preserve"> determined </w:t>
      </w:r>
      <w:r>
        <w:rPr>
          <w:rFonts w:ascii="Arial" w:cs="Arial" w:eastAsia="Arial" w:hAnsi="Arial"/>
          <w:sz w:val="15"/>
          <w:szCs w:val="15"/>
          <w:color w:val="383A42"/>
        </w:rPr>
        <w:t>by</w:t>
      </w:r>
      <w:r>
        <w:rPr>
          <w:rFonts w:ascii="Arial" w:cs="Arial" w:eastAsia="Arial" w:hAnsi="Arial"/>
          <w:sz w:val="15"/>
          <w:szCs w:val="15"/>
          <w:color w:val="26262D"/>
        </w:rPr>
        <w:t xml:space="preserve"> the </w:t>
      </w:r>
      <w:r>
        <w:rPr>
          <w:rFonts w:ascii="Arial" w:cs="Arial" w:eastAsia="Arial" w:hAnsi="Arial"/>
          <w:sz w:val="15"/>
          <w:szCs w:val="15"/>
          <w:color w:val="383A42"/>
        </w:rPr>
        <w:t>Compensation and</w:t>
      </w:r>
      <w:r>
        <w:rPr>
          <w:rFonts w:ascii="Arial" w:cs="Arial" w:eastAsia="Arial" w:hAnsi="Arial"/>
          <w:sz w:val="15"/>
          <w:szCs w:val="15"/>
          <w:color w:val="26262D"/>
        </w:rPr>
        <w:t xml:space="preserve"> Manag</w:t>
      </w:r>
      <w:r>
        <w:rPr>
          <w:rFonts w:ascii="Arial" w:cs="Arial" w:eastAsia="Arial" w:hAnsi="Arial"/>
          <w:sz w:val="15"/>
          <w:szCs w:val="15"/>
          <w:color w:val="4F4F56"/>
        </w:rPr>
        <w:t>e</w:t>
      </w:r>
      <w:r>
        <w:rPr>
          <w:rFonts w:ascii="Arial" w:cs="Arial" w:eastAsia="Arial" w:hAnsi="Arial"/>
          <w:sz w:val="15"/>
          <w:szCs w:val="15"/>
          <w:color w:val="26262D"/>
        </w:rPr>
        <w:t>m</w:t>
      </w:r>
      <w:r>
        <w:rPr>
          <w:rFonts w:ascii="Arial" w:cs="Arial" w:eastAsia="Arial" w:hAnsi="Arial"/>
          <w:sz w:val="15"/>
          <w:szCs w:val="15"/>
          <w:color w:val="383A42"/>
        </w:rPr>
        <w:t>ent</w:t>
      </w:r>
      <w:r>
        <w:rPr>
          <w:rFonts w:ascii="Arial" w:cs="Arial" w:eastAsia="Arial" w:hAnsi="Arial"/>
          <w:sz w:val="15"/>
          <w:szCs w:val="15"/>
          <w:color w:val="26262D"/>
        </w:rPr>
        <w:t xml:space="preserve"> Development </w:t>
      </w:r>
      <w:r>
        <w:rPr>
          <w:rFonts w:ascii="Arial" w:cs="Arial" w:eastAsia="Arial" w:hAnsi="Arial"/>
          <w:sz w:val="15"/>
          <w:szCs w:val="15"/>
          <w:color w:val="383A42"/>
        </w:rPr>
        <w:t>Committee of</w:t>
      </w:r>
      <w:r>
        <w:rPr>
          <w:rFonts w:ascii="Arial" w:cs="Arial" w:eastAsia="Arial" w:hAnsi="Arial"/>
          <w:sz w:val="15"/>
          <w:szCs w:val="15"/>
          <w:color w:val="26262D"/>
        </w:rPr>
        <w:t xml:space="preserve"> the Board of Directors (CMDC) </w:t>
      </w:r>
      <w:r>
        <w:rPr>
          <w:rFonts w:ascii="Arial" w:cs="Arial" w:eastAsia="Arial" w:hAnsi="Arial"/>
          <w:sz w:val="15"/>
          <w:szCs w:val="15"/>
          <w:color w:val="383A42"/>
        </w:rPr>
        <w:t>based upon performance</w:t>
      </w:r>
      <w:r>
        <w:rPr>
          <w:rFonts w:ascii="Arial" w:cs="Arial" w:eastAsia="Arial" w:hAnsi="Arial"/>
          <w:sz w:val="15"/>
          <w:szCs w:val="15"/>
          <w:color w:val="919393"/>
        </w:rPr>
        <w:t>,</w:t>
      </w:r>
      <w:r>
        <w:rPr>
          <w:rFonts w:ascii="Arial" w:cs="Arial" w:eastAsia="Arial" w:hAnsi="Arial"/>
          <w:sz w:val="15"/>
          <w:szCs w:val="15"/>
          <w:color w:val="26262D"/>
        </w:rPr>
        <w:t xml:space="preserve"> </w:t>
      </w:r>
      <w:r>
        <w:rPr>
          <w:rFonts w:ascii="Arial" w:cs="Arial" w:eastAsia="Arial" w:hAnsi="Arial"/>
          <w:sz w:val="15"/>
          <w:szCs w:val="15"/>
          <w:color w:val="4F4F56"/>
        </w:rPr>
        <w:t>co</w:t>
      </w:r>
      <w:r>
        <w:rPr>
          <w:rFonts w:ascii="Arial" w:cs="Arial" w:eastAsia="Arial" w:hAnsi="Arial"/>
          <w:sz w:val="15"/>
          <w:szCs w:val="15"/>
          <w:color w:val="26262D"/>
        </w:rPr>
        <w:t>ntributi</w:t>
      </w:r>
      <w:r>
        <w:rPr>
          <w:rFonts w:ascii="Arial" w:cs="Arial" w:eastAsia="Arial" w:hAnsi="Arial"/>
          <w:sz w:val="15"/>
          <w:szCs w:val="15"/>
          <w:color w:val="383A42"/>
        </w:rPr>
        <w:t>on expectations and other considerations at</w:t>
      </w:r>
      <w:r>
        <w:rPr>
          <w:rFonts w:ascii="Arial" w:cs="Arial" w:eastAsia="Arial" w:hAnsi="Arial"/>
          <w:sz w:val="15"/>
          <w:szCs w:val="15"/>
          <w:color w:val="4F4F56"/>
        </w:rPr>
        <w:t xml:space="preserve"> </w:t>
      </w:r>
      <w:r>
        <w:rPr>
          <w:rFonts w:ascii="Arial" w:cs="Arial" w:eastAsia="Arial" w:hAnsi="Arial"/>
          <w:sz w:val="15"/>
          <w:szCs w:val="15"/>
          <w:color w:val="26262D"/>
        </w:rPr>
        <w:t>the discretion</w:t>
      </w:r>
      <w:r>
        <w:rPr>
          <w:rFonts w:ascii="Arial" w:cs="Arial" w:eastAsia="Arial" w:hAnsi="Arial"/>
          <w:sz w:val="15"/>
          <w:szCs w:val="15"/>
          <w:color w:val="4F4F56"/>
        </w:rPr>
        <w:t xml:space="preserve"> </w:t>
      </w:r>
      <w:r>
        <w:rPr>
          <w:rFonts w:ascii="Arial" w:cs="Arial" w:eastAsia="Arial" w:hAnsi="Arial"/>
          <w:sz w:val="15"/>
          <w:szCs w:val="15"/>
          <w:color w:val="383A42"/>
        </w:rPr>
        <w:t>of</w:t>
      </w:r>
      <w:r>
        <w:rPr>
          <w:rFonts w:ascii="Arial" w:cs="Arial" w:eastAsia="Arial" w:hAnsi="Arial"/>
          <w:sz w:val="15"/>
          <w:szCs w:val="15"/>
          <w:color w:val="4F4F56"/>
        </w:rPr>
        <w:t xml:space="preserve"> </w:t>
      </w:r>
      <w:r>
        <w:rPr>
          <w:rFonts w:ascii="Arial" w:cs="Arial" w:eastAsia="Arial" w:hAnsi="Arial"/>
          <w:sz w:val="15"/>
          <w:szCs w:val="15"/>
          <w:color w:val="26262D"/>
        </w:rPr>
        <w:t>the</w:t>
      </w:r>
      <w:r>
        <w:rPr>
          <w:rFonts w:ascii="Arial" w:cs="Arial" w:eastAsia="Arial" w:hAnsi="Arial"/>
          <w:sz w:val="15"/>
          <w:szCs w:val="15"/>
          <w:color w:val="4F4F56"/>
        </w:rPr>
        <w:t xml:space="preserve"> </w:t>
      </w:r>
      <w:r>
        <w:rPr>
          <w:rFonts w:ascii="Arial" w:cs="Arial" w:eastAsia="Arial" w:hAnsi="Arial"/>
          <w:sz w:val="15"/>
          <w:szCs w:val="15"/>
          <w:color w:val="383A42"/>
        </w:rPr>
        <w:t>CMDC</w:t>
      </w:r>
      <w:r>
        <w:rPr>
          <w:rFonts w:ascii="Arial" w:cs="Arial" w:eastAsia="Arial" w:hAnsi="Arial"/>
          <w:sz w:val="15"/>
          <w:szCs w:val="15"/>
          <w:color w:val="919393"/>
        </w:rPr>
        <w:t>.</w:t>
      </w:r>
    </w:p>
    <w:p>
      <w:pPr>
        <w:spacing w:after="0" w:line="171" w:lineRule="exact"/>
        <w:rPr>
          <w:sz w:val="20"/>
          <w:szCs w:val="20"/>
          <w:color w:val="auto"/>
        </w:rPr>
      </w:pPr>
    </w:p>
    <w:p>
      <w:pPr>
        <w:ind w:left="180" w:right="180"/>
        <w:spacing w:after="0" w:line="263" w:lineRule="auto"/>
        <w:rPr>
          <w:sz w:val="20"/>
          <w:szCs w:val="20"/>
          <w:color w:val="auto"/>
        </w:rPr>
      </w:pPr>
      <w:r>
        <w:rPr>
          <w:rFonts w:ascii="Arial" w:cs="Arial" w:eastAsia="Arial" w:hAnsi="Arial"/>
          <w:sz w:val="15"/>
          <w:szCs w:val="15"/>
          <w:b w:val="1"/>
          <w:bCs w:val="1"/>
          <w:color w:val="26262D"/>
        </w:rPr>
        <w:t>Employee Benefits</w:t>
      </w:r>
      <w:r>
        <w:rPr>
          <w:rFonts w:ascii="Arial" w:cs="Arial" w:eastAsia="Arial" w:hAnsi="Arial"/>
          <w:sz w:val="15"/>
          <w:szCs w:val="15"/>
          <w:b w:val="1"/>
          <w:bCs w:val="1"/>
          <w:color w:val="67676D"/>
        </w:rPr>
        <w:t>:</w:t>
      </w:r>
      <w:r>
        <w:rPr>
          <w:rFonts w:ascii="Arial" w:cs="Arial" w:eastAsia="Arial" w:hAnsi="Arial"/>
          <w:sz w:val="15"/>
          <w:szCs w:val="15"/>
          <w:b w:val="1"/>
          <w:bCs w:val="1"/>
          <w:color w:val="26262D"/>
        </w:rPr>
        <w:t xml:space="preserve"> </w:t>
      </w:r>
      <w:r>
        <w:rPr>
          <w:rFonts w:ascii="Arial" w:cs="Arial" w:eastAsia="Arial" w:hAnsi="Arial"/>
          <w:sz w:val="15"/>
          <w:szCs w:val="15"/>
          <w:color w:val="26262D"/>
        </w:rPr>
        <w:t>Biogen</w:t>
      </w:r>
      <w:r>
        <w:rPr>
          <w:rFonts w:ascii="Arial" w:cs="Arial" w:eastAsia="Arial" w:hAnsi="Arial"/>
          <w:sz w:val="15"/>
          <w:szCs w:val="15"/>
          <w:b w:val="1"/>
          <w:bCs w:val="1"/>
          <w:color w:val="26262D"/>
        </w:rPr>
        <w:t xml:space="preserve"> </w:t>
      </w:r>
      <w:r>
        <w:rPr>
          <w:rFonts w:ascii="Arial" w:cs="Arial" w:eastAsia="Arial" w:hAnsi="Arial"/>
          <w:sz w:val="15"/>
          <w:szCs w:val="15"/>
          <w:color w:val="383A42"/>
        </w:rPr>
        <w:t>offer a</w:t>
      </w:r>
      <w:r>
        <w:rPr>
          <w:rFonts w:ascii="Arial" w:cs="Arial" w:eastAsia="Arial" w:hAnsi="Arial"/>
          <w:sz w:val="15"/>
          <w:szCs w:val="15"/>
          <w:b w:val="1"/>
          <w:bCs w:val="1"/>
          <w:color w:val="26262D"/>
        </w:rPr>
        <w:t xml:space="preserve"> </w:t>
      </w:r>
      <w:r>
        <w:rPr>
          <w:rFonts w:ascii="Arial" w:cs="Arial" w:eastAsia="Arial" w:hAnsi="Arial"/>
          <w:sz w:val="15"/>
          <w:szCs w:val="15"/>
          <w:color w:val="26262D"/>
        </w:rPr>
        <w:t>robust</w:t>
      </w:r>
      <w:r>
        <w:rPr>
          <w:rFonts w:ascii="Arial" w:cs="Arial" w:eastAsia="Arial" w:hAnsi="Arial"/>
          <w:sz w:val="15"/>
          <w:szCs w:val="15"/>
          <w:b w:val="1"/>
          <w:bCs w:val="1"/>
          <w:color w:val="26262D"/>
        </w:rPr>
        <w:t xml:space="preserve"> </w:t>
      </w:r>
      <w:r>
        <w:rPr>
          <w:rFonts w:ascii="Arial" w:cs="Arial" w:eastAsia="Arial" w:hAnsi="Arial"/>
          <w:sz w:val="15"/>
          <w:szCs w:val="15"/>
          <w:color w:val="4F4F56"/>
        </w:rPr>
        <w:t>a</w:t>
      </w:r>
      <w:r>
        <w:rPr>
          <w:rFonts w:ascii="Arial" w:cs="Arial" w:eastAsia="Arial" w:hAnsi="Arial"/>
          <w:sz w:val="15"/>
          <w:szCs w:val="15"/>
          <w:color w:val="26262D"/>
        </w:rPr>
        <w:t>nd</w:t>
      </w:r>
      <w:r>
        <w:rPr>
          <w:rFonts w:ascii="Arial" w:cs="Arial" w:eastAsia="Arial" w:hAnsi="Arial"/>
          <w:sz w:val="15"/>
          <w:szCs w:val="15"/>
          <w:b w:val="1"/>
          <w:bCs w:val="1"/>
          <w:color w:val="26262D"/>
        </w:rPr>
        <w:t xml:space="preserve"> </w:t>
      </w:r>
      <w:r>
        <w:rPr>
          <w:rFonts w:ascii="Arial" w:cs="Arial" w:eastAsia="Arial" w:hAnsi="Arial"/>
          <w:sz w:val="15"/>
          <w:szCs w:val="15"/>
          <w:color w:val="383A42"/>
        </w:rPr>
        <w:t>highly competitive employee benefits</w:t>
      </w:r>
      <w:r>
        <w:rPr>
          <w:rFonts w:ascii="Arial" w:cs="Arial" w:eastAsia="Arial" w:hAnsi="Arial"/>
          <w:sz w:val="15"/>
          <w:szCs w:val="15"/>
          <w:b w:val="1"/>
          <w:bCs w:val="1"/>
          <w:color w:val="26262D"/>
        </w:rPr>
        <w:t xml:space="preserve"> </w:t>
      </w:r>
      <w:r>
        <w:rPr>
          <w:rFonts w:ascii="Arial" w:cs="Arial" w:eastAsia="Arial" w:hAnsi="Arial"/>
          <w:sz w:val="15"/>
          <w:szCs w:val="15"/>
          <w:color w:val="26262D"/>
        </w:rPr>
        <w:t>program</w:t>
      </w:r>
      <w:r>
        <w:rPr>
          <w:rFonts w:ascii="Arial" w:cs="Arial" w:eastAsia="Arial" w:hAnsi="Arial"/>
          <w:sz w:val="15"/>
          <w:szCs w:val="15"/>
          <w:color w:val="67676D"/>
        </w:rPr>
        <w:t>.</w:t>
      </w:r>
      <w:r>
        <w:rPr>
          <w:rFonts w:ascii="Arial" w:cs="Arial" w:eastAsia="Arial" w:hAnsi="Arial"/>
          <w:sz w:val="15"/>
          <w:szCs w:val="15"/>
          <w:b w:val="1"/>
          <w:bCs w:val="1"/>
          <w:color w:val="26262D"/>
        </w:rPr>
        <w:t xml:space="preserve"> </w:t>
      </w:r>
      <w:r>
        <w:rPr>
          <w:rFonts w:ascii="Arial" w:cs="Arial" w:eastAsia="Arial" w:hAnsi="Arial"/>
          <w:sz w:val="15"/>
          <w:szCs w:val="15"/>
          <w:color w:val="383A42"/>
        </w:rPr>
        <w:t>As an employee,</w:t>
      </w:r>
      <w:r>
        <w:rPr>
          <w:rFonts w:ascii="Arial" w:cs="Arial" w:eastAsia="Arial" w:hAnsi="Arial"/>
          <w:sz w:val="15"/>
          <w:szCs w:val="15"/>
          <w:b w:val="1"/>
          <w:bCs w:val="1"/>
          <w:color w:val="26262D"/>
        </w:rPr>
        <w:t xml:space="preserve"> </w:t>
      </w:r>
      <w:r>
        <w:rPr>
          <w:rFonts w:ascii="Arial" w:cs="Arial" w:eastAsia="Arial" w:hAnsi="Arial"/>
          <w:sz w:val="15"/>
          <w:szCs w:val="15"/>
          <w:color w:val="26262D"/>
        </w:rPr>
        <w:t>you</w:t>
      </w:r>
      <w:r>
        <w:rPr>
          <w:rFonts w:ascii="Arial" w:cs="Arial" w:eastAsia="Arial" w:hAnsi="Arial"/>
          <w:sz w:val="15"/>
          <w:szCs w:val="15"/>
          <w:b w:val="1"/>
          <w:bCs w:val="1"/>
          <w:color w:val="26262D"/>
        </w:rPr>
        <w:t xml:space="preserve"> </w:t>
      </w:r>
      <w:r>
        <w:rPr>
          <w:rFonts w:ascii="Arial" w:cs="Arial" w:eastAsia="Arial" w:hAnsi="Arial"/>
          <w:sz w:val="15"/>
          <w:szCs w:val="15"/>
          <w:color w:val="383A42"/>
        </w:rPr>
        <w:t>will be able</w:t>
      </w:r>
      <w:r>
        <w:rPr>
          <w:rFonts w:ascii="Arial" w:cs="Arial" w:eastAsia="Arial" w:hAnsi="Arial"/>
          <w:sz w:val="15"/>
          <w:szCs w:val="15"/>
          <w:b w:val="1"/>
          <w:bCs w:val="1"/>
          <w:color w:val="26262D"/>
        </w:rPr>
        <w:t xml:space="preserve"> </w:t>
      </w:r>
      <w:r>
        <w:rPr>
          <w:rFonts w:ascii="Arial" w:cs="Arial" w:eastAsia="Arial" w:hAnsi="Arial"/>
          <w:sz w:val="15"/>
          <w:szCs w:val="15"/>
          <w:color w:val="26262D"/>
        </w:rPr>
        <w:t>to</w:t>
      </w:r>
      <w:r>
        <w:rPr>
          <w:rFonts w:ascii="Arial" w:cs="Arial" w:eastAsia="Arial" w:hAnsi="Arial"/>
          <w:sz w:val="15"/>
          <w:szCs w:val="15"/>
          <w:b w:val="1"/>
          <w:bCs w:val="1"/>
          <w:color w:val="26262D"/>
        </w:rPr>
        <w:t xml:space="preserve"> </w:t>
      </w:r>
      <w:r>
        <w:rPr>
          <w:rFonts w:ascii="Arial" w:cs="Arial" w:eastAsia="Arial" w:hAnsi="Arial"/>
          <w:sz w:val="15"/>
          <w:szCs w:val="15"/>
          <w:color w:val="383A42"/>
        </w:rPr>
        <w:t>chose</w:t>
      </w:r>
      <w:r>
        <w:rPr>
          <w:rFonts w:ascii="Arial" w:cs="Arial" w:eastAsia="Arial" w:hAnsi="Arial"/>
          <w:sz w:val="15"/>
          <w:szCs w:val="15"/>
          <w:b w:val="1"/>
          <w:bCs w:val="1"/>
          <w:color w:val="26262D"/>
        </w:rPr>
        <w:t xml:space="preserve"> </w:t>
      </w:r>
      <w:r>
        <w:rPr>
          <w:rFonts w:ascii="Arial" w:cs="Arial" w:eastAsia="Arial" w:hAnsi="Arial"/>
          <w:sz w:val="15"/>
          <w:szCs w:val="15"/>
          <w:color w:val="26262D"/>
        </w:rPr>
        <w:t>from</w:t>
      </w:r>
      <w:r>
        <w:rPr>
          <w:rFonts w:ascii="Arial" w:cs="Arial" w:eastAsia="Arial" w:hAnsi="Arial"/>
          <w:sz w:val="15"/>
          <w:szCs w:val="15"/>
          <w:b w:val="1"/>
          <w:bCs w:val="1"/>
          <w:color w:val="26262D"/>
        </w:rPr>
        <w:t xml:space="preserve"> </w:t>
      </w:r>
      <w:r>
        <w:rPr>
          <w:rFonts w:ascii="Arial" w:cs="Arial" w:eastAsia="Arial" w:hAnsi="Arial"/>
          <w:sz w:val="15"/>
          <w:szCs w:val="15"/>
          <w:color w:val="4F4F56"/>
        </w:rPr>
        <w:t>a</w:t>
      </w:r>
      <w:r>
        <w:rPr>
          <w:rFonts w:ascii="Arial" w:cs="Arial" w:eastAsia="Arial" w:hAnsi="Arial"/>
          <w:sz w:val="15"/>
          <w:szCs w:val="15"/>
          <w:b w:val="1"/>
          <w:bCs w:val="1"/>
          <w:color w:val="26262D"/>
        </w:rPr>
        <w:t xml:space="preserve"> </w:t>
      </w:r>
      <w:r>
        <w:rPr>
          <w:rFonts w:ascii="Arial" w:cs="Arial" w:eastAsia="Arial" w:hAnsi="Arial"/>
          <w:sz w:val="15"/>
          <w:szCs w:val="15"/>
          <w:color w:val="26262D"/>
        </w:rPr>
        <w:t xml:space="preserve">menu </w:t>
      </w:r>
      <w:r>
        <w:rPr>
          <w:rFonts w:ascii="Arial" w:cs="Arial" w:eastAsia="Arial" w:hAnsi="Arial"/>
          <w:sz w:val="15"/>
          <w:szCs w:val="15"/>
          <w:color w:val="383A42"/>
        </w:rPr>
        <w:t>of options</w:t>
      </w:r>
      <w:r>
        <w:rPr>
          <w:rFonts w:ascii="Arial" w:cs="Arial" w:eastAsia="Arial" w:hAnsi="Arial"/>
          <w:sz w:val="15"/>
          <w:szCs w:val="15"/>
          <w:color w:val="26262D"/>
        </w:rPr>
        <w:t xml:space="preserve"> through </w:t>
      </w:r>
      <w:r>
        <w:rPr>
          <w:rFonts w:ascii="Arial" w:cs="Arial" w:eastAsia="Arial" w:hAnsi="Arial"/>
          <w:sz w:val="15"/>
          <w:szCs w:val="15"/>
          <w:color w:val="383A42"/>
        </w:rPr>
        <w:t>our</w:t>
      </w:r>
      <w:r>
        <w:rPr>
          <w:rFonts w:ascii="Arial" w:cs="Arial" w:eastAsia="Arial" w:hAnsi="Arial"/>
          <w:sz w:val="15"/>
          <w:szCs w:val="15"/>
          <w:color w:val="26262D"/>
        </w:rPr>
        <w:t xml:space="preserve"> flexible benefits </w:t>
      </w:r>
      <w:r>
        <w:rPr>
          <w:rFonts w:ascii="Arial" w:cs="Arial" w:eastAsia="Arial" w:hAnsi="Arial"/>
          <w:sz w:val="15"/>
          <w:szCs w:val="15"/>
          <w:color w:val="383A42"/>
        </w:rPr>
        <w:t>program.</w:t>
      </w:r>
      <w:r>
        <w:rPr>
          <w:rFonts w:ascii="Arial" w:cs="Arial" w:eastAsia="Arial" w:hAnsi="Arial"/>
          <w:sz w:val="15"/>
          <w:szCs w:val="15"/>
          <w:color w:val="26262D"/>
        </w:rPr>
        <w:t xml:space="preserve"> These b</w:t>
      </w:r>
      <w:r>
        <w:rPr>
          <w:rFonts w:ascii="Arial" w:cs="Arial" w:eastAsia="Arial" w:hAnsi="Arial"/>
          <w:sz w:val="15"/>
          <w:szCs w:val="15"/>
          <w:color w:val="4F4F56"/>
        </w:rPr>
        <w:t>e</w:t>
      </w:r>
      <w:r>
        <w:rPr>
          <w:rFonts w:ascii="Arial" w:cs="Arial" w:eastAsia="Arial" w:hAnsi="Arial"/>
          <w:sz w:val="15"/>
          <w:szCs w:val="15"/>
          <w:color w:val="26262D"/>
        </w:rPr>
        <w:t xml:space="preserve">nefits include </w:t>
      </w:r>
      <w:r>
        <w:rPr>
          <w:rFonts w:ascii="Arial" w:cs="Arial" w:eastAsia="Arial" w:hAnsi="Arial"/>
          <w:sz w:val="15"/>
          <w:szCs w:val="15"/>
          <w:color w:val="383A42"/>
        </w:rPr>
        <w:t>a</w:t>
      </w:r>
      <w:r>
        <w:rPr>
          <w:rFonts w:ascii="Arial" w:cs="Arial" w:eastAsia="Arial" w:hAnsi="Arial"/>
          <w:sz w:val="15"/>
          <w:szCs w:val="15"/>
          <w:color w:val="26262D"/>
        </w:rPr>
        <w:t xml:space="preserve"> 401(k) savings </w:t>
      </w:r>
      <w:r>
        <w:rPr>
          <w:rFonts w:ascii="Arial" w:cs="Arial" w:eastAsia="Arial" w:hAnsi="Arial"/>
          <w:sz w:val="15"/>
          <w:szCs w:val="15"/>
          <w:color w:val="383A42"/>
        </w:rPr>
        <w:t>plan; group</w:t>
      </w:r>
      <w:r>
        <w:rPr>
          <w:rFonts w:ascii="Arial" w:cs="Arial" w:eastAsia="Arial" w:hAnsi="Arial"/>
          <w:sz w:val="15"/>
          <w:szCs w:val="15"/>
          <w:color w:val="26262D"/>
        </w:rPr>
        <w:t xml:space="preserve"> health </w:t>
      </w:r>
      <w:r>
        <w:rPr>
          <w:rFonts w:ascii="Arial" w:cs="Arial" w:eastAsia="Arial" w:hAnsi="Arial"/>
          <w:sz w:val="15"/>
          <w:szCs w:val="15"/>
          <w:color w:val="383A42"/>
        </w:rPr>
        <w:t>care, including</w:t>
      </w:r>
      <w:r>
        <w:rPr>
          <w:rFonts w:ascii="Arial" w:cs="Arial" w:eastAsia="Arial" w:hAnsi="Arial"/>
          <w:sz w:val="15"/>
          <w:szCs w:val="15"/>
          <w:color w:val="26262D"/>
        </w:rPr>
        <w:t xml:space="preserve"> medical</w:t>
      </w:r>
      <w:r>
        <w:rPr>
          <w:rFonts w:ascii="Arial" w:cs="Arial" w:eastAsia="Arial" w:hAnsi="Arial"/>
          <w:sz w:val="15"/>
          <w:szCs w:val="15"/>
          <w:color w:val="67676D"/>
        </w:rPr>
        <w:t>,</w:t>
      </w:r>
      <w:r>
        <w:rPr>
          <w:rFonts w:ascii="Arial" w:cs="Arial" w:eastAsia="Arial" w:hAnsi="Arial"/>
          <w:sz w:val="15"/>
          <w:szCs w:val="15"/>
          <w:color w:val="26262D"/>
        </w:rPr>
        <w:t xml:space="preserve"> dental</w:t>
      </w:r>
      <w:r>
        <w:rPr>
          <w:rFonts w:ascii="Arial" w:cs="Arial" w:eastAsia="Arial" w:hAnsi="Arial"/>
          <w:sz w:val="15"/>
          <w:szCs w:val="15"/>
          <w:color w:val="4F4F56"/>
        </w:rPr>
        <w:t>,</w:t>
      </w:r>
      <w:r>
        <w:rPr>
          <w:rFonts w:ascii="Arial" w:cs="Arial" w:eastAsia="Arial" w:hAnsi="Arial"/>
          <w:sz w:val="15"/>
          <w:szCs w:val="15"/>
          <w:color w:val="26262D"/>
        </w:rPr>
        <w:t xml:space="preserve"> prescription drug </w:t>
      </w:r>
      <w:r>
        <w:rPr>
          <w:rFonts w:ascii="Arial" w:cs="Arial" w:eastAsia="Arial" w:hAnsi="Arial"/>
          <w:sz w:val="15"/>
          <w:szCs w:val="15"/>
          <w:color w:val="383A42"/>
        </w:rPr>
        <w:t>and vision coverage</w:t>
      </w:r>
      <w:r>
        <w:rPr>
          <w:rFonts w:ascii="Arial" w:cs="Arial" w:eastAsia="Arial" w:hAnsi="Arial"/>
          <w:sz w:val="15"/>
          <w:szCs w:val="15"/>
          <w:color w:val="67676D"/>
        </w:rPr>
        <w:t>;</w:t>
      </w:r>
      <w:r>
        <w:rPr>
          <w:rFonts w:ascii="Arial" w:cs="Arial" w:eastAsia="Arial" w:hAnsi="Arial"/>
          <w:sz w:val="15"/>
          <w:szCs w:val="15"/>
          <w:color w:val="26262D"/>
        </w:rPr>
        <w:t xml:space="preserve"> life </w:t>
      </w:r>
      <w:r>
        <w:rPr>
          <w:rFonts w:ascii="Arial" w:cs="Arial" w:eastAsia="Arial" w:hAnsi="Arial"/>
          <w:sz w:val="15"/>
          <w:szCs w:val="15"/>
          <w:color w:val="383A42"/>
        </w:rPr>
        <w:t>dependent life and disability insurance; as well as flexible spending accounts for eligible</w:t>
      </w:r>
      <w:r>
        <w:rPr>
          <w:rFonts w:ascii="Arial" w:cs="Arial" w:eastAsia="Arial" w:hAnsi="Arial"/>
          <w:sz w:val="15"/>
          <w:szCs w:val="15"/>
          <w:color w:val="26262D"/>
        </w:rPr>
        <w:t xml:space="preserve"> med</w:t>
      </w:r>
      <w:r>
        <w:rPr>
          <w:rFonts w:ascii="Arial" w:cs="Arial" w:eastAsia="Arial" w:hAnsi="Arial"/>
          <w:sz w:val="15"/>
          <w:szCs w:val="15"/>
          <w:color w:val="67676D"/>
        </w:rPr>
        <w:t>ic</w:t>
      </w:r>
      <w:r>
        <w:rPr>
          <w:rFonts w:ascii="Arial" w:cs="Arial" w:eastAsia="Arial" w:hAnsi="Arial"/>
          <w:sz w:val="15"/>
          <w:szCs w:val="15"/>
          <w:color w:val="383A42"/>
        </w:rPr>
        <w:t>a</w:t>
      </w:r>
      <w:r>
        <w:rPr>
          <w:rFonts w:ascii="Arial" w:cs="Arial" w:eastAsia="Arial" w:hAnsi="Arial"/>
          <w:sz w:val="15"/>
          <w:szCs w:val="15"/>
          <w:color w:val="67676D"/>
        </w:rPr>
        <w:t>l</w:t>
      </w:r>
      <w:r>
        <w:rPr>
          <w:rFonts w:ascii="Arial" w:cs="Arial" w:eastAsia="Arial" w:hAnsi="Arial"/>
          <w:sz w:val="15"/>
          <w:szCs w:val="15"/>
          <w:color w:val="26262D"/>
        </w:rPr>
        <w:t xml:space="preserve"> and dependent </w:t>
      </w:r>
      <w:r>
        <w:rPr>
          <w:rFonts w:ascii="Arial" w:cs="Arial" w:eastAsia="Arial" w:hAnsi="Arial"/>
          <w:sz w:val="15"/>
          <w:szCs w:val="15"/>
          <w:color w:val="4F4F56"/>
        </w:rPr>
        <w:t>c</w:t>
      </w:r>
      <w:r>
        <w:rPr>
          <w:rFonts w:ascii="Arial" w:cs="Arial" w:eastAsia="Arial" w:hAnsi="Arial"/>
          <w:sz w:val="15"/>
          <w:szCs w:val="15"/>
          <w:color w:val="26262D"/>
        </w:rPr>
        <w:t>are expenses</w:t>
      </w:r>
      <w:r>
        <w:rPr>
          <w:rFonts w:ascii="Arial" w:cs="Arial" w:eastAsia="Arial" w:hAnsi="Arial"/>
          <w:sz w:val="15"/>
          <w:szCs w:val="15"/>
          <w:color w:val="67676D"/>
        </w:rPr>
        <w:t>.</w:t>
      </w:r>
    </w:p>
    <w:p>
      <w:pPr>
        <w:spacing w:after="0" w:line="184" w:lineRule="exact"/>
        <w:rPr>
          <w:sz w:val="20"/>
          <w:szCs w:val="20"/>
          <w:color w:val="auto"/>
        </w:rPr>
      </w:pPr>
    </w:p>
    <w:p>
      <w:pPr>
        <w:ind w:left="180"/>
        <w:spacing w:after="0" w:line="257" w:lineRule="auto"/>
        <w:rPr>
          <w:sz w:val="20"/>
          <w:szCs w:val="20"/>
          <w:color w:val="auto"/>
        </w:rPr>
      </w:pPr>
      <w:r>
        <w:rPr>
          <w:rFonts w:ascii="Arial" w:cs="Arial" w:eastAsia="Arial" w:hAnsi="Arial"/>
          <w:sz w:val="15"/>
          <w:szCs w:val="15"/>
          <w:color w:val="383A42"/>
        </w:rPr>
        <w:t xml:space="preserve">You are </w:t>
      </w:r>
      <w:r>
        <w:rPr>
          <w:rFonts w:ascii="Arial" w:cs="Arial" w:eastAsia="Arial" w:hAnsi="Arial"/>
          <w:sz w:val="15"/>
          <w:szCs w:val="15"/>
          <w:color w:val="26262D"/>
        </w:rPr>
        <w:t>also</w:t>
      </w:r>
      <w:r>
        <w:rPr>
          <w:rFonts w:ascii="Arial" w:cs="Arial" w:eastAsia="Arial" w:hAnsi="Arial"/>
          <w:sz w:val="15"/>
          <w:szCs w:val="15"/>
          <w:color w:val="383A42"/>
        </w:rPr>
        <w:t xml:space="preserve"> entitled to </w:t>
      </w:r>
      <w:r>
        <w:rPr>
          <w:rFonts w:ascii="Arial" w:cs="Arial" w:eastAsia="Arial" w:hAnsi="Arial"/>
          <w:sz w:val="15"/>
          <w:szCs w:val="15"/>
          <w:color w:val="26262D"/>
        </w:rPr>
        <w:t>up to</w:t>
      </w:r>
      <w:r>
        <w:rPr>
          <w:rFonts w:ascii="Arial" w:cs="Arial" w:eastAsia="Arial" w:hAnsi="Arial"/>
          <w:sz w:val="15"/>
          <w:szCs w:val="15"/>
          <w:color w:val="383A42"/>
        </w:rPr>
        <w:t xml:space="preserve"> 20 vacation days (160 </w:t>
      </w:r>
      <w:r>
        <w:rPr>
          <w:rFonts w:ascii="Arial" w:cs="Arial" w:eastAsia="Arial" w:hAnsi="Arial"/>
          <w:sz w:val="15"/>
          <w:szCs w:val="15"/>
          <w:color w:val="26262D"/>
        </w:rPr>
        <w:t>hours)</w:t>
      </w:r>
      <w:r>
        <w:rPr>
          <w:rFonts w:ascii="Arial" w:cs="Arial" w:eastAsia="Arial" w:hAnsi="Arial"/>
          <w:sz w:val="15"/>
          <w:szCs w:val="15"/>
          <w:color w:val="383A42"/>
        </w:rPr>
        <w:t xml:space="preserve"> per year </w:t>
      </w:r>
      <w:r>
        <w:rPr>
          <w:rFonts w:ascii="Arial" w:cs="Arial" w:eastAsia="Arial" w:hAnsi="Arial"/>
          <w:sz w:val="15"/>
          <w:szCs w:val="15"/>
          <w:color w:val="26262D"/>
        </w:rPr>
        <w:t>(pro</w:t>
      </w:r>
      <w:r>
        <w:rPr>
          <w:rFonts w:ascii="Arial" w:cs="Arial" w:eastAsia="Arial" w:hAnsi="Arial"/>
          <w:sz w:val="15"/>
          <w:szCs w:val="15"/>
          <w:color w:val="4F4F56"/>
        </w:rPr>
        <w:t>-</w:t>
      </w:r>
      <w:r>
        <w:rPr>
          <w:rFonts w:ascii="Arial" w:cs="Arial" w:eastAsia="Arial" w:hAnsi="Arial"/>
          <w:sz w:val="15"/>
          <w:szCs w:val="15"/>
          <w:color w:val="26262D"/>
        </w:rPr>
        <w:t>rated</w:t>
      </w:r>
      <w:r>
        <w:rPr>
          <w:rFonts w:ascii="Arial" w:cs="Arial" w:eastAsia="Arial" w:hAnsi="Arial"/>
          <w:sz w:val="15"/>
          <w:szCs w:val="15"/>
          <w:color w:val="383A42"/>
        </w:rPr>
        <w:t xml:space="preserve"> if yo</w:t>
      </w:r>
      <w:r>
        <w:rPr>
          <w:rFonts w:ascii="Arial" w:cs="Arial" w:eastAsia="Arial" w:hAnsi="Arial"/>
          <w:sz w:val="15"/>
          <w:szCs w:val="15"/>
          <w:color w:val="26262D"/>
        </w:rPr>
        <w:t>u</w:t>
      </w:r>
      <w:r>
        <w:rPr>
          <w:rFonts w:ascii="Arial" w:cs="Arial" w:eastAsia="Arial" w:hAnsi="Arial"/>
          <w:sz w:val="15"/>
          <w:szCs w:val="15"/>
          <w:color w:val="383A42"/>
        </w:rPr>
        <w:t xml:space="preserve"> work </w:t>
      </w:r>
      <w:r>
        <w:rPr>
          <w:rFonts w:ascii="Arial" w:cs="Arial" w:eastAsia="Arial" w:hAnsi="Arial"/>
          <w:sz w:val="15"/>
          <w:szCs w:val="15"/>
          <w:color w:val="26262D"/>
        </w:rPr>
        <w:t>part</w:t>
      </w:r>
      <w:r>
        <w:rPr>
          <w:rFonts w:ascii="Arial" w:cs="Arial" w:eastAsia="Arial" w:hAnsi="Arial"/>
          <w:sz w:val="15"/>
          <w:szCs w:val="15"/>
          <w:color w:val="383A42"/>
        </w:rPr>
        <w:t xml:space="preserve"> time)</w:t>
      </w:r>
      <w:r>
        <w:rPr>
          <w:rFonts w:ascii="Arial" w:cs="Arial" w:eastAsia="Arial" w:hAnsi="Arial"/>
          <w:sz w:val="15"/>
          <w:szCs w:val="15"/>
          <w:color w:val="4F4F56"/>
        </w:rPr>
        <w:t>.</w:t>
      </w:r>
      <w:r>
        <w:rPr>
          <w:rFonts w:ascii="Arial" w:cs="Arial" w:eastAsia="Arial" w:hAnsi="Arial"/>
          <w:sz w:val="15"/>
          <w:szCs w:val="15"/>
          <w:color w:val="383A42"/>
        </w:rPr>
        <w:t xml:space="preserve"> Additional benefit offerings include an </w:t>
      </w:r>
      <w:r>
        <w:rPr>
          <w:rFonts w:ascii="Arial" w:cs="Arial" w:eastAsia="Arial" w:hAnsi="Arial"/>
          <w:sz w:val="15"/>
          <w:szCs w:val="15"/>
          <w:color w:val="26262D"/>
        </w:rPr>
        <w:t xml:space="preserve">Employee Stock Purchase Plan </w:t>
      </w:r>
      <w:r>
        <w:rPr>
          <w:rFonts w:ascii="Arial" w:cs="Arial" w:eastAsia="Arial" w:hAnsi="Arial"/>
          <w:sz w:val="15"/>
          <w:szCs w:val="15"/>
          <w:color w:val="383A42"/>
        </w:rPr>
        <w:t>(ESPP)</w:t>
      </w:r>
      <w:r>
        <w:rPr>
          <w:rFonts w:ascii="Arial" w:cs="Arial" w:eastAsia="Arial" w:hAnsi="Arial"/>
          <w:sz w:val="15"/>
          <w:szCs w:val="15"/>
          <w:color w:val="26262D"/>
        </w:rPr>
        <w:t xml:space="preserve"> and work/life </w:t>
      </w:r>
      <w:r>
        <w:rPr>
          <w:rFonts w:ascii="Arial" w:cs="Arial" w:eastAsia="Arial" w:hAnsi="Arial"/>
          <w:sz w:val="15"/>
          <w:szCs w:val="15"/>
          <w:color w:val="383A42"/>
        </w:rPr>
        <w:t>benefits such</w:t>
      </w:r>
      <w:r>
        <w:rPr>
          <w:rFonts w:ascii="Arial" w:cs="Arial" w:eastAsia="Arial" w:hAnsi="Arial"/>
          <w:sz w:val="15"/>
          <w:szCs w:val="15"/>
          <w:color w:val="26262D"/>
        </w:rPr>
        <w:t xml:space="preserve"> as </w:t>
      </w:r>
      <w:r>
        <w:rPr>
          <w:rFonts w:ascii="Arial" w:cs="Arial" w:eastAsia="Arial" w:hAnsi="Arial"/>
          <w:sz w:val="15"/>
          <w:szCs w:val="15"/>
          <w:color w:val="383A42"/>
        </w:rPr>
        <w:t>a concierge service and a</w:t>
      </w:r>
      <w:r>
        <w:rPr>
          <w:rFonts w:ascii="Arial" w:cs="Arial" w:eastAsia="Arial" w:hAnsi="Arial"/>
          <w:sz w:val="15"/>
          <w:szCs w:val="15"/>
          <w:color w:val="26262D"/>
        </w:rPr>
        <w:t xml:space="preserve">ccess to </w:t>
      </w:r>
      <w:r>
        <w:rPr>
          <w:rFonts w:ascii="Arial" w:cs="Arial" w:eastAsia="Arial" w:hAnsi="Arial"/>
          <w:sz w:val="15"/>
          <w:szCs w:val="15"/>
          <w:color w:val="383A42"/>
        </w:rPr>
        <w:t>subsidized</w:t>
      </w:r>
      <w:r>
        <w:rPr>
          <w:rFonts w:ascii="Arial" w:cs="Arial" w:eastAsia="Arial" w:hAnsi="Arial"/>
          <w:sz w:val="15"/>
          <w:szCs w:val="15"/>
          <w:color w:val="26262D"/>
        </w:rPr>
        <w:t xml:space="preserve"> back-up dependent </w:t>
      </w:r>
      <w:r>
        <w:rPr>
          <w:rFonts w:ascii="Arial" w:cs="Arial" w:eastAsia="Arial" w:hAnsi="Arial"/>
          <w:sz w:val="15"/>
          <w:szCs w:val="15"/>
          <w:color w:val="383A42"/>
        </w:rPr>
        <w:t>care</w:t>
      </w:r>
      <w:r>
        <w:rPr>
          <w:rFonts w:ascii="Arial" w:cs="Arial" w:eastAsia="Arial" w:hAnsi="Arial"/>
          <w:sz w:val="15"/>
          <w:szCs w:val="15"/>
          <w:color w:val="67676D"/>
        </w:rPr>
        <w:t>.</w:t>
      </w:r>
      <w:r>
        <w:rPr>
          <w:rFonts w:ascii="Arial" w:cs="Arial" w:eastAsia="Arial" w:hAnsi="Arial"/>
          <w:sz w:val="15"/>
          <w:szCs w:val="15"/>
          <w:color w:val="26262D"/>
        </w:rPr>
        <w:t xml:space="preserve"> Please </w:t>
      </w:r>
      <w:r>
        <w:rPr>
          <w:rFonts w:ascii="Arial" w:cs="Arial" w:eastAsia="Arial" w:hAnsi="Arial"/>
          <w:sz w:val="15"/>
          <w:szCs w:val="15"/>
          <w:color w:val="383A42"/>
        </w:rPr>
        <w:t>visit</w:t>
      </w:r>
      <w:r>
        <w:rPr>
          <w:rFonts w:ascii="Arial" w:cs="Arial" w:eastAsia="Arial" w:hAnsi="Arial"/>
          <w:sz w:val="15"/>
          <w:szCs w:val="15"/>
          <w:color w:val="26262D"/>
        </w:rPr>
        <w:t xml:space="preserve"> Biogen's </w:t>
      </w:r>
      <w:r>
        <w:rPr>
          <w:rFonts w:ascii="Arial" w:cs="Arial" w:eastAsia="Arial" w:hAnsi="Arial"/>
          <w:sz w:val="15"/>
          <w:szCs w:val="15"/>
          <w:color w:val="383A42"/>
        </w:rPr>
        <w:t>benefits</w:t>
      </w:r>
      <w:r>
        <w:rPr>
          <w:rFonts w:ascii="Arial" w:cs="Arial" w:eastAsia="Arial" w:hAnsi="Arial"/>
          <w:sz w:val="15"/>
          <w:szCs w:val="15"/>
          <w:color w:val="26262D"/>
        </w:rPr>
        <w:t xml:space="preserve"> websit</w:t>
      </w:r>
      <w:r>
        <w:rPr>
          <w:rFonts w:ascii="Arial" w:cs="Arial" w:eastAsia="Arial" w:hAnsi="Arial"/>
          <w:sz w:val="15"/>
          <w:szCs w:val="15"/>
          <w:color w:val="4F4F56"/>
        </w:rPr>
        <w:t>e</w:t>
      </w:r>
      <w:r>
        <w:rPr>
          <w:rFonts w:ascii="Arial" w:cs="Arial" w:eastAsia="Arial" w:hAnsi="Arial"/>
          <w:sz w:val="15"/>
          <w:szCs w:val="15"/>
          <w:color w:val="26262D"/>
        </w:rPr>
        <w:t xml:space="preserve"> </w:t>
      </w:r>
      <w:r>
        <w:rPr>
          <w:rFonts w:ascii="Arial" w:cs="Arial" w:eastAsia="Arial" w:hAnsi="Arial"/>
          <w:sz w:val="15"/>
          <w:szCs w:val="15"/>
          <w:color w:val="383A42"/>
        </w:rPr>
        <w:t>at [website]</w:t>
      </w:r>
      <w:r>
        <w:rPr>
          <w:rFonts w:ascii="Arial" w:cs="Arial" w:eastAsia="Arial" w:hAnsi="Arial"/>
          <w:sz w:val="15"/>
          <w:szCs w:val="15"/>
          <w:i w:val="1"/>
          <w:iCs w:val="1"/>
          <w:color w:val="383A42"/>
        </w:rPr>
        <w:t>,</w:t>
      </w:r>
      <w:r>
        <w:rPr>
          <w:rFonts w:ascii="Arial" w:cs="Arial" w:eastAsia="Arial" w:hAnsi="Arial"/>
          <w:sz w:val="15"/>
          <w:szCs w:val="15"/>
          <w:color w:val="26262D"/>
        </w:rPr>
        <w:t xml:space="preserve"> </w:t>
      </w:r>
      <w:r>
        <w:rPr>
          <w:rFonts w:ascii="Arial" w:cs="Arial" w:eastAsia="Arial" w:hAnsi="Arial"/>
          <w:sz w:val="15"/>
          <w:szCs w:val="15"/>
          <w:color w:val="383A42"/>
        </w:rPr>
        <w:t>(user ID</w:t>
      </w:r>
      <w:r>
        <w:rPr>
          <w:rFonts w:ascii="Arial" w:cs="Arial" w:eastAsia="Arial" w:hAnsi="Arial"/>
          <w:sz w:val="15"/>
          <w:szCs w:val="15"/>
          <w:color w:val="26262D"/>
        </w:rPr>
        <w:t xml:space="preserve"> </w:t>
      </w:r>
      <w:r>
        <w:rPr>
          <w:rFonts w:ascii="Arial" w:cs="Arial" w:eastAsia="Arial" w:hAnsi="Arial"/>
          <w:sz w:val="15"/>
          <w:szCs w:val="15"/>
          <w:color w:val="4F4F56"/>
        </w:rPr>
        <w:t>= [user ID]</w:t>
      </w:r>
      <w:r>
        <w:rPr>
          <w:rFonts w:ascii="Arial" w:cs="Arial" w:eastAsia="Arial" w:hAnsi="Arial"/>
          <w:sz w:val="15"/>
          <w:szCs w:val="15"/>
          <w:color w:val="67676D"/>
        </w:rPr>
        <w:t>,</w:t>
      </w:r>
      <w:r>
        <w:rPr>
          <w:rFonts w:ascii="Arial" w:cs="Arial" w:eastAsia="Arial" w:hAnsi="Arial"/>
          <w:sz w:val="15"/>
          <w:szCs w:val="15"/>
          <w:color w:val="26262D"/>
        </w:rPr>
        <w:t xml:space="preserve"> </w:t>
      </w:r>
      <w:r>
        <w:rPr>
          <w:rFonts w:ascii="Arial" w:cs="Arial" w:eastAsia="Arial" w:hAnsi="Arial"/>
          <w:sz w:val="15"/>
          <w:szCs w:val="15"/>
          <w:color w:val="383A42"/>
        </w:rPr>
        <w:t>password= [password])</w:t>
      </w:r>
      <w:r>
        <w:rPr>
          <w:rFonts w:ascii="Arial" w:cs="Arial" w:eastAsia="Arial" w:hAnsi="Arial"/>
          <w:sz w:val="15"/>
          <w:szCs w:val="15"/>
          <w:color w:val="26262D"/>
        </w:rPr>
        <w:t xml:space="preserve"> to </w:t>
      </w:r>
      <w:r>
        <w:rPr>
          <w:rFonts w:ascii="Arial" w:cs="Arial" w:eastAsia="Arial" w:hAnsi="Arial"/>
          <w:sz w:val="15"/>
          <w:szCs w:val="15"/>
          <w:color w:val="383A42"/>
        </w:rPr>
        <w:t>familiarize</w:t>
      </w:r>
      <w:r>
        <w:rPr>
          <w:rFonts w:ascii="Arial" w:cs="Arial" w:eastAsia="Arial" w:hAnsi="Arial"/>
          <w:sz w:val="15"/>
          <w:szCs w:val="15"/>
          <w:color w:val="26262D"/>
        </w:rPr>
        <w:t xml:space="preserve"> </w:t>
      </w:r>
      <w:r>
        <w:rPr>
          <w:rFonts w:ascii="Arial" w:cs="Arial" w:eastAsia="Arial" w:hAnsi="Arial"/>
          <w:sz w:val="15"/>
          <w:szCs w:val="15"/>
          <w:color w:val="4F4F56"/>
        </w:rPr>
        <w:t>yo</w:t>
      </w:r>
      <w:r>
        <w:rPr>
          <w:rFonts w:ascii="Arial" w:cs="Arial" w:eastAsia="Arial" w:hAnsi="Arial"/>
          <w:sz w:val="15"/>
          <w:szCs w:val="15"/>
          <w:color w:val="26262D"/>
        </w:rPr>
        <w:t xml:space="preserve">urself with </w:t>
      </w:r>
      <w:r>
        <w:rPr>
          <w:rFonts w:ascii="Arial" w:cs="Arial" w:eastAsia="Arial" w:hAnsi="Arial"/>
          <w:sz w:val="15"/>
          <w:szCs w:val="15"/>
          <w:color w:val="383A42"/>
        </w:rPr>
        <w:t>Biogen's complete benefit</w:t>
      </w:r>
      <w:r>
        <w:rPr>
          <w:rFonts w:ascii="Arial" w:cs="Arial" w:eastAsia="Arial" w:hAnsi="Arial"/>
          <w:sz w:val="15"/>
          <w:szCs w:val="15"/>
          <w:color w:val="26262D"/>
        </w:rPr>
        <w:t xml:space="preserve"> </w:t>
      </w:r>
      <w:r>
        <w:rPr>
          <w:rFonts w:ascii="Arial" w:cs="Arial" w:eastAsia="Arial" w:hAnsi="Arial"/>
          <w:sz w:val="15"/>
          <w:szCs w:val="15"/>
          <w:color w:val="383A42"/>
        </w:rPr>
        <w:t>plan offer</w:t>
      </w:r>
      <w:r>
        <w:rPr>
          <w:rFonts w:ascii="Arial" w:cs="Arial" w:eastAsia="Arial" w:hAnsi="Arial"/>
          <w:sz w:val="15"/>
          <w:szCs w:val="15"/>
          <w:color w:val="67676D"/>
        </w:rPr>
        <w:t>i</w:t>
      </w:r>
      <w:r>
        <w:rPr>
          <w:rFonts w:ascii="Arial" w:cs="Arial" w:eastAsia="Arial" w:hAnsi="Arial"/>
          <w:sz w:val="15"/>
          <w:szCs w:val="15"/>
          <w:color w:val="26262D"/>
        </w:rPr>
        <w:t>ngs</w:t>
      </w:r>
      <w:r>
        <w:rPr>
          <w:rFonts w:ascii="Arial" w:cs="Arial" w:eastAsia="Arial" w:hAnsi="Arial"/>
          <w:sz w:val="15"/>
          <w:szCs w:val="15"/>
          <w:color w:val="67676D"/>
        </w:rPr>
        <w:t>.</w:t>
      </w:r>
    </w:p>
    <w:p>
      <w:pPr>
        <w:spacing w:after="0" w:line="324"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26262D"/>
        </w:rPr>
        <w:t>Additional Execut</w:t>
      </w:r>
      <w:r>
        <w:rPr>
          <w:rFonts w:ascii="Arial" w:cs="Arial" w:eastAsia="Arial" w:hAnsi="Arial"/>
          <w:sz w:val="15"/>
          <w:szCs w:val="15"/>
          <w:b w:val="1"/>
          <w:bCs w:val="1"/>
          <w:color w:val="4F4F56"/>
        </w:rPr>
        <w:t>i</w:t>
      </w:r>
      <w:r>
        <w:rPr>
          <w:rFonts w:ascii="Arial" w:cs="Arial" w:eastAsia="Arial" w:hAnsi="Arial"/>
          <w:sz w:val="15"/>
          <w:szCs w:val="15"/>
          <w:b w:val="1"/>
          <w:bCs w:val="1"/>
          <w:color w:val="26262D"/>
        </w:rPr>
        <w:t>ve Benefits</w:t>
      </w:r>
    </w:p>
    <w:p>
      <w:pPr>
        <w:spacing w:after="0" w:line="212" w:lineRule="exact"/>
        <w:rPr>
          <w:sz w:val="20"/>
          <w:szCs w:val="20"/>
          <w:color w:val="auto"/>
        </w:rPr>
      </w:pPr>
    </w:p>
    <w:p>
      <w:pPr>
        <w:ind w:left="500" w:right="160"/>
        <w:spacing w:after="0" w:line="263" w:lineRule="auto"/>
        <w:rPr>
          <w:sz w:val="20"/>
          <w:szCs w:val="20"/>
          <w:color w:val="auto"/>
        </w:rPr>
      </w:pPr>
      <w:r>
        <w:rPr>
          <w:rFonts w:ascii="Arial" w:cs="Arial" w:eastAsia="Arial" w:hAnsi="Arial"/>
          <w:sz w:val="15"/>
          <w:szCs w:val="15"/>
          <w:b w:val="1"/>
          <w:bCs w:val="1"/>
          <w:color w:val="26262D"/>
        </w:rPr>
        <w:t>Supplemental Savings Plan</w:t>
      </w:r>
      <w:r>
        <w:rPr>
          <w:rFonts w:ascii="Arial" w:cs="Arial" w:eastAsia="Arial" w:hAnsi="Arial"/>
          <w:sz w:val="15"/>
          <w:szCs w:val="15"/>
          <w:b w:val="1"/>
          <w:bCs w:val="1"/>
          <w:color w:val="67676D"/>
        </w:rPr>
        <w:t>:</w:t>
      </w:r>
      <w:r>
        <w:rPr>
          <w:rFonts w:ascii="Arial" w:cs="Arial" w:eastAsia="Arial" w:hAnsi="Arial"/>
          <w:sz w:val="15"/>
          <w:szCs w:val="15"/>
          <w:b w:val="1"/>
          <w:bCs w:val="1"/>
          <w:color w:val="26262D"/>
        </w:rPr>
        <w:t xml:space="preserve"> </w:t>
      </w:r>
      <w:r>
        <w:rPr>
          <w:rFonts w:ascii="Arial" w:cs="Arial" w:eastAsia="Arial" w:hAnsi="Arial"/>
          <w:sz w:val="15"/>
          <w:szCs w:val="15"/>
          <w:color w:val="383A42"/>
        </w:rPr>
        <w:t>You will be entitled</w:t>
      </w:r>
      <w:r>
        <w:rPr>
          <w:rFonts w:ascii="Arial" w:cs="Arial" w:eastAsia="Arial" w:hAnsi="Arial"/>
          <w:sz w:val="15"/>
          <w:szCs w:val="15"/>
          <w:b w:val="1"/>
          <w:bCs w:val="1"/>
          <w:color w:val="26262D"/>
        </w:rPr>
        <w:t xml:space="preserve"> </w:t>
      </w:r>
      <w:r>
        <w:rPr>
          <w:rFonts w:ascii="Arial" w:cs="Arial" w:eastAsia="Arial" w:hAnsi="Arial"/>
          <w:sz w:val="15"/>
          <w:szCs w:val="15"/>
          <w:color w:val="26262D"/>
        </w:rPr>
        <w:t>to p</w:t>
      </w:r>
      <w:r>
        <w:rPr>
          <w:rFonts w:ascii="Arial" w:cs="Arial" w:eastAsia="Arial" w:hAnsi="Arial"/>
          <w:sz w:val="15"/>
          <w:szCs w:val="15"/>
          <w:color w:val="4F4F56"/>
        </w:rPr>
        <w:t>artic</w:t>
      </w:r>
      <w:r>
        <w:rPr>
          <w:rFonts w:ascii="Arial" w:cs="Arial" w:eastAsia="Arial" w:hAnsi="Arial"/>
          <w:sz w:val="15"/>
          <w:szCs w:val="15"/>
          <w:color w:val="26262D"/>
        </w:rPr>
        <w:t>ipate</w:t>
      </w:r>
      <w:r>
        <w:rPr>
          <w:rFonts w:ascii="Arial" w:cs="Arial" w:eastAsia="Arial" w:hAnsi="Arial"/>
          <w:sz w:val="15"/>
          <w:szCs w:val="15"/>
          <w:b w:val="1"/>
          <w:bCs w:val="1"/>
          <w:color w:val="26262D"/>
        </w:rPr>
        <w:t xml:space="preserve"> </w:t>
      </w:r>
      <w:r>
        <w:rPr>
          <w:rFonts w:ascii="Arial" w:cs="Arial" w:eastAsia="Arial" w:hAnsi="Arial"/>
          <w:sz w:val="15"/>
          <w:szCs w:val="15"/>
          <w:color w:val="383A42"/>
        </w:rPr>
        <w:t>In</w:t>
      </w:r>
      <w:r>
        <w:rPr>
          <w:rFonts w:ascii="Arial" w:cs="Arial" w:eastAsia="Arial" w:hAnsi="Arial"/>
          <w:sz w:val="15"/>
          <w:szCs w:val="15"/>
          <w:b w:val="1"/>
          <w:bCs w:val="1"/>
          <w:color w:val="26262D"/>
        </w:rPr>
        <w:t xml:space="preserve"> </w:t>
      </w:r>
      <w:r>
        <w:rPr>
          <w:rFonts w:ascii="Arial" w:cs="Arial" w:eastAsia="Arial" w:hAnsi="Arial"/>
          <w:sz w:val="15"/>
          <w:szCs w:val="15"/>
          <w:color w:val="26262D"/>
        </w:rPr>
        <w:t>Biogen</w:t>
      </w:r>
      <w:r>
        <w:rPr>
          <w:rFonts w:ascii="Arial" w:cs="Arial" w:eastAsia="Arial" w:hAnsi="Arial"/>
          <w:sz w:val="15"/>
          <w:szCs w:val="15"/>
          <w:color w:val="4F4F56"/>
        </w:rPr>
        <w:t>'</w:t>
      </w:r>
      <w:r>
        <w:rPr>
          <w:rFonts w:ascii="Arial" w:cs="Arial" w:eastAsia="Arial" w:hAnsi="Arial"/>
          <w:sz w:val="15"/>
          <w:szCs w:val="15"/>
          <w:color w:val="26262D"/>
        </w:rPr>
        <w:t>s</w:t>
      </w:r>
      <w:r>
        <w:rPr>
          <w:rFonts w:ascii="Arial" w:cs="Arial" w:eastAsia="Arial" w:hAnsi="Arial"/>
          <w:sz w:val="15"/>
          <w:szCs w:val="15"/>
          <w:b w:val="1"/>
          <w:bCs w:val="1"/>
          <w:color w:val="26262D"/>
        </w:rPr>
        <w:t xml:space="preserve"> </w:t>
      </w:r>
      <w:r>
        <w:rPr>
          <w:rFonts w:ascii="Arial" w:cs="Arial" w:eastAsia="Arial" w:hAnsi="Arial"/>
          <w:sz w:val="15"/>
          <w:szCs w:val="15"/>
          <w:color w:val="383A42"/>
        </w:rPr>
        <w:t>Supplemental Sav</w:t>
      </w:r>
      <w:r>
        <w:rPr>
          <w:rFonts w:ascii="Arial" w:cs="Arial" w:eastAsia="Arial" w:hAnsi="Arial"/>
          <w:sz w:val="15"/>
          <w:szCs w:val="15"/>
          <w:color w:val="67676D"/>
        </w:rPr>
        <w:t>i</w:t>
      </w:r>
      <w:r>
        <w:rPr>
          <w:rFonts w:ascii="Arial" w:cs="Arial" w:eastAsia="Arial" w:hAnsi="Arial"/>
          <w:sz w:val="15"/>
          <w:szCs w:val="15"/>
          <w:color w:val="26262D"/>
        </w:rPr>
        <w:t>ngs</w:t>
      </w:r>
      <w:r>
        <w:rPr>
          <w:rFonts w:ascii="Arial" w:cs="Arial" w:eastAsia="Arial" w:hAnsi="Arial"/>
          <w:sz w:val="15"/>
          <w:szCs w:val="15"/>
          <w:b w:val="1"/>
          <w:bCs w:val="1"/>
          <w:color w:val="26262D"/>
        </w:rPr>
        <w:t xml:space="preserve"> </w:t>
      </w:r>
      <w:r>
        <w:rPr>
          <w:rFonts w:ascii="Arial" w:cs="Arial" w:eastAsia="Arial" w:hAnsi="Arial"/>
          <w:sz w:val="15"/>
          <w:szCs w:val="15"/>
          <w:color w:val="383A42"/>
        </w:rPr>
        <w:t>Plan (SSP)</w:t>
      </w:r>
      <w:r>
        <w:rPr>
          <w:rFonts w:ascii="Arial" w:cs="Arial" w:eastAsia="Arial" w:hAnsi="Arial"/>
          <w:sz w:val="15"/>
          <w:szCs w:val="15"/>
          <w:color w:val="9CAAB3"/>
        </w:rPr>
        <w:t>.</w:t>
      </w:r>
      <w:r>
        <w:rPr>
          <w:rFonts w:ascii="Arial" w:cs="Arial" w:eastAsia="Arial" w:hAnsi="Arial"/>
          <w:sz w:val="15"/>
          <w:szCs w:val="15"/>
          <w:b w:val="1"/>
          <w:bCs w:val="1"/>
          <w:color w:val="26262D"/>
        </w:rPr>
        <w:t xml:space="preserve"> </w:t>
      </w:r>
      <w:r>
        <w:rPr>
          <w:rFonts w:ascii="Arial" w:cs="Arial" w:eastAsia="Arial" w:hAnsi="Arial"/>
          <w:sz w:val="15"/>
          <w:szCs w:val="15"/>
          <w:color w:val="26262D"/>
        </w:rPr>
        <w:t>This</w:t>
      </w:r>
      <w:r>
        <w:rPr>
          <w:rFonts w:ascii="Arial" w:cs="Arial" w:eastAsia="Arial" w:hAnsi="Arial"/>
          <w:sz w:val="15"/>
          <w:szCs w:val="15"/>
          <w:b w:val="1"/>
          <w:bCs w:val="1"/>
          <w:color w:val="26262D"/>
        </w:rPr>
        <w:t xml:space="preserve"> </w:t>
      </w:r>
      <w:r>
        <w:rPr>
          <w:rFonts w:ascii="Arial" w:cs="Arial" w:eastAsia="Arial" w:hAnsi="Arial"/>
          <w:sz w:val="15"/>
          <w:szCs w:val="15"/>
          <w:color w:val="383A42"/>
        </w:rPr>
        <w:t>plan allows you</w:t>
      </w:r>
      <w:r>
        <w:rPr>
          <w:rFonts w:ascii="Arial" w:cs="Arial" w:eastAsia="Arial" w:hAnsi="Arial"/>
          <w:sz w:val="15"/>
          <w:szCs w:val="15"/>
          <w:b w:val="1"/>
          <w:bCs w:val="1"/>
          <w:color w:val="26262D"/>
        </w:rPr>
        <w:t xml:space="preserve"> </w:t>
      </w:r>
      <w:r>
        <w:rPr>
          <w:rFonts w:ascii="Arial" w:cs="Arial" w:eastAsia="Arial" w:hAnsi="Arial"/>
          <w:sz w:val="15"/>
          <w:szCs w:val="15"/>
          <w:color w:val="4F4F56"/>
        </w:rPr>
        <w:t>to</w:t>
      </w:r>
      <w:r>
        <w:rPr>
          <w:rFonts w:ascii="Arial" w:cs="Arial" w:eastAsia="Arial" w:hAnsi="Arial"/>
          <w:sz w:val="15"/>
          <w:szCs w:val="15"/>
          <w:b w:val="1"/>
          <w:bCs w:val="1"/>
          <w:color w:val="26262D"/>
        </w:rPr>
        <w:t xml:space="preserve"> </w:t>
      </w:r>
      <w:r>
        <w:rPr>
          <w:rFonts w:ascii="Arial" w:cs="Arial" w:eastAsia="Arial" w:hAnsi="Arial"/>
          <w:sz w:val="15"/>
          <w:szCs w:val="15"/>
          <w:color w:val="26262D"/>
        </w:rPr>
        <w:t>m</w:t>
      </w:r>
      <w:r>
        <w:rPr>
          <w:rFonts w:ascii="Arial" w:cs="Arial" w:eastAsia="Arial" w:hAnsi="Arial"/>
          <w:sz w:val="15"/>
          <w:szCs w:val="15"/>
          <w:color w:val="4F4F56"/>
        </w:rPr>
        <w:t>ake</w:t>
      </w:r>
      <w:r>
        <w:rPr>
          <w:rFonts w:ascii="Arial" w:cs="Arial" w:eastAsia="Arial" w:hAnsi="Arial"/>
          <w:sz w:val="15"/>
          <w:szCs w:val="15"/>
          <w:b w:val="1"/>
          <w:bCs w:val="1"/>
          <w:color w:val="26262D"/>
        </w:rPr>
        <w:t xml:space="preserve"> </w:t>
      </w:r>
      <w:r>
        <w:rPr>
          <w:rFonts w:ascii="Arial" w:cs="Arial" w:eastAsia="Arial" w:hAnsi="Arial"/>
          <w:sz w:val="15"/>
          <w:szCs w:val="15"/>
          <w:color w:val="26262D"/>
        </w:rPr>
        <w:t>pr</w:t>
      </w:r>
      <w:r>
        <w:rPr>
          <w:rFonts w:ascii="Arial" w:cs="Arial" w:eastAsia="Arial" w:hAnsi="Arial"/>
          <w:sz w:val="15"/>
          <w:szCs w:val="15"/>
          <w:color w:val="4F4F56"/>
        </w:rPr>
        <w:t>e-tax</w:t>
      </w:r>
      <w:r>
        <w:rPr>
          <w:rFonts w:ascii="Arial" w:cs="Arial" w:eastAsia="Arial" w:hAnsi="Arial"/>
          <w:sz w:val="15"/>
          <w:szCs w:val="15"/>
          <w:color w:val="26262D"/>
        </w:rPr>
        <w:t xml:space="preserve"> deferrals </w:t>
      </w:r>
      <w:r>
        <w:rPr>
          <w:rFonts w:ascii="Arial" w:cs="Arial" w:eastAsia="Arial" w:hAnsi="Arial"/>
          <w:sz w:val="15"/>
          <w:szCs w:val="15"/>
          <w:color w:val="383A42"/>
        </w:rPr>
        <w:t>of</w:t>
      </w:r>
      <w:r>
        <w:rPr>
          <w:rFonts w:ascii="Arial" w:cs="Arial" w:eastAsia="Arial" w:hAnsi="Arial"/>
          <w:sz w:val="15"/>
          <w:szCs w:val="15"/>
          <w:color w:val="26262D"/>
        </w:rPr>
        <w:t xml:space="preserve"> up to 80% of your base </w:t>
      </w:r>
      <w:r>
        <w:rPr>
          <w:rFonts w:ascii="Arial" w:cs="Arial" w:eastAsia="Arial" w:hAnsi="Arial"/>
          <w:sz w:val="15"/>
          <w:szCs w:val="15"/>
          <w:color w:val="383A42"/>
        </w:rPr>
        <w:t>sa</w:t>
      </w:r>
      <w:r>
        <w:rPr>
          <w:rFonts w:ascii="Arial" w:cs="Arial" w:eastAsia="Arial" w:hAnsi="Arial"/>
          <w:sz w:val="15"/>
          <w:szCs w:val="15"/>
          <w:color w:val="67676D"/>
        </w:rPr>
        <w:t>l</w:t>
      </w:r>
      <w:r>
        <w:rPr>
          <w:rFonts w:ascii="Arial" w:cs="Arial" w:eastAsia="Arial" w:hAnsi="Arial"/>
          <w:sz w:val="15"/>
          <w:szCs w:val="15"/>
          <w:color w:val="26262D"/>
        </w:rPr>
        <w:t xml:space="preserve">ary </w:t>
      </w:r>
      <w:r>
        <w:rPr>
          <w:rFonts w:ascii="Arial" w:cs="Arial" w:eastAsia="Arial" w:hAnsi="Arial"/>
          <w:sz w:val="15"/>
          <w:szCs w:val="15"/>
          <w:color w:val="383A42"/>
        </w:rPr>
        <w:t>and</w:t>
      </w:r>
      <w:r>
        <w:rPr>
          <w:rFonts w:ascii="Arial" w:cs="Arial" w:eastAsia="Arial" w:hAnsi="Arial"/>
          <w:sz w:val="15"/>
          <w:szCs w:val="15"/>
          <w:color w:val="26262D"/>
        </w:rPr>
        <w:t xml:space="preserve"> up </w:t>
      </w:r>
      <w:r>
        <w:rPr>
          <w:rFonts w:ascii="Arial" w:cs="Arial" w:eastAsia="Arial" w:hAnsi="Arial"/>
          <w:sz w:val="15"/>
          <w:szCs w:val="15"/>
          <w:color w:val="383A42"/>
        </w:rPr>
        <w:t>to 1</w:t>
      </w:r>
      <w:r>
        <w:rPr>
          <w:rFonts w:ascii="Arial" w:cs="Arial" w:eastAsia="Arial" w:hAnsi="Arial"/>
          <w:sz w:val="15"/>
          <w:szCs w:val="15"/>
          <w:color w:val="26262D"/>
        </w:rPr>
        <w:t>00</w:t>
      </w:r>
      <w:r>
        <w:rPr>
          <w:rFonts w:ascii="Arial" w:cs="Arial" w:eastAsia="Arial" w:hAnsi="Arial"/>
          <w:sz w:val="15"/>
          <w:szCs w:val="15"/>
          <w:color w:val="67676D"/>
        </w:rPr>
        <w:t>%</w:t>
      </w:r>
      <w:r>
        <w:rPr>
          <w:rFonts w:ascii="Arial" w:cs="Arial" w:eastAsia="Arial" w:hAnsi="Arial"/>
          <w:sz w:val="15"/>
          <w:szCs w:val="15"/>
          <w:color w:val="26262D"/>
        </w:rPr>
        <w:t xml:space="preserve"> </w:t>
      </w:r>
      <w:r>
        <w:rPr>
          <w:rFonts w:ascii="Arial" w:cs="Arial" w:eastAsia="Arial" w:hAnsi="Arial"/>
          <w:sz w:val="15"/>
          <w:szCs w:val="15"/>
          <w:color w:val="383A42"/>
        </w:rPr>
        <w:t>of your Annual Bonus</w:t>
      </w:r>
      <w:r>
        <w:rPr>
          <w:rFonts w:ascii="Arial" w:cs="Arial" w:eastAsia="Arial" w:hAnsi="Arial"/>
          <w:sz w:val="15"/>
          <w:szCs w:val="15"/>
          <w:color w:val="26262D"/>
        </w:rPr>
        <w:t xml:space="preserve"> paym</w:t>
      </w:r>
      <w:r>
        <w:rPr>
          <w:rFonts w:ascii="Arial" w:cs="Arial" w:eastAsia="Arial" w:hAnsi="Arial"/>
          <w:sz w:val="15"/>
          <w:szCs w:val="15"/>
          <w:color w:val="4F4F56"/>
        </w:rPr>
        <w:t>en</w:t>
      </w:r>
      <w:r>
        <w:rPr>
          <w:rFonts w:ascii="Arial" w:cs="Arial" w:eastAsia="Arial" w:hAnsi="Arial"/>
          <w:sz w:val="15"/>
          <w:szCs w:val="15"/>
          <w:color w:val="26262D"/>
        </w:rPr>
        <w:t xml:space="preserve">t and </w:t>
      </w:r>
      <w:r>
        <w:rPr>
          <w:rFonts w:ascii="Arial" w:cs="Arial" w:eastAsia="Arial" w:hAnsi="Arial"/>
          <w:sz w:val="15"/>
          <w:szCs w:val="15"/>
          <w:color w:val="383A42"/>
        </w:rPr>
        <w:t>certain other eligible</w:t>
      </w:r>
      <w:r>
        <w:rPr>
          <w:rFonts w:ascii="Arial" w:cs="Arial" w:eastAsia="Arial" w:hAnsi="Arial"/>
          <w:sz w:val="15"/>
          <w:szCs w:val="15"/>
          <w:color w:val="26262D"/>
        </w:rPr>
        <w:t xml:space="preserve"> incentive payments</w:t>
      </w:r>
      <w:r>
        <w:rPr>
          <w:rFonts w:ascii="Arial" w:cs="Arial" w:eastAsia="Arial" w:hAnsi="Arial"/>
          <w:sz w:val="15"/>
          <w:szCs w:val="15"/>
          <w:color w:val="67676D"/>
        </w:rPr>
        <w:t>.</w:t>
      </w:r>
      <w:r>
        <w:rPr>
          <w:rFonts w:ascii="Arial" w:cs="Arial" w:eastAsia="Arial" w:hAnsi="Arial"/>
          <w:sz w:val="15"/>
          <w:szCs w:val="15"/>
          <w:color w:val="26262D"/>
        </w:rPr>
        <w:t xml:space="preserve"> </w:t>
      </w:r>
      <w:r>
        <w:rPr>
          <w:rFonts w:ascii="Arial" w:cs="Arial" w:eastAsia="Arial" w:hAnsi="Arial"/>
          <w:sz w:val="15"/>
          <w:szCs w:val="15"/>
          <w:color w:val="383A42"/>
        </w:rPr>
        <w:t>Your contr</w:t>
      </w:r>
      <w:r>
        <w:rPr>
          <w:rFonts w:ascii="Arial" w:cs="Arial" w:eastAsia="Arial" w:hAnsi="Arial"/>
          <w:sz w:val="15"/>
          <w:szCs w:val="15"/>
          <w:color w:val="67676D"/>
        </w:rPr>
        <w:t>i</w:t>
      </w:r>
      <w:r>
        <w:rPr>
          <w:rFonts w:ascii="Arial" w:cs="Arial" w:eastAsia="Arial" w:hAnsi="Arial"/>
          <w:sz w:val="15"/>
          <w:szCs w:val="15"/>
          <w:color w:val="26262D"/>
        </w:rPr>
        <w:t xml:space="preserve">butions to </w:t>
      </w:r>
      <w:r>
        <w:rPr>
          <w:rFonts w:ascii="Arial" w:cs="Arial" w:eastAsia="Arial" w:hAnsi="Arial"/>
          <w:sz w:val="15"/>
          <w:szCs w:val="15"/>
          <w:color w:val="383A42"/>
        </w:rPr>
        <w:t>this plan m</w:t>
      </w:r>
      <w:r>
        <w:rPr>
          <w:rFonts w:ascii="Arial" w:cs="Arial" w:eastAsia="Arial" w:hAnsi="Arial"/>
          <w:sz w:val="15"/>
          <w:szCs w:val="15"/>
          <w:color w:val="67676D"/>
        </w:rPr>
        <w:t>a</w:t>
      </w:r>
      <w:r>
        <w:rPr>
          <w:rFonts w:ascii="Arial" w:cs="Arial" w:eastAsia="Arial" w:hAnsi="Arial"/>
          <w:sz w:val="15"/>
          <w:szCs w:val="15"/>
          <w:color w:val="383A42"/>
        </w:rPr>
        <w:t>y</w:t>
      </w:r>
      <w:r>
        <w:rPr>
          <w:rFonts w:ascii="Arial" w:cs="Arial" w:eastAsia="Arial" w:hAnsi="Arial"/>
          <w:sz w:val="15"/>
          <w:szCs w:val="15"/>
          <w:color w:val="26262D"/>
        </w:rPr>
        <w:t xml:space="preserve"> be l</w:t>
      </w:r>
      <w:r>
        <w:rPr>
          <w:rFonts w:ascii="Arial" w:cs="Arial" w:eastAsia="Arial" w:hAnsi="Arial"/>
          <w:sz w:val="15"/>
          <w:szCs w:val="15"/>
          <w:color w:val="67676D"/>
        </w:rPr>
        <w:t>i</w:t>
      </w:r>
      <w:r>
        <w:rPr>
          <w:rFonts w:ascii="Arial" w:cs="Arial" w:eastAsia="Arial" w:hAnsi="Arial"/>
          <w:sz w:val="15"/>
          <w:szCs w:val="15"/>
          <w:color w:val="26262D"/>
        </w:rPr>
        <w:t>mit</w:t>
      </w:r>
      <w:r>
        <w:rPr>
          <w:rFonts w:ascii="Arial" w:cs="Arial" w:eastAsia="Arial" w:hAnsi="Arial"/>
          <w:sz w:val="15"/>
          <w:szCs w:val="15"/>
          <w:color w:val="4F4F56"/>
        </w:rPr>
        <w:t>ed</w:t>
      </w:r>
      <w:r>
        <w:rPr>
          <w:rFonts w:ascii="Arial" w:cs="Arial" w:eastAsia="Arial" w:hAnsi="Arial"/>
          <w:sz w:val="15"/>
          <w:szCs w:val="15"/>
          <w:color w:val="26262D"/>
        </w:rPr>
        <w:t xml:space="preserve"> </w:t>
      </w:r>
      <w:r>
        <w:rPr>
          <w:rFonts w:ascii="Arial" w:cs="Arial" w:eastAsia="Arial" w:hAnsi="Arial"/>
          <w:sz w:val="15"/>
          <w:szCs w:val="15"/>
          <w:color w:val="383A42"/>
        </w:rPr>
        <w:t>by your</w:t>
      </w:r>
      <w:r>
        <w:rPr>
          <w:rFonts w:ascii="Arial" w:cs="Arial" w:eastAsia="Arial" w:hAnsi="Arial"/>
          <w:sz w:val="15"/>
          <w:szCs w:val="15"/>
          <w:color w:val="26262D"/>
        </w:rPr>
        <w:t xml:space="preserve"> </w:t>
      </w:r>
      <w:r>
        <w:rPr>
          <w:rFonts w:ascii="Arial" w:cs="Arial" w:eastAsia="Arial" w:hAnsi="Arial"/>
          <w:sz w:val="15"/>
          <w:szCs w:val="15"/>
          <w:color w:val="4F4F56"/>
        </w:rPr>
        <w:t>co</w:t>
      </w:r>
      <w:r>
        <w:rPr>
          <w:rFonts w:ascii="Arial" w:cs="Arial" w:eastAsia="Arial" w:hAnsi="Arial"/>
          <w:sz w:val="15"/>
          <w:szCs w:val="15"/>
          <w:color w:val="26262D"/>
        </w:rPr>
        <w:t>ntribut</w:t>
      </w:r>
      <w:r>
        <w:rPr>
          <w:rFonts w:ascii="Arial" w:cs="Arial" w:eastAsia="Arial" w:hAnsi="Arial"/>
          <w:sz w:val="15"/>
          <w:szCs w:val="15"/>
          <w:color w:val="4F4F56"/>
        </w:rPr>
        <w:t>io</w:t>
      </w:r>
      <w:r>
        <w:rPr>
          <w:rFonts w:ascii="Arial" w:cs="Arial" w:eastAsia="Arial" w:hAnsi="Arial"/>
          <w:sz w:val="15"/>
          <w:szCs w:val="15"/>
          <w:color w:val="26262D"/>
        </w:rPr>
        <w:t xml:space="preserve">ns towards other plans </w:t>
      </w:r>
      <w:r>
        <w:rPr>
          <w:rFonts w:ascii="Arial" w:cs="Arial" w:eastAsia="Arial" w:hAnsi="Arial"/>
          <w:sz w:val="15"/>
          <w:szCs w:val="15"/>
          <w:color w:val="383A42"/>
        </w:rPr>
        <w:t>(e</w:t>
      </w:r>
      <w:r>
        <w:rPr>
          <w:rFonts w:ascii="Arial" w:cs="Arial" w:eastAsia="Arial" w:hAnsi="Arial"/>
          <w:sz w:val="15"/>
          <w:szCs w:val="15"/>
          <w:color w:val="67676D"/>
        </w:rPr>
        <w:t>.</w:t>
      </w:r>
      <w:r>
        <w:rPr>
          <w:rFonts w:ascii="Arial" w:cs="Arial" w:eastAsia="Arial" w:hAnsi="Arial"/>
          <w:sz w:val="15"/>
          <w:szCs w:val="15"/>
          <w:color w:val="383A42"/>
        </w:rPr>
        <w:t>g</w:t>
      </w:r>
      <w:r>
        <w:rPr>
          <w:rFonts w:ascii="Arial" w:cs="Arial" w:eastAsia="Arial" w:hAnsi="Arial"/>
          <w:sz w:val="15"/>
          <w:szCs w:val="15"/>
          <w:color w:val="67676D"/>
        </w:rPr>
        <w:t>.,</w:t>
      </w:r>
      <w:r>
        <w:rPr>
          <w:rFonts w:ascii="Arial" w:cs="Arial" w:eastAsia="Arial" w:hAnsi="Arial"/>
          <w:sz w:val="15"/>
          <w:szCs w:val="15"/>
          <w:color w:val="26262D"/>
        </w:rPr>
        <w:t xml:space="preserve"> </w:t>
      </w:r>
      <w:r>
        <w:rPr>
          <w:rFonts w:ascii="Arial" w:cs="Arial" w:eastAsia="Arial" w:hAnsi="Arial"/>
          <w:sz w:val="15"/>
          <w:szCs w:val="15"/>
          <w:color w:val="383A42"/>
        </w:rPr>
        <w:t>401(k)</w:t>
      </w:r>
      <w:r>
        <w:rPr>
          <w:rFonts w:ascii="Arial" w:cs="Arial" w:eastAsia="Arial" w:hAnsi="Arial"/>
          <w:sz w:val="15"/>
          <w:szCs w:val="15"/>
          <w:color w:val="67676D"/>
        </w:rPr>
        <w:t>,</w:t>
      </w:r>
      <w:r>
        <w:rPr>
          <w:rFonts w:ascii="Arial" w:cs="Arial" w:eastAsia="Arial" w:hAnsi="Arial"/>
          <w:sz w:val="15"/>
          <w:szCs w:val="15"/>
          <w:color w:val="26262D"/>
        </w:rPr>
        <w:t xml:space="preserve"> ESPP</w:t>
      </w:r>
      <w:r>
        <w:rPr>
          <w:rFonts w:ascii="Arial" w:cs="Arial" w:eastAsia="Arial" w:hAnsi="Arial"/>
          <w:sz w:val="15"/>
          <w:szCs w:val="15"/>
          <w:color w:val="4F4F56"/>
        </w:rPr>
        <w:t>,</w:t>
      </w:r>
      <w:r>
        <w:rPr>
          <w:rFonts w:ascii="Arial" w:cs="Arial" w:eastAsia="Arial" w:hAnsi="Arial"/>
          <w:sz w:val="15"/>
          <w:szCs w:val="15"/>
          <w:color w:val="26262D"/>
        </w:rPr>
        <w:t xml:space="preserve"> medical, </w:t>
      </w:r>
      <w:r>
        <w:rPr>
          <w:rFonts w:ascii="Arial" w:cs="Arial" w:eastAsia="Arial" w:hAnsi="Arial"/>
          <w:sz w:val="15"/>
          <w:szCs w:val="15"/>
          <w:color w:val="383A42"/>
        </w:rPr>
        <w:t>etc</w:t>
      </w:r>
      <w:r>
        <w:rPr>
          <w:rFonts w:ascii="Arial" w:cs="Arial" w:eastAsia="Arial" w:hAnsi="Arial"/>
          <w:sz w:val="15"/>
          <w:szCs w:val="15"/>
          <w:color w:val="67676D"/>
        </w:rPr>
        <w:t>.</w:t>
      </w:r>
      <w:r>
        <w:rPr>
          <w:rFonts w:ascii="Arial" w:cs="Arial" w:eastAsia="Arial" w:hAnsi="Arial"/>
          <w:sz w:val="15"/>
          <w:szCs w:val="15"/>
          <w:color w:val="383A42"/>
        </w:rPr>
        <w:t>) You</w:t>
      </w:r>
      <w:r>
        <w:rPr>
          <w:rFonts w:ascii="Arial" w:cs="Arial" w:eastAsia="Arial" w:hAnsi="Arial"/>
          <w:sz w:val="15"/>
          <w:szCs w:val="15"/>
          <w:color w:val="26262D"/>
        </w:rPr>
        <w:t xml:space="preserve"> </w:t>
      </w:r>
      <w:r>
        <w:rPr>
          <w:rFonts w:ascii="Arial" w:cs="Arial" w:eastAsia="Arial" w:hAnsi="Arial"/>
          <w:sz w:val="15"/>
          <w:szCs w:val="15"/>
          <w:color w:val="4F4F56"/>
        </w:rPr>
        <w:t>w</w:t>
      </w:r>
      <w:r>
        <w:rPr>
          <w:rFonts w:ascii="Arial" w:cs="Arial" w:eastAsia="Arial" w:hAnsi="Arial"/>
          <w:sz w:val="15"/>
          <w:szCs w:val="15"/>
          <w:color w:val="26262D"/>
        </w:rPr>
        <w:t xml:space="preserve">ill </w:t>
      </w:r>
      <w:r>
        <w:rPr>
          <w:rFonts w:ascii="Arial" w:cs="Arial" w:eastAsia="Arial" w:hAnsi="Arial"/>
          <w:sz w:val="15"/>
          <w:szCs w:val="15"/>
          <w:color w:val="383A42"/>
        </w:rPr>
        <w:t xml:space="preserve">be </w:t>
      </w:r>
      <w:r>
        <w:rPr>
          <w:rFonts w:ascii="Arial" w:cs="Arial" w:eastAsia="Arial" w:hAnsi="Arial"/>
          <w:sz w:val="15"/>
          <w:szCs w:val="15"/>
          <w:color w:val="26262D"/>
        </w:rPr>
        <w:t>provided</w:t>
      </w:r>
      <w:r>
        <w:rPr>
          <w:rFonts w:ascii="Arial" w:cs="Arial" w:eastAsia="Arial" w:hAnsi="Arial"/>
          <w:sz w:val="15"/>
          <w:szCs w:val="15"/>
          <w:color w:val="383A42"/>
        </w:rPr>
        <w:t xml:space="preserve"> with SSP </w:t>
      </w:r>
      <w:r>
        <w:rPr>
          <w:rFonts w:ascii="Arial" w:cs="Arial" w:eastAsia="Arial" w:hAnsi="Arial"/>
          <w:sz w:val="15"/>
          <w:szCs w:val="15"/>
          <w:color w:val="26262D"/>
        </w:rPr>
        <w:t>enrollment</w:t>
      </w:r>
      <w:r>
        <w:rPr>
          <w:rFonts w:ascii="Arial" w:cs="Arial" w:eastAsia="Arial" w:hAnsi="Arial"/>
          <w:sz w:val="15"/>
          <w:szCs w:val="15"/>
          <w:color w:val="383A42"/>
        </w:rPr>
        <w:t xml:space="preserve"> </w:t>
      </w:r>
      <w:r>
        <w:rPr>
          <w:rFonts w:ascii="Arial" w:cs="Arial" w:eastAsia="Arial" w:hAnsi="Arial"/>
          <w:sz w:val="15"/>
          <w:szCs w:val="15"/>
          <w:color w:val="67676D"/>
        </w:rPr>
        <w:t>i</w:t>
      </w:r>
      <w:r>
        <w:rPr>
          <w:rFonts w:ascii="Arial" w:cs="Arial" w:eastAsia="Arial" w:hAnsi="Arial"/>
          <w:sz w:val="15"/>
          <w:szCs w:val="15"/>
          <w:color w:val="26262D"/>
        </w:rPr>
        <w:t>nformation upon your</w:t>
      </w:r>
      <w:r>
        <w:rPr>
          <w:rFonts w:ascii="Arial" w:cs="Arial" w:eastAsia="Arial" w:hAnsi="Arial"/>
          <w:sz w:val="15"/>
          <w:szCs w:val="15"/>
          <w:color w:val="383A42"/>
        </w:rPr>
        <w:t xml:space="preserve"> employment </w:t>
      </w:r>
      <w:r>
        <w:rPr>
          <w:rFonts w:ascii="Arial" w:cs="Arial" w:eastAsia="Arial" w:hAnsi="Arial"/>
          <w:sz w:val="15"/>
          <w:szCs w:val="15"/>
          <w:color w:val="26262D"/>
        </w:rPr>
        <w:t>with</w:t>
      </w:r>
      <w:r>
        <w:rPr>
          <w:rFonts w:ascii="Arial" w:cs="Arial" w:eastAsia="Arial" w:hAnsi="Arial"/>
          <w:sz w:val="15"/>
          <w:szCs w:val="15"/>
          <w:color w:val="383A42"/>
        </w:rPr>
        <w:t xml:space="preserve"> the Company.</w:t>
      </w:r>
    </w:p>
    <w:p>
      <w:pPr>
        <w:spacing w:after="0" w:line="192" w:lineRule="exact"/>
        <w:rPr>
          <w:sz w:val="20"/>
          <w:szCs w:val="20"/>
          <w:color w:val="auto"/>
        </w:rPr>
      </w:pPr>
    </w:p>
    <w:p>
      <w:pPr>
        <w:ind w:left="500" w:right="200"/>
        <w:spacing w:after="0" w:line="263" w:lineRule="auto"/>
        <w:rPr>
          <w:sz w:val="20"/>
          <w:szCs w:val="20"/>
          <w:color w:val="auto"/>
        </w:rPr>
      </w:pPr>
      <w:r>
        <w:rPr>
          <w:rFonts w:ascii="Arial" w:cs="Arial" w:eastAsia="Arial" w:hAnsi="Arial"/>
          <w:sz w:val="15"/>
          <w:szCs w:val="15"/>
          <w:b w:val="1"/>
          <w:bCs w:val="1"/>
          <w:color w:val="26262D"/>
        </w:rPr>
        <w:t>Life Insurance</w:t>
      </w:r>
      <w:r>
        <w:rPr>
          <w:rFonts w:ascii="Arial" w:cs="Arial" w:eastAsia="Arial" w:hAnsi="Arial"/>
          <w:sz w:val="15"/>
          <w:szCs w:val="15"/>
          <w:b w:val="1"/>
          <w:bCs w:val="1"/>
          <w:color w:val="4F4F56"/>
        </w:rPr>
        <w:t>:</w:t>
      </w:r>
      <w:r>
        <w:rPr>
          <w:rFonts w:ascii="Arial" w:cs="Arial" w:eastAsia="Arial" w:hAnsi="Arial"/>
          <w:sz w:val="15"/>
          <w:szCs w:val="15"/>
          <w:b w:val="1"/>
          <w:bCs w:val="1"/>
          <w:color w:val="26262D"/>
        </w:rPr>
        <w:t xml:space="preserve"> </w:t>
      </w:r>
      <w:r>
        <w:rPr>
          <w:rFonts w:ascii="Arial" w:cs="Arial" w:eastAsia="Arial" w:hAnsi="Arial"/>
          <w:sz w:val="15"/>
          <w:szCs w:val="15"/>
          <w:color w:val="383A42"/>
        </w:rPr>
        <w:t>You will be</w:t>
      </w:r>
      <w:r>
        <w:rPr>
          <w:rFonts w:ascii="Arial" w:cs="Arial" w:eastAsia="Arial" w:hAnsi="Arial"/>
          <w:sz w:val="15"/>
          <w:szCs w:val="15"/>
          <w:b w:val="1"/>
          <w:bCs w:val="1"/>
          <w:color w:val="26262D"/>
        </w:rPr>
        <w:t xml:space="preserve"> </w:t>
      </w:r>
      <w:r>
        <w:rPr>
          <w:rFonts w:ascii="Arial" w:cs="Arial" w:eastAsia="Arial" w:hAnsi="Arial"/>
          <w:sz w:val="15"/>
          <w:szCs w:val="15"/>
          <w:color w:val="26262D"/>
        </w:rPr>
        <w:t>provided l</w:t>
      </w:r>
      <w:r>
        <w:rPr>
          <w:rFonts w:ascii="Arial" w:cs="Arial" w:eastAsia="Arial" w:hAnsi="Arial"/>
          <w:sz w:val="15"/>
          <w:szCs w:val="15"/>
          <w:color w:val="4F4F56"/>
        </w:rPr>
        <w:t>ife</w:t>
      </w:r>
      <w:r>
        <w:rPr>
          <w:rFonts w:ascii="Arial" w:cs="Arial" w:eastAsia="Arial" w:hAnsi="Arial"/>
          <w:sz w:val="15"/>
          <w:szCs w:val="15"/>
          <w:b w:val="1"/>
          <w:bCs w:val="1"/>
          <w:color w:val="26262D"/>
        </w:rPr>
        <w:t xml:space="preserve"> </w:t>
      </w:r>
      <w:r>
        <w:rPr>
          <w:rFonts w:ascii="Arial" w:cs="Arial" w:eastAsia="Arial" w:hAnsi="Arial"/>
          <w:sz w:val="15"/>
          <w:szCs w:val="15"/>
          <w:color w:val="26262D"/>
        </w:rPr>
        <w:t>insurance</w:t>
      </w:r>
      <w:r>
        <w:rPr>
          <w:rFonts w:ascii="Arial" w:cs="Arial" w:eastAsia="Arial" w:hAnsi="Arial"/>
          <w:sz w:val="15"/>
          <w:szCs w:val="15"/>
          <w:b w:val="1"/>
          <w:bCs w:val="1"/>
          <w:color w:val="26262D"/>
        </w:rPr>
        <w:t xml:space="preserve"> </w:t>
      </w:r>
      <w:r>
        <w:rPr>
          <w:rFonts w:ascii="Arial" w:cs="Arial" w:eastAsia="Arial" w:hAnsi="Arial"/>
          <w:sz w:val="15"/>
          <w:szCs w:val="15"/>
          <w:color w:val="383A42"/>
        </w:rPr>
        <w:t>coverage equal to</w:t>
      </w:r>
      <w:r>
        <w:rPr>
          <w:rFonts w:ascii="Arial" w:cs="Arial" w:eastAsia="Arial" w:hAnsi="Arial"/>
          <w:sz w:val="15"/>
          <w:szCs w:val="15"/>
          <w:b w:val="1"/>
          <w:bCs w:val="1"/>
          <w:color w:val="26262D"/>
        </w:rPr>
        <w:t xml:space="preserve"> </w:t>
      </w:r>
      <w:r>
        <w:rPr>
          <w:rFonts w:ascii="Arial" w:cs="Arial" w:eastAsia="Arial" w:hAnsi="Arial"/>
          <w:sz w:val="15"/>
          <w:szCs w:val="15"/>
          <w:color w:val="26262D"/>
        </w:rPr>
        <w:t>three times</w:t>
      </w:r>
      <w:r>
        <w:rPr>
          <w:rFonts w:ascii="Arial" w:cs="Arial" w:eastAsia="Arial" w:hAnsi="Arial"/>
          <w:sz w:val="15"/>
          <w:szCs w:val="15"/>
          <w:b w:val="1"/>
          <w:bCs w:val="1"/>
          <w:color w:val="26262D"/>
        </w:rPr>
        <w:t xml:space="preserve"> </w:t>
      </w:r>
      <w:r>
        <w:rPr>
          <w:rFonts w:ascii="Arial" w:cs="Arial" w:eastAsia="Arial" w:hAnsi="Arial"/>
          <w:sz w:val="15"/>
          <w:szCs w:val="15"/>
          <w:color w:val="383A42"/>
        </w:rPr>
        <w:t>your annual base salary</w:t>
      </w:r>
      <w:r>
        <w:rPr>
          <w:rFonts w:ascii="Arial" w:cs="Arial" w:eastAsia="Arial" w:hAnsi="Arial"/>
          <w:sz w:val="15"/>
          <w:szCs w:val="15"/>
          <w:color w:val="67676D"/>
        </w:rPr>
        <w:t>,</w:t>
      </w:r>
      <w:r>
        <w:rPr>
          <w:rFonts w:ascii="Arial" w:cs="Arial" w:eastAsia="Arial" w:hAnsi="Arial"/>
          <w:sz w:val="15"/>
          <w:szCs w:val="15"/>
          <w:b w:val="1"/>
          <w:bCs w:val="1"/>
          <w:color w:val="26262D"/>
        </w:rPr>
        <w:t xml:space="preserve"> </w:t>
      </w:r>
      <w:r>
        <w:rPr>
          <w:rFonts w:ascii="Arial" w:cs="Arial" w:eastAsia="Arial" w:hAnsi="Arial"/>
          <w:sz w:val="15"/>
          <w:szCs w:val="15"/>
          <w:color w:val="383A42"/>
        </w:rPr>
        <w:t>subject</w:t>
      </w:r>
      <w:r>
        <w:rPr>
          <w:rFonts w:ascii="Arial" w:cs="Arial" w:eastAsia="Arial" w:hAnsi="Arial"/>
          <w:sz w:val="15"/>
          <w:szCs w:val="15"/>
          <w:b w:val="1"/>
          <w:bCs w:val="1"/>
          <w:color w:val="26262D"/>
        </w:rPr>
        <w:t xml:space="preserve"> </w:t>
      </w:r>
      <w:r>
        <w:rPr>
          <w:rFonts w:ascii="Arial" w:cs="Arial" w:eastAsia="Arial" w:hAnsi="Arial"/>
          <w:sz w:val="15"/>
          <w:szCs w:val="15"/>
          <w:color w:val="26262D"/>
        </w:rPr>
        <w:t>to</w:t>
      </w:r>
      <w:r>
        <w:rPr>
          <w:rFonts w:ascii="Arial" w:cs="Arial" w:eastAsia="Arial" w:hAnsi="Arial"/>
          <w:sz w:val="15"/>
          <w:szCs w:val="15"/>
          <w:b w:val="1"/>
          <w:bCs w:val="1"/>
          <w:color w:val="26262D"/>
        </w:rPr>
        <w:t xml:space="preserve"> </w:t>
      </w:r>
      <w:r>
        <w:rPr>
          <w:rFonts w:ascii="Arial" w:cs="Arial" w:eastAsia="Arial" w:hAnsi="Arial"/>
          <w:sz w:val="15"/>
          <w:szCs w:val="15"/>
          <w:color w:val="383A42"/>
        </w:rPr>
        <w:t>meetin</w:t>
      </w:r>
      <w:r>
        <w:rPr>
          <w:rFonts w:ascii="Arial" w:cs="Arial" w:eastAsia="Arial" w:hAnsi="Arial"/>
          <w:sz w:val="15"/>
          <w:szCs w:val="15"/>
          <w:color w:val="67676D"/>
        </w:rPr>
        <w:t>g</w:t>
      </w:r>
      <w:r>
        <w:rPr>
          <w:rFonts w:ascii="Arial" w:cs="Arial" w:eastAsia="Arial" w:hAnsi="Arial"/>
          <w:sz w:val="15"/>
          <w:szCs w:val="15"/>
          <w:b w:val="1"/>
          <w:bCs w:val="1"/>
          <w:color w:val="26262D"/>
        </w:rPr>
        <w:t xml:space="preserve"> </w:t>
      </w:r>
      <w:r>
        <w:rPr>
          <w:rFonts w:ascii="Arial" w:cs="Arial" w:eastAsia="Arial" w:hAnsi="Arial"/>
          <w:sz w:val="15"/>
          <w:szCs w:val="15"/>
          <w:color w:val="26262D"/>
        </w:rPr>
        <w:t>the</w:t>
      </w:r>
      <w:r>
        <w:rPr>
          <w:rFonts w:ascii="Arial" w:cs="Arial" w:eastAsia="Arial" w:hAnsi="Arial"/>
          <w:sz w:val="15"/>
          <w:szCs w:val="15"/>
          <w:b w:val="1"/>
          <w:bCs w:val="1"/>
          <w:color w:val="26262D"/>
        </w:rPr>
        <w:t xml:space="preserve"> </w:t>
      </w:r>
      <w:r>
        <w:rPr>
          <w:rFonts w:ascii="Arial" w:cs="Arial" w:eastAsia="Arial" w:hAnsi="Arial"/>
          <w:sz w:val="15"/>
          <w:szCs w:val="15"/>
          <w:color w:val="4F4F56"/>
        </w:rPr>
        <w:t>medical</w:t>
      </w:r>
      <w:r>
        <w:rPr>
          <w:rFonts w:ascii="Arial" w:cs="Arial" w:eastAsia="Arial" w:hAnsi="Arial"/>
          <w:sz w:val="15"/>
          <w:szCs w:val="15"/>
          <w:b w:val="1"/>
          <w:bCs w:val="1"/>
          <w:color w:val="26262D"/>
        </w:rPr>
        <w:t xml:space="preserve"> </w:t>
      </w:r>
      <w:r>
        <w:rPr>
          <w:rFonts w:ascii="Arial" w:cs="Arial" w:eastAsia="Arial" w:hAnsi="Arial"/>
          <w:sz w:val="15"/>
          <w:szCs w:val="15"/>
          <w:color w:val="383A42"/>
        </w:rPr>
        <w:t xml:space="preserve">standards stated </w:t>
      </w:r>
      <w:r>
        <w:rPr>
          <w:rFonts w:ascii="Arial" w:cs="Arial" w:eastAsia="Arial" w:hAnsi="Arial"/>
          <w:sz w:val="15"/>
          <w:szCs w:val="15"/>
          <w:color w:val="26262D"/>
        </w:rPr>
        <w:t>in</w:t>
      </w:r>
      <w:r>
        <w:rPr>
          <w:rFonts w:ascii="Arial" w:cs="Arial" w:eastAsia="Arial" w:hAnsi="Arial"/>
          <w:sz w:val="15"/>
          <w:szCs w:val="15"/>
          <w:color w:val="383A42"/>
        </w:rPr>
        <w:t xml:space="preserve"> the group </w:t>
      </w:r>
      <w:r>
        <w:rPr>
          <w:rFonts w:ascii="Arial" w:cs="Arial" w:eastAsia="Arial" w:hAnsi="Arial"/>
          <w:sz w:val="15"/>
          <w:szCs w:val="15"/>
          <w:color w:val="26262D"/>
        </w:rPr>
        <w:t>term life</w:t>
      </w:r>
      <w:r>
        <w:rPr>
          <w:rFonts w:ascii="Arial" w:cs="Arial" w:eastAsia="Arial" w:hAnsi="Arial"/>
          <w:sz w:val="15"/>
          <w:szCs w:val="15"/>
          <w:color w:val="383A42"/>
        </w:rPr>
        <w:t xml:space="preserve"> </w:t>
      </w:r>
      <w:r>
        <w:rPr>
          <w:rFonts w:ascii="Arial" w:cs="Arial" w:eastAsia="Arial" w:hAnsi="Arial"/>
          <w:sz w:val="15"/>
          <w:szCs w:val="15"/>
          <w:color w:val="4F4F56"/>
        </w:rPr>
        <w:t>i</w:t>
      </w:r>
      <w:r>
        <w:rPr>
          <w:rFonts w:ascii="Arial" w:cs="Arial" w:eastAsia="Arial" w:hAnsi="Arial"/>
          <w:sz w:val="15"/>
          <w:szCs w:val="15"/>
          <w:color w:val="26262D"/>
        </w:rPr>
        <w:t>nsurance</w:t>
      </w:r>
      <w:r>
        <w:rPr>
          <w:rFonts w:ascii="Arial" w:cs="Arial" w:eastAsia="Arial" w:hAnsi="Arial"/>
          <w:sz w:val="15"/>
          <w:szCs w:val="15"/>
          <w:color w:val="383A42"/>
        </w:rPr>
        <w:t xml:space="preserve"> policy </w:t>
      </w:r>
      <w:r>
        <w:rPr>
          <w:rFonts w:ascii="Arial" w:cs="Arial" w:eastAsia="Arial" w:hAnsi="Arial"/>
          <w:sz w:val="15"/>
          <w:szCs w:val="15"/>
          <w:color w:val="26262D"/>
        </w:rPr>
        <w:t>fo</w:t>
      </w:r>
      <w:r>
        <w:rPr>
          <w:rFonts w:ascii="Arial" w:cs="Arial" w:eastAsia="Arial" w:hAnsi="Arial"/>
          <w:sz w:val="15"/>
          <w:szCs w:val="15"/>
          <w:color w:val="67676D"/>
        </w:rPr>
        <w:t>r</w:t>
      </w:r>
      <w:r>
        <w:rPr>
          <w:rFonts w:ascii="Arial" w:cs="Arial" w:eastAsia="Arial" w:hAnsi="Arial"/>
          <w:sz w:val="15"/>
          <w:szCs w:val="15"/>
          <w:color w:val="383A42"/>
        </w:rPr>
        <w:t xml:space="preserve"> </w:t>
      </w:r>
      <w:r>
        <w:rPr>
          <w:rFonts w:ascii="Arial" w:cs="Arial" w:eastAsia="Arial" w:hAnsi="Arial"/>
          <w:sz w:val="15"/>
          <w:szCs w:val="15"/>
          <w:color w:val="26262D"/>
        </w:rPr>
        <w:t>U</w:t>
      </w:r>
      <w:r>
        <w:rPr>
          <w:rFonts w:ascii="Arial" w:cs="Arial" w:eastAsia="Arial" w:hAnsi="Arial"/>
          <w:sz w:val="15"/>
          <w:szCs w:val="15"/>
          <w:color w:val="67676D"/>
        </w:rPr>
        <w:t>.</w:t>
      </w:r>
      <w:r>
        <w:rPr>
          <w:rFonts w:ascii="Arial" w:cs="Arial" w:eastAsia="Arial" w:hAnsi="Arial"/>
          <w:sz w:val="15"/>
          <w:szCs w:val="15"/>
          <w:color w:val="383A42"/>
        </w:rPr>
        <w:t>S</w:t>
      </w:r>
      <w:r>
        <w:rPr>
          <w:rFonts w:ascii="Arial" w:cs="Arial" w:eastAsia="Arial" w:hAnsi="Arial"/>
          <w:sz w:val="15"/>
          <w:szCs w:val="15"/>
          <w:color w:val="67676D"/>
        </w:rPr>
        <w:t>.</w:t>
      </w:r>
      <w:r>
        <w:rPr>
          <w:rFonts w:ascii="Arial" w:cs="Arial" w:eastAsia="Arial" w:hAnsi="Arial"/>
          <w:sz w:val="15"/>
          <w:szCs w:val="15"/>
          <w:color w:val="383A42"/>
        </w:rPr>
        <w:t xml:space="preserve"> employees</w:t>
      </w:r>
      <w:r>
        <w:rPr>
          <w:rFonts w:ascii="Arial" w:cs="Arial" w:eastAsia="Arial" w:hAnsi="Arial"/>
          <w:sz w:val="15"/>
          <w:szCs w:val="15"/>
          <w:color w:val="67676D"/>
        </w:rPr>
        <w:t>.</w:t>
      </w:r>
      <w:r>
        <w:rPr>
          <w:rFonts w:ascii="Arial" w:cs="Arial" w:eastAsia="Arial" w:hAnsi="Arial"/>
          <w:sz w:val="15"/>
          <w:szCs w:val="15"/>
          <w:color w:val="383A42"/>
        </w:rPr>
        <w:t xml:space="preserve"> </w:t>
      </w:r>
      <w:r>
        <w:rPr>
          <w:rFonts w:ascii="Arial" w:cs="Arial" w:eastAsia="Arial" w:hAnsi="Arial"/>
          <w:sz w:val="15"/>
          <w:szCs w:val="15"/>
          <w:color w:val="4F4F56"/>
        </w:rPr>
        <w:t>Biogen</w:t>
      </w:r>
      <w:r>
        <w:rPr>
          <w:rFonts w:ascii="Arial" w:cs="Arial" w:eastAsia="Arial" w:hAnsi="Arial"/>
          <w:sz w:val="15"/>
          <w:szCs w:val="15"/>
          <w:color w:val="383A42"/>
        </w:rPr>
        <w:t xml:space="preserve"> pays the premium for this </w:t>
      </w:r>
      <w:r>
        <w:rPr>
          <w:rFonts w:ascii="Arial" w:cs="Arial" w:eastAsia="Arial" w:hAnsi="Arial"/>
          <w:sz w:val="15"/>
          <w:szCs w:val="15"/>
          <w:color w:val="26262D"/>
        </w:rPr>
        <w:t>insuran</w:t>
      </w:r>
      <w:r>
        <w:rPr>
          <w:rFonts w:ascii="Arial" w:cs="Arial" w:eastAsia="Arial" w:hAnsi="Arial"/>
          <w:sz w:val="15"/>
          <w:szCs w:val="15"/>
          <w:color w:val="4F4F56"/>
        </w:rPr>
        <w:t>ce.</w:t>
      </w:r>
      <w:r>
        <w:rPr>
          <w:rFonts w:ascii="Arial" w:cs="Arial" w:eastAsia="Arial" w:hAnsi="Arial"/>
          <w:sz w:val="15"/>
          <w:szCs w:val="15"/>
          <w:color w:val="383A42"/>
        </w:rPr>
        <w:t xml:space="preserve"> The </w:t>
      </w:r>
      <w:r>
        <w:rPr>
          <w:rFonts w:ascii="Arial" w:cs="Arial" w:eastAsia="Arial" w:hAnsi="Arial"/>
          <w:sz w:val="15"/>
          <w:szCs w:val="15"/>
          <w:color w:val="26262D"/>
        </w:rPr>
        <w:t>IRS requires</w:t>
      </w:r>
      <w:r>
        <w:rPr>
          <w:rFonts w:ascii="Arial" w:cs="Arial" w:eastAsia="Arial" w:hAnsi="Arial"/>
          <w:sz w:val="15"/>
          <w:szCs w:val="15"/>
          <w:color w:val="383A42"/>
        </w:rPr>
        <w:t xml:space="preserve"> </w:t>
      </w:r>
      <w:r>
        <w:rPr>
          <w:rFonts w:ascii="Arial" w:cs="Arial" w:eastAsia="Arial" w:hAnsi="Arial"/>
          <w:sz w:val="15"/>
          <w:szCs w:val="15"/>
          <w:color w:val="26262D"/>
        </w:rPr>
        <w:t xml:space="preserve">employers </w:t>
      </w:r>
      <w:r>
        <w:rPr>
          <w:rFonts w:ascii="Arial" w:cs="Arial" w:eastAsia="Arial" w:hAnsi="Arial"/>
          <w:sz w:val="15"/>
          <w:szCs w:val="15"/>
          <w:color w:val="383A42"/>
        </w:rPr>
        <w:t>to impute</w:t>
      </w:r>
      <w:r>
        <w:rPr>
          <w:rFonts w:ascii="Arial" w:cs="Arial" w:eastAsia="Arial" w:hAnsi="Arial"/>
          <w:sz w:val="15"/>
          <w:szCs w:val="15"/>
          <w:color w:val="26262D"/>
        </w:rPr>
        <w:t xml:space="preserve"> the v</w:t>
      </w:r>
      <w:r>
        <w:rPr>
          <w:rFonts w:ascii="Arial" w:cs="Arial" w:eastAsia="Arial" w:hAnsi="Arial"/>
          <w:sz w:val="15"/>
          <w:szCs w:val="15"/>
          <w:color w:val="4F4F56"/>
        </w:rPr>
        <w:t>alue</w:t>
      </w:r>
      <w:r>
        <w:rPr>
          <w:rFonts w:ascii="Arial" w:cs="Arial" w:eastAsia="Arial" w:hAnsi="Arial"/>
          <w:sz w:val="15"/>
          <w:szCs w:val="15"/>
          <w:color w:val="26262D"/>
        </w:rPr>
        <w:t xml:space="preserve"> of </w:t>
      </w:r>
      <w:r>
        <w:rPr>
          <w:rFonts w:ascii="Arial" w:cs="Arial" w:eastAsia="Arial" w:hAnsi="Arial"/>
          <w:sz w:val="15"/>
          <w:szCs w:val="15"/>
          <w:color w:val="383A42"/>
        </w:rPr>
        <w:t>company-paid</w:t>
      </w:r>
      <w:r>
        <w:rPr>
          <w:rFonts w:ascii="Arial" w:cs="Arial" w:eastAsia="Arial" w:hAnsi="Arial"/>
          <w:sz w:val="15"/>
          <w:szCs w:val="15"/>
          <w:color w:val="26262D"/>
        </w:rPr>
        <w:t xml:space="preserve"> life in</w:t>
      </w:r>
      <w:r>
        <w:rPr>
          <w:rFonts w:ascii="Arial" w:cs="Arial" w:eastAsia="Arial" w:hAnsi="Arial"/>
          <w:sz w:val="15"/>
          <w:szCs w:val="15"/>
          <w:color w:val="4F4F56"/>
        </w:rPr>
        <w:t>sur</w:t>
      </w:r>
      <w:r>
        <w:rPr>
          <w:rFonts w:ascii="Arial" w:cs="Arial" w:eastAsia="Arial" w:hAnsi="Arial"/>
          <w:sz w:val="15"/>
          <w:szCs w:val="15"/>
          <w:color w:val="26262D"/>
        </w:rPr>
        <w:t xml:space="preserve">ance for </w:t>
      </w:r>
      <w:r>
        <w:rPr>
          <w:rFonts w:ascii="Arial" w:cs="Arial" w:eastAsia="Arial" w:hAnsi="Arial"/>
          <w:sz w:val="15"/>
          <w:szCs w:val="15"/>
          <w:color w:val="383A42"/>
        </w:rPr>
        <w:t>coverage over $50</w:t>
      </w:r>
      <w:r>
        <w:rPr>
          <w:rFonts w:ascii="Arial" w:cs="Arial" w:eastAsia="Arial" w:hAnsi="Arial"/>
          <w:sz w:val="15"/>
          <w:szCs w:val="15"/>
          <w:color w:val="67676D"/>
        </w:rPr>
        <w:t>,</w:t>
      </w:r>
      <w:r>
        <w:rPr>
          <w:rFonts w:ascii="Arial" w:cs="Arial" w:eastAsia="Arial" w:hAnsi="Arial"/>
          <w:sz w:val="15"/>
          <w:szCs w:val="15"/>
          <w:color w:val="383A42"/>
        </w:rPr>
        <w:t>000</w:t>
      </w:r>
      <w:r>
        <w:rPr>
          <w:rFonts w:ascii="Arial" w:cs="Arial" w:eastAsia="Arial" w:hAnsi="Arial"/>
          <w:sz w:val="15"/>
          <w:szCs w:val="15"/>
          <w:color w:val="67676D"/>
        </w:rPr>
        <w:t>.</w:t>
      </w:r>
      <w:r>
        <w:rPr>
          <w:rFonts w:ascii="Arial" w:cs="Arial" w:eastAsia="Arial" w:hAnsi="Arial"/>
          <w:sz w:val="15"/>
          <w:szCs w:val="15"/>
          <w:color w:val="26262D"/>
        </w:rPr>
        <w:t xml:space="preserve"> </w:t>
      </w:r>
      <w:r>
        <w:rPr>
          <w:rFonts w:ascii="Arial" w:cs="Arial" w:eastAsia="Arial" w:hAnsi="Arial"/>
          <w:sz w:val="15"/>
          <w:szCs w:val="15"/>
          <w:color w:val="383A42"/>
        </w:rPr>
        <w:t>This</w:t>
      </w:r>
      <w:r>
        <w:rPr>
          <w:rFonts w:ascii="Arial" w:cs="Arial" w:eastAsia="Arial" w:hAnsi="Arial"/>
          <w:sz w:val="15"/>
          <w:szCs w:val="15"/>
          <w:color w:val="26262D"/>
        </w:rPr>
        <w:t xml:space="preserve"> imputed income </w:t>
      </w:r>
      <w:r>
        <w:rPr>
          <w:rFonts w:ascii="Arial" w:cs="Arial" w:eastAsia="Arial" w:hAnsi="Arial"/>
          <w:sz w:val="15"/>
          <w:szCs w:val="15"/>
          <w:color w:val="383A42"/>
        </w:rPr>
        <w:t>will</w:t>
      </w:r>
      <w:r>
        <w:rPr>
          <w:rFonts w:ascii="Arial" w:cs="Arial" w:eastAsia="Arial" w:hAnsi="Arial"/>
          <w:sz w:val="15"/>
          <w:szCs w:val="15"/>
          <w:color w:val="26262D"/>
        </w:rPr>
        <w:t xml:space="preserve"> be disp</w:t>
      </w:r>
      <w:r>
        <w:rPr>
          <w:rFonts w:ascii="Arial" w:cs="Arial" w:eastAsia="Arial" w:hAnsi="Arial"/>
          <w:sz w:val="15"/>
          <w:szCs w:val="15"/>
          <w:color w:val="4F4F56"/>
        </w:rPr>
        <w:t>laye</w:t>
      </w:r>
      <w:r>
        <w:rPr>
          <w:rFonts w:ascii="Arial" w:cs="Arial" w:eastAsia="Arial" w:hAnsi="Arial"/>
          <w:sz w:val="15"/>
          <w:szCs w:val="15"/>
          <w:color w:val="26262D"/>
        </w:rPr>
        <w:t xml:space="preserve">d </w:t>
      </w:r>
      <w:r>
        <w:rPr>
          <w:rFonts w:ascii="Arial" w:cs="Arial" w:eastAsia="Arial" w:hAnsi="Arial"/>
          <w:sz w:val="15"/>
          <w:szCs w:val="15"/>
          <w:color w:val="383A42"/>
        </w:rPr>
        <w:t>on your</w:t>
      </w:r>
      <w:r>
        <w:rPr>
          <w:rFonts w:ascii="Arial" w:cs="Arial" w:eastAsia="Arial" w:hAnsi="Arial"/>
          <w:sz w:val="15"/>
          <w:szCs w:val="15"/>
          <w:color w:val="26262D"/>
        </w:rPr>
        <w:t xml:space="preserve"> pay </w:t>
      </w:r>
      <w:r>
        <w:rPr>
          <w:rFonts w:ascii="Arial" w:cs="Arial" w:eastAsia="Arial" w:hAnsi="Arial"/>
          <w:sz w:val="15"/>
          <w:szCs w:val="15"/>
          <w:color w:val="383A42"/>
        </w:rPr>
        <w:t>stub.</w:t>
      </w:r>
    </w:p>
    <w:p>
      <w:pPr>
        <w:spacing w:after="0" w:line="192" w:lineRule="exact"/>
        <w:rPr>
          <w:sz w:val="20"/>
          <w:szCs w:val="20"/>
          <w:color w:val="auto"/>
        </w:rPr>
      </w:pPr>
    </w:p>
    <w:p>
      <w:pPr>
        <w:ind w:left="500" w:right="160"/>
        <w:spacing w:after="0" w:line="270" w:lineRule="auto"/>
        <w:rPr>
          <w:sz w:val="20"/>
          <w:szCs w:val="20"/>
          <w:color w:val="auto"/>
        </w:rPr>
      </w:pPr>
      <w:r>
        <w:rPr>
          <w:rFonts w:ascii="Arial" w:cs="Arial" w:eastAsia="Arial" w:hAnsi="Arial"/>
          <w:sz w:val="15"/>
          <w:szCs w:val="15"/>
          <w:b w:val="1"/>
          <w:bCs w:val="1"/>
          <w:color w:val="26262D"/>
        </w:rPr>
        <w:t xml:space="preserve">Severance: </w:t>
      </w:r>
      <w:r>
        <w:rPr>
          <w:rFonts w:ascii="Arial" w:cs="Arial" w:eastAsia="Arial" w:hAnsi="Arial"/>
          <w:sz w:val="15"/>
          <w:szCs w:val="15"/>
          <w:color w:val="383A42"/>
        </w:rPr>
        <w:t>You</w:t>
      </w:r>
      <w:r>
        <w:rPr>
          <w:rFonts w:ascii="Arial" w:cs="Arial" w:eastAsia="Arial" w:hAnsi="Arial"/>
          <w:sz w:val="15"/>
          <w:szCs w:val="15"/>
          <w:b w:val="1"/>
          <w:bCs w:val="1"/>
          <w:color w:val="26262D"/>
        </w:rPr>
        <w:t xml:space="preserve"> </w:t>
      </w:r>
      <w:r>
        <w:rPr>
          <w:rFonts w:ascii="Arial" w:cs="Arial" w:eastAsia="Arial" w:hAnsi="Arial"/>
          <w:sz w:val="15"/>
          <w:szCs w:val="15"/>
          <w:color w:val="26262D"/>
        </w:rPr>
        <w:t>will</w:t>
      </w:r>
      <w:r>
        <w:rPr>
          <w:rFonts w:ascii="Arial" w:cs="Arial" w:eastAsia="Arial" w:hAnsi="Arial"/>
          <w:sz w:val="15"/>
          <w:szCs w:val="15"/>
          <w:b w:val="1"/>
          <w:bCs w:val="1"/>
          <w:color w:val="26262D"/>
        </w:rPr>
        <w:t xml:space="preserve"> </w:t>
      </w:r>
      <w:r>
        <w:rPr>
          <w:rFonts w:ascii="Arial" w:cs="Arial" w:eastAsia="Arial" w:hAnsi="Arial"/>
          <w:sz w:val="15"/>
          <w:szCs w:val="15"/>
          <w:color w:val="383A42"/>
        </w:rPr>
        <w:t>be ent</w:t>
      </w:r>
      <w:r>
        <w:rPr>
          <w:rFonts w:ascii="Arial" w:cs="Arial" w:eastAsia="Arial" w:hAnsi="Arial"/>
          <w:sz w:val="15"/>
          <w:szCs w:val="15"/>
          <w:color w:val="67676D"/>
        </w:rPr>
        <w:t>i</w:t>
      </w:r>
      <w:r>
        <w:rPr>
          <w:rFonts w:ascii="Arial" w:cs="Arial" w:eastAsia="Arial" w:hAnsi="Arial"/>
          <w:sz w:val="15"/>
          <w:szCs w:val="15"/>
          <w:color w:val="383A42"/>
        </w:rPr>
        <w:t>tled</w:t>
      </w:r>
      <w:r>
        <w:rPr>
          <w:rFonts w:ascii="Arial" w:cs="Arial" w:eastAsia="Arial" w:hAnsi="Arial"/>
          <w:sz w:val="15"/>
          <w:szCs w:val="15"/>
          <w:b w:val="1"/>
          <w:bCs w:val="1"/>
          <w:color w:val="26262D"/>
        </w:rPr>
        <w:t xml:space="preserve"> </w:t>
      </w:r>
      <w:r>
        <w:rPr>
          <w:rFonts w:ascii="Arial" w:cs="Arial" w:eastAsia="Arial" w:hAnsi="Arial"/>
          <w:sz w:val="15"/>
          <w:szCs w:val="15"/>
          <w:color w:val="26262D"/>
        </w:rPr>
        <w:t>to</w:t>
      </w:r>
      <w:r>
        <w:rPr>
          <w:rFonts w:ascii="Arial" w:cs="Arial" w:eastAsia="Arial" w:hAnsi="Arial"/>
          <w:sz w:val="15"/>
          <w:szCs w:val="15"/>
          <w:b w:val="1"/>
          <w:bCs w:val="1"/>
          <w:color w:val="26262D"/>
        </w:rPr>
        <w:t xml:space="preserve"> </w:t>
      </w:r>
      <w:r>
        <w:rPr>
          <w:rFonts w:ascii="Arial" w:cs="Arial" w:eastAsia="Arial" w:hAnsi="Arial"/>
          <w:sz w:val="15"/>
          <w:szCs w:val="15"/>
          <w:color w:val="383A42"/>
        </w:rPr>
        <w:t>severance</w:t>
      </w:r>
      <w:r>
        <w:rPr>
          <w:rFonts w:ascii="Arial" w:cs="Arial" w:eastAsia="Arial" w:hAnsi="Arial"/>
          <w:sz w:val="15"/>
          <w:szCs w:val="15"/>
          <w:b w:val="1"/>
          <w:bCs w:val="1"/>
          <w:color w:val="26262D"/>
        </w:rPr>
        <w:t xml:space="preserve"> </w:t>
      </w:r>
      <w:r>
        <w:rPr>
          <w:rFonts w:ascii="Arial" w:cs="Arial" w:eastAsia="Arial" w:hAnsi="Arial"/>
          <w:sz w:val="15"/>
          <w:szCs w:val="15"/>
          <w:color w:val="26262D"/>
        </w:rPr>
        <w:t>benefit</w:t>
      </w:r>
      <w:r>
        <w:rPr>
          <w:rFonts w:ascii="Arial" w:cs="Arial" w:eastAsia="Arial" w:hAnsi="Arial"/>
          <w:sz w:val="15"/>
          <w:szCs w:val="15"/>
          <w:color w:val="4F4F56"/>
        </w:rPr>
        <w:t>s</w:t>
      </w:r>
      <w:r>
        <w:rPr>
          <w:rFonts w:ascii="Arial" w:cs="Arial" w:eastAsia="Arial" w:hAnsi="Arial"/>
          <w:sz w:val="15"/>
          <w:szCs w:val="15"/>
          <w:b w:val="1"/>
          <w:bCs w:val="1"/>
          <w:color w:val="26262D"/>
        </w:rPr>
        <w:t xml:space="preserve"> </w:t>
      </w:r>
      <w:r>
        <w:rPr>
          <w:rFonts w:ascii="Arial" w:cs="Arial" w:eastAsia="Arial" w:hAnsi="Arial"/>
          <w:sz w:val="15"/>
          <w:szCs w:val="15"/>
          <w:color w:val="26262D"/>
        </w:rPr>
        <w:t>In</w:t>
      </w:r>
      <w:r>
        <w:rPr>
          <w:rFonts w:ascii="Arial" w:cs="Arial" w:eastAsia="Arial" w:hAnsi="Arial"/>
          <w:sz w:val="15"/>
          <w:szCs w:val="15"/>
          <w:b w:val="1"/>
          <w:bCs w:val="1"/>
          <w:color w:val="26262D"/>
        </w:rPr>
        <w:t xml:space="preserve"> </w:t>
      </w:r>
      <w:r>
        <w:rPr>
          <w:rFonts w:ascii="Arial" w:cs="Arial" w:eastAsia="Arial" w:hAnsi="Arial"/>
          <w:sz w:val="15"/>
          <w:szCs w:val="15"/>
          <w:color w:val="383A42"/>
        </w:rPr>
        <w:t>accordance with</w:t>
      </w:r>
      <w:r>
        <w:rPr>
          <w:rFonts w:ascii="Arial" w:cs="Arial" w:eastAsia="Arial" w:hAnsi="Arial"/>
          <w:sz w:val="15"/>
          <w:szCs w:val="15"/>
          <w:b w:val="1"/>
          <w:bCs w:val="1"/>
          <w:color w:val="26262D"/>
        </w:rPr>
        <w:t xml:space="preserve"> </w:t>
      </w:r>
      <w:r>
        <w:rPr>
          <w:rFonts w:ascii="Arial" w:cs="Arial" w:eastAsia="Arial" w:hAnsi="Arial"/>
          <w:sz w:val="15"/>
          <w:szCs w:val="15"/>
          <w:color w:val="26262D"/>
        </w:rPr>
        <w:t>the atta</w:t>
      </w:r>
      <w:r>
        <w:rPr>
          <w:rFonts w:ascii="Arial" w:cs="Arial" w:eastAsia="Arial" w:hAnsi="Arial"/>
          <w:sz w:val="15"/>
          <w:szCs w:val="15"/>
          <w:color w:val="4F4F56"/>
        </w:rPr>
        <w:t>ched</w:t>
      </w:r>
      <w:r>
        <w:rPr>
          <w:rFonts w:ascii="Arial" w:cs="Arial" w:eastAsia="Arial" w:hAnsi="Arial"/>
          <w:sz w:val="15"/>
          <w:szCs w:val="15"/>
          <w:b w:val="1"/>
          <w:bCs w:val="1"/>
          <w:color w:val="26262D"/>
        </w:rPr>
        <w:t xml:space="preserve"> </w:t>
      </w:r>
      <w:r>
        <w:rPr>
          <w:rFonts w:ascii="Arial" w:cs="Arial" w:eastAsia="Arial" w:hAnsi="Arial"/>
          <w:sz w:val="15"/>
          <w:szCs w:val="15"/>
          <w:color w:val="383A42"/>
        </w:rPr>
        <w:t>Severance</w:t>
      </w:r>
      <w:r>
        <w:rPr>
          <w:rFonts w:ascii="Arial" w:cs="Arial" w:eastAsia="Arial" w:hAnsi="Arial"/>
          <w:sz w:val="15"/>
          <w:szCs w:val="15"/>
          <w:b w:val="1"/>
          <w:bCs w:val="1"/>
          <w:color w:val="26262D"/>
        </w:rPr>
        <w:t xml:space="preserve"> </w:t>
      </w:r>
      <w:r>
        <w:rPr>
          <w:rFonts w:ascii="Arial" w:cs="Arial" w:eastAsia="Arial" w:hAnsi="Arial"/>
          <w:sz w:val="15"/>
          <w:szCs w:val="15"/>
          <w:color w:val="26262D"/>
        </w:rPr>
        <w:t>Plan for U</w:t>
      </w:r>
      <w:r>
        <w:rPr>
          <w:rFonts w:ascii="Arial" w:cs="Arial" w:eastAsia="Arial" w:hAnsi="Arial"/>
          <w:sz w:val="15"/>
          <w:szCs w:val="15"/>
          <w:color w:val="67676D"/>
        </w:rPr>
        <w:t>.</w:t>
      </w:r>
      <w:r>
        <w:rPr>
          <w:rFonts w:ascii="Arial" w:cs="Arial" w:eastAsia="Arial" w:hAnsi="Arial"/>
          <w:sz w:val="15"/>
          <w:szCs w:val="15"/>
          <w:color w:val="383A42"/>
        </w:rPr>
        <w:t>S</w:t>
      </w:r>
      <w:r>
        <w:rPr>
          <w:rFonts w:ascii="Arial" w:cs="Arial" w:eastAsia="Arial" w:hAnsi="Arial"/>
          <w:sz w:val="15"/>
          <w:szCs w:val="15"/>
          <w:color w:val="919393"/>
        </w:rPr>
        <w:t>.</w:t>
      </w:r>
      <w:r>
        <w:rPr>
          <w:rFonts w:ascii="Arial" w:cs="Arial" w:eastAsia="Arial" w:hAnsi="Arial"/>
          <w:sz w:val="15"/>
          <w:szCs w:val="15"/>
          <w:b w:val="1"/>
          <w:bCs w:val="1"/>
          <w:color w:val="26262D"/>
        </w:rPr>
        <w:t xml:space="preserve"> </w:t>
      </w:r>
      <w:r>
        <w:rPr>
          <w:rFonts w:ascii="Arial" w:cs="Arial" w:eastAsia="Arial" w:hAnsi="Arial"/>
          <w:sz w:val="15"/>
          <w:szCs w:val="15"/>
          <w:color w:val="26262D"/>
        </w:rPr>
        <w:t>E</w:t>
      </w:r>
      <w:r>
        <w:rPr>
          <w:rFonts w:ascii="Arial" w:cs="Arial" w:eastAsia="Arial" w:hAnsi="Arial"/>
          <w:sz w:val="15"/>
          <w:szCs w:val="15"/>
          <w:color w:val="4F4F56"/>
        </w:rPr>
        <w:t>xecutive</w:t>
      </w:r>
      <w:r>
        <w:rPr>
          <w:rFonts w:ascii="Arial" w:cs="Arial" w:eastAsia="Arial" w:hAnsi="Arial"/>
          <w:sz w:val="15"/>
          <w:szCs w:val="15"/>
          <w:b w:val="1"/>
          <w:bCs w:val="1"/>
          <w:color w:val="26262D"/>
        </w:rPr>
        <w:t xml:space="preserve"> </w:t>
      </w:r>
      <w:r>
        <w:rPr>
          <w:rFonts w:ascii="Arial" w:cs="Arial" w:eastAsia="Arial" w:hAnsi="Arial"/>
          <w:sz w:val="15"/>
          <w:szCs w:val="15"/>
          <w:color w:val="26262D"/>
        </w:rPr>
        <w:t>Vice</w:t>
      </w:r>
      <w:r>
        <w:rPr>
          <w:rFonts w:ascii="Arial" w:cs="Arial" w:eastAsia="Arial" w:hAnsi="Arial"/>
          <w:sz w:val="15"/>
          <w:szCs w:val="15"/>
          <w:b w:val="1"/>
          <w:bCs w:val="1"/>
          <w:color w:val="26262D"/>
        </w:rPr>
        <w:t xml:space="preserve"> </w:t>
      </w:r>
      <w:r>
        <w:rPr>
          <w:rFonts w:ascii="Arial" w:cs="Arial" w:eastAsia="Arial" w:hAnsi="Arial"/>
          <w:sz w:val="15"/>
          <w:szCs w:val="15"/>
          <w:color w:val="383A42"/>
        </w:rPr>
        <w:t>Presidents</w:t>
      </w:r>
      <w:r>
        <w:rPr>
          <w:rFonts w:ascii="Arial" w:cs="Arial" w:eastAsia="Arial" w:hAnsi="Arial"/>
          <w:sz w:val="15"/>
          <w:szCs w:val="15"/>
          <w:b w:val="1"/>
          <w:bCs w:val="1"/>
          <w:color w:val="26262D"/>
        </w:rPr>
        <w:t xml:space="preserve"> </w:t>
      </w:r>
      <w:r>
        <w:rPr>
          <w:rFonts w:ascii="Arial" w:cs="Arial" w:eastAsia="Arial" w:hAnsi="Arial"/>
          <w:sz w:val="15"/>
          <w:szCs w:val="15"/>
          <w:color w:val="383A42"/>
        </w:rPr>
        <w:t xml:space="preserve">effective </w:t>
      </w:r>
      <w:r>
        <w:rPr>
          <w:rFonts w:ascii="Arial" w:cs="Arial" w:eastAsia="Arial" w:hAnsi="Arial"/>
          <w:sz w:val="15"/>
          <w:szCs w:val="15"/>
          <w:color w:val="26262D"/>
        </w:rPr>
        <w:t>January 1</w:t>
      </w:r>
      <w:r>
        <w:rPr>
          <w:rFonts w:ascii="Arial" w:cs="Arial" w:eastAsia="Arial" w:hAnsi="Arial"/>
          <w:sz w:val="15"/>
          <w:szCs w:val="15"/>
          <w:color w:val="7E8089"/>
        </w:rPr>
        <w:t>,</w:t>
      </w:r>
      <w:r>
        <w:rPr>
          <w:rFonts w:ascii="Arial" w:cs="Arial" w:eastAsia="Arial" w:hAnsi="Arial"/>
          <w:sz w:val="15"/>
          <w:szCs w:val="15"/>
          <w:color w:val="383A42"/>
        </w:rPr>
        <w:t xml:space="preserve"> 2014 (the </w:t>
      </w:r>
      <w:r>
        <w:rPr>
          <w:rFonts w:ascii="Arial" w:cs="Arial" w:eastAsia="Arial" w:hAnsi="Arial"/>
          <w:sz w:val="15"/>
          <w:szCs w:val="15"/>
          <w:color w:val="67676D"/>
        </w:rPr>
        <w:t>"</w:t>
      </w:r>
      <w:r>
        <w:rPr>
          <w:rFonts w:ascii="Arial" w:cs="Arial" w:eastAsia="Arial" w:hAnsi="Arial"/>
          <w:sz w:val="15"/>
          <w:szCs w:val="15"/>
          <w:color w:val="26262D"/>
        </w:rPr>
        <w:t>EVP</w:t>
      </w:r>
      <w:r>
        <w:rPr>
          <w:rFonts w:ascii="Arial" w:cs="Arial" w:eastAsia="Arial" w:hAnsi="Arial"/>
          <w:sz w:val="15"/>
          <w:szCs w:val="15"/>
          <w:color w:val="383A42"/>
        </w:rPr>
        <w:t xml:space="preserve"> Severance </w:t>
      </w:r>
      <w:r>
        <w:rPr>
          <w:rFonts w:ascii="Arial" w:cs="Arial" w:eastAsia="Arial" w:hAnsi="Arial"/>
          <w:sz w:val="15"/>
          <w:szCs w:val="15"/>
          <w:color w:val="26262D"/>
        </w:rPr>
        <w:t>Plan</w:t>
      </w:r>
      <w:r>
        <w:rPr>
          <w:rFonts w:ascii="Arial" w:cs="Arial" w:eastAsia="Arial" w:hAnsi="Arial"/>
          <w:sz w:val="15"/>
          <w:szCs w:val="15"/>
          <w:color w:val="7E8089"/>
        </w:rPr>
        <w:t>"</w:t>
      </w:r>
      <w:r>
        <w:rPr>
          <w:rFonts w:ascii="Arial" w:cs="Arial" w:eastAsia="Arial" w:hAnsi="Arial"/>
          <w:sz w:val="15"/>
          <w:szCs w:val="15"/>
          <w:color w:val="4F4F56"/>
        </w:rPr>
        <w:t>), a</w:t>
      </w:r>
      <w:r>
        <w:rPr>
          <w:rFonts w:ascii="Arial" w:cs="Arial" w:eastAsia="Arial" w:hAnsi="Arial"/>
          <w:sz w:val="15"/>
          <w:szCs w:val="15"/>
          <w:color w:val="26262D"/>
        </w:rPr>
        <w:t>nd</w:t>
      </w:r>
      <w:r>
        <w:rPr>
          <w:rFonts w:ascii="Arial" w:cs="Arial" w:eastAsia="Arial" w:hAnsi="Arial"/>
          <w:sz w:val="15"/>
          <w:szCs w:val="15"/>
          <w:color w:val="383A42"/>
        </w:rPr>
        <w:t xml:space="preserve"> should refer to </w:t>
      </w:r>
      <w:r>
        <w:rPr>
          <w:rFonts w:ascii="Arial" w:cs="Arial" w:eastAsia="Arial" w:hAnsi="Arial"/>
          <w:sz w:val="15"/>
          <w:szCs w:val="15"/>
          <w:color w:val="26262D"/>
        </w:rPr>
        <w:t>the do</w:t>
      </w:r>
      <w:r>
        <w:rPr>
          <w:rFonts w:ascii="Arial" w:cs="Arial" w:eastAsia="Arial" w:hAnsi="Arial"/>
          <w:sz w:val="15"/>
          <w:szCs w:val="15"/>
          <w:color w:val="4F4F56"/>
        </w:rPr>
        <w:t>c</w:t>
      </w:r>
      <w:r>
        <w:rPr>
          <w:rFonts w:ascii="Arial" w:cs="Arial" w:eastAsia="Arial" w:hAnsi="Arial"/>
          <w:sz w:val="15"/>
          <w:szCs w:val="15"/>
          <w:color w:val="26262D"/>
        </w:rPr>
        <w:t>ument</w:t>
      </w:r>
      <w:r>
        <w:rPr>
          <w:rFonts w:ascii="Arial" w:cs="Arial" w:eastAsia="Arial" w:hAnsi="Arial"/>
          <w:sz w:val="15"/>
          <w:szCs w:val="15"/>
          <w:color w:val="383A42"/>
        </w:rPr>
        <w:t xml:space="preserve"> for details regarding </w:t>
      </w:r>
      <w:r>
        <w:rPr>
          <w:rFonts w:ascii="Arial" w:cs="Arial" w:eastAsia="Arial" w:hAnsi="Arial"/>
          <w:sz w:val="15"/>
          <w:szCs w:val="15"/>
          <w:color w:val="26262D"/>
        </w:rPr>
        <w:t>terms,</w:t>
      </w:r>
      <w:r>
        <w:rPr>
          <w:rFonts w:ascii="Arial" w:cs="Arial" w:eastAsia="Arial" w:hAnsi="Arial"/>
          <w:sz w:val="15"/>
          <w:szCs w:val="15"/>
          <w:color w:val="383A42"/>
        </w:rPr>
        <w:t xml:space="preserve"> conditions, el</w:t>
      </w:r>
      <w:r>
        <w:rPr>
          <w:rFonts w:ascii="Arial" w:cs="Arial" w:eastAsia="Arial" w:hAnsi="Arial"/>
          <w:sz w:val="15"/>
          <w:szCs w:val="15"/>
          <w:color w:val="6E8EA7"/>
        </w:rPr>
        <w:t>i</w:t>
      </w:r>
      <w:r>
        <w:rPr>
          <w:rFonts w:ascii="Arial" w:cs="Arial" w:eastAsia="Arial" w:hAnsi="Arial"/>
          <w:sz w:val="15"/>
          <w:szCs w:val="15"/>
          <w:color w:val="26262D"/>
        </w:rPr>
        <w:t>gibility</w:t>
      </w:r>
      <w:r>
        <w:rPr>
          <w:rFonts w:ascii="Arial" w:cs="Arial" w:eastAsia="Arial" w:hAnsi="Arial"/>
          <w:sz w:val="15"/>
          <w:szCs w:val="15"/>
          <w:color w:val="383A42"/>
        </w:rPr>
        <w:t xml:space="preserve"> and potenti</w:t>
      </w:r>
      <w:r>
        <w:rPr>
          <w:rFonts w:ascii="Arial" w:cs="Arial" w:eastAsia="Arial" w:hAnsi="Arial"/>
          <w:sz w:val="15"/>
          <w:szCs w:val="15"/>
          <w:color w:val="67676D"/>
        </w:rPr>
        <w:t>al</w:t>
      </w:r>
      <w:r>
        <w:rPr>
          <w:rFonts w:ascii="Arial" w:cs="Arial" w:eastAsia="Arial" w:hAnsi="Arial"/>
          <w:sz w:val="15"/>
          <w:szCs w:val="15"/>
          <w:color w:val="383A42"/>
        </w:rPr>
        <w:t xml:space="preserve"> tax </w:t>
      </w:r>
      <w:r>
        <w:rPr>
          <w:rFonts w:ascii="Arial" w:cs="Arial" w:eastAsia="Arial" w:hAnsi="Arial"/>
          <w:sz w:val="15"/>
          <w:szCs w:val="15"/>
          <w:color w:val="26262D"/>
        </w:rPr>
        <w:t>implicati</w:t>
      </w:r>
      <w:r>
        <w:rPr>
          <w:rFonts w:ascii="Arial" w:cs="Arial" w:eastAsia="Arial" w:hAnsi="Arial"/>
          <w:sz w:val="15"/>
          <w:szCs w:val="15"/>
          <w:color w:val="4F4F56"/>
        </w:rPr>
        <w:t>o</w:t>
      </w:r>
      <w:r>
        <w:rPr>
          <w:rFonts w:ascii="Arial" w:cs="Arial" w:eastAsia="Arial" w:hAnsi="Arial"/>
          <w:sz w:val="15"/>
          <w:szCs w:val="15"/>
          <w:color w:val="26262D"/>
        </w:rPr>
        <w:t>ns</w:t>
      </w:r>
      <w:r>
        <w:rPr>
          <w:rFonts w:ascii="Arial" w:cs="Arial" w:eastAsia="Arial" w:hAnsi="Arial"/>
          <w:sz w:val="15"/>
          <w:szCs w:val="15"/>
          <w:color w:val="919393"/>
        </w:rPr>
        <w:t>.</w:t>
      </w:r>
    </w:p>
    <w:p>
      <w:pPr>
        <w:spacing w:after="0" w:line="204" w:lineRule="exact"/>
        <w:rPr>
          <w:sz w:val="20"/>
          <w:szCs w:val="20"/>
          <w:color w:val="auto"/>
        </w:rPr>
      </w:pPr>
    </w:p>
    <w:p>
      <w:pPr>
        <w:ind w:left="500"/>
        <w:spacing w:after="0" w:line="251" w:lineRule="auto"/>
        <w:rPr>
          <w:sz w:val="20"/>
          <w:szCs w:val="20"/>
          <w:color w:val="auto"/>
        </w:rPr>
      </w:pPr>
      <w:r>
        <w:rPr>
          <w:rFonts w:ascii="Arial" w:cs="Arial" w:eastAsia="Arial" w:hAnsi="Arial"/>
          <w:sz w:val="15"/>
          <w:szCs w:val="15"/>
          <w:color w:val="26262D"/>
        </w:rPr>
        <w:t>If the</w:t>
      </w:r>
      <w:r>
        <w:rPr>
          <w:rFonts w:ascii="Arial" w:cs="Arial" w:eastAsia="Arial" w:hAnsi="Arial"/>
          <w:sz w:val="15"/>
          <w:szCs w:val="15"/>
          <w:color w:val="4F4F56"/>
        </w:rPr>
        <w:t>re</w:t>
      </w:r>
      <w:r>
        <w:rPr>
          <w:rFonts w:ascii="Arial" w:cs="Arial" w:eastAsia="Arial" w:hAnsi="Arial"/>
          <w:sz w:val="15"/>
          <w:szCs w:val="15"/>
          <w:color w:val="26262D"/>
        </w:rPr>
        <w:t xml:space="preserve"> </w:t>
      </w:r>
      <w:r>
        <w:rPr>
          <w:rFonts w:ascii="Arial" w:cs="Arial" w:eastAsia="Arial" w:hAnsi="Arial"/>
          <w:sz w:val="15"/>
          <w:szCs w:val="15"/>
          <w:color w:val="383A42"/>
        </w:rPr>
        <w:t>is</w:t>
      </w:r>
      <w:r>
        <w:rPr>
          <w:rFonts w:ascii="Arial" w:cs="Arial" w:eastAsia="Arial" w:hAnsi="Arial"/>
          <w:sz w:val="15"/>
          <w:szCs w:val="15"/>
          <w:color w:val="26262D"/>
        </w:rPr>
        <w:t xml:space="preserve"> </w:t>
      </w:r>
      <w:r>
        <w:rPr>
          <w:rFonts w:ascii="Arial" w:cs="Arial" w:eastAsia="Arial" w:hAnsi="Arial"/>
          <w:sz w:val="15"/>
          <w:szCs w:val="15"/>
          <w:color w:val="4F4F56"/>
        </w:rPr>
        <w:t>a CEO</w:t>
      </w:r>
      <w:r>
        <w:rPr>
          <w:rFonts w:ascii="Arial" w:cs="Arial" w:eastAsia="Arial" w:hAnsi="Arial"/>
          <w:sz w:val="15"/>
          <w:szCs w:val="15"/>
          <w:color w:val="26262D"/>
        </w:rPr>
        <w:t xml:space="preserve"> </w:t>
      </w:r>
      <w:r>
        <w:rPr>
          <w:rFonts w:ascii="Arial" w:cs="Arial" w:eastAsia="Arial" w:hAnsi="Arial"/>
          <w:sz w:val="15"/>
          <w:szCs w:val="15"/>
          <w:color w:val="383A42"/>
        </w:rPr>
        <w:t>Employment</w:t>
      </w:r>
      <w:r>
        <w:rPr>
          <w:rFonts w:ascii="Arial" w:cs="Arial" w:eastAsia="Arial" w:hAnsi="Arial"/>
          <w:sz w:val="15"/>
          <w:szCs w:val="15"/>
          <w:color w:val="26262D"/>
        </w:rPr>
        <w:t xml:space="preserve"> Event (defined below) </w:t>
      </w:r>
      <w:r>
        <w:rPr>
          <w:rFonts w:ascii="Arial" w:cs="Arial" w:eastAsia="Arial" w:hAnsi="Arial"/>
          <w:sz w:val="15"/>
          <w:szCs w:val="15"/>
          <w:color w:val="383A42"/>
        </w:rPr>
        <w:t>at</w:t>
      </w:r>
      <w:r>
        <w:rPr>
          <w:rFonts w:ascii="Arial" w:cs="Arial" w:eastAsia="Arial" w:hAnsi="Arial"/>
          <w:sz w:val="15"/>
          <w:szCs w:val="15"/>
          <w:color w:val="26262D"/>
        </w:rPr>
        <w:t xml:space="preserve"> </w:t>
      </w:r>
      <w:r>
        <w:rPr>
          <w:rFonts w:ascii="Arial" w:cs="Arial" w:eastAsia="Arial" w:hAnsi="Arial"/>
          <w:sz w:val="15"/>
          <w:szCs w:val="15"/>
          <w:color w:val="4F4F56"/>
        </w:rPr>
        <w:t>any</w:t>
      </w:r>
      <w:r>
        <w:rPr>
          <w:rFonts w:ascii="Arial" w:cs="Arial" w:eastAsia="Arial" w:hAnsi="Arial"/>
          <w:sz w:val="15"/>
          <w:szCs w:val="15"/>
          <w:color w:val="26262D"/>
        </w:rPr>
        <w:t xml:space="preserve"> </w:t>
      </w:r>
      <w:r>
        <w:rPr>
          <w:rFonts w:ascii="Arial" w:cs="Arial" w:eastAsia="Arial" w:hAnsi="Arial"/>
          <w:sz w:val="15"/>
          <w:szCs w:val="15"/>
          <w:color w:val="383A42"/>
        </w:rPr>
        <w:t>time within</w:t>
      </w:r>
      <w:r>
        <w:rPr>
          <w:rFonts w:ascii="Arial" w:cs="Arial" w:eastAsia="Arial" w:hAnsi="Arial"/>
          <w:sz w:val="15"/>
          <w:szCs w:val="15"/>
          <w:color w:val="26262D"/>
        </w:rPr>
        <w:t xml:space="preserve"> two </w:t>
      </w:r>
      <w:r>
        <w:rPr>
          <w:rFonts w:ascii="Arial" w:cs="Arial" w:eastAsia="Arial" w:hAnsi="Arial"/>
          <w:sz w:val="15"/>
          <w:szCs w:val="15"/>
          <w:color w:val="383A42"/>
        </w:rPr>
        <w:t>(2) years after</w:t>
      </w:r>
      <w:r>
        <w:rPr>
          <w:rFonts w:ascii="Arial" w:cs="Arial" w:eastAsia="Arial" w:hAnsi="Arial"/>
          <w:sz w:val="15"/>
          <w:szCs w:val="15"/>
          <w:color w:val="26262D"/>
        </w:rPr>
        <w:t xml:space="preserve"> your </w:t>
      </w:r>
      <w:r>
        <w:rPr>
          <w:rFonts w:ascii="Arial" w:cs="Arial" w:eastAsia="Arial" w:hAnsi="Arial"/>
          <w:sz w:val="15"/>
          <w:szCs w:val="15"/>
          <w:color w:val="383A42"/>
        </w:rPr>
        <w:t>start date with</w:t>
      </w:r>
      <w:r>
        <w:rPr>
          <w:rFonts w:ascii="Arial" w:cs="Arial" w:eastAsia="Arial" w:hAnsi="Arial"/>
          <w:sz w:val="15"/>
          <w:szCs w:val="15"/>
          <w:color w:val="26262D"/>
        </w:rPr>
        <w:t xml:space="preserve"> </w:t>
      </w:r>
      <w:r>
        <w:rPr>
          <w:rFonts w:ascii="Arial" w:cs="Arial" w:eastAsia="Arial" w:hAnsi="Arial"/>
          <w:sz w:val="15"/>
          <w:szCs w:val="15"/>
          <w:color w:val="4F4F56"/>
        </w:rPr>
        <w:t>B</w:t>
      </w:r>
      <w:r>
        <w:rPr>
          <w:rFonts w:ascii="Arial" w:cs="Arial" w:eastAsia="Arial" w:hAnsi="Arial"/>
          <w:sz w:val="15"/>
          <w:szCs w:val="15"/>
          <w:color w:val="26262D"/>
        </w:rPr>
        <w:t>iogen</w:t>
      </w:r>
      <w:r>
        <w:rPr>
          <w:rFonts w:ascii="Arial" w:cs="Arial" w:eastAsia="Arial" w:hAnsi="Arial"/>
          <w:sz w:val="15"/>
          <w:szCs w:val="15"/>
          <w:color w:val="67676D"/>
        </w:rPr>
        <w:t>,</w:t>
      </w:r>
      <w:r>
        <w:rPr>
          <w:rFonts w:ascii="Arial" w:cs="Arial" w:eastAsia="Arial" w:hAnsi="Arial"/>
          <w:sz w:val="15"/>
          <w:szCs w:val="15"/>
          <w:color w:val="26262D"/>
        </w:rPr>
        <w:t xml:space="preserve"> t</w:t>
      </w:r>
      <w:r>
        <w:rPr>
          <w:rFonts w:ascii="Arial" w:cs="Arial" w:eastAsia="Arial" w:hAnsi="Arial"/>
          <w:sz w:val="15"/>
          <w:szCs w:val="15"/>
          <w:color w:val="4F4F56"/>
        </w:rPr>
        <w:t>h</w:t>
      </w:r>
      <w:r>
        <w:rPr>
          <w:rFonts w:ascii="Arial" w:cs="Arial" w:eastAsia="Arial" w:hAnsi="Arial"/>
          <w:sz w:val="15"/>
          <w:szCs w:val="15"/>
          <w:color w:val="26262D"/>
        </w:rPr>
        <w:t>e</w:t>
      </w:r>
      <w:r>
        <w:rPr>
          <w:rFonts w:ascii="Arial" w:cs="Arial" w:eastAsia="Arial" w:hAnsi="Arial"/>
          <w:sz w:val="15"/>
          <w:szCs w:val="15"/>
          <w:color w:val="4F4F56"/>
        </w:rPr>
        <w:t>n</w:t>
      </w:r>
      <w:r>
        <w:rPr>
          <w:rFonts w:ascii="Arial" w:cs="Arial" w:eastAsia="Arial" w:hAnsi="Arial"/>
          <w:sz w:val="15"/>
          <w:szCs w:val="15"/>
          <w:color w:val="26262D"/>
        </w:rPr>
        <w:t xml:space="preserve"> </w:t>
      </w:r>
      <w:r>
        <w:rPr>
          <w:rFonts w:ascii="Arial" w:cs="Arial" w:eastAsia="Arial" w:hAnsi="Arial"/>
          <w:sz w:val="15"/>
          <w:szCs w:val="15"/>
          <w:color w:val="383A42"/>
        </w:rPr>
        <w:t>you shall be entitled</w:t>
      </w:r>
      <w:r>
        <w:rPr>
          <w:rFonts w:ascii="Arial" w:cs="Arial" w:eastAsia="Arial" w:hAnsi="Arial"/>
          <w:sz w:val="15"/>
          <w:szCs w:val="15"/>
          <w:color w:val="26262D"/>
        </w:rPr>
        <w:t xml:space="preserve"> to </w:t>
      </w:r>
      <w:r>
        <w:rPr>
          <w:rFonts w:ascii="Arial" w:cs="Arial" w:eastAsia="Arial" w:hAnsi="Arial"/>
          <w:sz w:val="15"/>
          <w:szCs w:val="15"/>
          <w:color w:val="383A42"/>
        </w:rPr>
        <w:t>receive</w:t>
      </w:r>
      <w:r>
        <w:rPr>
          <w:rFonts w:ascii="Arial" w:cs="Arial" w:eastAsia="Arial" w:hAnsi="Arial"/>
          <w:sz w:val="15"/>
          <w:szCs w:val="15"/>
          <w:color w:val="26262D"/>
        </w:rPr>
        <w:t xml:space="preserve"> the </w:t>
      </w:r>
      <w:r>
        <w:rPr>
          <w:rFonts w:ascii="Arial" w:cs="Arial" w:eastAsia="Arial" w:hAnsi="Arial"/>
          <w:sz w:val="15"/>
          <w:szCs w:val="15"/>
          <w:color w:val="383A42"/>
        </w:rPr>
        <w:t>severance benefits under the EVP Sev</w:t>
      </w:r>
      <w:r>
        <w:rPr>
          <w:rFonts w:ascii="Arial" w:cs="Arial" w:eastAsia="Arial" w:hAnsi="Arial"/>
          <w:sz w:val="15"/>
          <w:szCs w:val="15"/>
          <w:color w:val="67676D"/>
        </w:rPr>
        <w:t>er</w:t>
      </w:r>
      <w:r>
        <w:rPr>
          <w:rFonts w:ascii="Arial" w:cs="Arial" w:eastAsia="Arial" w:hAnsi="Arial"/>
          <w:sz w:val="15"/>
          <w:szCs w:val="15"/>
          <w:color w:val="383A42"/>
        </w:rPr>
        <w:t>ance Pl</w:t>
      </w:r>
      <w:r>
        <w:rPr>
          <w:rFonts w:ascii="Arial" w:cs="Arial" w:eastAsia="Arial" w:hAnsi="Arial"/>
          <w:sz w:val="15"/>
          <w:szCs w:val="15"/>
          <w:color w:val="67676D"/>
        </w:rPr>
        <w:t>a</w:t>
      </w:r>
      <w:r>
        <w:rPr>
          <w:rFonts w:ascii="Arial" w:cs="Arial" w:eastAsia="Arial" w:hAnsi="Arial"/>
          <w:sz w:val="15"/>
          <w:szCs w:val="15"/>
          <w:color w:val="383A42"/>
        </w:rPr>
        <w:t>n and accelerated vest</w:t>
      </w:r>
      <w:r>
        <w:rPr>
          <w:rFonts w:ascii="Arial" w:cs="Arial" w:eastAsia="Arial" w:hAnsi="Arial"/>
          <w:sz w:val="15"/>
          <w:szCs w:val="15"/>
          <w:color w:val="67676D"/>
        </w:rPr>
        <w:t>i</w:t>
      </w:r>
      <w:r>
        <w:rPr>
          <w:rFonts w:ascii="Arial" w:cs="Arial" w:eastAsia="Arial" w:hAnsi="Arial"/>
          <w:sz w:val="15"/>
          <w:szCs w:val="15"/>
          <w:color w:val="383A42"/>
        </w:rPr>
        <w:t>ng of your</w:t>
      </w:r>
      <w:r>
        <w:rPr>
          <w:rFonts w:ascii="Arial" w:cs="Arial" w:eastAsia="Arial" w:hAnsi="Arial"/>
          <w:sz w:val="15"/>
          <w:szCs w:val="15"/>
          <w:color w:val="26262D"/>
        </w:rPr>
        <w:t xml:space="preserve"> unvested Long </w:t>
      </w:r>
      <w:r>
        <w:rPr>
          <w:rFonts w:ascii="Arial" w:cs="Arial" w:eastAsia="Arial" w:hAnsi="Arial"/>
          <w:sz w:val="15"/>
          <w:szCs w:val="15"/>
          <w:color w:val="383A42"/>
        </w:rPr>
        <w:t>Term</w:t>
      </w:r>
      <w:r>
        <w:rPr>
          <w:rFonts w:ascii="Arial" w:cs="Arial" w:eastAsia="Arial" w:hAnsi="Arial"/>
          <w:sz w:val="15"/>
          <w:szCs w:val="15"/>
          <w:color w:val="26262D"/>
        </w:rPr>
        <w:t xml:space="preserve"> Ince</w:t>
      </w:r>
      <w:r>
        <w:rPr>
          <w:rFonts w:ascii="Arial" w:cs="Arial" w:eastAsia="Arial" w:hAnsi="Arial"/>
          <w:sz w:val="15"/>
          <w:szCs w:val="15"/>
          <w:color w:val="4F4F56"/>
        </w:rPr>
        <w:t>n</w:t>
      </w:r>
      <w:r>
        <w:rPr>
          <w:rFonts w:ascii="Arial" w:cs="Arial" w:eastAsia="Arial" w:hAnsi="Arial"/>
          <w:sz w:val="15"/>
          <w:szCs w:val="15"/>
          <w:color w:val="26262D"/>
        </w:rPr>
        <w:t xml:space="preserve">tive </w:t>
      </w:r>
      <w:r>
        <w:rPr>
          <w:rFonts w:ascii="Arial" w:cs="Arial" w:eastAsia="Arial" w:hAnsi="Arial"/>
          <w:sz w:val="15"/>
          <w:szCs w:val="15"/>
          <w:color w:val="383A42"/>
        </w:rPr>
        <w:t>Awards under</w:t>
      </w:r>
      <w:r>
        <w:rPr>
          <w:rFonts w:ascii="Arial" w:cs="Arial" w:eastAsia="Arial" w:hAnsi="Arial"/>
          <w:sz w:val="15"/>
          <w:szCs w:val="15"/>
          <w:color w:val="26262D"/>
        </w:rPr>
        <w:t xml:space="preserve"> the </w:t>
      </w:r>
      <w:r>
        <w:rPr>
          <w:rFonts w:ascii="Arial" w:cs="Arial" w:eastAsia="Arial" w:hAnsi="Arial"/>
          <w:sz w:val="15"/>
          <w:szCs w:val="15"/>
          <w:color w:val="4F4F56"/>
        </w:rPr>
        <w:t>2008</w:t>
      </w:r>
      <w:r>
        <w:rPr>
          <w:rFonts w:ascii="Arial" w:cs="Arial" w:eastAsia="Arial" w:hAnsi="Arial"/>
          <w:sz w:val="15"/>
          <w:szCs w:val="15"/>
          <w:color w:val="26262D"/>
        </w:rPr>
        <w:t xml:space="preserve"> Plan </w:t>
      </w:r>
      <w:r>
        <w:rPr>
          <w:rFonts w:ascii="Arial" w:cs="Arial" w:eastAsia="Arial" w:hAnsi="Arial"/>
          <w:sz w:val="15"/>
          <w:szCs w:val="15"/>
          <w:color w:val="383A42"/>
        </w:rPr>
        <w:t>as</w:t>
      </w:r>
      <w:r>
        <w:rPr>
          <w:rFonts w:ascii="Arial" w:cs="Arial" w:eastAsia="Arial" w:hAnsi="Arial"/>
          <w:sz w:val="15"/>
          <w:szCs w:val="15"/>
          <w:color w:val="26262D"/>
        </w:rPr>
        <w:t xml:space="preserve"> </w:t>
      </w:r>
      <w:r>
        <w:rPr>
          <w:rFonts w:ascii="Arial" w:cs="Arial" w:eastAsia="Arial" w:hAnsi="Arial"/>
          <w:sz w:val="15"/>
          <w:szCs w:val="15"/>
          <w:color w:val="4F4F56"/>
        </w:rPr>
        <w:t>if</w:t>
      </w:r>
      <w:r>
        <w:rPr>
          <w:rFonts w:ascii="Arial" w:cs="Arial" w:eastAsia="Arial" w:hAnsi="Arial"/>
          <w:sz w:val="15"/>
          <w:szCs w:val="15"/>
          <w:color w:val="26262D"/>
        </w:rPr>
        <w:t xml:space="preserve"> </w:t>
      </w:r>
      <w:r>
        <w:rPr>
          <w:rFonts w:ascii="Arial" w:cs="Arial" w:eastAsia="Arial" w:hAnsi="Arial"/>
          <w:sz w:val="15"/>
          <w:szCs w:val="15"/>
          <w:color w:val="383A42"/>
        </w:rPr>
        <w:t>a Corporate Change</w:t>
      </w:r>
      <w:r>
        <w:rPr>
          <w:rFonts w:ascii="Arial" w:cs="Arial" w:eastAsia="Arial" w:hAnsi="Arial"/>
          <w:sz w:val="15"/>
          <w:szCs w:val="15"/>
          <w:color w:val="26262D"/>
        </w:rPr>
        <w:t xml:space="preserve"> in Cont</w:t>
      </w:r>
      <w:r>
        <w:rPr>
          <w:rFonts w:ascii="Arial" w:cs="Arial" w:eastAsia="Arial" w:hAnsi="Arial"/>
          <w:sz w:val="15"/>
          <w:szCs w:val="15"/>
          <w:color w:val="67676D"/>
        </w:rPr>
        <w:t>ro</w:t>
      </w:r>
      <w:r>
        <w:rPr>
          <w:rFonts w:ascii="Arial" w:cs="Arial" w:eastAsia="Arial" w:hAnsi="Arial"/>
          <w:sz w:val="15"/>
          <w:szCs w:val="15"/>
          <w:color w:val="26262D"/>
        </w:rPr>
        <w:t xml:space="preserve">l </w:t>
      </w:r>
      <w:r>
        <w:rPr>
          <w:rFonts w:ascii="Arial" w:cs="Arial" w:eastAsia="Arial" w:hAnsi="Arial"/>
          <w:sz w:val="15"/>
          <w:szCs w:val="15"/>
          <w:color w:val="383A42"/>
        </w:rPr>
        <w:t>and</w:t>
      </w:r>
      <w:r>
        <w:rPr>
          <w:rFonts w:ascii="Arial" w:cs="Arial" w:eastAsia="Arial" w:hAnsi="Arial"/>
          <w:sz w:val="15"/>
          <w:szCs w:val="15"/>
          <w:color w:val="26262D"/>
        </w:rPr>
        <w:t xml:space="preserve"> Involuntary </w:t>
      </w:r>
      <w:r>
        <w:rPr>
          <w:rFonts w:ascii="Arial" w:cs="Arial" w:eastAsia="Arial" w:hAnsi="Arial"/>
          <w:sz w:val="15"/>
          <w:szCs w:val="15"/>
          <w:color w:val="383A42"/>
        </w:rPr>
        <w:t>Employment Action</w:t>
      </w:r>
      <w:r>
        <w:rPr>
          <w:rFonts w:ascii="Arial" w:cs="Arial" w:eastAsia="Arial" w:hAnsi="Arial"/>
          <w:sz w:val="15"/>
          <w:szCs w:val="15"/>
          <w:color w:val="26262D"/>
        </w:rPr>
        <w:t xml:space="preserve"> had </w:t>
      </w:r>
      <w:r>
        <w:rPr>
          <w:rFonts w:ascii="Arial" w:cs="Arial" w:eastAsia="Arial" w:hAnsi="Arial"/>
          <w:sz w:val="15"/>
          <w:szCs w:val="15"/>
          <w:color w:val="383A42"/>
        </w:rPr>
        <w:t>occurred under both</w:t>
      </w:r>
      <w:r>
        <w:rPr>
          <w:rFonts w:ascii="Arial" w:cs="Arial" w:eastAsia="Arial" w:hAnsi="Arial"/>
          <w:sz w:val="15"/>
          <w:szCs w:val="15"/>
          <w:color w:val="26262D"/>
        </w:rPr>
        <w:t xml:space="preserve"> the </w:t>
      </w:r>
      <w:r>
        <w:rPr>
          <w:rFonts w:ascii="Arial" w:cs="Arial" w:eastAsia="Arial" w:hAnsi="Arial"/>
          <w:sz w:val="15"/>
          <w:szCs w:val="15"/>
          <w:color w:val="383A42"/>
        </w:rPr>
        <w:t>EVP Severance Plan and</w:t>
      </w:r>
      <w:r>
        <w:rPr>
          <w:rFonts w:ascii="Arial" w:cs="Arial" w:eastAsia="Arial" w:hAnsi="Arial"/>
          <w:sz w:val="15"/>
          <w:szCs w:val="15"/>
          <w:color w:val="26262D"/>
        </w:rPr>
        <w:t xml:space="preserve"> the </w:t>
      </w:r>
      <w:r>
        <w:rPr>
          <w:rFonts w:ascii="Arial" w:cs="Arial" w:eastAsia="Arial" w:hAnsi="Arial"/>
          <w:sz w:val="15"/>
          <w:szCs w:val="15"/>
          <w:color w:val="383A42"/>
        </w:rPr>
        <w:t>2008 Plan</w:t>
      </w:r>
      <w:r>
        <w:rPr>
          <w:rFonts w:ascii="Arial" w:cs="Arial" w:eastAsia="Arial" w:hAnsi="Arial"/>
          <w:sz w:val="15"/>
          <w:szCs w:val="15"/>
          <w:color w:val="67676D"/>
        </w:rPr>
        <w:t>.</w:t>
      </w:r>
      <w:r>
        <w:rPr>
          <w:rFonts w:ascii="Arial" w:cs="Arial" w:eastAsia="Arial" w:hAnsi="Arial"/>
          <w:sz w:val="15"/>
          <w:szCs w:val="15"/>
          <w:color w:val="26262D"/>
        </w:rPr>
        <w:t xml:space="preserve"> </w:t>
      </w:r>
      <w:r>
        <w:rPr>
          <w:rFonts w:ascii="Arial" w:cs="Arial" w:eastAsia="Arial" w:hAnsi="Arial"/>
          <w:sz w:val="15"/>
          <w:szCs w:val="15"/>
          <w:color w:val="383A42"/>
        </w:rPr>
        <w:t>A</w:t>
      </w:r>
      <w:r>
        <w:rPr>
          <w:rFonts w:ascii="Arial" w:cs="Arial" w:eastAsia="Arial" w:hAnsi="Arial"/>
          <w:sz w:val="15"/>
          <w:szCs w:val="15"/>
          <w:color w:val="26262D"/>
        </w:rPr>
        <w:t xml:space="preserve"> </w:t>
      </w:r>
      <w:r>
        <w:rPr>
          <w:rFonts w:ascii="Arial" w:cs="Arial" w:eastAsia="Arial" w:hAnsi="Arial"/>
          <w:sz w:val="15"/>
          <w:szCs w:val="15"/>
          <w:color w:val="67676D"/>
        </w:rPr>
        <w:t>"</w:t>
      </w:r>
      <w:r>
        <w:rPr>
          <w:rFonts w:ascii="Arial" w:cs="Arial" w:eastAsia="Arial" w:hAnsi="Arial"/>
          <w:sz w:val="15"/>
          <w:szCs w:val="15"/>
          <w:color w:val="383A42"/>
        </w:rPr>
        <w:t>CEO Employment Event</w:t>
      </w:r>
      <w:r>
        <w:rPr>
          <w:rFonts w:ascii="Arial" w:cs="Arial" w:eastAsia="Arial" w:hAnsi="Arial"/>
          <w:sz w:val="15"/>
          <w:szCs w:val="15"/>
          <w:color w:val="67676D"/>
        </w:rPr>
        <w:t>"</w:t>
      </w:r>
      <w:r>
        <w:rPr>
          <w:rFonts w:ascii="Arial" w:cs="Arial" w:eastAsia="Arial" w:hAnsi="Arial"/>
          <w:sz w:val="15"/>
          <w:szCs w:val="15"/>
          <w:color w:val="26262D"/>
        </w:rPr>
        <w:t xml:space="preserve"> </w:t>
      </w:r>
      <w:r>
        <w:rPr>
          <w:rFonts w:ascii="Arial" w:cs="Arial" w:eastAsia="Arial" w:hAnsi="Arial"/>
          <w:sz w:val="15"/>
          <w:szCs w:val="15"/>
          <w:color w:val="4F4F56"/>
        </w:rPr>
        <w:t>shall</w:t>
      </w:r>
      <w:r>
        <w:rPr>
          <w:rFonts w:ascii="Arial" w:cs="Arial" w:eastAsia="Arial" w:hAnsi="Arial"/>
          <w:sz w:val="15"/>
          <w:szCs w:val="15"/>
          <w:color w:val="26262D"/>
        </w:rPr>
        <w:t xml:space="preserve"> </w:t>
      </w:r>
      <w:r>
        <w:rPr>
          <w:rFonts w:ascii="Arial" w:cs="Arial" w:eastAsia="Arial" w:hAnsi="Arial"/>
          <w:sz w:val="15"/>
          <w:szCs w:val="15"/>
          <w:color w:val="383A42"/>
        </w:rPr>
        <w:t>mean</w:t>
      </w:r>
      <w:r>
        <w:rPr>
          <w:rFonts w:ascii="Arial" w:cs="Arial" w:eastAsia="Arial" w:hAnsi="Arial"/>
          <w:sz w:val="15"/>
          <w:szCs w:val="15"/>
          <w:color w:val="26262D"/>
        </w:rPr>
        <w:t xml:space="preserve"> the </w:t>
      </w:r>
      <w:r>
        <w:rPr>
          <w:rFonts w:ascii="Arial" w:cs="Arial" w:eastAsia="Arial" w:hAnsi="Arial"/>
          <w:sz w:val="15"/>
          <w:szCs w:val="15"/>
          <w:color w:val="383A42"/>
        </w:rPr>
        <w:t>involuntary</w:t>
      </w:r>
      <w:r>
        <w:rPr>
          <w:rFonts w:ascii="Arial" w:cs="Arial" w:eastAsia="Arial" w:hAnsi="Arial"/>
          <w:sz w:val="15"/>
          <w:szCs w:val="15"/>
          <w:color w:val="26262D"/>
        </w:rPr>
        <w:t xml:space="preserve"> termination </w:t>
      </w:r>
      <w:r>
        <w:rPr>
          <w:rFonts w:ascii="Arial" w:cs="Arial" w:eastAsia="Arial" w:hAnsi="Arial"/>
          <w:sz w:val="15"/>
          <w:szCs w:val="15"/>
          <w:color w:val="383A42"/>
        </w:rPr>
        <w:t>of your employment, other</w:t>
      </w:r>
      <w:r>
        <w:rPr>
          <w:rFonts w:ascii="Arial" w:cs="Arial" w:eastAsia="Arial" w:hAnsi="Arial"/>
          <w:sz w:val="15"/>
          <w:szCs w:val="15"/>
          <w:color w:val="26262D"/>
        </w:rPr>
        <w:t xml:space="preserve"> than for </w:t>
      </w:r>
      <w:r>
        <w:rPr>
          <w:rFonts w:ascii="Arial" w:cs="Arial" w:eastAsia="Arial" w:hAnsi="Arial"/>
          <w:sz w:val="15"/>
          <w:szCs w:val="15"/>
          <w:color w:val="383A42"/>
        </w:rPr>
        <w:t>Cause</w:t>
      </w:r>
      <w:r>
        <w:rPr>
          <w:rFonts w:ascii="Arial" w:cs="Arial" w:eastAsia="Arial" w:hAnsi="Arial"/>
          <w:sz w:val="15"/>
          <w:szCs w:val="15"/>
          <w:color w:val="67676D"/>
        </w:rPr>
        <w:t>,</w:t>
      </w:r>
      <w:r>
        <w:rPr>
          <w:rFonts w:ascii="Arial" w:cs="Arial" w:eastAsia="Arial" w:hAnsi="Arial"/>
          <w:sz w:val="15"/>
          <w:szCs w:val="15"/>
          <w:color w:val="26262D"/>
        </w:rPr>
        <w:t xml:space="preserve"> </w:t>
      </w:r>
      <w:r>
        <w:rPr>
          <w:rFonts w:ascii="Arial" w:cs="Arial" w:eastAsia="Arial" w:hAnsi="Arial"/>
          <w:sz w:val="15"/>
          <w:szCs w:val="15"/>
          <w:color w:val="383A42"/>
        </w:rPr>
        <w:t>or</w:t>
      </w:r>
      <w:r>
        <w:rPr>
          <w:rFonts w:ascii="Arial" w:cs="Arial" w:eastAsia="Arial" w:hAnsi="Arial"/>
          <w:sz w:val="15"/>
          <w:szCs w:val="15"/>
          <w:color w:val="26262D"/>
        </w:rPr>
        <w:t xml:space="preserve"> the t</w:t>
      </w:r>
      <w:r>
        <w:rPr>
          <w:rFonts w:ascii="Arial" w:cs="Arial" w:eastAsia="Arial" w:hAnsi="Arial"/>
          <w:sz w:val="15"/>
          <w:szCs w:val="15"/>
          <w:color w:val="4F4F56"/>
        </w:rPr>
        <w:t>ermination</w:t>
      </w:r>
      <w:r>
        <w:rPr>
          <w:rFonts w:ascii="Arial" w:cs="Arial" w:eastAsia="Arial" w:hAnsi="Arial"/>
          <w:sz w:val="15"/>
          <w:szCs w:val="15"/>
          <w:color w:val="26262D"/>
        </w:rPr>
        <w:t xml:space="preserve"> </w:t>
      </w:r>
      <w:r>
        <w:rPr>
          <w:rFonts w:ascii="Arial" w:cs="Arial" w:eastAsia="Arial" w:hAnsi="Arial"/>
          <w:sz w:val="15"/>
          <w:szCs w:val="15"/>
          <w:color w:val="383A42"/>
        </w:rPr>
        <w:t>by</w:t>
      </w:r>
      <w:r>
        <w:rPr>
          <w:rFonts w:ascii="Arial" w:cs="Arial" w:eastAsia="Arial" w:hAnsi="Arial"/>
          <w:sz w:val="15"/>
          <w:szCs w:val="15"/>
          <w:color w:val="26262D"/>
        </w:rPr>
        <w:t xml:space="preserve"> you </w:t>
      </w:r>
      <w:r>
        <w:rPr>
          <w:rFonts w:ascii="Arial" w:cs="Arial" w:eastAsia="Arial" w:hAnsi="Arial"/>
          <w:sz w:val="15"/>
          <w:szCs w:val="15"/>
          <w:color w:val="383A42"/>
        </w:rPr>
        <w:t>of your employment</w:t>
      </w:r>
      <w:r>
        <w:rPr>
          <w:rFonts w:ascii="Arial" w:cs="Arial" w:eastAsia="Arial" w:hAnsi="Arial"/>
          <w:sz w:val="15"/>
          <w:szCs w:val="15"/>
          <w:color w:val="26262D"/>
        </w:rPr>
        <w:t xml:space="preserve"> with Biogen</w:t>
      </w:r>
      <w:r>
        <w:rPr>
          <w:rFonts w:ascii="Arial" w:cs="Arial" w:eastAsia="Arial" w:hAnsi="Arial"/>
          <w:sz w:val="15"/>
          <w:szCs w:val="15"/>
          <w:color w:val="4F4F56"/>
        </w:rPr>
        <w:t>,</w:t>
      </w:r>
      <w:r>
        <w:rPr>
          <w:rFonts w:ascii="Arial" w:cs="Arial" w:eastAsia="Arial" w:hAnsi="Arial"/>
          <w:sz w:val="15"/>
          <w:szCs w:val="15"/>
          <w:color w:val="26262D"/>
        </w:rPr>
        <w:t xml:space="preserve"> </w:t>
      </w:r>
      <w:r>
        <w:rPr>
          <w:rFonts w:ascii="Arial" w:cs="Arial" w:eastAsia="Arial" w:hAnsi="Arial"/>
          <w:sz w:val="15"/>
          <w:szCs w:val="15"/>
          <w:color w:val="383A42"/>
        </w:rPr>
        <w:t>upon</w:t>
      </w:r>
      <w:r>
        <w:rPr>
          <w:rFonts w:ascii="Arial" w:cs="Arial" w:eastAsia="Arial" w:hAnsi="Arial"/>
          <w:sz w:val="15"/>
          <w:szCs w:val="15"/>
          <w:color w:val="26262D"/>
        </w:rPr>
        <w:t xml:space="preserve"> the </w:t>
      </w:r>
      <w:r>
        <w:rPr>
          <w:rFonts w:ascii="Arial" w:cs="Arial" w:eastAsia="Arial" w:hAnsi="Arial"/>
          <w:sz w:val="15"/>
          <w:szCs w:val="15"/>
          <w:color w:val="383A42"/>
        </w:rPr>
        <w:t>occurrence of</w:t>
      </w:r>
      <w:r>
        <w:rPr>
          <w:rFonts w:ascii="Arial" w:cs="Arial" w:eastAsia="Arial" w:hAnsi="Arial"/>
          <w:sz w:val="15"/>
          <w:szCs w:val="15"/>
          <w:color w:val="26262D"/>
        </w:rPr>
        <w:t xml:space="preserve"> the following</w:t>
      </w:r>
      <w:r>
        <w:rPr>
          <w:rFonts w:ascii="Arial" w:cs="Arial" w:eastAsia="Arial" w:hAnsi="Arial"/>
          <w:sz w:val="15"/>
          <w:szCs w:val="15"/>
          <w:color w:val="67676D"/>
        </w:rPr>
        <w:t>:</w:t>
      </w:r>
      <w:r>
        <w:rPr>
          <w:rFonts w:ascii="Arial" w:cs="Arial" w:eastAsia="Arial" w:hAnsi="Arial"/>
          <w:sz w:val="15"/>
          <w:szCs w:val="15"/>
          <w:color w:val="26262D"/>
        </w:rPr>
        <w:t xml:space="preserve"> </w:t>
      </w:r>
      <w:r>
        <w:rPr>
          <w:rFonts w:ascii="Arial" w:cs="Arial" w:eastAsia="Arial" w:hAnsi="Arial"/>
          <w:sz w:val="15"/>
          <w:szCs w:val="15"/>
          <w:color w:val="383A42"/>
        </w:rPr>
        <w:t>a</w:t>
      </w:r>
      <w:r>
        <w:rPr>
          <w:rFonts w:ascii="Arial" w:cs="Arial" w:eastAsia="Arial" w:hAnsi="Arial"/>
          <w:sz w:val="15"/>
          <w:szCs w:val="15"/>
          <w:color w:val="26262D"/>
        </w:rPr>
        <w:t xml:space="preserve"> new </w:t>
      </w:r>
      <w:r>
        <w:rPr>
          <w:rFonts w:ascii="Arial" w:cs="Arial" w:eastAsia="Arial" w:hAnsi="Arial"/>
          <w:sz w:val="15"/>
          <w:szCs w:val="15"/>
          <w:color w:val="383A42"/>
        </w:rPr>
        <w:t>Chief</w:t>
      </w:r>
      <w:r>
        <w:rPr>
          <w:rFonts w:ascii="Arial" w:cs="Arial" w:eastAsia="Arial" w:hAnsi="Arial"/>
          <w:sz w:val="15"/>
          <w:szCs w:val="15"/>
          <w:color w:val="26262D"/>
        </w:rPr>
        <w:t xml:space="preserve"> </w:t>
      </w:r>
      <w:r>
        <w:rPr>
          <w:rFonts w:ascii="Arial" w:cs="Arial" w:eastAsia="Arial" w:hAnsi="Arial"/>
          <w:sz w:val="15"/>
          <w:szCs w:val="15"/>
          <w:color w:val="4F4F56"/>
        </w:rPr>
        <w:t>Exec</w:t>
      </w:r>
      <w:r>
        <w:rPr>
          <w:rFonts w:ascii="Arial" w:cs="Arial" w:eastAsia="Arial" w:hAnsi="Arial"/>
          <w:sz w:val="15"/>
          <w:szCs w:val="15"/>
          <w:color w:val="26262D"/>
        </w:rPr>
        <w:t>utive Offi</w:t>
      </w:r>
      <w:r>
        <w:rPr>
          <w:rFonts w:ascii="Arial" w:cs="Arial" w:eastAsia="Arial" w:hAnsi="Arial"/>
          <w:sz w:val="15"/>
          <w:szCs w:val="15"/>
          <w:color w:val="4F4F56"/>
        </w:rPr>
        <w:t>cer</w:t>
      </w:r>
      <w:r>
        <w:rPr>
          <w:rFonts w:ascii="Arial" w:cs="Arial" w:eastAsia="Arial" w:hAnsi="Arial"/>
          <w:sz w:val="15"/>
          <w:szCs w:val="15"/>
          <w:color w:val="26262D"/>
        </w:rPr>
        <w:t xml:space="preserve"> </w:t>
      </w:r>
      <w:r>
        <w:rPr>
          <w:rFonts w:ascii="Arial" w:cs="Arial" w:eastAsia="Arial" w:hAnsi="Arial"/>
          <w:sz w:val="15"/>
          <w:szCs w:val="15"/>
          <w:color w:val="383A42"/>
        </w:rPr>
        <w:t>(CEO) of</w:t>
      </w:r>
      <w:r>
        <w:rPr>
          <w:rFonts w:ascii="Arial" w:cs="Arial" w:eastAsia="Arial" w:hAnsi="Arial"/>
          <w:sz w:val="15"/>
          <w:szCs w:val="15"/>
          <w:color w:val="26262D"/>
        </w:rPr>
        <w:t xml:space="preserve"> the </w:t>
      </w:r>
      <w:r>
        <w:rPr>
          <w:rFonts w:ascii="Arial" w:cs="Arial" w:eastAsia="Arial" w:hAnsi="Arial"/>
          <w:sz w:val="15"/>
          <w:szCs w:val="15"/>
          <w:color w:val="383A42"/>
        </w:rPr>
        <w:t xml:space="preserve">Company </w:t>
      </w:r>
      <w:r>
        <w:rPr>
          <w:rFonts w:ascii="Arial" w:cs="Arial" w:eastAsia="Arial" w:hAnsi="Arial"/>
          <w:sz w:val="15"/>
          <w:szCs w:val="15"/>
          <w:color w:val="26262D"/>
        </w:rPr>
        <w:t>is</w:t>
      </w:r>
      <w:r>
        <w:rPr>
          <w:rFonts w:ascii="Arial" w:cs="Arial" w:eastAsia="Arial" w:hAnsi="Arial"/>
          <w:sz w:val="15"/>
          <w:szCs w:val="15"/>
          <w:color w:val="383A42"/>
        </w:rPr>
        <w:t xml:space="preserve"> appointed and as a </w:t>
      </w:r>
      <w:r>
        <w:rPr>
          <w:rFonts w:ascii="Arial" w:cs="Arial" w:eastAsia="Arial" w:hAnsi="Arial"/>
          <w:sz w:val="15"/>
          <w:szCs w:val="15"/>
          <w:color w:val="4F4F56"/>
        </w:rPr>
        <w:t>res</w:t>
      </w:r>
      <w:r>
        <w:rPr>
          <w:rFonts w:ascii="Arial" w:cs="Arial" w:eastAsia="Arial" w:hAnsi="Arial"/>
          <w:sz w:val="15"/>
          <w:szCs w:val="15"/>
          <w:color w:val="26262D"/>
        </w:rPr>
        <w:t>ult there is</w:t>
      </w:r>
      <w:r>
        <w:rPr>
          <w:rFonts w:ascii="Arial" w:cs="Arial" w:eastAsia="Arial" w:hAnsi="Arial"/>
          <w:sz w:val="15"/>
          <w:szCs w:val="15"/>
          <w:color w:val="383A42"/>
        </w:rPr>
        <w:t xml:space="preserve"> either (1) a material and substantial </w:t>
      </w:r>
      <w:r>
        <w:rPr>
          <w:rFonts w:ascii="Arial" w:cs="Arial" w:eastAsia="Arial" w:hAnsi="Arial"/>
          <w:sz w:val="15"/>
          <w:szCs w:val="15"/>
          <w:color w:val="67676D"/>
        </w:rPr>
        <w:t>c</w:t>
      </w:r>
      <w:r>
        <w:rPr>
          <w:rFonts w:ascii="Arial" w:cs="Arial" w:eastAsia="Arial" w:hAnsi="Arial"/>
          <w:sz w:val="15"/>
          <w:szCs w:val="15"/>
          <w:color w:val="383A42"/>
        </w:rPr>
        <w:t xml:space="preserve">hange </w:t>
      </w:r>
      <w:r>
        <w:rPr>
          <w:rFonts w:ascii="Arial" w:cs="Arial" w:eastAsia="Arial" w:hAnsi="Arial"/>
          <w:sz w:val="15"/>
          <w:szCs w:val="15"/>
          <w:color w:val="26262D"/>
        </w:rPr>
        <w:t>i</w:t>
      </w:r>
      <w:r>
        <w:rPr>
          <w:rFonts w:ascii="Arial" w:cs="Arial" w:eastAsia="Arial" w:hAnsi="Arial"/>
          <w:sz w:val="15"/>
          <w:szCs w:val="15"/>
          <w:color w:val="4F4F56"/>
        </w:rPr>
        <w:t>n</w:t>
      </w:r>
      <w:r>
        <w:rPr>
          <w:rFonts w:ascii="Arial" w:cs="Arial" w:eastAsia="Arial" w:hAnsi="Arial"/>
          <w:sz w:val="15"/>
          <w:szCs w:val="15"/>
          <w:color w:val="383A42"/>
        </w:rPr>
        <w:t xml:space="preserve"> the financial </w:t>
      </w:r>
      <w:r>
        <w:rPr>
          <w:rFonts w:ascii="Arial" w:cs="Arial" w:eastAsia="Arial" w:hAnsi="Arial"/>
          <w:sz w:val="15"/>
          <w:szCs w:val="15"/>
          <w:color w:val="26262D"/>
        </w:rPr>
        <w:t>spend</w:t>
      </w:r>
      <w:r>
        <w:rPr>
          <w:rFonts w:ascii="Arial" w:cs="Arial" w:eastAsia="Arial" w:hAnsi="Arial"/>
          <w:sz w:val="15"/>
          <w:szCs w:val="15"/>
          <w:color w:val="383A42"/>
        </w:rPr>
        <w:t xml:space="preserve"> </w:t>
      </w:r>
      <w:r>
        <w:rPr>
          <w:rFonts w:ascii="Arial" w:cs="Arial" w:eastAsia="Arial" w:hAnsi="Arial"/>
          <w:sz w:val="15"/>
          <w:szCs w:val="15"/>
          <w:color w:val="4F4F56"/>
        </w:rPr>
        <w:t>com</w:t>
      </w:r>
      <w:r>
        <w:rPr>
          <w:rFonts w:ascii="Arial" w:cs="Arial" w:eastAsia="Arial" w:hAnsi="Arial"/>
          <w:sz w:val="15"/>
          <w:szCs w:val="15"/>
          <w:color w:val="26262D"/>
        </w:rPr>
        <w:t>mitted to</w:t>
      </w:r>
      <w:r>
        <w:rPr>
          <w:rFonts w:ascii="Arial" w:cs="Arial" w:eastAsia="Arial" w:hAnsi="Arial"/>
          <w:sz w:val="15"/>
          <w:szCs w:val="15"/>
          <w:color w:val="383A42"/>
        </w:rPr>
        <w:t xml:space="preserve"> t</w:t>
      </w:r>
      <w:r>
        <w:rPr>
          <w:rFonts w:ascii="Arial" w:cs="Arial" w:eastAsia="Arial" w:hAnsi="Arial"/>
          <w:sz w:val="15"/>
          <w:szCs w:val="15"/>
          <w:color w:val="446475"/>
        </w:rPr>
        <w:t>h</w:t>
      </w:r>
      <w:r>
        <w:rPr>
          <w:rFonts w:ascii="Arial" w:cs="Arial" w:eastAsia="Arial" w:hAnsi="Arial"/>
          <w:sz w:val="15"/>
          <w:szCs w:val="15"/>
          <w:color w:val="4F4F56"/>
        </w:rPr>
        <w:t>e</w:t>
      </w:r>
      <w:r>
        <w:rPr>
          <w:rFonts w:ascii="Arial" w:cs="Arial" w:eastAsia="Arial" w:hAnsi="Arial"/>
          <w:sz w:val="15"/>
          <w:szCs w:val="15"/>
          <w:color w:val="383A42"/>
        </w:rPr>
        <w:t xml:space="preserve"> </w:t>
      </w:r>
      <w:r>
        <w:rPr>
          <w:rFonts w:ascii="Arial" w:cs="Arial" w:eastAsia="Arial" w:hAnsi="Arial"/>
          <w:sz w:val="15"/>
          <w:szCs w:val="15"/>
          <w:color w:val="26262D"/>
        </w:rPr>
        <w:t>Resear</w:t>
      </w:r>
      <w:r>
        <w:rPr>
          <w:rFonts w:ascii="Arial" w:cs="Arial" w:eastAsia="Arial" w:hAnsi="Arial"/>
          <w:sz w:val="15"/>
          <w:szCs w:val="15"/>
          <w:color w:val="4F4F56"/>
        </w:rPr>
        <w:t>ch</w:t>
      </w:r>
      <w:r>
        <w:rPr>
          <w:rFonts w:ascii="Arial" w:cs="Arial" w:eastAsia="Arial" w:hAnsi="Arial"/>
          <w:sz w:val="15"/>
          <w:szCs w:val="15"/>
          <w:color w:val="383A42"/>
        </w:rPr>
        <w:t xml:space="preserve"> &amp; </w:t>
      </w:r>
      <w:r>
        <w:rPr>
          <w:rFonts w:ascii="Arial" w:cs="Arial" w:eastAsia="Arial" w:hAnsi="Arial"/>
          <w:sz w:val="15"/>
          <w:szCs w:val="15"/>
          <w:color w:val="26262D"/>
        </w:rPr>
        <w:t>D</w:t>
      </w:r>
      <w:r>
        <w:rPr>
          <w:rFonts w:ascii="Arial" w:cs="Arial" w:eastAsia="Arial" w:hAnsi="Arial"/>
          <w:sz w:val="15"/>
          <w:szCs w:val="15"/>
          <w:color w:val="4F4F56"/>
        </w:rPr>
        <w:t>evelop</w:t>
      </w:r>
      <w:r>
        <w:rPr>
          <w:rFonts w:ascii="Arial" w:cs="Arial" w:eastAsia="Arial" w:hAnsi="Arial"/>
          <w:sz w:val="15"/>
          <w:szCs w:val="15"/>
          <w:color w:val="26262D"/>
        </w:rPr>
        <w:t>m</w:t>
      </w:r>
      <w:r>
        <w:rPr>
          <w:rFonts w:ascii="Arial" w:cs="Arial" w:eastAsia="Arial" w:hAnsi="Arial"/>
          <w:sz w:val="15"/>
          <w:szCs w:val="15"/>
          <w:color w:val="4F4F56"/>
        </w:rPr>
        <w:t>e</w:t>
      </w:r>
      <w:r>
        <w:rPr>
          <w:rFonts w:ascii="Arial" w:cs="Arial" w:eastAsia="Arial" w:hAnsi="Arial"/>
          <w:sz w:val="15"/>
          <w:szCs w:val="15"/>
          <w:color w:val="26262D"/>
        </w:rPr>
        <w:t>nt O</w:t>
      </w:r>
      <w:r>
        <w:rPr>
          <w:rFonts w:ascii="Arial" w:cs="Arial" w:eastAsia="Arial" w:hAnsi="Arial"/>
          <w:sz w:val="15"/>
          <w:szCs w:val="15"/>
          <w:color w:val="4F4F56"/>
        </w:rPr>
        <w:t>rganization</w:t>
      </w:r>
      <w:r>
        <w:rPr>
          <w:rFonts w:ascii="Arial" w:cs="Arial" w:eastAsia="Arial" w:hAnsi="Arial"/>
          <w:sz w:val="15"/>
          <w:szCs w:val="15"/>
          <w:color w:val="26262D"/>
        </w:rPr>
        <w:t xml:space="preserve"> </w:t>
      </w:r>
      <w:r>
        <w:rPr>
          <w:rFonts w:ascii="Arial" w:cs="Arial" w:eastAsia="Arial" w:hAnsi="Arial"/>
          <w:sz w:val="15"/>
          <w:szCs w:val="15"/>
          <w:color w:val="383A42"/>
        </w:rPr>
        <w:t>o</w:t>
      </w:r>
      <w:r>
        <w:rPr>
          <w:rFonts w:ascii="Arial" w:cs="Arial" w:eastAsia="Arial" w:hAnsi="Arial"/>
          <w:sz w:val="15"/>
          <w:szCs w:val="15"/>
          <w:color w:val="67676D"/>
        </w:rPr>
        <w:t>r</w:t>
      </w:r>
      <w:r>
        <w:rPr>
          <w:rFonts w:ascii="Arial" w:cs="Arial" w:eastAsia="Arial" w:hAnsi="Arial"/>
          <w:sz w:val="15"/>
          <w:szCs w:val="15"/>
          <w:color w:val="26262D"/>
        </w:rPr>
        <w:t xml:space="preserve"> </w:t>
      </w:r>
      <w:r>
        <w:rPr>
          <w:rFonts w:ascii="Arial" w:cs="Arial" w:eastAsia="Arial" w:hAnsi="Arial"/>
          <w:sz w:val="15"/>
          <w:szCs w:val="15"/>
          <w:color w:val="383A42"/>
        </w:rPr>
        <w:t>(2) a material alteration and</w:t>
      </w:r>
      <w:r>
        <w:rPr>
          <w:rFonts w:ascii="Arial" w:cs="Arial" w:eastAsia="Arial" w:hAnsi="Arial"/>
          <w:sz w:val="15"/>
          <w:szCs w:val="15"/>
          <w:color w:val="26262D"/>
        </w:rPr>
        <w:t xml:space="preserve"> diminution </w:t>
      </w:r>
      <w:r>
        <w:rPr>
          <w:rFonts w:ascii="Arial" w:cs="Arial" w:eastAsia="Arial" w:hAnsi="Arial"/>
          <w:sz w:val="15"/>
          <w:szCs w:val="15"/>
          <w:color w:val="383A42"/>
        </w:rPr>
        <w:t>in your authority, duties or</w:t>
      </w:r>
      <w:r>
        <w:rPr>
          <w:rFonts w:ascii="Arial" w:cs="Arial" w:eastAsia="Arial" w:hAnsi="Arial"/>
          <w:sz w:val="15"/>
          <w:szCs w:val="15"/>
          <w:color w:val="26262D"/>
        </w:rPr>
        <w:t xml:space="preserve"> responsibilities (othe</w:t>
      </w:r>
      <w:r>
        <w:rPr>
          <w:rFonts w:ascii="Arial" w:cs="Arial" w:eastAsia="Arial" w:hAnsi="Arial"/>
          <w:sz w:val="15"/>
          <w:szCs w:val="15"/>
          <w:color w:val="4F4F56"/>
        </w:rPr>
        <w:t>r</w:t>
      </w:r>
      <w:r>
        <w:rPr>
          <w:rFonts w:ascii="Arial" w:cs="Arial" w:eastAsia="Arial" w:hAnsi="Arial"/>
          <w:sz w:val="15"/>
          <w:szCs w:val="15"/>
          <w:color w:val="26262D"/>
        </w:rPr>
        <w:t xml:space="preserve"> </w:t>
      </w:r>
      <w:r>
        <w:rPr>
          <w:rFonts w:ascii="Arial" w:cs="Arial" w:eastAsia="Arial" w:hAnsi="Arial"/>
          <w:sz w:val="15"/>
          <w:szCs w:val="15"/>
          <w:color w:val="383A42"/>
        </w:rPr>
        <w:t>than a</w:t>
      </w:r>
      <w:r>
        <w:rPr>
          <w:rFonts w:ascii="Arial" w:cs="Arial" w:eastAsia="Arial" w:hAnsi="Arial"/>
          <w:sz w:val="15"/>
          <w:szCs w:val="15"/>
          <w:color w:val="26262D"/>
        </w:rPr>
        <w:t xml:space="preserve"> mere </w:t>
      </w:r>
      <w:r>
        <w:rPr>
          <w:rFonts w:ascii="Arial" w:cs="Arial" w:eastAsia="Arial" w:hAnsi="Arial"/>
          <w:sz w:val="15"/>
          <w:szCs w:val="15"/>
          <w:color w:val="383A42"/>
        </w:rPr>
        <w:t>change</w:t>
      </w:r>
      <w:r>
        <w:rPr>
          <w:rFonts w:ascii="Arial" w:cs="Arial" w:eastAsia="Arial" w:hAnsi="Arial"/>
          <w:sz w:val="15"/>
          <w:szCs w:val="15"/>
          <w:color w:val="26262D"/>
        </w:rPr>
        <w:t xml:space="preserve"> in titl</w:t>
      </w:r>
      <w:r>
        <w:rPr>
          <w:rFonts w:ascii="Arial" w:cs="Arial" w:eastAsia="Arial" w:hAnsi="Arial"/>
          <w:sz w:val="15"/>
          <w:szCs w:val="15"/>
          <w:color w:val="4F4F56"/>
        </w:rPr>
        <w:t>e)</w:t>
      </w:r>
      <w:r>
        <w:rPr>
          <w:rFonts w:ascii="Arial" w:cs="Arial" w:eastAsia="Arial" w:hAnsi="Arial"/>
          <w:sz w:val="15"/>
          <w:szCs w:val="15"/>
          <w:color w:val="26262D"/>
        </w:rPr>
        <w:t xml:space="preserve"> </w:t>
      </w:r>
      <w:r>
        <w:rPr>
          <w:rFonts w:ascii="Arial" w:cs="Arial" w:eastAsia="Arial" w:hAnsi="Arial"/>
          <w:sz w:val="15"/>
          <w:szCs w:val="15"/>
          <w:color w:val="383A42"/>
        </w:rPr>
        <w:t>as</w:t>
      </w:r>
      <w:r>
        <w:rPr>
          <w:rFonts w:ascii="Arial" w:cs="Arial" w:eastAsia="Arial" w:hAnsi="Arial"/>
          <w:sz w:val="15"/>
          <w:szCs w:val="15"/>
          <w:color w:val="26262D"/>
        </w:rPr>
        <w:t xml:space="preserve"> they </w:t>
      </w:r>
      <w:r>
        <w:rPr>
          <w:rFonts w:ascii="Arial" w:cs="Arial" w:eastAsia="Arial" w:hAnsi="Arial"/>
          <w:sz w:val="15"/>
          <w:szCs w:val="15"/>
          <w:color w:val="383A42"/>
        </w:rPr>
        <w:t>existed immediately</w:t>
      </w:r>
      <w:r>
        <w:rPr>
          <w:rFonts w:ascii="Arial" w:cs="Arial" w:eastAsia="Arial" w:hAnsi="Arial"/>
          <w:sz w:val="15"/>
          <w:szCs w:val="15"/>
          <w:color w:val="26262D"/>
        </w:rPr>
        <w:t xml:space="preserve"> prior to the </w:t>
      </w:r>
      <w:r>
        <w:rPr>
          <w:rFonts w:ascii="Arial" w:cs="Arial" w:eastAsia="Arial" w:hAnsi="Arial"/>
          <w:sz w:val="15"/>
          <w:szCs w:val="15"/>
          <w:color w:val="383A42"/>
        </w:rPr>
        <w:t>appointment</w:t>
      </w:r>
      <w:r>
        <w:rPr>
          <w:rFonts w:ascii="Arial" w:cs="Arial" w:eastAsia="Arial" w:hAnsi="Arial"/>
          <w:sz w:val="15"/>
          <w:szCs w:val="15"/>
          <w:color w:val="26262D"/>
        </w:rPr>
        <w:t xml:space="preserve"> of the new </w:t>
      </w:r>
      <w:r>
        <w:rPr>
          <w:rFonts w:ascii="Arial" w:cs="Arial" w:eastAsia="Arial" w:hAnsi="Arial"/>
          <w:sz w:val="15"/>
          <w:szCs w:val="15"/>
          <w:color w:val="383A42"/>
        </w:rPr>
        <w:t>CEO</w:t>
      </w:r>
      <w:r>
        <w:rPr>
          <w:rFonts w:ascii="Arial" w:cs="Arial" w:eastAsia="Arial" w:hAnsi="Arial"/>
          <w:sz w:val="15"/>
          <w:szCs w:val="15"/>
          <w:color w:val="67676D"/>
        </w:rPr>
        <w:t>;</w:t>
      </w:r>
      <w:r>
        <w:rPr>
          <w:rFonts w:ascii="Arial" w:cs="Arial" w:eastAsia="Arial" w:hAnsi="Arial"/>
          <w:sz w:val="15"/>
          <w:szCs w:val="15"/>
          <w:color w:val="26262D"/>
        </w:rPr>
        <w:t xml:space="preserve"> provided</w:t>
      </w:r>
      <w:r>
        <w:rPr>
          <w:rFonts w:ascii="Arial" w:cs="Arial" w:eastAsia="Arial" w:hAnsi="Arial"/>
          <w:sz w:val="15"/>
          <w:szCs w:val="15"/>
          <w:color w:val="67676D"/>
        </w:rPr>
        <w:t>,</w:t>
      </w:r>
      <w:r>
        <w:rPr>
          <w:rFonts w:ascii="Arial" w:cs="Arial" w:eastAsia="Arial" w:hAnsi="Arial"/>
          <w:sz w:val="15"/>
          <w:szCs w:val="15"/>
          <w:color w:val="26262D"/>
        </w:rPr>
        <w:t xml:space="preserve"> however, that </w:t>
      </w:r>
      <w:r>
        <w:rPr>
          <w:rFonts w:ascii="Arial" w:cs="Arial" w:eastAsia="Arial" w:hAnsi="Arial"/>
          <w:sz w:val="15"/>
          <w:szCs w:val="15"/>
          <w:color w:val="383A42"/>
        </w:rPr>
        <w:t>you</w:t>
      </w:r>
      <w:r>
        <w:rPr>
          <w:rFonts w:ascii="Arial" w:cs="Arial" w:eastAsia="Arial" w:hAnsi="Arial"/>
          <w:sz w:val="15"/>
          <w:szCs w:val="15"/>
          <w:color w:val="26262D"/>
        </w:rPr>
        <w:t xml:space="preserve"> must </w:t>
      </w:r>
      <w:r>
        <w:rPr>
          <w:rFonts w:ascii="Arial" w:cs="Arial" w:eastAsia="Arial" w:hAnsi="Arial"/>
          <w:sz w:val="15"/>
          <w:szCs w:val="15"/>
          <w:color w:val="383A42"/>
        </w:rPr>
        <w:t>notify</w:t>
      </w:r>
      <w:r>
        <w:rPr>
          <w:rFonts w:ascii="Arial" w:cs="Arial" w:eastAsia="Arial" w:hAnsi="Arial"/>
          <w:sz w:val="15"/>
          <w:szCs w:val="15"/>
          <w:color w:val="26262D"/>
        </w:rPr>
        <w:t xml:space="preserve"> the </w:t>
      </w:r>
      <w:r>
        <w:rPr>
          <w:rFonts w:ascii="Arial" w:cs="Arial" w:eastAsia="Arial" w:hAnsi="Arial"/>
          <w:sz w:val="15"/>
          <w:szCs w:val="15"/>
          <w:color w:val="383A42"/>
        </w:rPr>
        <w:t>Chief</w:t>
      </w:r>
      <w:r>
        <w:rPr>
          <w:rFonts w:ascii="Arial" w:cs="Arial" w:eastAsia="Arial" w:hAnsi="Arial"/>
          <w:sz w:val="15"/>
          <w:szCs w:val="15"/>
          <w:color w:val="26262D"/>
        </w:rPr>
        <w:t xml:space="preserve"> Legal </w:t>
      </w:r>
      <w:r>
        <w:rPr>
          <w:rFonts w:ascii="Arial" w:cs="Arial" w:eastAsia="Arial" w:hAnsi="Arial"/>
          <w:sz w:val="15"/>
          <w:szCs w:val="15"/>
          <w:color w:val="383A42"/>
        </w:rPr>
        <w:t>Officer or</w:t>
      </w:r>
      <w:r>
        <w:rPr>
          <w:rFonts w:ascii="Arial" w:cs="Arial" w:eastAsia="Arial" w:hAnsi="Arial"/>
          <w:sz w:val="15"/>
          <w:szCs w:val="15"/>
          <w:color w:val="26262D"/>
        </w:rPr>
        <w:t xml:space="preserve"> </w:t>
      </w:r>
      <w:r>
        <w:rPr>
          <w:rFonts w:ascii="Arial" w:cs="Arial" w:eastAsia="Arial" w:hAnsi="Arial"/>
          <w:sz w:val="15"/>
          <w:szCs w:val="15"/>
          <w:color w:val="1F2128"/>
        </w:rPr>
        <w:t>th</w:t>
      </w:r>
      <w:r>
        <w:rPr>
          <w:rFonts w:ascii="Arial" w:cs="Arial" w:eastAsia="Arial" w:hAnsi="Arial"/>
          <w:sz w:val="15"/>
          <w:szCs w:val="15"/>
          <w:color w:val="3D4149"/>
        </w:rPr>
        <w:t>e</w:t>
      </w:r>
      <w:r>
        <w:rPr>
          <w:rFonts w:ascii="Arial" w:cs="Arial" w:eastAsia="Arial" w:hAnsi="Arial"/>
          <w:sz w:val="15"/>
          <w:szCs w:val="15"/>
          <w:color w:val="1F2128"/>
        </w:rPr>
        <w:t xml:space="preserve"> </w:t>
      </w:r>
      <w:r>
        <w:rPr>
          <w:rFonts w:ascii="Arial" w:cs="Arial" w:eastAsia="Arial" w:hAnsi="Arial"/>
          <w:sz w:val="15"/>
          <w:szCs w:val="15"/>
          <w:color w:val="2F313A"/>
        </w:rPr>
        <w:t>Chief Hum</w:t>
      </w:r>
      <w:r>
        <w:rPr>
          <w:rFonts w:ascii="Arial" w:cs="Arial" w:eastAsia="Arial" w:hAnsi="Arial"/>
          <w:sz w:val="15"/>
          <w:szCs w:val="15"/>
          <w:color w:val="4F4F57"/>
        </w:rPr>
        <w:t>a</w:t>
      </w:r>
      <w:r>
        <w:rPr>
          <w:rFonts w:ascii="Arial" w:cs="Arial" w:eastAsia="Arial" w:hAnsi="Arial"/>
          <w:sz w:val="15"/>
          <w:szCs w:val="15"/>
          <w:color w:val="1F2128"/>
        </w:rPr>
        <w:t xml:space="preserve">n </w:t>
      </w:r>
      <w:r>
        <w:rPr>
          <w:rFonts w:ascii="Arial" w:cs="Arial" w:eastAsia="Arial" w:hAnsi="Arial"/>
          <w:sz w:val="15"/>
          <w:szCs w:val="15"/>
          <w:color w:val="2F313A"/>
        </w:rPr>
        <w:t>Resources Officer of</w:t>
      </w:r>
      <w:r>
        <w:rPr>
          <w:rFonts w:ascii="Arial" w:cs="Arial" w:eastAsia="Arial" w:hAnsi="Arial"/>
          <w:sz w:val="15"/>
          <w:szCs w:val="15"/>
          <w:color w:val="1F2128"/>
        </w:rPr>
        <w:t xml:space="preserve"> the </w:t>
      </w:r>
      <w:r>
        <w:rPr>
          <w:rFonts w:ascii="Arial" w:cs="Arial" w:eastAsia="Arial" w:hAnsi="Arial"/>
          <w:sz w:val="15"/>
          <w:szCs w:val="15"/>
          <w:color w:val="2F313A"/>
        </w:rPr>
        <w:t>Company in writing of</w:t>
      </w:r>
      <w:r>
        <w:rPr>
          <w:rFonts w:ascii="Arial" w:cs="Arial" w:eastAsia="Arial" w:hAnsi="Arial"/>
          <w:sz w:val="15"/>
          <w:szCs w:val="15"/>
          <w:color w:val="1F2128"/>
        </w:rPr>
        <w:t xml:space="preserve"> the </w:t>
      </w:r>
      <w:r>
        <w:rPr>
          <w:rFonts w:ascii="Arial" w:cs="Arial" w:eastAsia="Arial" w:hAnsi="Arial"/>
          <w:sz w:val="15"/>
          <w:szCs w:val="15"/>
          <w:color w:val="2F313A"/>
        </w:rPr>
        <w:t>basis for your involuntary or</w:t>
      </w:r>
      <w:r>
        <w:rPr>
          <w:rFonts w:ascii="Arial" w:cs="Arial" w:eastAsia="Arial" w:hAnsi="Arial"/>
          <w:sz w:val="15"/>
          <w:szCs w:val="15"/>
          <w:color w:val="1F2128"/>
        </w:rPr>
        <w:t xml:space="preserve"> </w:t>
      </w:r>
      <w:r>
        <w:rPr>
          <w:rFonts w:ascii="Arial" w:cs="Arial" w:eastAsia="Arial" w:hAnsi="Arial"/>
          <w:sz w:val="15"/>
          <w:szCs w:val="15"/>
          <w:color w:val="3D4149"/>
        </w:rPr>
        <w:t>vo</w:t>
      </w:r>
      <w:r>
        <w:rPr>
          <w:rFonts w:ascii="Arial" w:cs="Arial" w:eastAsia="Arial" w:hAnsi="Arial"/>
          <w:sz w:val="15"/>
          <w:szCs w:val="15"/>
          <w:color w:val="1F2128"/>
        </w:rPr>
        <w:t>luntary t</w:t>
      </w:r>
      <w:r>
        <w:rPr>
          <w:rFonts w:ascii="Arial" w:cs="Arial" w:eastAsia="Arial" w:hAnsi="Arial"/>
          <w:sz w:val="15"/>
          <w:szCs w:val="15"/>
          <w:color w:val="3D4149"/>
        </w:rPr>
        <w:t>e</w:t>
      </w:r>
      <w:r>
        <w:rPr>
          <w:rFonts w:ascii="Arial" w:cs="Arial" w:eastAsia="Arial" w:hAnsi="Arial"/>
          <w:sz w:val="15"/>
          <w:szCs w:val="15"/>
          <w:color w:val="1F2128"/>
        </w:rPr>
        <w:t>rminati</w:t>
      </w:r>
      <w:r>
        <w:rPr>
          <w:rFonts w:ascii="Arial" w:cs="Arial" w:eastAsia="Arial" w:hAnsi="Arial"/>
          <w:sz w:val="15"/>
          <w:szCs w:val="15"/>
          <w:color w:val="3D4149"/>
        </w:rPr>
        <w:t>on wi</w:t>
      </w:r>
      <w:r>
        <w:rPr>
          <w:rFonts w:ascii="Arial" w:cs="Arial" w:eastAsia="Arial" w:hAnsi="Arial"/>
          <w:sz w:val="15"/>
          <w:szCs w:val="15"/>
          <w:color w:val="1F2128"/>
        </w:rPr>
        <w:t>th</w:t>
      </w:r>
      <w:r>
        <w:rPr>
          <w:rFonts w:ascii="Arial" w:cs="Arial" w:eastAsia="Arial" w:hAnsi="Arial"/>
          <w:sz w:val="15"/>
          <w:szCs w:val="15"/>
          <w:color w:val="3D4149"/>
        </w:rPr>
        <w:t>i</w:t>
      </w:r>
      <w:r>
        <w:rPr>
          <w:rFonts w:ascii="Arial" w:cs="Arial" w:eastAsia="Arial" w:hAnsi="Arial"/>
          <w:sz w:val="15"/>
          <w:szCs w:val="15"/>
          <w:color w:val="1F2128"/>
        </w:rPr>
        <w:t xml:space="preserve">n </w:t>
      </w:r>
      <w:r>
        <w:rPr>
          <w:rFonts w:ascii="Arial" w:cs="Arial" w:eastAsia="Arial" w:hAnsi="Arial"/>
          <w:sz w:val="15"/>
          <w:szCs w:val="15"/>
          <w:color w:val="2F313A"/>
        </w:rPr>
        <w:t>45 days of</w:t>
      </w:r>
      <w:r>
        <w:rPr>
          <w:rFonts w:ascii="Arial" w:cs="Arial" w:eastAsia="Arial" w:hAnsi="Arial"/>
          <w:sz w:val="15"/>
          <w:szCs w:val="15"/>
          <w:color w:val="1F2128"/>
        </w:rPr>
        <w:t xml:space="preserve"> th</w:t>
      </w:r>
      <w:r>
        <w:rPr>
          <w:rFonts w:ascii="Arial" w:cs="Arial" w:eastAsia="Arial" w:hAnsi="Arial"/>
          <w:sz w:val="15"/>
          <w:szCs w:val="15"/>
          <w:color w:val="4F4F57"/>
        </w:rPr>
        <w:t>e</w:t>
      </w:r>
      <w:r>
        <w:rPr>
          <w:rFonts w:ascii="Arial" w:cs="Arial" w:eastAsia="Arial" w:hAnsi="Arial"/>
          <w:sz w:val="15"/>
          <w:szCs w:val="15"/>
          <w:color w:val="1F2128"/>
        </w:rPr>
        <w:t xml:space="preserve"> </w:t>
      </w:r>
      <w:r>
        <w:rPr>
          <w:rFonts w:ascii="Arial" w:cs="Arial" w:eastAsia="Arial" w:hAnsi="Arial"/>
          <w:sz w:val="15"/>
          <w:szCs w:val="15"/>
          <w:color w:val="2F313A"/>
        </w:rPr>
        <w:t xml:space="preserve">occurrence of </w:t>
      </w:r>
      <w:r>
        <w:rPr>
          <w:rFonts w:ascii="Arial" w:cs="Arial" w:eastAsia="Arial" w:hAnsi="Arial"/>
          <w:sz w:val="15"/>
          <w:szCs w:val="15"/>
          <w:color w:val="1F2128"/>
        </w:rPr>
        <w:t>the</w:t>
      </w:r>
      <w:r>
        <w:rPr>
          <w:rFonts w:ascii="Arial" w:cs="Arial" w:eastAsia="Arial" w:hAnsi="Arial"/>
          <w:sz w:val="15"/>
          <w:szCs w:val="15"/>
          <w:color w:val="2F313A"/>
        </w:rPr>
        <w:t xml:space="preserve"> circumstance and </w:t>
      </w:r>
      <w:r>
        <w:rPr>
          <w:rFonts w:ascii="Arial" w:cs="Arial" w:eastAsia="Arial" w:hAnsi="Arial"/>
          <w:sz w:val="15"/>
          <w:szCs w:val="15"/>
          <w:color w:val="1F2128"/>
        </w:rPr>
        <w:t>the</w:t>
      </w:r>
      <w:r>
        <w:rPr>
          <w:rFonts w:ascii="Arial" w:cs="Arial" w:eastAsia="Arial" w:hAnsi="Arial"/>
          <w:sz w:val="15"/>
          <w:szCs w:val="15"/>
          <w:color w:val="2F313A"/>
        </w:rPr>
        <w:t xml:space="preserve"> Company does </w:t>
      </w:r>
      <w:r>
        <w:rPr>
          <w:rFonts w:ascii="Arial" w:cs="Arial" w:eastAsia="Arial" w:hAnsi="Arial"/>
          <w:sz w:val="15"/>
          <w:szCs w:val="15"/>
          <w:color w:val="1F2128"/>
        </w:rPr>
        <w:t>not</w:t>
      </w:r>
      <w:r>
        <w:rPr>
          <w:rFonts w:ascii="Arial" w:cs="Arial" w:eastAsia="Arial" w:hAnsi="Arial"/>
          <w:sz w:val="15"/>
          <w:szCs w:val="15"/>
          <w:color w:val="2F313A"/>
        </w:rPr>
        <w:t xml:space="preserve"> cure such circumstance within 30 </w:t>
      </w:r>
      <w:r>
        <w:rPr>
          <w:rFonts w:ascii="Arial" w:cs="Arial" w:eastAsia="Arial" w:hAnsi="Arial"/>
          <w:sz w:val="15"/>
          <w:szCs w:val="15"/>
          <w:color w:val="1F2128"/>
        </w:rPr>
        <w:t>days thereafter</w:t>
      </w:r>
      <w:r>
        <w:rPr>
          <w:rFonts w:ascii="Arial" w:cs="Arial" w:eastAsia="Arial" w:hAnsi="Arial"/>
          <w:sz w:val="15"/>
          <w:szCs w:val="15"/>
          <w:color w:val="6D6E72"/>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20"/>
        <w:spacing w:after="0"/>
        <w:rPr>
          <w:sz w:val="20"/>
          <w:szCs w:val="20"/>
          <w:color w:val="auto"/>
        </w:rPr>
      </w:pPr>
      <w:r>
        <w:rPr>
          <w:rFonts w:ascii="Arial" w:cs="Arial" w:eastAsia="Arial" w:hAnsi="Arial"/>
          <w:sz w:val="12"/>
          <w:szCs w:val="12"/>
          <w:color w:val="3B5B80"/>
        </w:rPr>
        <w:t>225 B</w:t>
      </w:r>
      <w:r>
        <w:rPr>
          <w:rFonts w:ascii="Arial" w:cs="Arial" w:eastAsia="Arial" w:hAnsi="Arial"/>
          <w:sz w:val="12"/>
          <w:szCs w:val="12"/>
          <w:color w:val="7285A3"/>
        </w:rPr>
        <w:t>i</w:t>
      </w:r>
      <w:r>
        <w:rPr>
          <w:rFonts w:ascii="Arial" w:cs="Arial" w:eastAsia="Arial" w:hAnsi="Arial"/>
          <w:sz w:val="12"/>
          <w:szCs w:val="12"/>
          <w:color w:val="3B5B80"/>
        </w:rPr>
        <w:t>nney Street</w:t>
      </w:r>
      <w:r>
        <w:rPr>
          <w:rFonts w:ascii="Arial" w:cs="Arial" w:eastAsia="Arial" w:hAnsi="Arial"/>
          <w:sz w:val="12"/>
          <w:szCs w:val="12"/>
          <w:color w:val="4D565B"/>
        </w:rPr>
        <w:t>,</w:t>
      </w:r>
      <w:r>
        <w:rPr>
          <w:rFonts w:ascii="Arial" w:cs="Arial" w:eastAsia="Arial" w:hAnsi="Arial"/>
          <w:sz w:val="12"/>
          <w:szCs w:val="12"/>
          <w:color w:val="3B5B80"/>
        </w:rPr>
        <w:t xml:space="preserve"> Cam</w:t>
      </w:r>
      <w:r>
        <w:rPr>
          <w:rFonts w:ascii="Arial" w:cs="Arial" w:eastAsia="Arial" w:hAnsi="Arial"/>
          <w:sz w:val="12"/>
          <w:szCs w:val="12"/>
          <w:color w:val="2F67A1"/>
        </w:rPr>
        <w:t>b</w:t>
      </w:r>
      <w:r>
        <w:rPr>
          <w:rFonts w:ascii="Arial" w:cs="Arial" w:eastAsia="Arial" w:hAnsi="Arial"/>
          <w:sz w:val="12"/>
          <w:szCs w:val="12"/>
          <w:color w:val="567C99"/>
        </w:rPr>
        <w:t>ridge</w:t>
      </w:r>
      <w:r>
        <w:rPr>
          <w:rFonts w:ascii="Arial" w:cs="Arial" w:eastAsia="Arial" w:hAnsi="Arial"/>
          <w:sz w:val="12"/>
          <w:szCs w:val="12"/>
          <w:color w:val="6E7277"/>
        </w:rPr>
        <w:t>,</w:t>
      </w:r>
      <w:r>
        <w:rPr>
          <w:rFonts w:ascii="Arial" w:cs="Arial" w:eastAsia="Arial" w:hAnsi="Arial"/>
          <w:sz w:val="12"/>
          <w:szCs w:val="12"/>
          <w:color w:val="3B5B80"/>
        </w:rPr>
        <w:t xml:space="preserve"> MA 02142 Phone 781</w:t>
      </w:r>
      <w:r>
        <w:rPr>
          <w:rFonts w:ascii="Arial" w:cs="Arial" w:eastAsia="Arial" w:hAnsi="Arial"/>
          <w:sz w:val="12"/>
          <w:szCs w:val="12"/>
          <w:color w:val="4D565B"/>
        </w:rPr>
        <w:t>-</w:t>
      </w:r>
      <w:r>
        <w:rPr>
          <w:rFonts w:ascii="Arial" w:cs="Arial" w:eastAsia="Arial" w:hAnsi="Arial"/>
          <w:sz w:val="12"/>
          <w:szCs w:val="12"/>
          <w:color w:val="3B5B80"/>
        </w:rPr>
        <w:t>464</w:t>
      </w:r>
      <w:r>
        <w:rPr>
          <w:rFonts w:ascii="Arial" w:cs="Arial" w:eastAsia="Arial" w:hAnsi="Arial"/>
          <w:sz w:val="12"/>
          <w:szCs w:val="12"/>
          <w:color w:val="4D565B"/>
        </w:rPr>
        <w:t>-</w:t>
      </w:r>
      <w:r>
        <w:rPr>
          <w:rFonts w:ascii="Arial" w:cs="Arial" w:eastAsia="Arial" w:hAnsi="Arial"/>
          <w:sz w:val="12"/>
          <w:szCs w:val="12"/>
          <w:color w:val="3B5B80"/>
        </w:rPr>
        <w:t xml:space="preserve">2000 </w:t>
      </w:r>
      <w:r>
        <w:rPr>
          <w:rFonts w:ascii="Arial" w:cs="Arial" w:eastAsia="Arial" w:hAnsi="Arial"/>
          <w:sz w:val="12"/>
          <w:szCs w:val="12"/>
          <w:color w:val="4B6991"/>
        </w:rPr>
        <w:t>www</w:t>
      </w:r>
      <w:r>
        <w:rPr>
          <w:rFonts w:ascii="Arial" w:cs="Arial" w:eastAsia="Arial" w:hAnsi="Arial"/>
          <w:sz w:val="12"/>
          <w:szCs w:val="12"/>
          <w:color w:val="7285A3"/>
        </w:rPr>
        <w:t>.</w:t>
      </w:r>
      <w:r>
        <w:rPr>
          <w:rFonts w:ascii="Arial" w:cs="Arial" w:eastAsia="Arial" w:hAnsi="Arial"/>
          <w:sz w:val="12"/>
          <w:szCs w:val="12"/>
          <w:color w:val="3B5B80"/>
        </w:rPr>
        <w:t>biogen</w:t>
      </w:r>
      <w:r>
        <w:rPr>
          <w:rFonts w:ascii="Arial" w:cs="Arial" w:eastAsia="Arial" w:hAnsi="Arial"/>
          <w:sz w:val="12"/>
          <w:szCs w:val="12"/>
          <w:color w:val="4D565B"/>
        </w:rPr>
        <w:t>.</w:t>
      </w:r>
      <w:r>
        <w:rPr>
          <w:rFonts w:ascii="Arial" w:cs="Arial" w:eastAsia="Arial" w:hAnsi="Arial"/>
          <w:sz w:val="12"/>
          <w:szCs w:val="12"/>
          <w:color w:val="3B5B80"/>
        </w:rPr>
        <w:t>com</w:t>
      </w:r>
    </w:p>
    <w:p>
      <w:pPr>
        <w:sectPr>
          <w:pgSz w:w="11900" w:h="16838" w:orient="portrait"/>
          <w:cols w:equalWidth="0" w:num="1">
            <w:col w:w="10220"/>
          </w:cols>
          <w:pgMar w:left="1440" w:top="602" w:right="239" w:bottom="1440" w:gutter="0" w:footer="0" w:header="0"/>
        </w:sectPr>
      </w:pPr>
    </w:p>
    <w:bookmarkStart w:id="198" w:name="page199"/>
    <w:bookmarkEnd w:id="198"/>
    <w:p>
      <w:pPr>
        <w:ind w:left="640" w:right="60"/>
        <w:spacing w:after="0" w:line="257" w:lineRule="auto"/>
        <w:rPr>
          <w:sz w:val="20"/>
          <w:szCs w:val="20"/>
          <w:color w:val="auto"/>
        </w:rPr>
      </w:pPr>
      <w:r>
        <w:rPr>
          <w:rFonts w:ascii="Arial" w:cs="Arial" w:eastAsia="Arial" w:hAnsi="Arial"/>
          <w:sz w:val="15"/>
          <w:szCs w:val="15"/>
          <w:b w:val="1"/>
          <w:bCs w:val="1"/>
          <w:color w:val="1F2128"/>
        </w:rPr>
        <w:t xml:space="preserve">Tax &amp; Financial Planning </w:t>
      </w:r>
      <w:r>
        <w:rPr>
          <w:rFonts w:ascii="Arial" w:cs="Arial" w:eastAsia="Arial" w:hAnsi="Arial"/>
          <w:sz w:val="15"/>
          <w:szCs w:val="15"/>
          <w:b w:val="1"/>
          <w:bCs w:val="1"/>
          <w:color w:val="2F313A"/>
        </w:rPr>
        <w:t>and</w:t>
      </w:r>
      <w:r>
        <w:rPr>
          <w:rFonts w:ascii="Arial" w:cs="Arial" w:eastAsia="Arial" w:hAnsi="Arial"/>
          <w:sz w:val="15"/>
          <w:szCs w:val="15"/>
          <w:b w:val="1"/>
          <w:bCs w:val="1"/>
          <w:color w:val="1F2128"/>
        </w:rPr>
        <w:t xml:space="preserve"> Executive </w:t>
      </w:r>
      <w:r>
        <w:rPr>
          <w:rFonts w:ascii="Arial" w:cs="Arial" w:eastAsia="Arial" w:hAnsi="Arial"/>
          <w:sz w:val="15"/>
          <w:szCs w:val="15"/>
          <w:b w:val="1"/>
          <w:bCs w:val="1"/>
          <w:color w:val="2F313A"/>
        </w:rPr>
        <w:t>Physicals:</w:t>
      </w:r>
      <w:r>
        <w:rPr>
          <w:rFonts w:ascii="Arial" w:cs="Arial" w:eastAsia="Arial" w:hAnsi="Arial"/>
          <w:sz w:val="15"/>
          <w:szCs w:val="15"/>
          <w:b w:val="1"/>
          <w:bCs w:val="1"/>
          <w:color w:val="1F2128"/>
        </w:rPr>
        <w:t xml:space="preserve"> </w:t>
      </w:r>
      <w:r>
        <w:rPr>
          <w:rFonts w:ascii="Arial" w:cs="Arial" w:eastAsia="Arial" w:hAnsi="Arial"/>
          <w:sz w:val="15"/>
          <w:szCs w:val="15"/>
          <w:color w:val="2F313A"/>
        </w:rPr>
        <w:t>You are eligible</w:t>
      </w:r>
      <w:r>
        <w:rPr>
          <w:rFonts w:ascii="Arial" w:cs="Arial" w:eastAsia="Arial" w:hAnsi="Arial"/>
          <w:sz w:val="15"/>
          <w:szCs w:val="15"/>
          <w:b w:val="1"/>
          <w:bCs w:val="1"/>
          <w:color w:val="1F2128"/>
        </w:rPr>
        <w:t xml:space="preserve"> </w:t>
      </w:r>
      <w:r>
        <w:rPr>
          <w:rFonts w:ascii="Arial" w:cs="Arial" w:eastAsia="Arial" w:hAnsi="Arial"/>
          <w:sz w:val="15"/>
          <w:szCs w:val="15"/>
          <w:color w:val="1F2128"/>
        </w:rPr>
        <w:t>for</w:t>
      </w:r>
      <w:r>
        <w:rPr>
          <w:rFonts w:ascii="Arial" w:cs="Arial" w:eastAsia="Arial" w:hAnsi="Arial"/>
          <w:sz w:val="15"/>
          <w:szCs w:val="15"/>
          <w:b w:val="1"/>
          <w:bCs w:val="1"/>
          <w:color w:val="1F2128"/>
        </w:rPr>
        <w:t xml:space="preserve"> </w:t>
      </w:r>
      <w:r>
        <w:rPr>
          <w:rFonts w:ascii="Arial" w:cs="Arial" w:eastAsia="Arial" w:hAnsi="Arial"/>
          <w:sz w:val="15"/>
          <w:szCs w:val="15"/>
          <w:color w:val="2F313A"/>
        </w:rPr>
        <w:t>annual reimbursement of</w:t>
      </w:r>
      <w:r>
        <w:rPr>
          <w:rFonts w:ascii="Arial" w:cs="Arial" w:eastAsia="Arial" w:hAnsi="Arial"/>
          <w:sz w:val="15"/>
          <w:szCs w:val="15"/>
          <w:b w:val="1"/>
          <w:bCs w:val="1"/>
          <w:color w:val="1F2128"/>
        </w:rPr>
        <w:t xml:space="preserve"> </w:t>
      </w:r>
      <w:r>
        <w:rPr>
          <w:rFonts w:ascii="Arial" w:cs="Arial" w:eastAsia="Arial" w:hAnsi="Arial"/>
          <w:sz w:val="15"/>
          <w:szCs w:val="15"/>
          <w:color w:val="3D4149"/>
        </w:rPr>
        <w:t>expe</w:t>
      </w:r>
      <w:r>
        <w:rPr>
          <w:rFonts w:ascii="Arial" w:cs="Arial" w:eastAsia="Arial" w:hAnsi="Arial"/>
          <w:sz w:val="15"/>
          <w:szCs w:val="15"/>
          <w:color w:val="1F2128"/>
        </w:rPr>
        <w:t>nses for</w:t>
      </w:r>
      <w:r>
        <w:rPr>
          <w:rFonts w:ascii="Arial" w:cs="Arial" w:eastAsia="Arial" w:hAnsi="Arial"/>
          <w:sz w:val="15"/>
          <w:szCs w:val="15"/>
          <w:b w:val="1"/>
          <w:bCs w:val="1"/>
          <w:color w:val="1F2128"/>
        </w:rPr>
        <w:t xml:space="preserve"> </w:t>
      </w:r>
      <w:r>
        <w:rPr>
          <w:rFonts w:ascii="Arial" w:cs="Arial" w:eastAsia="Arial" w:hAnsi="Arial"/>
          <w:sz w:val="15"/>
          <w:szCs w:val="15"/>
          <w:color w:val="2F313A"/>
        </w:rPr>
        <w:t>qualified services such as</w:t>
      </w:r>
      <w:r>
        <w:rPr>
          <w:rFonts w:ascii="Arial" w:cs="Arial" w:eastAsia="Arial" w:hAnsi="Arial"/>
          <w:sz w:val="15"/>
          <w:szCs w:val="15"/>
          <w:b w:val="1"/>
          <w:bCs w:val="1"/>
          <w:color w:val="1F2128"/>
        </w:rPr>
        <w:t xml:space="preserve"> </w:t>
      </w:r>
      <w:r>
        <w:rPr>
          <w:rFonts w:ascii="Arial" w:cs="Arial" w:eastAsia="Arial" w:hAnsi="Arial"/>
          <w:sz w:val="15"/>
          <w:szCs w:val="15"/>
          <w:color w:val="2F313A"/>
        </w:rPr>
        <w:t xml:space="preserve">federal and state income </w:t>
      </w:r>
      <w:r>
        <w:rPr>
          <w:rFonts w:ascii="Arial" w:cs="Arial" w:eastAsia="Arial" w:hAnsi="Arial"/>
          <w:sz w:val="15"/>
          <w:szCs w:val="15"/>
          <w:color w:val="1F2128"/>
        </w:rPr>
        <w:t>tax</w:t>
      </w:r>
      <w:r>
        <w:rPr>
          <w:rFonts w:ascii="Arial" w:cs="Arial" w:eastAsia="Arial" w:hAnsi="Arial"/>
          <w:sz w:val="15"/>
          <w:szCs w:val="15"/>
          <w:color w:val="2F313A"/>
        </w:rPr>
        <w:t xml:space="preserve"> planning and/or </w:t>
      </w:r>
      <w:r>
        <w:rPr>
          <w:rFonts w:ascii="Arial" w:cs="Arial" w:eastAsia="Arial" w:hAnsi="Arial"/>
          <w:sz w:val="15"/>
          <w:szCs w:val="15"/>
          <w:color w:val="1F2128"/>
        </w:rPr>
        <w:t>preparation</w:t>
      </w:r>
      <w:r>
        <w:rPr>
          <w:rFonts w:ascii="Arial" w:cs="Arial" w:eastAsia="Arial" w:hAnsi="Arial"/>
          <w:sz w:val="15"/>
          <w:szCs w:val="15"/>
          <w:color w:val="4F4F57"/>
        </w:rPr>
        <w:t>,</w:t>
      </w:r>
      <w:r>
        <w:rPr>
          <w:rFonts w:ascii="Arial" w:cs="Arial" w:eastAsia="Arial" w:hAnsi="Arial"/>
          <w:sz w:val="15"/>
          <w:szCs w:val="15"/>
          <w:color w:val="2F313A"/>
        </w:rPr>
        <w:t xml:space="preserve"> </w:t>
      </w:r>
      <w:r>
        <w:rPr>
          <w:rFonts w:ascii="Arial" w:cs="Arial" w:eastAsia="Arial" w:hAnsi="Arial"/>
          <w:sz w:val="15"/>
          <w:szCs w:val="15"/>
          <w:color w:val="1F2128"/>
        </w:rPr>
        <w:t>finan</w:t>
      </w:r>
      <w:r>
        <w:rPr>
          <w:rFonts w:ascii="Arial" w:cs="Arial" w:eastAsia="Arial" w:hAnsi="Arial"/>
          <w:sz w:val="15"/>
          <w:szCs w:val="15"/>
          <w:color w:val="3D4149"/>
        </w:rPr>
        <w:t>cia</w:t>
      </w:r>
      <w:r>
        <w:rPr>
          <w:rFonts w:ascii="Arial" w:cs="Arial" w:eastAsia="Arial" w:hAnsi="Arial"/>
          <w:sz w:val="15"/>
          <w:szCs w:val="15"/>
          <w:color w:val="1F2128"/>
        </w:rPr>
        <w:t>l</w:t>
      </w:r>
      <w:r>
        <w:rPr>
          <w:rFonts w:ascii="Arial" w:cs="Arial" w:eastAsia="Arial" w:hAnsi="Arial"/>
          <w:sz w:val="15"/>
          <w:szCs w:val="15"/>
          <w:color w:val="2F313A"/>
        </w:rPr>
        <w:t xml:space="preserve"> and estate </w:t>
      </w:r>
      <w:r>
        <w:rPr>
          <w:rFonts w:ascii="Arial" w:cs="Arial" w:eastAsia="Arial" w:hAnsi="Arial"/>
          <w:sz w:val="15"/>
          <w:szCs w:val="15"/>
          <w:color w:val="1F2128"/>
        </w:rPr>
        <w:t>pl</w:t>
      </w:r>
      <w:r>
        <w:rPr>
          <w:rFonts w:ascii="Arial" w:cs="Arial" w:eastAsia="Arial" w:hAnsi="Arial"/>
          <w:sz w:val="15"/>
          <w:szCs w:val="15"/>
          <w:color w:val="3D4149"/>
        </w:rPr>
        <w:t>a</w:t>
      </w:r>
      <w:r>
        <w:rPr>
          <w:rFonts w:ascii="Arial" w:cs="Arial" w:eastAsia="Arial" w:hAnsi="Arial"/>
          <w:sz w:val="15"/>
          <w:szCs w:val="15"/>
          <w:color w:val="1F2128"/>
        </w:rPr>
        <w:t>nning</w:t>
      </w:r>
      <w:r>
        <w:rPr>
          <w:rFonts w:ascii="Arial" w:cs="Arial" w:eastAsia="Arial" w:hAnsi="Arial"/>
          <w:sz w:val="15"/>
          <w:szCs w:val="15"/>
          <w:color w:val="2F313A"/>
        </w:rPr>
        <w:t xml:space="preserve"> services</w:t>
      </w:r>
      <w:r>
        <w:rPr>
          <w:rFonts w:ascii="Arial" w:cs="Arial" w:eastAsia="Arial" w:hAnsi="Arial"/>
          <w:sz w:val="15"/>
          <w:szCs w:val="15"/>
          <w:color w:val="4F4F57"/>
        </w:rPr>
        <w:t>,</w:t>
      </w:r>
      <w:r>
        <w:rPr>
          <w:rFonts w:ascii="Arial" w:cs="Arial" w:eastAsia="Arial" w:hAnsi="Arial"/>
          <w:sz w:val="15"/>
          <w:szCs w:val="15"/>
          <w:color w:val="2F313A"/>
        </w:rPr>
        <w:t xml:space="preserve"> </w:t>
      </w:r>
      <w:r>
        <w:rPr>
          <w:rFonts w:ascii="Arial" w:cs="Arial" w:eastAsia="Arial" w:hAnsi="Arial"/>
          <w:sz w:val="15"/>
          <w:szCs w:val="15"/>
          <w:color w:val="3D4149"/>
        </w:rPr>
        <w:t>and</w:t>
      </w:r>
      <w:r>
        <w:rPr>
          <w:rFonts w:ascii="Arial" w:cs="Arial" w:eastAsia="Arial" w:hAnsi="Arial"/>
          <w:sz w:val="15"/>
          <w:szCs w:val="15"/>
          <w:color w:val="2F313A"/>
        </w:rPr>
        <w:t xml:space="preserve"> </w:t>
      </w:r>
      <w:r>
        <w:rPr>
          <w:rFonts w:ascii="Arial" w:cs="Arial" w:eastAsia="Arial" w:hAnsi="Arial"/>
          <w:sz w:val="15"/>
          <w:szCs w:val="15"/>
          <w:color w:val="1F2128"/>
        </w:rPr>
        <w:t>the</w:t>
      </w:r>
      <w:r>
        <w:rPr>
          <w:rFonts w:ascii="Arial" w:cs="Arial" w:eastAsia="Arial" w:hAnsi="Arial"/>
          <w:sz w:val="15"/>
          <w:szCs w:val="15"/>
          <w:color w:val="2F313A"/>
        </w:rPr>
        <w:t xml:space="preserve"> purchase of tax and/or </w:t>
      </w:r>
      <w:r>
        <w:rPr>
          <w:rFonts w:ascii="Arial" w:cs="Arial" w:eastAsia="Arial" w:hAnsi="Arial"/>
          <w:sz w:val="15"/>
          <w:szCs w:val="15"/>
          <w:color w:val="1F2128"/>
        </w:rPr>
        <w:t>financial</w:t>
      </w:r>
      <w:r>
        <w:rPr>
          <w:rFonts w:ascii="Arial" w:cs="Arial" w:eastAsia="Arial" w:hAnsi="Arial"/>
          <w:sz w:val="15"/>
          <w:szCs w:val="15"/>
          <w:color w:val="2F313A"/>
        </w:rPr>
        <w:t xml:space="preserve"> </w:t>
      </w:r>
      <w:r>
        <w:rPr>
          <w:rFonts w:ascii="Arial" w:cs="Arial" w:eastAsia="Arial" w:hAnsi="Arial"/>
          <w:sz w:val="15"/>
          <w:szCs w:val="15"/>
          <w:color w:val="1F2128"/>
        </w:rPr>
        <w:t>planning t</w:t>
      </w:r>
      <w:r>
        <w:rPr>
          <w:rFonts w:ascii="Arial" w:cs="Arial" w:eastAsia="Arial" w:hAnsi="Arial"/>
          <w:sz w:val="15"/>
          <w:szCs w:val="15"/>
          <w:color w:val="3D4149"/>
        </w:rPr>
        <w:t>oo</w:t>
      </w:r>
      <w:r>
        <w:rPr>
          <w:rFonts w:ascii="Arial" w:cs="Arial" w:eastAsia="Arial" w:hAnsi="Arial"/>
          <w:sz w:val="15"/>
          <w:szCs w:val="15"/>
          <w:color w:val="1F2128"/>
        </w:rPr>
        <w:t>l</w:t>
      </w:r>
      <w:r>
        <w:rPr>
          <w:rFonts w:ascii="Arial" w:cs="Arial" w:eastAsia="Arial" w:hAnsi="Arial"/>
          <w:sz w:val="15"/>
          <w:szCs w:val="15"/>
          <w:color w:val="4F4F57"/>
        </w:rPr>
        <w:t>s</w:t>
      </w:r>
      <w:r>
        <w:rPr>
          <w:rFonts w:ascii="Arial" w:cs="Arial" w:eastAsia="Arial" w:hAnsi="Arial"/>
          <w:sz w:val="15"/>
          <w:szCs w:val="15"/>
          <w:color w:val="6D6E72"/>
        </w:rPr>
        <w:t>.</w:t>
      </w:r>
      <w:r>
        <w:rPr>
          <w:rFonts w:ascii="Arial" w:cs="Arial" w:eastAsia="Arial" w:hAnsi="Arial"/>
          <w:sz w:val="15"/>
          <w:szCs w:val="15"/>
          <w:color w:val="1F2128"/>
        </w:rPr>
        <w:t xml:space="preserve"> </w:t>
      </w:r>
      <w:r>
        <w:rPr>
          <w:rFonts w:ascii="Arial" w:cs="Arial" w:eastAsia="Arial" w:hAnsi="Arial"/>
          <w:sz w:val="15"/>
          <w:szCs w:val="15"/>
          <w:color w:val="2F313A"/>
        </w:rPr>
        <w:t>Additionally,</w:t>
      </w:r>
      <w:r>
        <w:rPr>
          <w:rFonts w:ascii="Arial" w:cs="Arial" w:eastAsia="Arial" w:hAnsi="Arial"/>
          <w:sz w:val="15"/>
          <w:szCs w:val="15"/>
          <w:color w:val="1F2128"/>
        </w:rPr>
        <w:t xml:space="preserve"> the </w:t>
      </w:r>
      <w:r>
        <w:rPr>
          <w:rFonts w:ascii="Arial" w:cs="Arial" w:eastAsia="Arial" w:hAnsi="Arial"/>
          <w:sz w:val="15"/>
          <w:szCs w:val="15"/>
          <w:color w:val="2F313A"/>
        </w:rPr>
        <w:t>Company will</w:t>
      </w:r>
      <w:r>
        <w:rPr>
          <w:rFonts w:ascii="Arial" w:cs="Arial" w:eastAsia="Arial" w:hAnsi="Arial"/>
          <w:sz w:val="15"/>
          <w:szCs w:val="15"/>
          <w:color w:val="1F2128"/>
        </w:rPr>
        <w:t xml:space="preserve"> reimburse </w:t>
      </w:r>
      <w:r>
        <w:rPr>
          <w:rFonts w:ascii="Arial" w:cs="Arial" w:eastAsia="Arial" w:hAnsi="Arial"/>
          <w:sz w:val="15"/>
          <w:szCs w:val="15"/>
          <w:color w:val="2F313A"/>
        </w:rPr>
        <w:t>you</w:t>
      </w:r>
      <w:r>
        <w:rPr>
          <w:rFonts w:ascii="Arial" w:cs="Arial" w:eastAsia="Arial" w:hAnsi="Arial"/>
          <w:sz w:val="15"/>
          <w:szCs w:val="15"/>
          <w:color w:val="1F2128"/>
        </w:rPr>
        <w:t xml:space="preserve"> for the </w:t>
      </w:r>
      <w:r>
        <w:rPr>
          <w:rFonts w:ascii="Arial" w:cs="Arial" w:eastAsia="Arial" w:hAnsi="Arial"/>
          <w:sz w:val="15"/>
          <w:szCs w:val="15"/>
          <w:color w:val="2F313A"/>
        </w:rPr>
        <w:t>expenses</w:t>
      </w:r>
      <w:r>
        <w:rPr>
          <w:rFonts w:ascii="Arial" w:cs="Arial" w:eastAsia="Arial" w:hAnsi="Arial"/>
          <w:sz w:val="15"/>
          <w:szCs w:val="15"/>
          <w:color w:val="1F2128"/>
        </w:rPr>
        <w:t xml:space="preserve"> of </w:t>
      </w:r>
      <w:r>
        <w:rPr>
          <w:rFonts w:ascii="Arial" w:cs="Arial" w:eastAsia="Arial" w:hAnsi="Arial"/>
          <w:sz w:val="15"/>
          <w:szCs w:val="15"/>
          <w:color w:val="2F313A"/>
        </w:rPr>
        <w:t>an annual comprehensive physica</w:t>
      </w:r>
      <w:r>
        <w:rPr>
          <w:rFonts w:ascii="Arial" w:cs="Arial" w:eastAsia="Arial" w:hAnsi="Arial"/>
          <w:sz w:val="15"/>
          <w:szCs w:val="15"/>
          <w:color w:val="565E77"/>
        </w:rPr>
        <w:t>l</w:t>
      </w:r>
      <w:r>
        <w:rPr>
          <w:rFonts w:ascii="Arial" w:cs="Arial" w:eastAsia="Arial" w:hAnsi="Arial"/>
          <w:sz w:val="15"/>
          <w:szCs w:val="15"/>
          <w:color w:val="1F2128"/>
        </w:rPr>
        <w:t xml:space="preserve"> </w:t>
      </w:r>
      <w:r>
        <w:rPr>
          <w:rFonts w:ascii="Arial" w:cs="Arial" w:eastAsia="Arial" w:hAnsi="Arial"/>
          <w:sz w:val="15"/>
          <w:szCs w:val="15"/>
          <w:color w:val="2F313A"/>
        </w:rPr>
        <w:t>exam when coo</w:t>
      </w:r>
      <w:r>
        <w:rPr>
          <w:rFonts w:ascii="Arial" w:cs="Arial" w:eastAsia="Arial" w:hAnsi="Arial"/>
          <w:sz w:val="15"/>
          <w:szCs w:val="15"/>
          <w:color w:val="4F4F57"/>
        </w:rPr>
        <w:t>r</w:t>
      </w:r>
      <w:r>
        <w:rPr>
          <w:rFonts w:ascii="Arial" w:cs="Arial" w:eastAsia="Arial" w:hAnsi="Arial"/>
          <w:sz w:val="15"/>
          <w:szCs w:val="15"/>
          <w:color w:val="2F313A"/>
        </w:rPr>
        <w:t>dinated</w:t>
      </w:r>
      <w:r>
        <w:rPr>
          <w:rFonts w:ascii="Arial" w:cs="Arial" w:eastAsia="Arial" w:hAnsi="Arial"/>
          <w:sz w:val="15"/>
          <w:szCs w:val="15"/>
          <w:color w:val="1F2128"/>
        </w:rPr>
        <w:t xml:space="preserve"> </w:t>
      </w:r>
      <w:r>
        <w:rPr>
          <w:rFonts w:ascii="Arial" w:cs="Arial" w:eastAsia="Arial" w:hAnsi="Arial"/>
          <w:sz w:val="15"/>
          <w:szCs w:val="15"/>
          <w:color w:val="2F313A"/>
        </w:rPr>
        <w:t xml:space="preserve">by the </w:t>
      </w:r>
      <w:r>
        <w:rPr>
          <w:rFonts w:ascii="Arial" w:cs="Arial" w:eastAsia="Arial" w:hAnsi="Arial"/>
          <w:sz w:val="15"/>
          <w:szCs w:val="15"/>
          <w:color w:val="3D4149"/>
        </w:rPr>
        <w:t>Exec</w:t>
      </w:r>
      <w:r>
        <w:rPr>
          <w:rFonts w:ascii="Arial" w:cs="Arial" w:eastAsia="Arial" w:hAnsi="Arial"/>
          <w:sz w:val="15"/>
          <w:szCs w:val="15"/>
          <w:color w:val="1F2128"/>
        </w:rPr>
        <w:t>utive</w:t>
      </w:r>
      <w:r>
        <w:rPr>
          <w:rFonts w:ascii="Arial" w:cs="Arial" w:eastAsia="Arial" w:hAnsi="Arial"/>
          <w:sz w:val="15"/>
          <w:szCs w:val="15"/>
          <w:color w:val="2F313A"/>
        </w:rPr>
        <w:t xml:space="preserve"> Health Services </w:t>
      </w:r>
      <w:r>
        <w:rPr>
          <w:rFonts w:ascii="Arial" w:cs="Arial" w:eastAsia="Arial" w:hAnsi="Arial"/>
          <w:sz w:val="15"/>
          <w:szCs w:val="15"/>
          <w:color w:val="1F2128"/>
        </w:rPr>
        <w:t>team</w:t>
      </w:r>
      <w:r>
        <w:rPr>
          <w:rFonts w:ascii="Arial" w:cs="Arial" w:eastAsia="Arial" w:hAnsi="Arial"/>
          <w:sz w:val="15"/>
          <w:szCs w:val="15"/>
          <w:color w:val="2F313A"/>
        </w:rPr>
        <w:t xml:space="preserve"> at Mass. General Hospital (MGH)</w:t>
      </w:r>
      <w:r>
        <w:rPr>
          <w:rFonts w:ascii="Arial" w:cs="Arial" w:eastAsia="Arial" w:hAnsi="Arial"/>
          <w:sz w:val="15"/>
          <w:szCs w:val="15"/>
          <w:color w:val="6D6E72"/>
        </w:rPr>
        <w:t>.</w:t>
      </w:r>
      <w:r>
        <w:rPr>
          <w:rFonts w:ascii="Arial" w:cs="Arial" w:eastAsia="Arial" w:hAnsi="Arial"/>
          <w:sz w:val="15"/>
          <w:szCs w:val="15"/>
          <w:color w:val="2F313A"/>
        </w:rPr>
        <w:t xml:space="preserve"> </w:t>
      </w:r>
      <w:r>
        <w:rPr>
          <w:rFonts w:ascii="Arial" w:cs="Arial" w:eastAsia="Arial" w:hAnsi="Arial"/>
          <w:sz w:val="15"/>
          <w:szCs w:val="15"/>
          <w:color w:val="1F2128"/>
        </w:rPr>
        <w:t>Th</w:t>
      </w:r>
      <w:r>
        <w:rPr>
          <w:rFonts w:ascii="Arial" w:cs="Arial" w:eastAsia="Arial" w:hAnsi="Arial"/>
          <w:sz w:val="15"/>
          <w:szCs w:val="15"/>
          <w:color w:val="3D4149"/>
        </w:rPr>
        <w:t>e</w:t>
      </w:r>
      <w:r>
        <w:rPr>
          <w:rFonts w:ascii="Arial" w:cs="Arial" w:eastAsia="Arial" w:hAnsi="Arial"/>
          <w:sz w:val="15"/>
          <w:szCs w:val="15"/>
          <w:color w:val="2F313A"/>
        </w:rPr>
        <w:t xml:space="preserve"> combined annual </w:t>
      </w:r>
      <w:r>
        <w:rPr>
          <w:rFonts w:ascii="Arial" w:cs="Arial" w:eastAsia="Arial" w:hAnsi="Arial"/>
          <w:sz w:val="15"/>
          <w:szCs w:val="15"/>
          <w:color w:val="4F4F57"/>
        </w:rPr>
        <w:t>re</w:t>
      </w:r>
      <w:r>
        <w:rPr>
          <w:rFonts w:ascii="Arial" w:cs="Arial" w:eastAsia="Arial" w:hAnsi="Arial"/>
          <w:sz w:val="15"/>
          <w:szCs w:val="15"/>
          <w:color w:val="2F313A"/>
        </w:rPr>
        <w:t xml:space="preserve">imbursement you are eligible </w:t>
      </w:r>
      <w:r>
        <w:rPr>
          <w:rFonts w:ascii="Arial" w:cs="Arial" w:eastAsia="Arial" w:hAnsi="Arial"/>
          <w:sz w:val="15"/>
          <w:szCs w:val="15"/>
          <w:color w:val="1F2128"/>
        </w:rPr>
        <w:t>to receive</w:t>
      </w:r>
      <w:r>
        <w:rPr>
          <w:rFonts w:ascii="Arial" w:cs="Arial" w:eastAsia="Arial" w:hAnsi="Arial"/>
          <w:sz w:val="15"/>
          <w:szCs w:val="15"/>
          <w:color w:val="2F313A"/>
        </w:rPr>
        <w:t xml:space="preserve"> is </w:t>
      </w:r>
      <w:r>
        <w:rPr>
          <w:rFonts w:ascii="Arial" w:cs="Arial" w:eastAsia="Arial" w:hAnsi="Arial"/>
          <w:sz w:val="15"/>
          <w:szCs w:val="15"/>
          <w:color w:val="3D4149"/>
        </w:rPr>
        <w:t>$7</w:t>
      </w:r>
      <w:r>
        <w:rPr>
          <w:rFonts w:ascii="Arial" w:cs="Arial" w:eastAsia="Arial" w:hAnsi="Arial"/>
          <w:sz w:val="15"/>
          <w:szCs w:val="15"/>
          <w:color w:val="6D6E72"/>
        </w:rPr>
        <w:t>,</w:t>
      </w:r>
      <w:r>
        <w:rPr>
          <w:rFonts w:ascii="Arial" w:cs="Arial" w:eastAsia="Arial" w:hAnsi="Arial"/>
          <w:sz w:val="15"/>
          <w:szCs w:val="15"/>
          <w:color w:val="3D4149"/>
        </w:rPr>
        <w:t xml:space="preserve">500 </w:t>
      </w:r>
      <w:r>
        <w:rPr>
          <w:rFonts w:ascii="Arial" w:cs="Arial" w:eastAsia="Arial" w:hAnsi="Arial"/>
          <w:sz w:val="15"/>
          <w:szCs w:val="15"/>
          <w:color w:val="1F2128"/>
        </w:rPr>
        <w:t>per</w:t>
      </w:r>
      <w:r>
        <w:rPr>
          <w:rFonts w:ascii="Arial" w:cs="Arial" w:eastAsia="Arial" w:hAnsi="Arial"/>
          <w:sz w:val="15"/>
          <w:szCs w:val="15"/>
          <w:color w:val="3D4149"/>
        </w:rPr>
        <w:t xml:space="preserve"> </w:t>
      </w:r>
      <w:r>
        <w:rPr>
          <w:rFonts w:ascii="Arial" w:cs="Arial" w:eastAsia="Arial" w:hAnsi="Arial"/>
          <w:sz w:val="15"/>
          <w:szCs w:val="15"/>
          <w:color w:val="2F313A"/>
        </w:rPr>
        <w:t>calendar year (January 1 -</w:t>
      </w:r>
      <w:r>
        <w:rPr>
          <w:rFonts w:ascii="Arial" w:cs="Arial" w:eastAsia="Arial" w:hAnsi="Arial"/>
          <w:sz w:val="15"/>
          <w:szCs w:val="15"/>
          <w:color w:val="3D4149"/>
        </w:rPr>
        <w:t xml:space="preserve"> </w:t>
      </w:r>
      <w:r>
        <w:rPr>
          <w:rFonts w:ascii="Arial" w:cs="Arial" w:eastAsia="Arial" w:hAnsi="Arial"/>
          <w:sz w:val="15"/>
          <w:szCs w:val="15"/>
          <w:color w:val="1F2128"/>
        </w:rPr>
        <w:t>D</w:t>
      </w:r>
      <w:r>
        <w:rPr>
          <w:rFonts w:ascii="Arial" w:cs="Arial" w:eastAsia="Arial" w:hAnsi="Arial"/>
          <w:sz w:val="15"/>
          <w:szCs w:val="15"/>
          <w:color w:val="3D4149"/>
        </w:rPr>
        <w:t>ecembe</w:t>
      </w:r>
      <w:r>
        <w:rPr>
          <w:rFonts w:ascii="Arial" w:cs="Arial" w:eastAsia="Arial" w:hAnsi="Arial"/>
          <w:sz w:val="15"/>
          <w:szCs w:val="15"/>
          <w:color w:val="1F2128"/>
        </w:rPr>
        <w:t>r 31</w:t>
      </w:r>
      <w:r>
        <w:rPr>
          <w:rFonts w:ascii="Arial" w:cs="Arial" w:eastAsia="Arial" w:hAnsi="Arial"/>
          <w:sz w:val="15"/>
          <w:szCs w:val="15"/>
          <w:color w:val="2F313A"/>
        </w:rPr>
        <w:t>), subject to</w:t>
      </w:r>
      <w:r>
        <w:rPr>
          <w:rFonts w:ascii="Arial" w:cs="Arial" w:eastAsia="Arial" w:hAnsi="Arial"/>
          <w:sz w:val="15"/>
          <w:szCs w:val="15"/>
          <w:color w:val="3D4149"/>
        </w:rPr>
        <w:t xml:space="preserve"> </w:t>
      </w:r>
      <w:r>
        <w:rPr>
          <w:rFonts w:ascii="Arial" w:cs="Arial" w:eastAsia="Arial" w:hAnsi="Arial"/>
          <w:sz w:val="15"/>
          <w:szCs w:val="15"/>
          <w:color w:val="1F2128"/>
        </w:rPr>
        <w:t>the</w:t>
      </w:r>
      <w:r>
        <w:rPr>
          <w:rFonts w:ascii="Arial" w:cs="Arial" w:eastAsia="Arial" w:hAnsi="Arial"/>
          <w:sz w:val="15"/>
          <w:szCs w:val="15"/>
          <w:color w:val="3D4149"/>
        </w:rPr>
        <w:t xml:space="preserve"> </w:t>
      </w:r>
      <w:r>
        <w:rPr>
          <w:rFonts w:ascii="Arial" w:cs="Arial" w:eastAsia="Arial" w:hAnsi="Arial"/>
          <w:sz w:val="15"/>
          <w:szCs w:val="15"/>
          <w:color w:val="2F313A"/>
        </w:rPr>
        <w:t>guidelines of</w:t>
      </w:r>
      <w:r>
        <w:rPr>
          <w:rFonts w:ascii="Arial" w:cs="Arial" w:eastAsia="Arial" w:hAnsi="Arial"/>
          <w:sz w:val="15"/>
          <w:szCs w:val="15"/>
          <w:color w:val="3D4149"/>
        </w:rPr>
        <w:t xml:space="preserve"> </w:t>
      </w:r>
      <w:r>
        <w:rPr>
          <w:rFonts w:ascii="Arial" w:cs="Arial" w:eastAsia="Arial" w:hAnsi="Arial"/>
          <w:sz w:val="15"/>
          <w:szCs w:val="15"/>
          <w:color w:val="1F2128"/>
        </w:rPr>
        <w:t>the Tax</w:t>
      </w:r>
      <w:r>
        <w:rPr>
          <w:rFonts w:ascii="Arial" w:cs="Arial" w:eastAsia="Arial" w:hAnsi="Arial"/>
          <w:sz w:val="15"/>
          <w:szCs w:val="15"/>
          <w:color w:val="3D4149"/>
        </w:rPr>
        <w:t xml:space="preserve"> </w:t>
      </w:r>
      <w:r>
        <w:rPr>
          <w:rFonts w:ascii="Arial" w:cs="Arial" w:eastAsia="Arial" w:hAnsi="Arial"/>
          <w:sz w:val="15"/>
          <w:szCs w:val="15"/>
          <w:color w:val="2F313A"/>
        </w:rPr>
        <w:t>&amp;</w:t>
      </w:r>
      <w:r>
        <w:rPr>
          <w:rFonts w:ascii="Arial" w:cs="Arial" w:eastAsia="Arial" w:hAnsi="Arial"/>
          <w:sz w:val="15"/>
          <w:szCs w:val="15"/>
          <w:color w:val="3D4149"/>
        </w:rPr>
        <w:t xml:space="preserve"> </w:t>
      </w:r>
      <w:r>
        <w:rPr>
          <w:rFonts w:ascii="Arial" w:cs="Arial" w:eastAsia="Arial" w:hAnsi="Arial"/>
          <w:sz w:val="15"/>
          <w:szCs w:val="15"/>
          <w:color w:val="1F2128"/>
        </w:rPr>
        <w:t>Financia</w:t>
      </w:r>
      <w:r>
        <w:rPr>
          <w:rFonts w:ascii="Arial" w:cs="Arial" w:eastAsia="Arial" w:hAnsi="Arial"/>
          <w:sz w:val="15"/>
          <w:szCs w:val="15"/>
          <w:color w:val="3D4149"/>
        </w:rPr>
        <w:t xml:space="preserve">l </w:t>
      </w:r>
      <w:r>
        <w:rPr>
          <w:rFonts w:ascii="Arial" w:cs="Arial" w:eastAsia="Arial" w:hAnsi="Arial"/>
          <w:sz w:val="15"/>
          <w:szCs w:val="15"/>
          <w:color w:val="1F2128"/>
        </w:rPr>
        <w:t>Planning</w:t>
      </w:r>
      <w:r>
        <w:rPr>
          <w:rFonts w:ascii="Arial" w:cs="Arial" w:eastAsia="Arial" w:hAnsi="Arial"/>
          <w:sz w:val="15"/>
          <w:szCs w:val="15"/>
          <w:color w:val="3D4149"/>
        </w:rPr>
        <w:t xml:space="preserve"> a</w:t>
      </w:r>
      <w:r>
        <w:rPr>
          <w:rFonts w:ascii="Arial" w:cs="Arial" w:eastAsia="Arial" w:hAnsi="Arial"/>
          <w:sz w:val="15"/>
          <w:szCs w:val="15"/>
          <w:color w:val="1F2128"/>
        </w:rPr>
        <w:t>nd</w:t>
      </w:r>
      <w:r>
        <w:rPr>
          <w:rFonts w:ascii="Arial" w:cs="Arial" w:eastAsia="Arial" w:hAnsi="Arial"/>
          <w:sz w:val="15"/>
          <w:szCs w:val="15"/>
          <w:color w:val="3D4149"/>
        </w:rPr>
        <w:t xml:space="preserve"> </w:t>
      </w:r>
      <w:r>
        <w:rPr>
          <w:rFonts w:ascii="Arial" w:cs="Arial" w:eastAsia="Arial" w:hAnsi="Arial"/>
          <w:sz w:val="15"/>
          <w:szCs w:val="15"/>
          <w:color w:val="2F313A"/>
        </w:rPr>
        <w:t>Executive</w:t>
      </w:r>
      <w:r>
        <w:rPr>
          <w:rFonts w:ascii="Arial" w:cs="Arial" w:eastAsia="Arial" w:hAnsi="Arial"/>
          <w:sz w:val="15"/>
          <w:szCs w:val="15"/>
          <w:color w:val="3D4149"/>
        </w:rPr>
        <w:t xml:space="preserve"> </w:t>
      </w:r>
      <w:r>
        <w:rPr>
          <w:rFonts w:ascii="Arial" w:cs="Arial" w:eastAsia="Arial" w:hAnsi="Arial"/>
          <w:sz w:val="15"/>
          <w:szCs w:val="15"/>
          <w:color w:val="1F2128"/>
        </w:rPr>
        <w:t>Physi</w:t>
      </w:r>
      <w:r>
        <w:rPr>
          <w:rFonts w:ascii="Arial" w:cs="Arial" w:eastAsia="Arial" w:hAnsi="Arial"/>
          <w:sz w:val="15"/>
          <w:szCs w:val="15"/>
          <w:color w:val="4F4F57"/>
        </w:rPr>
        <w:t>c</w:t>
      </w:r>
      <w:r>
        <w:rPr>
          <w:rFonts w:ascii="Arial" w:cs="Arial" w:eastAsia="Arial" w:hAnsi="Arial"/>
          <w:sz w:val="15"/>
          <w:szCs w:val="15"/>
          <w:color w:val="2F313A"/>
        </w:rPr>
        <w:t>al</w:t>
      </w:r>
      <w:r>
        <w:rPr>
          <w:rFonts w:ascii="Arial" w:cs="Arial" w:eastAsia="Arial" w:hAnsi="Arial"/>
          <w:sz w:val="15"/>
          <w:szCs w:val="15"/>
          <w:color w:val="3D4149"/>
        </w:rPr>
        <w:t xml:space="preserve"> </w:t>
      </w:r>
      <w:r>
        <w:rPr>
          <w:rFonts w:ascii="Arial" w:cs="Arial" w:eastAsia="Arial" w:hAnsi="Arial"/>
          <w:sz w:val="15"/>
          <w:szCs w:val="15"/>
          <w:color w:val="1F2128"/>
        </w:rPr>
        <w:t xml:space="preserve">Reimbursement </w:t>
      </w:r>
      <w:r>
        <w:rPr>
          <w:rFonts w:ascii="Arial" w:cs="Arial" w:eastAsia="Arial" w:hAnsi="Arial"/>
          <w:sz w:val="15"/>
          <w:szCs w:val="15"/>
          <w:color w:val="2F313A"/>
        </w:rPr>
        <w:t>Program</w:t>
      </w:r>
      <w:r>
        <w:rPr>
          <w:rFonts w:ascii="Arial" w:cs="Arial" w:eastAsia="Arial" w:hAnsi="Arial"/>
          <w:sz w:val="15"/>
          <w:szCs w:val="15"/>
          <w:color w:val="6D6E72"/>
        </w:rPr>
        <w:t>.</w:t>
      </w:r>
      <w:r>
        <w:rPr>
          <w:rFonts w:ascii="Arial" w:cs="Arial" w:eastAsia="Arial" w:hAnsi="Arial"/>
          <w:sz w:val="15"/>
          <w:szCs w:val="15"/>
          <w:color w:val="1F2128"/>
        </w:rPr>
        <w:t xml:space="preserve"> The details </w:t>
      </w:r>
      <w:r>
        <w:rPr>
          <w:rFonts w:ascii="Arial" w:cs="Arial" w:eastAsia="Arial" w:hAnsi="Arial"/>
          <w:sz w:val="15"/>
          <w:szCs w:val="15"/>
          <w:color w:val="2F313A"/>
        </w:rPr>
        <w:t>of</w:t>
      </w:r>
      <w:r>
        <w:rPr>
          <w:rFonts w:ascii="Arial" w:cs="Arial" w:eastAsia="Arial" w:hAnsi="Arial"/>
          <w:sz w:val="15"/>
          <w:szCs w:val="15"/>
          <w:color w:val="1F2128"/>
        </w:rPr>
        <w:t xml:space="preserve"> these benefits </w:t>
      </w:r>
      <w:r>
        <w:rPr>
          <w:rFonts w:ascii="Arial" w:cs="Arial" w:eastAsia="Arial" w:hAnsi="Arial"/>
          <w:sz w:val="15"/>
          <w:szCs w:val="15"/>
          <w:color w:val="2F313A"/>
        </w:rPr>
        <w:t>are</w:t>
      </w:r>
      <w:r>
        <w:rPr>
          <w:rFonts w:ascii="Arial" w:cs="Arial" w:eastAsia="Arial" w:hAnsi="Arial"/>
          <w:sz w:val="15"/>
          <w:szCs w:val="15"/>
          <w:color w:val="1F2128"/>
        </w:rPr>
        <w:t xml:space="preserve"> </w:t>
      </w:r>
      <w:r>
        <w:rPr>
          <w:rFonts w:ascii="Arial" w:cs="Arial" w:eastAsia="Arial" w:hAnsi="Arial"/>
          <w:sz w:val="15"/>
          <w:szCs w:val="15"/>
          <w:color w:val="3D4149"/>
        </w:rPr>
        <w:t>avai</w:t>
      </w:r>
      <w:r>
        <w:rPr>
          <w:rFonts w:ascii="Arial" w:cs="Arial" w:eastAsia="Arial" w:hAnsi="Arial"/>
          <w:sz w:val="15"/>
          <w:szCs w:val="15"/>
          <w:color w:val="1F2128"/>
        </w:rPr>
        <w:t xml:space="preserve">lable upon </w:t>
      </w:r>
      <w:r>
        <w:rPr>
          <w:rFonts w:ascii="Arial" w:cs="Arial" w:eastAsia="Arial" w:hAnsi="Arial"/>
          <w:sz w:val="15"/>
          <w:szCs w:val="15"/>
          <w:color w:val="2F313A"/>
        </w:rPr>
        <w:t>your employment with</w:t>
      </w:r>
      <w:r>
        <w:rPr>
          <w:rFonts w:ascii="Arial" w:cs="Arial" w:eastAsia="Arial" w:hAnsi="Arial"/>
          <w:sz w:val="15"/>
          <w:szCs w:val="15"/>
          <w:color w:val="1F2128"/>
        </w:rPr>
        <w:t xml:space="preserve"> the </w:t>
      </w:r>
      <w:r>
        <w:rPr>
          <w:rFonts w:ascii="Arial" w:cs="Arial" w:eastAsia="Arial" w:hAnsi="Arial"/>
          <w:sz w:val="15"/>
          <w:szCs w:val="15"/>
          <w:color w:val="3D4149"/>
        </w:rPr>
        <w:t>Com</w:t>
      </w:r>
      <w:r>
        <w:rPr>
          <w:rFonts w:ascii="Arial" w:cs="Arial" w:eastAsia="Arial" w:hAnsi="Arial"/>
          <w:sz w:val="15"/>
          <w:szCs w:val="15"/>
          <w:color w:val="1F2128"/>
        </w:rPr>
        <w:t>pa</w:t>
      </w:r>
      <w:r>
        <w:rPr>
          <w:rFonts w:ascii="Arial" w:cs="Arial" w:eastAsia="Arial" w:hAnsi="Arial"/>
          <w:sz w:val="15"/>
          <w:szCs w:val="15"/>
          <w:color w:val="3D4149"/>
        </w:rPr>
        <w:t>n</w:t>
      </w:r>
      <w:r>
        <w:rPr>
          <w:rFonts w:ascii="Arial" w:cs="Arial" w:eastAsia="Arial" w:hAnsi="Arial"/>
          <w:sz w:val="15"/>
          <w:szCs w:val="15"/>
          <w:color w:val="1F2128"/>
        </w:rPr>
        <w:t>y</w:t>
      </w:r>
      <w:r>
        <w:rPr>
          <w:rFonts w:ascii="Arial" w:cs="Arial" w:eastAsia="Arial" w:hAnsi="Arial"/>
          <w:sz w:val="15"/>
          <w:szCs w:val="15"/>
          <w:color w:val="6D6E72"/>
        </w:rPr>
        <w:t>.</w:t>
      </w:r>
    </w:p>
    <w:p>
      <w:pPr>
        <w:spacing w:after="0" w:line="352" w:lineRule="exact"/>
        <w:rPr>
          <w:sz w:val="20"/>
          <w:szCs w:val="20"/>
          <w:color w:val="auto"/>
        </w:rPr>
      </w:pPr>
    </w:p>
    <w:p>
      <w:pPr>
        <w:ind w:left="180" w:right="80"/>
        <w:spacing w:after="0" w:line="257" w:lineRule="auto"/>
        <w:rPr>
          <w:sz w:val="20"/>
          <w:szCs w:val="20"/>
          <w:color w:val="auto"/>
        </w:rPr>
      </w:pPr>
      <w:r>
        <w:rPr>
          <w:rFonts w:ascii="Arial" w:cs="Arial" w:eastAsia="Arial" w:hAnsi="Arial"/>
          <w:sz w:val="15"/>
          <w:szCs w:val="15"/>
          <w:b w:val="1"/>
          <w:bCs w:val="1"/>
          <w:color w:val="1F2128"/>
        </w:rPr>
        <w:t xml:space="preserve">Stock Trading Plan: </w:t>
      </w:r>
      <w:r>
        <w:rPr>
          <w:rFonts w:ascii="Arial" w:cs="Arial" w:eastAsia="Arial" w:hAnsi="Arial"/>
          <w:sz w:val="15"/>
          <w:szCs w:val="15"/>
          <w:color w:val="1F2128"/>
        </w:rPr>
        <w:t>Upon</w:t>
      </w:r>
      <w:r>
        <w:rPr>
          <w:rFonts w:ascii="Arial" w:cs="Arial" w:eastAsia="Arial" w:hAnsi="Arial"/>
          <w:sz w:val="15"/>
          <w:szCs w:val="15"/>
          <w:b w:val="1"/>
          <w:bCs w:val="1"/>
          <w:color w:val="1F2128"/>
        </w:rPr>
        <w:t xml:space="preserve"> </w:t>
      </w:r>
      <w:r>
        <w:rPr>
          <w:rFonts w:ascii="Arial" w:cs="Arial" w:eastAsia="Arial" w:hAnsi="Arial"/>
          <w:sz w:val="15"/>
          <w:szCs w:val="15"/>
          <w:color w:val="2F313A"/>
        </w:rPr>
        <w:t>employment with</w:t>
      </w:r>
      <w:r>
        <w:rPr>
          <w:rFonts w:ascii="Arial" w:cs="Arial" w:eastAsia="Arial" w:hAnsi="Arial"/>
          <w:sz w:val="15"/>
          <w:szCs w:val="15"/>
          <w:b w:val="1"/>
          <w:bCs w:val="1"/>
          <w:color w:val="1F2128"/>
        </w:rPr>
        <w:t xml:space="preserve"> </w:t>
      </w:r>
      <w:r>
        <w:rPr>
          <w:rFonts w:ascii="Arial" w:cs="Arial" w:eastAsia="Arial" w:hAnsi="Arial"/>
          <w:sz w:val="15"/>
          <w:szCs w:val="15"/>
          <w:color w:val="1F2128"/>
        </w:rPr>
        <w:t>the</w:t>
      </w:r>
      <w:r>
        <w:rPr>
          <w:rFonts w:ascii="Arial" w:cs="Arial" w:eastAsia="Arial" w:hAnsi="Arial"/>
          <w:sz w:val="15"/>
          <w:szCs w:val="15"/>
          <w:b w:val="1"/>
          <w:bCs w:val="1"/>
          <w:color w:val="1F2128"/>
        </w:rPr>
        <w:t xml:space="preserve"> </w:t>
      </w:r>
      <w:r>
        <w:rPr>
          <w:rFonts w:ascii="Arial" w:cs="Arial" w:eastAsia="Arial" w:hAnsi="Arial"/>
          <w:sz w:val="15"/>
          <w:szCs w:val="15"/>
          <w:color w:val="3D4149"/>
        </w:rPr>
        <w:t>Co</w:t>
      </w:r>
      <w:r>
        <w:rPr>
          <w:rFonts w:ascii="Arial" w:cs="Arial" w:eastAsia="Arial" w:hAnsi="Arial"/>
          <w:sz w:val="15"/>
          <w:szCs w:val="15"/>
          <w:color w:val="1F2128"/>
        </w:rPr>
        <w:t>mpany</w:t>
      </w:r>
      <w:r>
        <w:rPr>
          <w:rFonts w:ascii="Arial" w:cs="Arial" w:eastAsia="Arial" w:hAnsi="Arial"/>
          <w:sz w:val="15"/>
          <w:szCs w:val="15"/>
          <w:color w:val="4F4F57"/>
        </w:rPr>
        <w:t>,</w:t>
      </w:r>
      <w:r>
        <w:rPr>
          <w:rFonts w:ascii="Arial" w:cs="Arial" w:eastAsia="Arial" w:hAnsi="Arial"/>
          <w:sz w:val="15"/>
          <w:szCs w:val="15"/>
          <w:b w:val="1"/>
          <w:bCs w:val="1"/>
          <w:color w:val="1F2128"/>
        </w:rPr>
        <w:t xml:space="preserve"> </w:t>
      </w:r>
      <w:r>
        <w:rPr>
          <w:rFonts w:ascii="Arial" w:cs="Arial" w:eastAsia="Arial" w:hAnsi="Arial"/>
          <w:sz w:val="15"/>
          <w:szCs w:val="15"/>
          <w:color w:val="2F313A"/>
        </w:rPr>
        <w:t>you</w:t>
      </w:r>
      <w:r>
        <w:rPr>
          <w:rFonts w:ascii="Arial" w:cs="Arial" w:eastAsia="Arial" w:hAnsi="Arial"/>
          <w:sz w:val="15"/>
          <w:szCs w:val="15"/>
          <w:b w:val="1"/>
          <w:bCs w:val="1"/>
          <w:color w:val="1F2128"/>
        </w:rPr>
        <w:t xml:space="preserve"> </w:t>
      </w:r>
      <w:r>
        <w:rPr>
          <w:rFonts w:ascii="Arial" w:cs="Arial" w:eastAsia="Arial" w:hAnsi="Arial"/>
          <w:sz w:val="15"/>
          <w:szCs w:val="15"/>
          <w:color w:val="3D4149"/>
        </w:rPr>
        <w:t>wi</w:t>
      </w:r>
      <w:r>
        <w:rPr>
          <w:rFonts w:ascii="Arial" w:cs="Arial" w:eastAsia="Arial" w:hAnsi="Arial"/>
          <w:sz w:val="15"/>
          <w:szCs w:val="15"/>
          <w:color w:val="1F2128"/>
        </w:rPr>
        <w:t>ll</w:t>
      </w:r>
      <w:r>
        <w:rPr>
          <w:rFonts w:ascii="Arial" w:cs="Arial" w:eastAsia="Arial" w:hAnsi="Arial"/>
          <w:sz w:val="15"/>
          <w:szCs w:val="15"/>
          <w:b w:val="1"/>
          <w:bCs w:val="1"/>
          <w:color w:val="1F2128"/>
        </w:rPr>
        <w:t xml:space="preserve"> </w:t>
      </w:r>
      <w:r>
        <w:rPr>
          <w:rFonts w:ascii="Arial" w:cs="Arial" w:eastAsia="Arial" w:hAnsi="Arial"/>
          <w:sz w:val="15"/>
          <w:szCs w:val="15"/>
          <w:color w:val="2F313A"/>
        </w:rPr>
        <w:t>become</w:t>
      </w:r>
      <w:r>
        <w:rPr>
          <w:rFonts w:ascii="Arial" w:cs="Arial" w:eastAsia="Arial" w:hAnsi="Arial"/>
          <w:sz w:val="15"/>
          <w:szCs w:val="15"/>
          <w:b w:val="1"/>
          <w:bCs w:val="1"/>
          <w:color w:val="1F2128"/>
        </w:rPr>
        <w:t xml:space="preserve"> </w:t>
      </w:r>
      <w:r>
        <w:rPr>
          <w:rFonts w:ascii="Arial" w:cs="Arial" w:eastAsia="Arial" w:hAnsi="Arial"/>
          <w:sz w:val="15"/>
          <w:szCs w:val="15"/>
          <w:color w:val="1F2128"/>
        </w:rPr>
        <w:t>subject to Biogen's</w:t>
      </w:r>
      <w:r>
        <w:rPr>
          <w:rFonts w:ascii="Arial" w:cs="Arial" w:eastAsia="Arial" w:hAnsi="Arial"/>
          <w:sz w:val="15"/>
          <w:szCs w:val="15"/>
          <w:b w:val="1"/>
          <w:bCs w:val="1"/>
          <w:color w:val="1F2128"/>
        </w:rPr>
        <w:t xml:space="preserve"> </w:t>
      </w:r>
      <w:r>
        <w:rPr>
          <w:rFonts w:ascii="Arial" w:cs="Arial" w:eastAsia="Arial" w:hAnsi="Arial"/>
          <w:sz w:val="15"/>
          <w:szCs w:val="15"/>
          <w:color w:val="2F313A"/>
        </w:rPr>
        <w:t>Global</w:t>
      </w:r>
      <w:r>
        <w:rPr>
          <w:rFonts w:ascii="Arial" w:cs="Arial" w:eastAsia="Arial" w:hAnsi="Arial"/>
          <w:sz w:val="15"/>
          <w:szCs w:val="15"/>
          <w:b w:val="1"/>
          <w:bCs w:val="1"/>
          <w:color w:val="1F2128"/>
        </w:rPr>
        <w:t xml:space="preserve"> </w:t>
      </w:r>
      <w:r>
        <w:rPr>
          <w:rFonts w:ascii="Arial" w:cs="Arial" w:eastAsia="Arial" w:hAnsi="Arial"/>
          <w:sz w:val="15"/>
          <w:szCs w:val="15"/>
          <w:color w:val="1F2128"/>
        </w:rPr>
        <w:t>Insider Trading</w:t>
      </w:r>
      <w:r>
        <w:rPr>
          <w:rFonts w:ascii="Arial" w:cs="Arial" w:eastAsia="Arial" w:hAnsi="Arial"/>
          <w:sz w:val="15"/>
          <w:szCs w:val="15"/>
          <w:b w:val="1"/>
          <w:bCs w:val="1"/>
          <w:color w:val="1F2128"/>
        </w:rPr>
        <w:t xml:space="preserve"> </w:t>
      </w:r>
      <w:r>
        <w:rPr>
          <w:rFonts w:ascii="Arial" w:cs="Arial" w:eastAsia="Arial" w:hAnsi="Arial"/>
          <w:sz w:val="15"/>
          <w:szCs w:val="15"/>
          <w:color w:val="2F313A"/>
        </w:rPr>
        <w:t>Policy, a copy of which</w:t>
      </w:r>
      <w:r>
        <w:rPr>
          <w:rFonts w:ascii="Arial" w:cs="Arial" w:eastAsia="Arial" w:hAnsi="Arial"/>
          <w:sz w:val="15"/>
          <w:szCs w:val="15"/>
          <w:b w:val="1"/>
          <w:bCs w:val="1"/>
          <w:color w:val="1F2128"/>
        </w:rPr>
        <w:t xml:space="preserve"> </w:t>
      </w:r>
      <w:r>
        <w:rPr>
          <w:rFonts w:ascii="Arial" w:cs="Arial" w:eastAsia="Arial" w:hAnsi="Arial"/>
          <w:sz w:val="15"/>
          <w:szCs w:val="15"/>
          <w:color w:val="1F2128"/>
        </w:rPr>
        <w:t>will</w:t>
      </w:r>
      <w:r>
        <w:rPr>
          <w:rFonts w:ascii="Arial" w:cs="Arial" w:eastAsia="Arial" w:hAnsi="Arial"/>
          <w:sz w:val="15"/>
          <w:szCs w:val="15"/>
          <w:b w:val="1"/>
          <w:bCs w:val="1"/>
          <w:color w:val="1F2128"/>
        </w:rPr>
        <w:t xml:space="preserve"> </w:t>
      </w:r>
      <w:r>
        <w:rPr>
          <w:rFonts w:ascii="Arial" w:cs="Arial" w:eastAsia="Arial" w:hAnsi="Arial"/>
          <w:sz w:val="15"/>
          <w:szCs w:val="15"/>
          <w:color w:val="1F2128"/>
        </w:rPr>
        <w:t xml:space="preserve">be </w:t>
      </w:r>
      <w:r>
        <w:rPr>
          <w:rFonts w:ascii="Arial" w:cs="Arial" w:eastAsia="Arial" w:hAnsi="Arial"/>
          <w:sz w:val="15"/>
          <w:szCs w:val="15"/>
          <w:color w:val="2F313A"/>
        </w:rPr>
        <w:t>provided to you</w:t>
      </w:r>
      <w:r>
        <w:rPr>
          <w:rFonts w:ascii="Arial" w:cs="Arial" w:eastAsia="Arial" w:hAnsi="Arial"/>
          <w:sz w:val="15"/>
          <w:szCs w:val="15"/>
          <w:color w:val="B5BCBD"/>
        </w:rPr>
        <w:t>.</w:t>
      </w:r>
      <w:r>
        <w:rPr>
          <w:rFonts w:ascii="Arial" w:cs="Arial" w:eastAsia="Arial" w:hAnsi="Arial"/>
          <w:sz w:val="15"/>
          <w:szCs w:val="15"/>
          <w:color w:val="1F2128"/>
        </w:rPr>
        <w:t xml:space="preserve"> </w:t>
      </w:r>
      <w:r>
        <w:rPr>
          <w:rFonts w:ascii="Arial" w:cs="Arial" w:eastAsia="Arial" w:hAnsi="Arial"/>
          <w:sz w:val="15"/>
          <w:szCs w:val="15"/>
          <w:color w:val="2F313A"/>
        </w:rPr>
        <w:t>The</w:t>
      </w:r>
      <w:r>
        <w:rPr>
          <w:rFonts w:ascii="Arial" w:cs="Arial" w:eastAsia="Arial" w:hAnsi="Arial"/>
          <w:sz w:val="15"/>
          <w:szCs w:val="15"/>
          <w:color w:val="1F2128"/>
        </w:rPr>
        <w:t xml:space="preserve"> Biogen Global Insider Trad</w:t>
      </w:r>
      <w:r>
        <w:rPr>
          <w:rFonts w:ascii="Arial" w:cs="Arial" w:eastAsia="Arial" w:hAnsi="Arial"/>
          <w:sz w:val="15"/>
          <w:szCs w:val="15"/>
          <w:color w:val="3D4149"/>
        </w:rPr>
        <w:t>i</w:t>
      </w:r>
      <w:r>
        <w:rPr>
          <w:rFonts w:ascii="Arial" w:cs="Arial" w:eastAsia="Arial" w:hAnsi="Arial"/>
          <w:sz w:val="15"/>
          <w:szCs w:val="15"/>
          <w:color w:val="1F2128"/>
        </w:rPr>
        <w:t>ng Poli</w:t>
      </w:r>
      <w:r>
        <w:rPr>
          <w:rFonts w:ascii="Arial" w:cs="Arial" w:eastAsia="Arial" w:hAnsi="Arial"/>
          <w:sz w:val="15"/>
          <w:szCs w:val="15"/>
          <w:color w:val="3D4149"/>
        </w:rPr>
        <w:t>cy</w:t>
      </w:r>
      <w:r>
        <w:rPr>
          <w:rFonts w:ascii="Arial" w:cs="Arial" w:eastAsia="Arial" w:hAnsi="Arial"/>
          <w:sz w:val="15"/>
          <w:szCs w:val="15"/>
          <w:color w:val="1F2128"/>
        </w:rPr>
        <w:t xml:space="preserve"> </w:t>
      </w:r>
      <w:r>
        <w:rPr>
          <w:rFonts w:ascii="Arial" w:cs="Arial" w:eastAsia="Arial" w:hAnsi="Arial"/>
          <w:sz w:val="15"/>
          <w:szCs w:val="15"/>
          <w:color w:val="2F313A"/>
        </w:rPr>
        <w:t>sets</w:t>
      </w:r>
      <w:r>
        <w:rPr>
          <w:rFonts w:ascii="Arial" w:cs="Arial" w:eastAsia="Arial" w:hAnsi="Arial"/>
          <w:sz w:val="15"/>
          <w:szCs w:val="15"/>
          <w:color w:val="1F2128"/>
        </w:rPr>
        <w:t xml:space="preserve"> forth </w:t>
      </w:r>
      <w:r>
        <w:rPr>
          <w:rFonts w:ascii="Arial" w:cs="Arial" w:eastAsia="Arial" w:hAnsi="Arial"/>
          <w:sz w:val="15"/>
          <w:szCs w:val="15"/>
          <w:color w:val="2F313A"/>
        </w:rPr>
        <w:t>guideline</w:t>
      </w:r>
      <w:r>
        <w:rPr>
          <w:rFonts w:ascii="Arial" w:cs="Arial" w:eastAsia="Arial" w:hAnsi="Arial"/>
          <w:sz w:val="15"/>
          <w:szCs w:val="15"/>
          <w:color w:val="4F4F57"/>
        </w:rPr>
        <w:t>s</w:t>
      </w:r>
      <w:r>
        <w:rPr>
          <w:rFonts w:ascii="Arial" w:cs="Arial" w:eastAsia="Arial" w:hAnsi="Arial"/>
          <w:sz w:val="15"/>
          <w:szCs w:val="15"/>
          <w:color w:val="1F2128"/>
        </w:rPr>
        <w:t xml:space="preserve"> </w:t>
      </w:r>
      <w:r>
        <w:rPr>
          <w:rFonts w:ascii="Arial" w:cs="Arial" w:eastAsia="Arial" w:hAnsi="Arial"/>
          <w:sz w:val="15"/>
          <w:szCs w:val="15"/>
          <w:color w:val="2F313A"/>
        </w:rPr>
        <w:t>designed</w:t>
      </w:r>
      <w:r>
        <w:rPr>
          <w:rFonts w:ascii="Arial" w:cs="Arial" w:eastAsia="Arial" w:hAnsi="Arial"/>
          <w:sz w:val="15"/>
          <w:szCs w:val="15"/>
          <w:color w:val="1F2128"/>
        </w:rPr>
        <w:t xml:space="preserve"> to promote </w:t>
      </w:r>
      <w:r>
        <w:rPr>
          <w:rFonts w:ascii="Arial" w:cs="Arial" w:eastAsia="Arial" w:hAnsi="Arial"/>
          <w:sz w:val="15"/>
          <w:szCs w:val="15"/>
          <w:color w:val="2F313A"/>
        </w:rPr>
        <w:t>compliance with applicable</w:t>
      </w:r>
      <w:r>
        <w:rPr>
          <w:rFonts w:ascii="Arial" w:cs="Arial" w:eastAsia="Arial" w:hAnsi="Arial"/>
          <w:sz w:val="15"/>
          <w:szCs w:val="15"/>
          <w:color w:val="1F2128"/>
        </w:rPr>
        <w:t xml:space="preserve"> federal </w:t>
      </w:r>
      <w:r>
        <w:rPr>
          <w:rFonts w:ascii="Arial" w:cs="Arial" w:eastAsia="Arial" w:hAnsi="Arial"/>
          <w:sz w:val="15"/>
          <w:szCs w:val="15"/>
          <w:color w:val="2F313A"/>
        </w:rPr>
        <w:t>and</w:t>
      </w:r>
      <w:r>
        <w:rPr>
          <w:rFonts w:ascii="Arial" w:cs="Arial" w:eastAsia="Arial" w:hAnsi="Arial"/>
          <w:sz w:val="15"/>
          <w:szCs w:val="15"/>
          <w:color w:val="1F2128"/>
        </w:rPr>
        <w:t xml:space="preserve"> </w:t>
      </w:r>
      <w:r>
        <w:rPr>
          <w:rFonts w:ascii="Arial" w:cs="Arial" w:eastAsia="Arial" w:hAnsi="Arial"/>
          <w:sz w:val="15"/>
          <w:szCs w:val="15"/>
          <w:color w:val="2F313A"/>
        </w:rPr>
        <w:t xml:space="preserve">state securities </w:t>
      </w:r>
      <w:r>
        <w:rPr>
          <w:rFonts w:ascii="Arial" w:cs="Arial" w:eastAsia="Arial" w:hAnsi="Arial"/>
          <w:sz w:val="15"/>
          <w:szCs w:val="15"/>
          <w:color w:val="1F2128"/>
        </w:rPr>
        <w:t>laws that prohib</w:t>
      </w:r>
      <w:r>
        <w:rPr>
          <w:rFonts w:ascii="Arial" w:cs="Arial" w:eastAsia="Arial" w:hAnsi="Arial"/>
          <w:sz w:val="15"/>
          <w:szCs w:val="15"/>
          <w:color w:val="4F4F57"/>
        </w:rPr>
        <w:t>i</w:t>
      </w:r>
      <w:r>
        <w:rPr>
          <w:rFonts w:ascii="Arial" w:cs="Arial" w:eastAsia="Arial" w:hAnsi="Arial"/>
          <w:sz w:val="15"/>
          <w:szCs w:val="15"/>
          <w:color w:val="1F2128"/>
        </w:rPr>
        <w:t>t</w:t>
      </w:r>
      <w:r>
        <w:rPr>
          <w:rFonts w:ascii="Arial" w:cs="Arial" w:eastAsia="Arial" w:hAnsi="Arial"/>
          <w:sz w:val="15"/>
          <w:szCs w:val="15"/>
          <w:color w:val="2F313A"/>
        </w:rPr>
        <w:t xml:space="preserve"> persons who </w:t>
      </w:r>
      <w:r>
        <w:rPr>
          <w:rFonts w:ascii="Arial" w:cs="Arial" w:eastAsia="Arial" w:hAnsi="Arial"/>
          <w:sz w:val="15"/>
          <w:szCs w:val="15"/>
          <w:color w:val="1F2128"/>
        </w:rPr>
        <w:t>are</w:t>
      </w:r>
      <w:r>
        <w:rPr>
          <w:rFonts w:ascii="Arial" w:cs="Arial" w:eastAsia="Arial" w:hAnsi="Arial"/>
          <w:sz w:val="15"/>
          <w:szCs w:val="15"/>
          <w:color w:val="2F313A"/>
        </w:rPr>
        <w:t xml:space="preserve"> aware of </w:t>
      </w:r>
      <w:r>
        <w:rPr>
          <w:rFonts w:ascii="Arial" w:cs="Arial" w:eastAsia="Arial" w:hAnsi="Arial"/>
          <w:sz w:val="15"/>
          <w:szCs w:val="15"/>
          <w:color w:val="1F2128"/>
        </w:rPr>
        <w:t>material</w:t>
      </w:r>
      <w:r>
        <w:rPr>
          <w:rFonts w:ascii="Arial" w:cs="Arial" w:eastAsia="Arial" w:hAnsi="Arial"/>
          <w:sz w:val="15"/>
          <w:szCs w:val="15"/>
          <w:color w:val="2F313A"/>
        </w:rPr>
        <w:t xml:space="preserve"> nonpublic </w:t>
      </w:r>
      <w:r>
        <w:rPr>
          <w:rFonts w:ascii="Arial" w:cs="Arial" w:eastAsia="Arial" w:hAnsi="Arial"/>
          <w:sz w:val="15"/>
          <w:szCs w:val="15"/>
          <w:color w:val="33315B"/>
        </w:rPr>
        <w:t>i</w:t>
      </w:r>
      <w:r>
        <w:rPr>
          <w:rFonts w:ascii="Arial" w:cs="Arial" w:eastAsia="Arial" w:hAnsi="Arial"/>
          <w:sz w:val="15"/>
          <w:szCs w:val="15"/>
          <w:color w:val="1F2128"/>
        </w:rPr>
        <w:t>nformation</w:t>
      </w:r>
      <w:r>
        <w:rPr>
          <w:rFonts w:ascii="Arial" w:cs="Arial" w:eastAsia="Arial" w:hAnsi="Arial"/>
          <w:sz w:val="15"/>
          <w:szCs w:val="15"/>
          <w:color w:val="2F313A"/>
        </w:rPr>
        <w:t xml:space="preserve"> about </w:t>
      </w:r>
      <w:r>
        <w:rPr>
          <w:rFonts w:ascii="Arial" w:cs="Arial" w:eastAsia="Arial" w:hAnsi="Arial"/>
          <w:sz w:val="15"/>
          <w:szCs w:val="15"/>
          <w:color w:val="1F2128"/>
        </w:rPr>
        <w:t>the</w:t>
      </w:r>
      <w:r>
        <w:rPr>
          <w:rFonts w:ascii="Arial" w:cs="Arial" w:eastAsia="Arial" w:hAnsi="Arial"/>
          <w:sz w:val="15"/>
          <w:szCs w:val="15"/>
          <w:color w:val="2F313A"/>
        </w:rPr>
        <w:t xml:space="preserve"> company </w:t>
      </w:r>
      <w:r>
        <w:rPr>
          <w:rFonts w:ascii="Arial" w:cs="Arial" w:eastAsia="Arial" w:hAnsi="Arial"/>
          <w:sz w:val="15"/>
          <w:szCs w:val="15"/>
          <w:color w:val="1F2128"/>
        </w:rPr>
        <w:t>from trading in secu</w:t>
      </w:r>
      <w:r>
        <w:rPr>
          <w:rFonts w:ascii="Arial" w:cs="Arial" w:eastAsia="Arial" w:hAnsi="Arial"/>
          <w:sz w:val="15"/>
          <w:szCs w:val="15"/>
          <w:color w:val="3D4149"/>
        </w:rPr>
        <w:t>r</w:t>
      </w:r>
      <w:r>
        <w:rPr>
          <w:rFonts w:ascii="Arial" w:cs="Arial" w:eastAsia="Arial" w:hAnsi="Arial"/>
          <w:sz w:val="15"/>
          <w:szCs w:val="15"/>
          <w:color w:val="1F2128"/>
        </w:rPr>
        <w:t>ities</w:t>
      </w:r>
      <w:r>
        <w:rPr>
          <w:rFonts w:ascii="Arial" w:cs="Arial" w:eastAsia="Arial" w:hAnsi="Arial"/>
          <w:sz w:val="15"/>
          <w:szCs w:val="15"/>
          <w:color w:val="2F313A"/>
        </w:rPr>
        <w:t xml:space="preserve"> </w:t>
      </w:r>
      <w:r>
        <w:rPr>
          <w:rFonts w:ascii="Arial" w:cs="Arial" w:eastAsia="Arial" w:hAnsi="Arial"/>
          <w:sz w:val="15"/>
          <w:szCs w:val="15"/>
          <w:color w:val="3D4149"/>
        </w:rPr>
        <w:t>of</w:t>
      </w:r>
      <w:r>
        <w:rPr>
          <w:rFonts w:ascii="Arial" w:cs="Arial" w:eastAsia="Arial" w:hAnsi="Arial"/>
          <w:sz w:val="15"/>
          <w:szCs w:val="15"/>
          <w:color w:val="2F313A"/>
        </w:rPr>
        <w:t xml:space="preserve"> </w:t>
      </w:r>
      <w:r>
        <w:rPr>
          <w:rFonts w:ascii="Arial" w:cs="Arial" w:eastAsia="Arial" w:hAnsi="Arial"/>
          <w:sz w:val="15"/>
          <w:szCs w:val="15"/>
          <w:color w:val="1F2128"/>
        </w:rPr>
        <w:t>th</w:t>
      </w:r>
      <w:r>
        <w:rPr>
          <w:rFonts w:ascii="Arial" w:cs="Arial" w:eastAsia="Arial" w:hAnsi="Arial"/>
          <w:sz w:val="15"/>
          <w:szCs w:val="15"/>
          <w:color w:val="3D4149"/>
        </w:rPr>
        <w:t>e</w:t>
      </w:r>
      <w:r>
        <w:rPr>
          <w:rFonts w:ascii="Arial" w:cs="Arial" w:eastAsia="Arial" w:hAnsi="Arial"/>
          <w:sz w:val="15"/>
          <w:szCs w:val="15"/>
          <w:color w:val="2F313A"/>
        </w:rPr>
        <w:t xml:space="preserve"> company or </w:t>
      </w:r>
      <w:r>
        <w:rPr>
          <w:rFonts w:ascii="Arial" w:cs="Arial" w:eastAsia="Arial" w:hAnsi="Arial"/>
          <w:sz w:val="15"/>
          <w:szCs w:val="15"/>
          <w:color w:val="1F2128"/>
        </w:rPr>
        <w:t>providing material nonpublic</w:t>
      </w:r>
      <w:r>
        <w:rPr>
          <w:rFonts w:ascii="Arial" w:cs="Arial" w:eastAsia="Arial" w:hAnsi="Arial"/>
          <w:sz w:val="15"/>
          <w:szCs w:val="15"/>
          <w:color w:val="2F313A"/>
        </w:rPr>
        <w:t xml:space="preserve"> information </w:t>
      </w:r>
      <w:r>
        <w:rPr>
          <w:rFonts w:ascii="Arial" w:cs="Arial" w:eastAsia="Arial" w:hAnsi="Arial"/>
          <w:sz w:val="15"/>
          <w:szCs w:val="15"/>
          <w:color w:val="1F2128"/>
        </w:rPr>
        <w:t>to</w:t>
      </w:r>
      <w:r>
        <w:rPr>
          <w:rFonts w:ascii="Arial" w:cs="Arial" w:eastAsia="Arial" w:hAnsi="Arial"/>
          <w:sz w:val="15"/>
          <w:szCs w:val="15"/>
          <w:color w:val="2F313A"/>
        </w:rPr>
        <w:t xml:space="preserve"> other </w:t>
      </w:r>
      <w:r>
        <w:rPr>
          <w:rFonts w:ascii="Arial" w:cs="Arial" w:eastAsia="Arial" w:hAnsi="Arial"/>
          <w:sz w:val="15"/>
          <w:szCs w:val="15"/>
          <w:color w:val="1F2128"/>
        </w:rPr>
        <w:t>persons who may trade on the b</w:t>
      </w:r>
      <w:r>
        <w:rPr>
          <w:rFonts w:ascii="Arial" w:cs="Arial" w:eastAsia="Arial" w:hAnsi="Arial"/>
          <w:sz w:val="15"/>
          <w:szCs w:val="15"/>
          <w:color w:val="3D4149"/>
        </w:rPr>
        <w:t>a</w:t>
      </w:r>
      <w:r>
        <w:rPr>
          <w:rFonts w:ascii="Arial" w:cs="Arial" w:eastAsia="Arial" w:hAnsi="Arial"/>
          <w:sz w:val="15"/>
          <w:szCs w:val="15"/>
          <w:color w:val="1F2128"/>
        </w:rPr>
        <w:t>sis</w:t>
      </w:r>
      <w:r>
        <w:rPr>
          <w:rFonts w:ascii="Arial" w:cs="Arial" w:eastAsia="Arial" w:hAnsi="Arial"/>
          <w:sz w:val="15"/>
          <w:szCs w:val="15"/>
          <w:color w:val="2F313A"/>
        </w:rPr>
        <w:t xml:space="preserve"> of </w:t>
      </w:r>
      <w:r>
        <w:rPr>
          <w:rFonts w:ascii="Arial" w:cs="Arial" w:eastAsia="Arial" w:hAnsi="Arial"/>
          <w:sz w:val="15"/>
          <w:szCs w:val="15"/>
          <w:color w:val="1F2128"/>
        </w:rPr>
        <w:t>that</w:t>
      </w:r>
      <w:r>
        <w:rPr>
          <w:rFonts w:ascii="Arial" w:cs="Arial" w:eastAsia="Arial" w:hAnsi="Arial"/>
          <w:sz w:val="15"/>
          <w:szCs w:val="15"/>
          <w:color w:val="2F313A"/>
        </w:rPr>
        <w:t xml:space="preserve"> information</w:t>
      </w:r>
      <w:r>
        <w:rPr>
          <w:rFonts w:ascii="Arial" w:cs="Arial" w:eastAsia="Arial" w:hAnsi="Arial"/>
          <w:sz w:val="15"/>
          <w:szCs w:val="15"/>
          <w:color w:val="919191"/>
        </w:rPr>
        <w:t>.</w:t>
      </w:r>
      <w:r>
        <w:rPr>
          <w:rFonts w:ascii="Arial" w:cs="Arial" w:eastAsia="Arial" w:hAnsi="Arial"/>
          <w:sz w:val="15"/>
          <w:szCs w:val="15"/>
          <w:color w:val="2F313A"/>
        </w:rPr>
        <w:t xml:space="preserve"> </w:t>
      </w:r>
      <w:r>
        <w:rPr>
          <w:rFonts w:ascii="Arial" w:cs="Arial" w:eastAsia="Arial" w:hAnsi="Arial"/>
          <w:sz w:val="15"/>
          <w:szCs w:val="15"/>
          <w:color w:val="1F2128"/>
        </w:rPr>
        <w:t>Upon</w:t>
      </w:r>
      <w:r>
        <w:rPr>
          <w:rFonts w:ascii="Arial" w:cs="Arial" w:eastAsia="Arial" w:hAnsi="Arial"/>
          <w:sz w:val="15"/>
          <w:szCs w:val="15"/>
          <w:color w:val="2F313A"/>
        </w:rPr>
        <w:t xml:space="preserve"> your employment</w:t>
      </w:r>
      <w:r>
        <w:rPr>
          <w:rFonts w:ascii="Arial" w:cs="Arial" w:eastAsia="Arial" w:hAnsi="Arial"/>
          <w:sz w:val="15"/>
          <w:szCs w:val="15"/>
          <w:color w:val="4F4F57"/>
        </w:rPr>
        <w:t>,</w:t>
      </w:r>
      <w:r>
        <w:rPr>
          <w:rFonts w:ascii="Arial" w:cs="Arial" w:eastAsia="Arial" w:hAnsi="Arial"/>
          <w:sz w:val="15"/>
          <w:szCs w:val="15"/>
          <w:color w:val="2F313A"/>
        </w:rPr>
        <w:t xml:space="preserve"> you will </w:t>
      </w:r>
      <w:r>
        <w:rPr>
          <w:rFonts w:ascii="Arial" w:cs="Arial" w:eastAsia="Arial" w:hAnsi="Arial"/>
          <w:sz w:val="15"/>
          <w:szCs w:val="15"/>
          <w:color w:val="1F2128"/>
        </w:rPr>
        <w:t>be</w:t>
      </w:r>
      <w:r>
        <w:rPr>
          <w:rFonts w:ascii="Arial" w:cs="Arial" w:eastAsia="Arial" w:hAnsi="Arial"/>
          <w:sz w:val="15"/>
          <w:szCs w:val="15"/>
          <w:color w:val="2F313A"/>
        </w:rPr>
        <w:t xml:space="preserve"> </w:t>
      </w:r>
      <w:r>
        <w:rPr>
          <w:rFonts w:ascii="Arial" w:cs="Arial" w:eastAsia="Arial" w:hAnsi="Arial"/>
          <w:sz w:val="15"/>
          <w:szCs w:val="15"/>
          <w:color w:val="3D4149"/>
        </w:rPr>
        <w:t>assig</w:t>
      </w:r>
      <w:r>
        <w:rPr>
          <w:rFonts w:ascii="Arial" w:cs="Arial" w:eastAsia="Arial" w:hAnsi="Arial"/>
          <w:sz w:val="15"/>
          <w:szCs w:val="15"/>
          <w:color w:val="1F2128"/>
        </w:rPr>
        <w:t>n</w:t>
      </w:r>
      <w:r>
        <w:rPr>
          <w:rFonts w:ascii="Arial" w:cs="Arial" w:eastAsia="Arial" w:hAnsi="Arial"/>
          <w:sz w:val="15"/>
          <w:szCs w:val="15"/>
          <w:color w:val="3D4149"/>
        </w:rPr>
        <w:t>e</w:t>
      </w:r>
      <w:r>
        <w:rPr>
          <w:rFonts w:ascii="Arial" w:cs="Arial" w:eastAsia="Arial" w:hAnsi="Arial"/>
          <w:sz w:val="15"/>
          <w:szCs w:val="15"/>
          <w:color w:val="1F2128"/>
        </w:rPr>
        <w:t>d,</w:t>
      </w:r>
      <w:r>
        <w:rPr>
          <w:rFonts w:ascii="Arial" w:cs="Arial" w:eastAsia="Arial" w:hAnsi="Arial"/>
          <w:sz w:val="15"/>
          <w:szCs w:val="15"/>
          <w:color w:val="2F313A"/>
        </w:rPr>
        <w:t xml:space="preserve"> based on your </w:t>
      </w:r>
      <w:r>
        <w:rPr>
          <w:rFonts w:ascii="Arial" w:cs="Arial" w:eastAsia="Arial" w:hAnsi="Arial"/>
          <w:sz w:val="15"/>
          <w:szCs w:val="15"/>
          <w:color w:val="1F2128"/>
        </w:rPr>
        <w:t>j</w:t>
      </w:r>
      <w:r>
        <w:rPr>
          <w:rFonts w:ascii="Arial" w:cs="Arial" w:eastAsia="Arial" w:hAnsi="Arial"/>
          <w:sz w:val="15"/>
          <w:szCs w:val="15"/>
          <w:color w:val="3D4149"/>
        </w:rPr>
        <w:t>o</w:t>
      </w:r>
      <w:r>
        <w:rPr>
          <w:rFonts w:ascii="Arial" w:cs="Arial" w:eastAsia="Arial" w:hAnsi="Arial"/>
          <w:sz w:val="15"/>
          <w:szCs w:val="15"/>
          <w:color w:val="1F2128"/>
        </w:rPr>
        <w:t>b</w:t>
      </w:r>
      <w:r>
        <w:rPr>
          <w:rFonts w:ascii="Arial" w:cs="Arial" w:eastAsia="Arial" w:hAnsi="Arial"/>
          <w:sz w:val="15"/>
          <w:szCs w:val="15"/>
          <w:color w:val="4F4F57"/>
        </w:rPr>
        <w:t>,</w:t>
      </w:r>
      <w:r>
        <w:rPr>
          <w:rFonts w:ascii="Arial" w:cs="Arial" w:eastAsia="Arial" w:hAnsi="Arial"/>
          <w:sz w:val="15"/>
          <w:szCs w:val="15"/>
          <w:color w:val="2F313A"/>
        </w:rPr>
        <w:t xml:space="preserve"> </w:t>
      </w:r>
      <w:r>
        <w:rPr>
          <w:rFonts w:ascii="Arial" w:cs="Arial" w:eastAsia="Arial" w:hAnsi="Arial"/>
          <w:sz w:val="15"/>
          <w:szCs w:val="15"/>
          <w:color w:val="1F2128"/>
        </w:rPr>
        <w:t>to</w:t>
      </w:r>
      <w:r>
        <w:rPr>
          <w:rFonts w:ascii="Arial" w:cs="Arial" w:eastAsia="Arial" w:hAnsi="Arial"/>
          <w:sz w:val="15"/>
          <w:szCs w:val="15"/>
          <w:color w:val="2F313A"/>
        </w:rPr>
        <w:t xml:space="preserve"> a specific </w:t>
      </w:r>
      <w:r>
        <w:rPr>
          <w:rFonts w:ascii="Arial" w:cs="Arial" w:eastAsia="Arial" w:hAnsi="Arial"/>
          <w:sz w:val="15"/>
          <w:szCs w:val="15"/>
          <w:color w:val="1F2128"/>
        </w:rPr>
        <w:t>trading group that</w:t>
      </w:r>
      <w:r>
        <w:rPr>
          <w:rFonts w:ascii="Arial" w:cs="Arial" w:eastAsia="Arial" w:hAnsi="Arial"/>
          <w:sz w:val="15"/>
          <w:szCs w:val="15"/>
          <w:color w:val="2F313A"/>
        </w:rPr>
        <w:t xml:space="preserve"> will determine your obligations and </w:t>
      </w:r>
      <w:r>
        <w:rPr>
          <w:rFonts w:ascii="Arial" w:cs="Arial" w:eastAsia="Arial" w:hAnsi="Arial"/>
          <w:sz w:val="15"/>
          <w:szCs w:val="15"/>
          <w:color w:val="1F2128"/>
        </w:rPr>
        <w:t>restrictions under t</w:t>
      </w:r>
      <w:r>
        <w:rPr>
          <w:rFonts w:ascii="Arial" w:cs="Arial" w:eastAsia="Arial" w:hAnsi="Arial"/>
          <w:sz w:val="15"/>
          <w:szCs w:val="15"/>
          <w:color w:val="3D4149"/>
        </w:rPr>
        <w:t>he</w:t>
      </w:r>
      <w:r>
        <w:rPr>
          <w:rFonts w:ascii="Arial" w:cs="Arial" w:eastAsia="Arial" w:hAnsi="Arial"/>
          <w:sz w:val="15"/>
          <w:szCs w:val="15"/>
          <w:color w:val="2F313A"/>
        </w:rPr>
        <w:t xml:space="preserve"> poli</w:t>
      </w:r>
      <w:r>
        <w:rPr>
          <w:rFonts w:ascii="Arial" w:cs="Arial" w:eastAsia="Arial" w:hAnsi="Arial"/>
          <w:sz w:val="15"/>
          <w:szCs w:val="15"/>
          <w:color w:val="4F4F57"/>
        </w:rPr>
        <w:t>c</w:t>
      </w:r>
      <w:r>
        <w:rPr>
          <w:rFonts w:ascii="Arial" w:cs="Arial" w:eastAsia="Arial" w:hAnsi="Arial"/>
          <w:sz w:val="15"/>
          <w:szCs w:val="15"/>
          <w:color w:val="2F313A"/>
        </w:rPr>
        <w:t>y</w:t>
      </w:r>
      <w:r>
        <w:rPr>
          <w:rFonts w:ascii="Arial" w:cs="Arial" w:eastAsia="Arial" w:hAnsi="Arial"/>
          <w:sz w:val="15"/>
          <w:szCs w:val="15"/>
          <w:color w:val="4F4F57"/>
        </w:rPr>
        <w:t>,</w:t>
      </w:r>
      <w:r>
        <w:rPr>
          <w:rFonts w:ascii="Arial" w:cs="Arial" w:eastAsia="Arial" w:hAnsi="Arial"/>
          <w:sz w:val="15"/>
          <w:szCs w:val="15"/>
          <w:color w:val="2F313A"/>
        </w:rPr>
        <w:t xml:space="preserve"> and you will be </w:t>
      </w:r>
      <w:r>
        <w:rPr>
          <w:rFonts w:ascii="Arial" w:cs="Arial" w:eastAsia="Arial" w:hAnsi="Arial"/>
          <w:sz w:val="15"/>
          <w:szCs w:val="15"/>
          <w:color w:val="1F2128"/>
        </w:rPr>
        <w:t>require</w:t>
      </w:r>
      <w:r>
        <w:rPr>
          <w:rFonts w:ascii="Arial" w:cs="Arial" w:eastAsia="Arial" w:hAnsi="Arial"/>
          <w:sz w:val="15"/>
          <w:szCs w:val="15"/>
          <w:color w:val="3D4149"/>
        </w:rPr>
        <w:t>d</w:t>
      </w:r>
      <w:r>
        <w:rPr>
          <w:rFonts w:ascii="Arial" w:cs="Arial" w:eastAsia="Arial" w:hAnsi="Arial"/>
          <w:sz w:val="15"/>
          <w:szCs w:val="15"/>
          <w:color w:val="1F2128"/>
        </w:rPr>
        <w:t xml:space="preserve"> to </w:t>
      </w:r>
      <w:r>
        <w:rPr>
          <w:rFonts w:ascii="Arial" w:cs="Arial" w:eastAsia="Arial" w:hAnsi="Arial"/>
          <w:sz w:val="15"/>
          <w:szCs w:val="15"/>
          <w:color w:val="4F4F57"/>
        </w:rPr>
        <w:t>c</w:t>
      </w:r>
      <w:r>
        <w:rPr>
          <w:rFonts w:ascii="Arial" w:cs="Arial" w:eastAsia="Arial" w:hAnsi="Arial"/>
          <w:sz w:val="15"/>
          <w:szCs w:val="15"/>
          <w:color w:val="2F313A"/>
        </w:rPr>
        <w:t>omplete training on</w:t>
      </w:r>
      <w:r>
        <w:rPr>
          <w:rFonts w:ascii="Arial" w:cs="Arial" w:eastAsia="Arial" w:hAnsi="Arial"/>
          <w:sz w:val="15"/>
          <w:szCs w:val="15"/>
          <w:color w:val="1F2128"/>
        </w:rPr>
        <w:t xml:space="preserve"> the policy</w:t>
      </w:r>
      <w:r>
        <w:rPr>
          <w:rFonts w:ascii="Arial" w:cs="Arial" w:eastAsia="Arial" w:hAnsi="Arial"/>
          <w:sz w:val="15"/>
          <w:szCs w:val="15"/>
          <w:color w:val="4F4F57"/>
        </w:rPr>
        <w:t>.</w:t>
      </w:r>
    </w:p>
    <w:p>
      <w:pPr>
        <w:spacing w:after="0" w:line="172" w:lineRule="exact"/>
        <w:rPr>
          <w:sz w:val="20"/>
          <w:szCs w:val="20"/>
          <w:color w:val="auto"/>
        </w:rPr>
      </w:pPr>
    </w:p>
    <w:p>
      <w:pPr>
        <w:jc w:val="both"/>
        <w:ind w:left="180"/>
        <w:spacing w:after="0" w:line="270" w:lineRule="auto"/>
        <w:rPr>
          <w:sz w:val="20"/>
          <w:szCs w:val="20"/>
          <w:color w:val="auto"/>
        </w:rPr>
      </w:pPr>
      <w:r>
        <w:rPr>
          <w:rFonts w:ascii="Arial" w:cs="Arial" w:eastAsia="Arial" w:hAnsi="Arial"/>
          <w:sz w:val="15"/>
          <w:szCs w:val="15"/>
          <w:b w:val="1"/>
          <w:bCs w:val="1"/>
          <w:color w:val="1F2128"/>
        </w:rPr>
        <w:t xml:space="preserve">Share Ownership Requirement: </w:t>
      </w:r>
      <w:r>
        <w:rPr>
          <w:rFonts w:ascii="Arial" w:cs="Arial" w:eastAsia="Arial" w:hAnsi="Arial"/>
          <w:sz w:val="15"/>
          <w:szCs w:val="15"/>
          <w:color w:val="1F2128"/>
        </w:rPr>
        <w:t>A key objective</w:t>
      </w:r>
      <w:r>
        <w:rPr>
          <w:rFonts w:ascii="Arial" w:cs="Arial" w:eastAsia="Arial" w:hAnsi="Arial"/>
          <w:sz w:val="15"/>
          <w:szCs w:val="15"/>
          <w:b w:val="1"/>
          <w:bCs w:val="1"/>
          <w:color w:val="1F2128"/>
        </w:rPr>
        <w:t xml:space="preserve"> </w:t>
      </w:r>
      <w:r>
        <w:rPr>
          <w:rFonts w:ascii="Arial" w:cs="Arial" w:eastAsia="Arial" w:hAnsi="Arial"/>
          <w:sz w:val="15"/>
          <w:szCs w:val="15"/>
          <w:color w:val="3D4149"/>
        </w:rPr>
        <w:t>o</w:t>
      </w:r>
      <w:r>
        <w:rPr>
          <w:rFonts w:ascii="Arial" w:cs="Arial" w:eastAsia="Arial" w:hAnsi="Arial"/>
          <w:sz w:val="15"/>
          <w:szCs w:val="15"/>
          <w:color w:val="1F2128"/>
        </w:rPr>
        <w:t>f</w:t>
      </w:r>
      <w:r>
        <w:rPr>
          <w:rFonts w:ascii="Arial" w:cs="Arial" w:eastAsia="Arial" w:hAnsi="Arial"/>
          <w:sz w:val="15"/>
          <w:szCs w:val="15"/>
          <w:b w:val="1"/>
          <w:bCs w:val="1"/>
          <w:color w:val="1F2128"/>
        </w:rPr>
        <w:t xml:space="preserve"> </w:t>
      </w:r>
      <w:r>
        <w:rPr>
          <w:rFonts w:ascii="Arial" w:cs="Arial" w:eastAsia="Arial" w:hAnsi="Arial"/>
          <w:sz w:val="15"/>
          <w:szCs w:val="15"/>
          <w:color w:val="2F313A"/>
        </w:rPr>
        <w:t>our</w:t>
      </w:r>
      <w:r>
        <w:rPr>
          <w:rFonts w:ascii="Arial" w:cs="Arial" w:eastAsia="Arial" w:hAnsi="Arial"/>
          <w:sz w:val="15"/>
          <w:szCs w:val="15"/>
          <w:b w:val="1"/>
          <w:bCs w:val="1"/>
          <w:color w:val="1F2128"/>
        </w:rPr>
        <w:t xml:space="preserve"> </w:t>
      </w:r>
      <w:r>
        <w:rPr>
          <w:rFonts w:ascii="Arial" w:cs="Arial" w:eastAsia="Arial" w:hAnsi="Arial"/>
          <w:sz w:val="15"/>
          <w:szCs w:val="15"/>
          <w:color w:val="1F2128"/>
        </w:rPr>
        <w:t>l</w:t>
      </w:r>
      <w:r>
        <w:rPr>
          <w:rFonts w:ascii="Arial" w:cs="Arial" w:eastAsia="Arial" w:hAnsi="Arial"/>
          <w:sz w:val="15"/>
          <w:szCs w:val="15"/>
          <w:color w:val="3D4149"/>
        </w:rPr>
        <w:t>o</w:t>
      </w:r>
      <w:r>
        <w:rPr>
          <w:rFonts w:ascii="Arial" w:cs="Arial" w:eastAsia="Arial" w:hAnsi="Arial"/>
          <w:sz w:val="15"/>
          <w:szCs w:val="15"/>
          <w:color w:val="1F2128"/>
        </w:rPr>
        <w:t>ng-term</w:t>
      </w:r>
      <w:r>
        <w:rPr>
          <w:rFonts w:ascii="Arial" w:cs="Arial" w:eastAsia="Arial" w:hAnsi="Arial"/>
          <w:sz w:val="15"/>
          <w:szCs w:val="15"/>
          <w:b w:val="1"/>
          <w:bCs w:val="1"/>
          <w:color w:val="1F2128"/>
        </w:rPr>
        <w:t xml:space="preserve"> </w:t>
      </w:r>
      <w:r>
        <w:rPr>
          <w:rFonts w:ascii="Arial" w:cs="Arial" w:eastAsia="Arial" w:hAnsi="Arial"/>
          <w:sz w:val="15"/>
          <w:szCs w:val="15"/>
          <w:color w:val="2F313A"/>
        </w:rPr>
        <w:t>incentive plans is</w:t>
      </w:r>
      <w:r>
        <w:rPr>
          <w:rFonts w:ascii="Arial" w:cs="Arial" w:eastAsia="Arial" w:hAnsi="Arial"/>
          <w:sz w:val="15"/>
          <w:szCs w:val="15"/>
          <w:b w:val="1"/>
          <w:bCs w:val="1"/>
          <w:color w:val="1F2128"/>
        </w:rPr>
        <w:t xml:space="preserve"> </w:t>
      </w:r>
      <w:r>
        <w:rPr>
          <w:rFonts w:ascii="Arial" w:cs="Arial" w:eastAsia="Arial" w:hAnsi="Arial"/>
          <w:sz w:val="15"/>
          <w:szCs w:val="15"/>
          <w:color w:val="1F2128"/>
        </w:rPr>
        <w:t>to ensure</w:t>
      </w:r>
      <w:r>
        <w:rPr>
          <w:rFonts w:ascii="Arial" w:cs="Arial" w:eastAsia="Arial" w:hAnsi="Arial"/>
          <w:sz w:val="15"/>
          <w:szCs w:val="15"/>
          <w:b w:val="1"/>
          <w:bCs w:val="1"/>
          <w:color w:val="1F2128"/>
        </w:rPr>
        <w:t xml:space="preserve"> </w:t>
      </w:r>
      <w:r>
        <w:rPr>
          <w:rFonts w:ascii="Arial" w:cs="Arial" w:eastAsia="Arial" w:hAnsi="Arial"/>
          <w:sz w:val="15"/>
          <w:szCs w:val="15"/>
          <w:color w:val="2F313A"/>
        </w:rPr>
        <w:t>strong</w:t>
      </w:r>
      <w:r>
        <w:rPr>
          <w:rFonts w:ascii="Arial" w:cs="Arial" w:eastAsia="Arial" w:hAnsi="Arial"/>
          <w:sz w:val="15"/>
          <w:szCs w:val="15"/>
          <w:b w:val="1"/>
          <w:bCs w:val="1"/>
          <w:color w:val="1F2128"/>
        </w:rPr>
        <w:t xml:space="preserve"> </w:t>
      </w:r>
      <w:r>
        <w:rPr>
          <w:rFonts w:ascii="Arial" w:cs="Arial" w:eastAsia="Arial" w:hAnsi="Arial"/>
          <w:sz w:val="15"/>
          <w:szCs w:val="15"/>
          <w:color w:val="1F2128"/>
        </w:rPr>
        <w:t>alignment between the</w:t>
      </w:r>
      <w:r>
        <w:rPr>
          <w:rFonts w:ascii="Arial" w:cs="Arial" w:eastAsia="Arial" w:hAnsi="Arial"/>
          <w:sz w:val="15"/>
          <w:szCs w:val="15"/>
          <w:b w:val="1"/>
          <w:bCs w:val="1"/>
          <w:color w:val="1F2128"/>
        </w:rPr>
        <w:t xml:space="preserve"> </w:t>
      </w:r>
      <w:r>
        <w:rPr>
          <w:rFonts w:ascii="Arial" w:cs="Arial" w:eastAsia="Arial" w:hAnsi="Arial"/>
          <w:sz w:val="15"/>
          <w:szCs w:val="15"/>
          <w:color w:val="2F313A"/>
        </w:rPr>
        <w:t>interests of our senior</w:t>
      </w:r>
      <w:r>
        <w:rPr>
          <w:rFonts w:ascii="Arial" w:cs="Arial" w:eastAsia="Arial" w:hAnsi="Arial"/>
          <w:sz w:val="15"/>
          <w:szCs w:val="15"/>
          <w:b w:val="1"/>
          <w:bCs w:val="1"/>
          <w:color w:val="1F2128"/>
        </w:rPr>
        <w:t xml:space="preserve"> </w:t>
      </w:r>
      <w:r>
        <w:rPr>
          <w:rFonts w:ascii="Arial" w:cs="Arial" w:eastAsia="Arial" w:hAnsi="Arial"/>
          <w:sz w:val="15"/>
          <w:szCs w:val="15"/>
          <w:color w:val="2F313A"/>
        </w:rPr>
        <w:t>exe</w:t>
      </w:r>
      <w:r>
        <w:rPr>
          <w:rFonts w:ascii="Arial" w:cs="Arial" w:eastAsia="Arial" w:hAnsi="Arial"/>
          <w:sz w:val="15"/>
          <w:szCs w:val="15"/>
          <w:color w:val="4F4F57"/>
        </w:rPr>
        <w:t>c</w:t>
      </w:r>
      <w:r>
        <w:rPr>
          <w:rFonts w:ascii="Arial" w:cs="Arial" w:eastAsia="Arial" w:hAnsi="Arial"/>
          <w:sz w:val="15"/>
          <w:szCs w:val="15"/>
          <w:color w:val="2F313A"/>
        </w:rPr>
        <w:t>utive</w:t>
      </w:r>
      <w:r>
        <w:rPr>
          <w:rFonts w:ascii="Arial" w:cs="Arial" w:eastAsia="Arial" w:hAnsi="Arial"/>
          <w:sz w:val="15"/>
          <w:szCs w:val="15"/>
          <w:color w:val="4F4F57"/>
        </w:rPr>
        <w:t>s</w:t>
      </w:r>
      <w:r>
        <w:rPr>
          <w:rFonts w:ascii="Arial" w:cs="Arial" w:eastAsia="Arial" w:hAnsi="Arial"/>
          <w:sz w:val="15"/>
          <w:szCs w:val="15"/>
          <w:color w:val="2F313A"/>
        </w:rPr>
        <w:t xml:space="preserve"> and </w:t>
      </w:r>
      <w:r>
        <w:rPr>
          <w:rFonts w:ascii="Arial" w:cs="Arial" w:eastAsia="Arial" w:hAnsi="Arial"/>
          <w:sz w:val="15"/>
          <w:szCs w:val="15"/>
          <w:color w:val="1F2128"/>
        </w:rPr>
        <w:t>those of our stockholders</w:t>
      </w:r>
      <w:r>
        <w:rPr>
          <w:rFonts w:ascii="Arial" w:cs="Arial" w:eastAsia="Arial" w:hAnsi="Arial"/>
          <w:sz w:val="15"/>
          <w:szCs w:val="15"/>
          <w:color w:val="6D6E72"/>
        </w:rPr>
        <w:t>.</w:t>
      </w:r>
      <w:r>
        <w:rPr>
          <w:rFonts w:ascii="Arial" w:cs="Arial" w:eastAsia="Arial" w:hAnsi="Arial"/>
          <w:sz w:val="15"/>
          <w:szCs w:val="15"/>
          <w:color w:val="2F313A"/>
        </w:rPr>
        <w:t xml:space="preserve"> </w:t>
      </w:r>
      <w:r>
        <w:rPr>
          <w:rFonts w:ascii="Arial" w:cs="Arial" w:eastAsia="Arial" w:hAnsi="Arial"/>
          <w:sz w:val="15"/>
          <w:szCs w:val="15"/>
          <w:color w:val="1F2128"/>
        </w:rPr>
        <w:t>It is</w:t>
      </w:r>
      <w:r>
        <w:rPr>
          <w:rFonts w:ascii="Arial" w:cs="Arial" w:eastAsia="Arial" w:hAnsi="Arial"/>
          <w:sz w:val="15"/>
          <w:szCs w:val="15"/>
          <w:color w:val="2F313A"/>
        </w:rPr>
        <w:t xml:space="preserve"> expected </w:t>
      </w:r>
      <w:r>
        <w:rPr>
          <w:rFonts w:ascii="Arial" w:cs="Arial" w:eastAsia="Arial" w:hAnsi="Arial"/>
          <w:sz w:val="15"/>
          <w:szCs w:val="15"/>
          <w:color w:val="1F2128"/>
        </w:rPr>
        <w:t>that through our annua</w:t>
      </w:r>
      <w:r>
        <w:rPr>
          <w:rFonts w:ascii="Arial" w:cs="Arial" w:eastAsia="Arial" w:hAnsi="Arial"/>
          <w:sz w:val="15"/>
          <w:szCs w:val="15"/>
          <w:color w:val="3D4149"/>
        </w:rPr>
        <w:t>l</w:t>
      </w:r>
      <w:r>
        <w:rPr>
          <w:rFonts w:ascii="Arial" w:cs="Arial" w:eastAsia="Arial" w:hAnsi="Arial"/>
          <w:sz w:val="15"/>
          <w:szCs w:val="15"/>
          <w:color w:val="2F313A"/>
        </w:rPr>
        <w:t xml:space="preserve"> long-term </w:t>
      </w:r>
      <w:r>
        <w:rPr>
          <w:rFonts w:ascii="Arial" w:cs="Arial" w:eastAsia="Arial" w:hAnsi="Arial"/>
          <w:sz w:val="15"/>
          <w:szCs w:val="15"/>
          <w:color w:val="1F2128"/>
        </w:rPr>
        <w:t>in</w:t>
      </w:r>
      <w:r>
        <w:rPr>
          <w:rFonts w:ascii="Arial" w:cs="Arial" w:eastAsia="Arial" w:hAnsi="Arial"/>
          <w:sz w:val="15"/>
          <w:szCs w:val="15"/>
          <w:color w:val="3D4149"/>
        </w:rPr>
        <w:t>c</w:t>
      </w:r>
      <w:r>
        <w:rPr>
          <w:rFonts w:ascii="Arial" w:cs="Arial" w:eastAsia="Arial" w:hAnsi="Arial"/>
          <w:sz w:val="15"/>
          <w:szCs w:val="15"/>
          <w:color w:val="1F2128"/>
        </w:rPr>
        <w:t>entive grant</w:t>
      </w:r>
      <w:r>
        <w:rPr>
          <w:rFonts w:ascii="Arial" w:cs="Arial" w:eastAsia="Arial" w:hAnsi="Arial"/>
          <w:sz w:val="15"/>
          <w:szCs w:val="15"/>
          <w:color w:val="4F4F57"/>
        </w:rPr>
        <w:t>s</w:t>
      </w:r>
      <w:r>
        <w:rPr>
          <w:rFonts w:ascii="Arial" w:cs="Arial" w:eastAsia="Arial" w:hAnsi="Arial"/>
          <w:sz w:val="15"/>
          <w:szCs w:val="15"/>
          <w:color w:val="6D6E72"/>
        </w:rPr>
        <w:t>,</w:t>
      </w:r>
      <w:r>
        <w:rPr>
          <w:rFonts w:ascii="Arial" w:cs="Arial" w:eastAsia="Arial" w:hAnsi="Arial"/>
          <w:sz w:val="15"/>
          <w:szCs w:val="15"/>
          <w:color w:val="2F313A"/>
        </w:rPr>
        <w:t xml:space="preserve"> </w:t>
      </w:r>
      <w:r>
        <w:rPr>
          <w:rFonts w:ascii="Arial" w:cs="Arial" w:eastAsia="Arial" w:hAnsi="Arial"/>
          <w:sz w:val="15"/>
          <w:szCs w:val="15"/>
          <w:color w:val="3D4149"/>
        </w:rPr>
        <w:t>you</w:t>
      </w:r>
      <w:r>
        <w:rPr>
          <w:rFonts w:ascii="Arial" w:cs="Arial" w:eastAsia="Arial" w:hAnsi="Arial"/>
          <w:sz w:val="15"/>
          <w:szCs w:val="15"/>
          <w:color w:val="2F313A"/>
        </w:rPr>
        <w:t xml:space="preserve"> will </w:t>
      </w:r>
      <w:r>
        <w:rPr>
          <w:rFonts w:ascii="Arial" w:cs="Arial" w:eastAsia="Arial" w:hAnsi="Arial"/>
          <w:sz w:val="15"/>
          <w:szCs w:val="15"/>
          <w:color w:val="3D4149"/>
        </w:rPr>
        <w:t>accu</w:t>
      </w:r>
      <w:r>
        <w:rPr>
          <w:rFonts w:ascii="Arial" w:cs="Arial" w:eastAsia="Arial" w:hAnsi="Arial"/>
          <w:sz w:val="15"/>
          <w:szCs w:val="15"/>
          <w:color w:val="1F2128"/>
        </w:rPr>
        <w:t>mulate and retain Biogen</w:t>
      </w:r>
      <w:r>
        <w:rPr>
          <w:rFonts w:ascii="Arial" w:cs="Arial" w:eastAsia="Arial" w:hAnsi="Arial"/>
          <w:sz w:val="15"/>
          <w:szCs w:val="15"/>
          <w:color w:val="2F313A"/>
        </w:rPr>
        <w:t xml:space="preserve"> shares </w:t>
      </w:r>
      <w:r>
        <w:rPr>
          <w:rFonts w:ascii="Arial" w:cs="Arial" w:eastAsia="Arial" w:hAnsi="Arial"/>
          <w:sz w:val="15"/>
          <w:szCs w:val="15"/>
          <w:color w:val="3D4149"/>
        </w:rPr>
        <w:t>i</w:t>
      </w:r>
      <w:r>
        <w:rPr>
          <w:rFonts w:ascii="Arial" w:cs="Arial" w:eastAsia="Arial" w:hAnsi="Arial"/>
          <w:sz w:val="15"/>
          <w:szCs w:val="15"/>
          <w:color w:val="1F2128"/>
        </w:rPr>
        <w:t>n</w:t>
      </w:r>
      <w:r>
        <w:rPr>
          <w:rFonts w:ascii="Arial" w:cs="Arial" w:eastAsia="Arial" w:hAnsi="Arial"/>
          <w:sz w:val="15"/>
          <w:szCs w:val="15"/>
          <w:color w:val="2F313A"/>
        </w:rPr>
        <w:t xml:space="preserve"> an amount equivalent </w:t>
      </w:r>
      <w:r>
        <w:rPr>
          <w:rFonts w:ascii="Arial" w:cs="Arial" w:eastAsia="Arial" w:hAnsi="Arial"/>
          <w:sz w:val="15"/>
          <w:szCs w:val="15"/>
          <w:color w:val="1F2128"/>
        </w:rPr>
        <w:t>to</w:t>
      </w:r>
      <w:r>
        <w:rPr>
          <w:rFonts w:ascii="Arial" w:cs="Arial" w:eastAsia="Arial" w:hAnsi="Arial"/>
          <w:sz w:val="15"/>
          <w:szCs w:val="15"/>
          <w:color w:val="2F313A"/>
        </w:rPr>
        <w:t xml:space="preserve"> 3x salary through </w:t>
      </w:r>
      <w:r>
        <w:rPr>
          <w:rFonts w:ascii="Arial" w:cs="Arial" w:eastAsia="Arial" w:hAnsi="Arial"/>
          <w:sz w:val="15"/>
          <w:szCs w:val="15"/>
          <w:color w:val="1F2128"/>
        </w:rPr>
        <w:t>the fir</w:t>
      </w:r>
      <w:r>
        <w:rPr>
          <w:rFonts w:ascii="Arial" w:cs="Arial" w:eastAsia="Arial" w:hAnsi="Arial"/>
          <w:sz w:val="15"/>
          <w:szCs w:val="15"/>
          <w:color w:val="3D4149"/>
        </w:rPr>
        <w:t>s</w:t>
      </w:r>
      <w:r>
        <w:rPr>
          <w:rFonts w:ascii="Arial" w:cs="Arial" w:eastAsia="Arial" w:hAnsi="Arial"/>
          <w:sz w:val="15"/>
          <w:szCs w:val="15"/>
          <w:color w:val="1F2128"/>
        </w:rPr>
        <w:t>t</w:t>
      </w:r>
      <w:r>
        <w:rPr>
          <w:rFonts w:ascii="Arial" w:cs="Arial" w:eastAsia="Arial" w:hAnsi="Arial"/>
          <w:sz w:val="15"/>
          <w:szCs w:val="15"/>
          <w:color w:val="2F313A"/>
        </w:rPr>
        <w:t xml:space="preserve"> </w:t>
      </w:r>
      <w:r>
        <w:rPr>
          <w:rFonts w:ascii="Arial" w:cs="Arial" w:eastAsia="Arial" w:hAnsi="Arial"/>
          <w:sz w:val="15"/>
          <w:szCs w:val="15"/>
          <w:color w:val="3D4149"/>
        </w:rPr>
        <w:t>5</w:t>
      </w:r>
      <w:r>
        <w:rPr>
          <w:rFonts w:ascii="Arial" w:cs="Arial" w:eastAsia="Arial" w:hAnsi="Arial"/>
          <w:sz w:val="15"/>
          <w:szCs w:val="15"/>
          <w:color w:val="2F313A"/>
        </w:rPr>
        <w:t xml:space="preserve"> </w:t>
      </w:r>
      <w:r>
        <w:rPr>
          <w:rFonts w:ascii="Arial" w:cs="Arial" w:eastAsia="Arial" w:hAnsi="Arial"/>
          <w:sz w:val="15"/>
          <w:szCs w:val="15"/>
          <w:color w:val="1F2128"/>
        </w:rPr>
        <w:t>yea</w:t>
      </w:r>
      <w:r>
        <w:rPr>
          <w:rFonts w:ascii="Arial" w:cs="Arial" w:eastAsia="Arial" w:hAnsi="Arial"/>
          <w:sz w:val="15"/>
          <w:szCs w:val="15"/>
          <w:color w:val="3D4149"/>
        </w:rPr>
        <w:t>rs o</w:t>
      </w:r>
      <w:r>
        <w:rPr>
          <w:rFonts w:ascii="Arial" w:cs="Arial" w:eastAsia="Arial" w:hAnsi="Arial"/>
          <w:sz w:val="15"/>
          <w:szCs w:val="15"/>
          <w:color w:val="1F2128"/>
        </w:rPr>
        <w:t>f</w:t>
      </w:r>
      <w:r>
        <w:rPr>
          <w:rFonts w:ascii="Arial" w:cs="Arial" w:eastAsia="Arial" w:hAnsi="Arial"/>
          <w:sz w:val="15"/>
          <w:szCs w:val="15"/>
          <w:color w:val="2F313A"/>
        </w:rPr>
        <w:t xml:space="preserve"> </w:t>
      </w:r>
      <w:r>
        <w:rPr>
          <w:rFonts w:ascii="Arial" w:cs="Arial" w:eastAsia="Arial" w:hAnsi="Arial"/>
          <w:sz w:val="15"/>
          <w:szCs w:val="15"/>
          <w:color w:val="4F4F57"/>
        </w:rPr>
        <w:t>e</w:t>
      </w:r>
      <w:r>
        <w:rPr>
          <w:rFonts w:ascii="Arial" w:cs="Arial" w:eastAsia="Arial" w:hAnsi="Arial"/>
          <w:sz w:val="15"/>
          <w:szCs w:val="15"/>
          <w:color w:val="2F313A"/>
        </w:rPr>
        <w:t>mployment.</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5"/>
          <w:szCs w:val="15"/>
          <w:color w:val="2F313A"/>
        </w:rPr>
        <w:t>Yo</w:t>
      </w:r>
      <w:r>
        <w:rPr>
          <w:rFonts w:ascii="Arial" w:cs="Arial" w:eastAsia="Arial" w:hAnsi="Arial"/>
          <w:sz w:val="15"/>
          <w:szCs w:val="15"/>
          <w:color w:val="4F4F57"/>
        </w:rPr>
        <w:t>u</w:t>
      </w:r>
      <w:r>
        <w:rPr>
          <w:rFonts w:ascii="Arial" w:cs="Arial" w:eastAsia="Arial" w:hAnsi="Arial"/>
          <w:sz w:val="15"/>
          <w:szCs w:val="15"/>
          <w:color w:val="2F313A"/>
        </w:rPr>
        <w:t xml:space="preserve"> are required to satisfy </w:t>
      </w:r>
      <w:r>
        <w:rPr>
          <w:rFonts w:ascii="Arial" w:cs="Arial" w:eastAsia="Arial" w:hAnsi="Arial"/>
          <w:sz w:val="15"/>
          <w:szCs w:val="15"/>
          <w:color w:val="1F2128"/>
        </w:rPr>
        <w:t>th</w:t>
      </w:r>
      <w:r>
        <w:rPr>
          <w:rFonts w:ascii="Arial" w:cs="Arial" w:eastAsia="Arial" w:hAnsi="Arial"/>
          <w:sz w:val="15"/>
          <w:szCs w:val="15"/>
          <w:color w:val="3D4149"/>
        </w:rPr>
        <w:t>e</w:t>
      </w:r>
      <w:r>
        <w:rPr>
          <w:rFonts w:ascii="Arial" w:cs="Arial" w:eastAsia="Arial" w:hAnsi="Arial"/>
          <w:sz w:val="15"/>
          <w:szCs w:val="15"/>
          <w:color w:val="2F313A"/>
        </w:rPr>
        <w:t xml:space="preserve"> </w:t>
      </w:r>
      <w:r>
        <w:rPr>
          <w:rFonts w:ascii="Arial" w:cs="Arial" w:eastAsia="Arial" w:hAnsi="Arial"/>
          <w:sz w:val="15"/>
          <w:szCs w:val="15"/>
          <w:color w:val="1F2128"/>
        </w:rPr>
        <w:t>following</w:t>
      </w:r>
      <w:r>
        <w:rPr>
          <w:rFonts w:ascii="Arial" w:cs="Arial" w:eastAsia="Arial" w:hAnsi="Arial"/>
          <w:sz w:val="15"/>
          <w:szCs w:val="15"/>
          <w:color w:val="2F313A"/>
        </w:rPr>
        <w:t xml:space="preserve"> </w:t>
      </w:r>
      <w:r>
        <w:rPr>
          <w:rFonts w:ascii="Arial" w:cs="Arial" w:eastAsia="Arial" w:hAnsi="Arial"/>
          <w:sz w:val="15"/>
          <w:szCs w:val="15"/>
          <w:color w:val="3D4149"/>
        </w:rPr>
        <w:t>co</w:t>
      </w:r>
      <w:r>
        <w:rPr>
          <w:rFonts w:ascii="Arial" w:cs="Arial" w:eastAsia="Arial" w:hAnsi="Arial"/>
          <w:sz w:val="15"/>
          <w:szCs w:val="15"/>
          <w:color w:val="1F2128"/>
        </w:rPr>
        <w:t>nt</w:t>
      </w:r>
      <w:r>
        <w:rPr>
          <w:rFonts w:ascii="Arial" w:cs="Arial" w:eastAsia="Arial" w:hAnsi="Arial"/>
          <w:sz w:val="15"/>
          <w:szCs w:val="15"/>
          <w:color w:val="3D4149"/>
        </w:rPr>
        <w:t>i</w:t>
      </w:r>
      <w:r>
        <w:rPr>
          <w:rFonts w:ascii="Arial" w:cs="Arial" w:eastAsia="Arial" w:hAnsi="Arial"/>
          <w:sz w:val="15"/>
          <w:szCs w:val="15"/>
          <w:color w:val="1F2128"/>
        </w:rPr>
        <w:t>n</w:t>
      </w:r>
      <w:r>
        <w:rPr>
          <w:rFonts w:ascii="Arial" w:cs="Arial" w:eastAsia="Arial" w:hAnsi="Arial"/>
          <w:sz w:val="15"/>
          <w:szCs w:val="15"/>
          <w:color w:val="3D4149"/>
        </w:rPr>
        <w:t>gen</w:t>
      </w:r>
      <w:r>
        <w:rPr>
          <w:rFonts w:ascii="Arial" w:cs="Arial" w:eastAsia="Arial" w:hAnsi="Arial"/>
          <w:sz w:val="15"/>
          <w:szCs w:val="15"/>
          <w:color w:val="6D6E72"/>
        </w:rPr>
        <w:t>c</w:t>
      </w:r>
      <w:r>
        <w:rPr>
          <w:rFonts w:ascii="Arial" w:cs="Arial" w:eastAsia="Arial" w:hAnsi="Arial"/>
          <w:sz w:val="15"/>
          <w:szCs w:val="15"/>
          <w:color w:val="2F313A"/>
        </w:rPr>
        <w:t>ies pr</w:t>
      </w:r>
      <w:r>
        <w:rPr>
          <w:rFonts w:ascii="Arial" w:cs="Arial" w:eastAsia="Arial" w:hAnsi="Arial"/>
          <w:sz w:val="15"/>
          <w:szCs w:val="15"/>
          <w:color w:val="4F4F57"/>
        </w:rPr>
        <w:t>i</w:t>
      </w:r>
      <w:r>
        <w:rPr>
          <w:rFonts w:ascii="Arial" w:cs="Arial" w:eastAsia="Arial" w:hAnsi="Arial"/>
          <w:sz w:val="15"/>
          <w:szCs w:val="15"/>
          <w:color w:val="2F313A"/>
        </w:rPr>
        <w:t xml:space="preserve">or </w:t>
      </w:r>
      <w:r>
        <w:rPr>
          <w:rFonts w:ascii="Arial" w:cs="Arial" w:eastAsia="Arial" w:hAnsi="Arial"/>
          <w:sz w:val="15"/>
          <w:szCs w:val="15"/>
          <w:color w:val="1F2128"/>
        </w:rPr>
        <w:t>to employment</w:t>
      </w:r>
      <w:r>
        <w:rPr>
          <w:rFonts w:ascii="Arial" w:cs="Arial" w:eastAsia="Arial" w:hAnsi="Arial"/>
          <w:sz w:val="15"/>
          <w:szCs w:val="15"/>
          <w:color w:val="2F313A"/>
        </w:rPr>
        <w:t xml:space="preserve"> at B</w:t>
      </w:r>
      <w:r>
        <w:rPr>
          <w:rFonts w:ascii="Arial" w:cs="Arial" w:eastAsia="Arial" w:hAnsi="Arial"/>
          <w:sz w:val="15"/>
          <w:szCs w:val="15"/>
          <w:color w:val="565E77"/>
        </w:rPr>
        <w:t>i</w:t>
      </w:r>
      <w:r>
        <w:rPr>
          <w:rFonts w:ascii="Arial" w:cs="Arial" w:eastAsia="Arial" w:hAnsi="Arial"/>
          <w:sz w:val="15"/>
          <w:szCs w:val="15"/>
          <w:color w:val="2F313A"/>
        </w:rPr>
        <w:t>ogen</w:t>
      </w:r>
      <w:r>
        <w:rPr>
          <w:rFonts w:ascii="Arial" w:cs="Arial" w:eastAsia="Arial" w:hAnsi="Arial"/>
          <w:sz w:val="15"/>
          <w:szCs w:val="15"/>
          <w:color w:val="4F4F57"/>
        </w:rPr>
        <w:t>.</w:t>
      </w:r>
    </w:p>
    <w:p>
      <w:pPr>
        <w:spacing w:after="0" w:line="219" w:lineRule="exact"/>
        <w:rPr>
          <w:sz w:val="20"/>
          <w:szCs w:val="20"/>
          <w:color w:val="auto"/>
        </w:rPr>
      </w:pPr>
    </w:p>
    <w:p>
      <w:pPr>
        <w:ind w:left="640" w:right="160" w:hanging="301"/>
        <w:spacing w:after="0" w:line="322" w:lineRule="auto"/>
        <w:tabs>
          <w:tab w:leader="none" w:pos="640" w:val="left"/>
        </w:tabs>
        <w:numPr>
          <w:ilvl w:val="0"/>
          <w:numId w:val="157"/>
        </w:numPr>
        <w:rPr>
          <w:rFonts w:ascii="Arial" w:cs="Arial" w:eastAsia="Arial" w:hAnsi="Arial"/>
          <w:sz w:val="20"/>
          <w:szCs w:val="20"/>
          <w:b w:val="1"/>
          <w:bCs w:val="1"/>
          <w:color w:val="1F2128"/>
        </w:rPr>
      </w:pPr>
      <w:r>
        <w:rPr>
          <w:rFonts w:ascii="Arial" w:cs="Arial" w:eastAsia="Arial" w:hAnsi="Arial"/>
          <w:sz w:val="15"/>
          <w:szCs w:val="15"/>
          <w:b w:val="1"/>
          <w:bCs w:val="1"/>
          <w:color w:val="1F2128"/>
        </w:rPr>
        <w:t>Pre-employment screening</w:t>
      </w:r>
      <w:r>
        <w:rPr>
          <w:rFonts w:ascii="Arial" w:cs="Arial" w:eastAsia="Arial" w:hAnsi="Arial"/>
          <w:sz w:val="15"/>
          <w:szCs w:val="15"/>
          <w:b w:val="1"/>
          <w:bCs w:val="1"/>
          <w:color w:val="6D6E72"/>
        </w:rPr>
        <w:t>:</w:t>
      </w:r>
      <w:r>
        <w:rPr>
          <w:rFonts w:ascii="Arial" w:cs="Arial" w:eastAsia="Arial" w:hAnsi="Arial"/>
          <w:sz w:val="15"/>
          <w:szCs w:val="15"/>
          <w:b w:val="1"/>
          <w:bCs w:val="1"/>
          <w:color w:val="1F2128"/>
        </w:rPr>
        <w:t xml:space="preserve"> </w:t>
      </w:r>
      <w:r>
        <w:rPr>
          <w:rFonts w:ascii="Arial" w:cs="Arial" w:eastAsia="Arial" w:hAnsi="Arial"/>
          <w:sz w:val="15"/>
          <w:szCs w:val="15"/>
          <w:color w:val="2F313A"/>
        </w:rPr>
        <w:t>Employment at</w:t>
      </w:r>
      <w:r>
        <w:rPr>
          <w:rFonts w:ascii="Arial" w:cs="Arial" w:eastAsia="Arial" w:hAnsi="Arial"/>
          <w:sz w:val="15"/>
          <w:szCs w:val="15"/>
          <w:b w:val="1"/>
          <w:bCs w:val="1"/>
          <w:color w:val="1F2128"/>
        </w:rPr>
        <w:t xml:space="preserve"> </w:t>
      </w:r>
      <w:r>
        <w:rPr>
          <w:rFonts w:ascii="Arial" w:cs="Arial" w:eastAsia="Arial" w:hAnsi="Arial"/>
          <w:sz w:val="15"/>
          <w:szCs w:val="15"/>
          <w:color w:val="1F2128"/>
        </w:rPr>
        <w:t>Bi</w:t>
      </w:r>
      <w:r>
        <w:rPr>
          <w:rFonts w:ascii="Arial" w:cs="Arial" w:eastAsia="Arial" w:hAnsi="Arial"/>
          <w:sz w:val="15"/>
          <w:szCs w:val="15"/>
          <w:color w:val="3D4149"/>
        </w:rPr>
        <w:t>o</w:t>
      </w:r>
      <w:r>
        <w:rPr>
          <w:rFonts w:ascii="Arial" w:cs="Arial" w:eastAsia="Arial" w:hAnsi="Arial"/>
          <w:sz w:val="15"/>
          <w:szCs w:val="15"/>
          <w:color w:val="1F2128"/>
        </w:rPr>
        <w:t>gen</w:t>
      </w:r>
      <w:r>
        <w:rPr>
          <w:rFonts w:ascii="Arial" w:cs="Arial" w:eastAsia="Arial" w:hAnsi="Arial"/>
          <w:sz w:val="15"/>
          <w:szCs w:val="15"/>
          <w:b w:val="1"/>
          <w:bCs w:val="1"/>
          <w:color w:val="1F2128"/>
        </w:rPr>
        <w:t xml:space="preserve"> </w:t>
      </w:r>
      <w:r>
        <w:rPr>
          <w:rFonts w:ascii="Arial" w:cs="Arial" w:eastAsia="Arial" w:hAnsi="Arial"/>
          <w:sz w:val="15"/>
          <w:szCs w:val="15"/>
          <w:color w:val="2F313A"/>
        </w:rPr>
        <w:t>is contingent</w:t>
      </w:r>
      <w:r>
        <w:rPr>
          <w:rFonts w:ascii="Arial" w:cs="Arial" w:eastAsia="Arial" w:hAnsi="Arial"/>
          <w:sz w:val="15"/>
          <w:szCs w:val="15"/>
          <w:b w:val="1"/>
          <w:bCs w:val="1"/>
          <w:color w:val="1F2128"/>
        </w:rPr>
        <w:t xml:space="preserve"> </w:t>
      </w:r>
      <w:r>
        <w:rPr>
          <w:rFonts w:ascii="Arial" w:cs="Arial" w:eastAsia="Arial" w:hAnsi="Arial"/>
          <w:sz w:val="15"/>
          <w:szCs w:val="15"/>
          <w:color w:val="1F2128"/>
        </w:rPr>
        <w:t>upon</w:t>
      </w:r>
      <w:r>
        <w:rPr>
          <w:rFonts w:ascii="Arial" w:cs="Arial" w:eastAsia="Arial" w:hAnsi="Arial"/>
          <w:sz w:val="15"/>
          <w:szCs w:val="15"/>
          <w:b w:val="1"/>
          <w:bCs w:val="1"/>
          <w:color w:val="1F2128"/>
        </w:rPr>
        <w:t xml:space="preserve"> </w:t>
      </w:r>
      <w:r>
        <w:rPr>
          <w:rFonts w:ascii="Arial" w:cs="Arial" w:eastAsia="Arial" w:hAnsi="Arial"/>
          <w:sz w:val="15"/>
          <w:szCs w:val="15"/>
          <w:color w:val="2F313A"/>
        </w:rPr>
        <w:t>your successful</w:t>
      </w:r>
      <w:r>
        <w:rPr>
          <w:rFonts w:ascii="Arial" w:cs="Arial" w:eastAsia="Arial" w:hAnsi="Arial"/>
          <w:sz w:val="15"/>
          <w:szCs w:val="15"/>
          <w:b w:val="1"/>
          <w:bCs w:val="1"/>
          <w:color w:val="1F2128"/>
        </w:rPr>
        <w:t xml:space="preserve"> </w:t>
      </w:r>
      <w:r>
        <w:rPr>
          <w:rFonts w:ascii="Arial" w:cs="Arial" w:eastAsia="Arial" w:hAnsi="Arial"/>
          <w:sz w:val="15"/>
          <w:szCs w:val="15"/>
          <w:color w:val="3D4149"/>
        </w:rPr>
        <w:t>co</w:t>
      </w:r>
      <w:r>
        <w:rPr>
          <w:rFonts w:ascii="Arial" w:cs="Arial" w:eastAsia="Arial" w:hAnsi="Arial"/>
          <w:sz w:val="15"/>
          <w:szCs w:val="15"/>
          <w:color w:val="1F2128"/>
        </w:rPr>
        <w:t>mpletion</w:t>
      </w:r>
      <w:r>
        <w:rPr>
          <w:rFonts w:ascii="Arial" w:cs="Arial" w:eastAsia="Arial" w:hAnsi="Arial"/>
          <w:sz w:val="15"/>
          <w:szCs w:val="15"/>
          <w:b w:val="1"/>
          <w:bCs w:val="1"/>
          <w:color w:val="1F2128"/>
        </w:rPr>
        <w:t xml:space="preserve"> </w:t>
      </w:r>
      <w:r>
        <w:rPr>
          <w:rFonts w:ascii="Arial" w:cs="Arial" w:eastAsia="Arial" w:hAnsi="Arial"/>
          <w:sz w:val="15"/>
          <w:szCs w:val="15"/>
          <w:color w:val="2F313A"/>
        </w:rPr>
        <w:t>and</w:t>
      </w:r>
      <w:r>
        <w:rPr>
          <w:rFonts w:ascii="Arial" w:cs="Arial" w:eastAsia="Arial" w:hAnsi="Arial"/>
          <w:sz w:val="15"/>
          <w:szCs w:val="15"/>
          <w:b w:val="1"/>
          <w:bCs w:val="1"/>
          <w:color w:val="1F2128"/>
        </w:rPr>
        <w:t xml:space="preserve"> </w:t>
      </w:r>
      <w:r>
        <w:rPr>
          <w:rFonts w:ascii="Arial" w:cs="Arial" w:eastAsia="Arial" w:hAnsi="Arial"/>
          <w:sz w:val="15"/>
          <w:szCs w:val="15"/>
          <w:color w:val="1F2128"/>
        </w:rPr>
        <w:t>pa</w:t>
      </w:r>
      <w:r>
        <w:rPr>
          <w:rFonts w:ascii="Arial" w:cs="Arial" w:eastAsia="Arial" w:hAnsi="Arial"/>
          <w:sz w:val="15"/>
          <w:szCs w:val="15"/>
          <w:color w:val="3D4149"/>
        </w:rPr>
        <w:t>ssi</w:t>
      </w:r>
      <w:r>
        <w:rPr>
          <w:rFonts w:ascii="Arial" w:cs="Arial" w:eastAsia="Arial" w:hAnsi="Arial"/>
          <w:sz w:val="15"/>
          <w:szCs w:val="15"/>
          <w:color w:val="1F2128"/>
        </w:rPr>
        <w:t>ng of both</w:t>
      </w:r>
      <w:r>
        <w:rPr>
          <w:rFonts w:ascii="Arial" w:cs="Arial" w:eastAsia="Arial" w:hAnsi="Arial"/>
          <w:sz w:val="15"/>
          <w:szCs w:val="15"/>
          <w:b w:val="1"/>
          <w:bCs w:val="1"/>
          <w:color w:val="1F2128"/>
        </w:rPr>
        <w:t xml:space="preserve"> </w:t>
      </w:r>
      <w:r>
        <w:rPr>
          <w:rFonts w:ascii="Arial" w:cs="Arial" w:eastAsia="Arial" w:hAnsi="Arial"/>
          <w:sz w:val="15"/>
          <w:szCs w:val="15"/>
          <w:color w:val="2F313A"/>
        </w:rPr>
        <w:t>a ba</w:t>
      </w:r>
      <w:r>
        <w:rPr>
          <w:rFonts w:ascii="Arial" w:cs="Arial" w:eastAsia="Arial" w:hAnsi="Arial"/>
          <w:sz w:val="15"/>
          <w:szCs w:val="15"/>
          <w:color w:val="4F4F57"/>
        </w:rPr>
        <w:t>c</w:t>
      </w:r>
      <w:r>
        <w:rPr>
          <w:rFonts w:ascii="Arial" w:cs="Arial" w:eastAsia="Arial" w:hAnsi="Arial"/>
          <w:sz w:val="15"/>
          <w:szCs w:val="15"/>
          <w:color w:val="2F313A"/>
        </w:rPr>
        <w:t>kground</w:t>
      </w:r>
      <w:r>
        <w:rPr>
          <w:rFonts w:ascii="Arial" w:cs="Arial" w:eastAsia="Arial" w:hAnsi="Arial"/>
          <w:sz w:val="15"/>
          <w:szCs w:val="15"/>
          <w:b w:val="1"/>
          <w:bCs w:val="1"/>
          <w:color w:val="1F2128"/>
        </w:rPr>
        <w:t xml:space="preserve"> </w:t>
      </w:r>
      <w:r>
        <w:rPr>
          <w:rFonts w:ascii="Arial" w:cs="Arial" w:eastAsia="Arial" w:hAnsi="Arial"/>
          <w:sz w:val="15"/>
          <w:szCs w:val="15"/>
          <w:color w:val="2F313A"/>
        </w:rPr>
        <w:t xml:space="preserve">check </w:t>
      </w:r>
      <w:r>
        <w:rPr>
          <w:rFonts w:ascii="Arial" w:cs="Arial" w:eastAsia="Arial" w:hAnsi="Arial"/>
          <w:sz w:val="15"/>
          <w:szCs w:val="15"/>
          <w:color w:val="1F2128"/>
        </w:rPr>
        <w:t>and drug screen</w:t>
      </w:r>
      <w:r>
        <w:rPr>
          <w:rFonts w:ascii="Arial" w:cs="Arial" w:eastAsia="Arial" w:hAnsi="Arial"/>
          <w:sz w:val="15"/>
          <w:szCs w:val="15"/>
          <w:color w:val="4F4F57"/>
        </w:rPr>
        <w:t>.</w:t>
      </w:r>
      <w:r>
        <w:rPr>
          <w:rFonts w:ascii="Arial" w:cs="Arial" w:eastAsia="Arial" w:hAnsi="Arial"/>
          <w:sz w:val="15"/>
          <w:szCs w:val="15"/>
          <w:color w:val="2F313A"/>
        </w:rPr>
        <w:t xml:space="preserve"> </w:t>
      </w:r>
      <w:r>
        <w:rPr>
          <w:rFonts w:ascii="Arial" w:cs="Arial" w:eastAsia="Arial" w:hAnsi="Arial"/>
          <w:sz w:val="15"/>
          <w:szCs w:val="15"/>
          <w:color w:val="1F2128"/>
        </w:rPr>
        <w:t>Biogen</w:t>
      </w:r>
      <w:r>
        <w:rPr>
          <w:rFonts w:ascii="Arial" w:cs="Arial" w:eastAsia="Arial" w:hAnsi="Arial"/>
          <w:sz w:val="15"/>
          <w:szCs w:val="15"/>
          <w:color w:val="3D4149"/>
        </w:rPr>
        <w:t>'s</w:t>
      </w:r>
      <w:r>
        <w:rPr>
          <w:rFonts w:ascii="Arial" w:cs="Arial" w:eastAsia="Arial" w:hAnsi="Arial"/>
          <w:sz w:val="15"/>
          <w:szCs w:val="15"/>
          <w:color w:val="2F313A"/>
        </w:rPr>
        <w:t xml:space="preserve"> </w:t>
      </w:r>
      <w:r>
        <w:rPr>
          <w:rFonts w:ascii="Arial" w:cs="Arial" w:eastAsia="Arial" w:hAnsi="Arial"/>
          <w:sz w:val="15"/>
          <w:szCs w:val="15"/>
          <w:color w:val="1F2128"/>
        </w:rPr>
        <w:t>background</w:t>
      </w:r>
      <w:r>
        <w:rPr>
          <w:rFonts w:ascii="Arial" w:cs="Arial" w:eastAsia="Arial" w:hAnsi="Arial"/>
          <w:sz w:val="15"/>
          <w:szCs w:val="15"/>
          <w:color w:val="2F313A"/>
        </w:rPr>
        <w:t xml:space="preserve"> </w:t>
      </w:r>
      <w:r>
        <w:rPr>
          <w:rFonts w:ascii="Arial" w:cs="Arial" w:eastAsia="Arial" w:hAnsi="Arial"/>
          <w:sz w:val="15"/>
          <w:szCs w:val="15"/>
          <w:color w:val="3D4149"/>
        </w:rPr>
        <w:t>c</w:t>
      </w:r>
      <w:r>
        <w:rPr>
          <w:rFonts w:ascii="Arial" w:cs="Arial" w:eastAsia="Arial" w:hAnsi="Arial"/>
          <w:sz w:val="15"/>
          <w:szCs w:val="15"/>
          <w:color w:val="1F2128"/>
        </w:rPr>
        <w:t>h</w:t>
      </w:r>
      <w:r>
        <w:rPr>
          <w:rFonts w:ascii="Arial" w:cs="Arial" w:eastAsia="Arial" w:hAnsi="Arial"/>
          <w:sz w:val="15"/>
          <w:szCs w:val="15"/>
          <w:color w:val="3D4149"/>
        </w:rPr>
        <w:t>eck</w:t>
      </w:r>
      <w:r>
        <w:rPr>
          <w:rFonts w:ascii="Arial" w:cs="Arial" w:eastAsia="Arial" w:hAnsi="Arial"/>
          <w:sz w:val="15"/>
          <w:szCs w:val="15"/>
          <w:color w:val="2F313A"/>
        </w:rPr>
        <w:t xml:space="preserve"> </w:t>
      </w:r>
      <w:r>
        <w:rPr>
          <w:rFonts w:ascii="Arial" w:cs="Arial" w:eastAsia="Arial" w:hAnsi="Arial"/>
          <w:sz w:val="15"/>
          <w:szCs w:val="15"/>
          <w:color w:val="1F2128"/>
        </w:rPr>
        <w:t>includes</w:t>
      </w:r>
      <w:r>
        <w:rPr>
          <w:rFonts w:ascii="Arial" w:cs="Arial" w:eastAsia="Arial" w:hAnsi="Arial"/>
          <w:sz w:val="15"/>
          <w:szCs w:val="15"/>
          <w:color w:val="2F313A"/>
        </w:rPr>
        <w:t xml:space="preserve"> verification of employment history</w:t>
      </w:r>
      <w:r>
        <w:rPr>
          <w:rFonts w:ascii="Arial" w:cs="Arial" w:eastAsia="Arial" w:hAnsi="Arial"/>
          <w:sz w:val="15"/>
          <w:szCs w:val="15"/>
          <w:color w:val="4F4F57"/>
        </w:rPr>
        <w:t>,</w:t>
      </w:r>
      <w:r>
        <w:rPr>
          <w:rFonts w:ascii="Arial" w:cs="Arial" w:eastAsia="Arial" w:hAnsi="Arial"/>
          <w:sz w:val="15"/>
          <w:szCs w:val="15"/>
          <w:color w:val="2F313A"/>
        </w:rPr>
        <w:t xml:space="preserve"> </w:t>
      </w:r>
      <w:r>
        <w:rPr>
          <w:rFonts w:ascii="Arial" w:cs="Arial" w:eastAsia="Arial" w:hAnsi="Arial"/>
          <w:sz w:val="15"/>
          <w:szCs w:val="15"/>
          <w:color w:val="1F2128"/>
        </w:rPr>
        <w:t>educational</w:t>
      </w:r>
      <w:r>
        <w:rPr>
          <w:rFonts w:ascii="Arial" w:cs="Arial" w:eastAsia="Arial" w:hAnsi="Arial"/>
          <w:sz w:val="15"/>
          <w:szCs w:val="15"/>
          <w:color w:val="2F313A"/>
        </w:rPr>
        <w:t xml:space="preserve"> and professional licenses</w:t>
      </w:r>
      <w:r>
        <w:rPr>
          <w:rFonts w:ascii="Arial" w:cs="Arial" w:eastAsia="Arial" w:hAnsi="Arial"/>
          <w:sz w:val="15"/>
          <w:szCs w:val="15"/>
          <w:color w:val="4F4F57"/>
        </w:rPr>
        <w:t>,</w:t>
      </w:r>
      <w:r>
        <w:rPr>
          <w:rFonts w:ascii="Arial" w:cs="Arial" w:eastAsia="Arial" w:hAnsi="Arial"/>
          <w:sz w:val="15"/>
          <w:szCs w:val="15"/>
          <w:color w:val="2F313A"/>
        </w:rPr>
        <w:t xml:space="preserve"> degrees and/or </w:t>
      </w:r>
      <w:r>
        <w:rPr>
          <w:rFonts w:ascii="Arial" w:cs="Arial" w:eastAsia="Arial" w:hAnsi="Arial"/>
          <w:sz w:val="15"/>
          <w:szCs w:val="15"/>
          <w:color w:val="3D4149"/>
        </w:rPr>
        <w:t>c</w:t>
      </w:r>
      <w:r>
        <w:rPr>
          <w:rFonts w:ascii="Arial" w:cs="Arial" w:eastAsia="Arial" w:hAnsi="Arial"/>
          <w:sz w:val="15"/>
          <w:szCs w:val="15"/>
          <w:color w:val="1F2128"/>
        </w:rPr>
        <w:t>red</w:t>
      </w:r>
      <w:r>
        <w:rPr>
          <w:rFonts w:ascii="Arial" w:cs="Arial" w:eastAsia="Arial" w:hAnsi="Arial"/>
          <w:sz w:val="15"/>
          <w:szCs w:val="15"/>
          <w:color w:val="3D4149"/>
        </w:rPr>
        <w:t>e</w:t>
      </w:r>
      <w:r>
        <w:rPr>
          <w:rFonts w:ascii="Arial" w:cs="Arial" w:eastAsia="Arial" w:hAnsi="Arial"/>
          <w:sz w:val="15"/>
          <w:szCs w:val="15"/>
          <w:color w:val="1F2128"/>
        </w:rPr>
        <w:t>ntials</w:t>
      </w:r>
      <w:r>
        <w:rPr>
          <w:rFonts w:ascii="Arial" w:cs="Arial" w:eastAsia="Arial" w:hAnsi="Arial"/>
          <w:sz w:val="15"/>
          <w:szCs w:val="15"/>
          <w:color w:val="6D6E72"/>
        </w:rPr>
        <w:t>,</w:t>
      </w:r>
      <w:r>
        <w:rPr>
          <w:rFonts w:ascii="Arial" w:cs="Arial" w:eastAsia="Arial" w:hAnsi="Arial"/>
          <w:sz w:val="15"/>
          <w:szCs w:val="15"/>
          <w:color w:val="2F313A"/>
        </w:rPr>
        <w:t xml:space="preserve"> a criminal </w:t>
      </w:r>
      <w:r>
        <w:rPr>
          <w:rFonts w:ascii="Arial" w:cs="Arial" w:eastAsia="Arial" w:hAnsi="Arial"/>
          <w:sz w:val="15"/>
          <w:szCs w:val="15"/>
          <w:color w:val="1F2128"/>
        </w:rPr>
        <w:t>records</w:t>
      </w:r>
      <w:r>
        <w:rPr>
          <w:rFonts w:ascii="Arial" w:cs="Arial" w:eastAsia="Arial" w:hAnsi="Arial"/>
          <w:sz w:val="15"/>
          <w:szCs w:val="15"/>
          <w:color w:val="2F313A"/>
        </w:rPr>
        <w:t xml:space="preserve"> </w:t>
      </w:r>
      <w:r>
        <w:rPr>
          <w:rFonts w:ascii="Arial" w:cs="Arial" w:eastAsia="Arial" w:hAnsi="Arial"/>
          <w:sz w:val="15"/>
          <w:szCs w:val="15"/>
          <w:color w:val="4F4F57"/>
        </w:rPr>
        <w:t>c</w:t>
      </w:r>
      <w:r>
        <w:rPr>
          <w:rFonts w:ascii="Arial" w:cs="Arial" w:eastAsia="Arial" w:hAnsi="Arial"/>
          <w:sz w:val="15"/>
          <w:szCs w:val="15"/>
          <w:color w:val="1F2128"/>
        </w:rPr>
        <w:t>heck</w:t>
      </w:r>
      <w:r>
        <w:rPr>
          <w:rFonts w:ascii="Arial" w:cs="Arial" w:eastAsia="Arial" w:hAnsi="Arial"/>
          <w:sz w:val="15"/>
          <w:szCs w:val="15"/>
          <w:color w:val="4F4F57"/>
        </w:rPr>
        <w:t>,</w:t>
      </w:r>
      <w:r>
        <w:rPr>
          <w:rFonts w:ascii="Arial" w:cs="Arial" w:eastAsia="Arial" w:hAnsi="Arial"/>
          <w:sz w:val="15"/>
          <w:szCs w:val="15"/>
          <w:color w:val="2F313A"/>
        </w:rPr>
        <w:t xml:space="preserve"> a Social Security </w:t>
      </w:r>
      <w:r>
        <w:rPr>
          <w:rFonts w:ascii="Arial" w:cs="Arial" w:eastAsia="Arial" w:hAnsi="Arial"/>
          <w:sz w:val="15"/>
          <w:szCs w:val="15"/>
          <w:color w:val="1F2128"/>
        </w:rPr>
        <w:t>Number</w:t>
      </w:r>
      <w:r>
        <w:rPr>
          <w:rFonts w:ascii="Arial" w:cs="Arial" w:eastAsia="Arial" w:hAnsi="Arial"/>
          <w:sz w:val="15"/>
          <w:szCs w:val="15"/>
          <w:color w:val="2F313A"/>
        </w:rPr>
        <w:t xml:space="preserve"> search </w:t>
      </w:r>
      <w:r>
        <w:rPr>
          <w:rFonts w:ascii="Arial" w:cs="Arial" w:eastAsia="Arial" w:hAnsi="Arial"/>
          <w:sz w:val="15"/>
          <w:szCs w:val="15"/>
          <w:color w:val="1F2128"/>
        </w:rPr>
        <w:t>an</w:t>
      </w:r>
      <w:r>
        <w:rPr>
          <w:rFonts w:ascii="Arial" w:cs="Arial" w:eastAsia="Arial" w:hAnsi="Arial"/>
          <w:sz w:val="15"/>
          <w:szCs w:val="15"/>
          <w:color w:val="3D4149"/>
        </w:rPr>
        <w:t>d</w:t>
      </w:r>
      <w:r>
        <w:rPr>
          <w:rFonts w:ascii="Arial" w:cs="Arial" w:eastAsia="Arial" w:hAnsi="Arial"/>
          <w:sz w:val="15"/>
          <w:szCs w:val="15"/>
          <w:color w:val="2F313A"/>
        </w:rPr>
        <w:t xml:space="preserve"> verification of </w:t>
      </w:r>
      <w:r>
        <w:rPr>
          <w:rFonts w:ascii="Arial" w:cs="Arial" w:eastAsia="Arial" w:hAnsi="Arial"/>
          <w:sz w:val="15"/>
          <w:szCs w:val="15"/>
          <w:color w:val="1F2128"/>
        </w:rPr>
        <w:t>any other</w:t>
      </w:r>
      <w:r>
        <w:rPr>
          <w:rFonts w:ascii="Arial" w:cs="Arial" w:eastAsia="Arial" w:hAnsi="Arial"/>
          <w:sz w:val="15"/>
          <w:szCs w:val="15"/>
          <w:color w:val="2F313A"/>
        </w:rPr>
        <w:t xml:space="preserve"> professional qualifi</w:t>
      </w:r>
      <w:r>
        <w:rPr>
          <w:rFonts w:ascii="Arial" w:cs="Arial" w:eastAsia="Arial" w:hAnsi="Arial"/>
          <w:sz w:val="15"/>
          <w:szCs w:val="15"/>
          <w:color w:val="4F4F57"/>
        </w:rPr>
        <w:t>c</w:t>
      </w:r>
      <w:r>
        <w:rPr>
          <w:rFonts w:ascii="Arial" w:cs="Arial" w:eastAsia="Arial" w:hAnsi="Arial"/>
          <w:sz w:val="15"/>
          <w:szCs w:val="15"/>
          <w:color w:val="2F313A"/>
        </w:rPr>
        <w:t xml:space="preserve">ations </w:t>
      </w:r>
      <w:r>
        <w:rPr>
          <w:rFonts w:ascii="Arial" w:cs="Arial" w:eastAsia="Arial" w:hAnsi="Arial"/>
          <w:sz w:val="15"/>
          <w:szCs w:val="15"/>
          <w:color w:val="1F2128"/>
        </w:rPr>
        <w:t>that</w:t>
      </w:r>
      <w:r>
        <w:rPr>
          <w:rFonts w:ascii="Arial" w:cs="Arial" w:eastAsia="Arial" w:hAnsi="Arial"/>
          <w:sz w:val="15"/>
          <w:szCs w:val="15"/>
          <w:color w:val="2F313A"/>
        </w:rPr>
        <w:t xml:space="preserve"> your </w:t>
      </w:r>
      <w:r>
        <w:rPr>
          <w:rFonts w:ascii="Arial" w:cs="Arial" w:eastAsia="Arial" w:hAnsi="Arial"/>
          <w:sz w:val="15"/>
          <w:szCs w:val="15"/>
          <w:color w:val="1F2128"/>
        </w:rPr>
        <w:t>position responsibilities at Biogen m</w:t>
      </w:r>
      <w:r>
        <w:rPr>
          <w:rFonts w:ascii="Arial" w:cs="Arial" w:eastAsia="Arial" w:hAnsi="Arial"/>
          <w:sz w:val="15"/>
          <w:szCs w:val="15"/>
          <w:color w:val="3D4149"/>
        </w:rPr>
        <w:t>a</w:t>
      </w:r>
      <w:r>
        <w:rPr>
          <w:rFonts w:ascii="Arial" w:cs="Arial" w:eastAsia="Arial" w:hAnsi="Arial"/>
          <w:sz w:val="15"/>
          <w:szCs w:val="15"/>
          <w:color w:val="1F2128"/>
        </w:rPr>
        <w:t>y warrant.</w:t>
      </w:r>
      <w:r>
        <w:rPr>
          <w:rFonts w:ascii="Arial" w:cs="Arial" w:eastAsia="Arial" w:hAnsi="Arial"/>
          <w:sz w:val="15"/>
          <w:szCs w:val="15"/>
          <w:color w:val="2F313A"/>
        </w:rPr>
        <w:t xml:space="preserve"> </w:t>
      </w:r>
      <w:r>
        <w:rPr>
          <w:rFonts w:ascii="Arial" w:cs="Arial" w:eastAsia="Arial" w:hAnsi="Arial"/>
          <w:sz w:val="15"/>
          <w:szCs w:val="15"/>
          <w:color w:val="3D4149"/>
        </w:rPr>
        <w:t>Com</w:t>
      </w:r>
      <w:r>
        <w:rPr>
          <w:rFonts w:ascii="Arial" w:cs="Arial" w:eastAsia="Arial" w:hAnsi="Arial"/>
          <w:sz w:val="15"/>
          <w:szCs w:val="15"/>
          <w:color w:val="1F2128"/>
        </w:rPr>
        <w:t>pl</w:t>
      </w:r>
      <w:r>
        <w:rPr>
          <w:rFonts w:ascii="Arial" w:cs="Arial" w:eastAsia="Arial" w:hAnsi="Arial"/>
          <w:sz w:val="15"/>
          <w:szCs w:val="15"/>
          <w:color w:val="3D4149"/>
        </w:rPr>
        <w:t>e</w:t>
      </w:r>
      <w:r>
        <w:rPr>
          <w:rFonts w:ascii="Arial" w:cs="Arial" w:eastAsia="Arial" w:hAnsi="Arial"/>
          <w:sz w:val="15"/>
          <w:szCs w:val="15"/>
          <w:color w:val="1F2128"/>
        </w:rPr>
        <w:t>t</w:t>
      </w:r>
      <w:r>
        <w:rPr>
          <w:rFonts w:ascii="Arial" w:cs="Arial" w:eastAsia="Arial" w:hAnsi="Arial"/>
          <w:sz w:val="15"/>
          <w:szCs w:val="15"/>
          <w:color w:val="4F4F57"/>
        </w:rPr>
        <w:t>i</w:t>
      </w:r>
      <w:r>
        <w:rPr>
          <w:rFonts w:ascii="Arial" w:cs="Arial" w:eastAsia="Arial" w:hAnsi="Arial"/>
          <w:sz w:val="15"/>
          <w:szCs w:val="15"/>
          <w:color w:val="2F313A"/>
        </w:rPr>
        <w:t>on of your online Appli</w:t>
      </w:r>
      <w:r>
        <w:rPr>
          <w:rFonts w:ascii="Arial" w:cs="Arial" w:eastAsia="Arial" w:hAnsi="Arial"/>
          <w:sz w:val="15"/>
          <w:szCs w:val="15"/>
          <w:color w:val="4F4F57"/>
        </w:rPr>
        <w:t>c</w:t>
      </w:r>
      <w:r>
        <w:rPr>
          <w:rFonts w:ascii="Arial" w:cs="Arial" w:eastAsia="Arial" w:hAnsi="Arial"/>
          <w:sz w:val="15"/>
          <w:szCs w:val="15"/>
          <w:color w:val="2F313A"/>
        </w:rPr>
        <w:t xml:space="preserve">ation </w:t>
      </w:r>
      <w:r>
        <w:rPr>
          <w:rFonts w:ascii="Arial" w:cs="Arial" w:eastAsia="Arial" w:hAnsi="Arial"/>
          <w:sz w:val="15"/>
          <w:szCs w:val="15"/>
          <w:color w:val="1F2128"/>
        </w:rPr>
        <w:t>for</w:t>
      </w:r>
      <w:r>
        <w:rPr>
          <w:rFonts w:ascii="Arial" w:cs="Arial" w:eastAsia="Arial" w:hAnsi="Arial"/>
          <w:sz w:val="15"/>
          <w:szCs w:val="15"/>
          <w:color w:val="2F313A"/>
        </w:rPr>
        <w:t xml:space="preserve"> Employment </w:t>
      </w:r>
      <w:r>
        <w:rPr>
          <w:rFonts w:ascii="Arial" w:cs="Arial" w:eastAsia="Arial" w:hAnsi="Arial"/>
          <w:sz w:val="15"/>
          <w:szCs w:val="15"/>
          <w:color w:val="1F2128"/>
        </w:rPr>
        <w:t>authorizes</w:t>
      </w:r>
      <w:r>
        <w:rPr>
          <w:rFonts w:ascii="Arial" w:cs="Arial" w:eastAsia="Arial" w:hAnsi="Arial"/>
          <w:sz w:val="15"/>
          <w:szCs w:val="15"/>
          <w:color w:val="2F313A"/>
        </w:rPr>
        <w:t xml:space="preserve"> </w:t>
      </w:r>
      <w:r>
        <w:rPr>
          <w:rFonts w:ascii="Arial" w:cs="Arial" w:eastAsia="Arial" w:hAnsi="Arial"/>
          <w:sz w:val="15"/>
          <w:szCs w:val="15"/>
          <w:color w:val="1F2128"/>
        </w:rPr>
        <w:t>B</w:t>
      </w:r>
      <w:r>
        <w:rPr>
          <w:rFonts w:ascii="Arial" w:cs="Arial" w:eastAsia="Arial" w:hAnsi="Arial"/>
          <w:sz w:val="15"/>
          <w:szCs w:val="15"/>
          <w:color w:val="3D4149"/>
        </w:rPr>
        <w:t>i</w:t>
      </w:r>
      <w:r>
        <w:rPr>
          <w:rFonts w:ascii="Arial" w:cs="Arial" w:eastAsia="Arial" w:hAnsi="Arial"/>
          <w:sz w:val="15"/>
          <w:szCs w:val="15"/>
          <w:color w:val="1F2128"/>
        </w:rPr>
        <w:t>oge</w:t>
      </w:r>
      <w:r>
        <w:rPr>
          <w:rFonts w:ascii="Arial" w:cs="Arial" w:eastAsia="Arial" w:hAnsi="Arial"/>
          <w:sz w:val="15"/>
          <w:szCs w:val="15"/>
          <w:color w:val="3D4149"/>
        </w:rPr>
        <w:t>n</w:t>
      </w:r>
      <w:r>
        <w:rPr>
          <w:rFonts w:ascii="Arial" w:cs="Arial" w:eastAsia="Arial" w:hAnsi="Arial"/>
          <w:sz w:val="15"/>
          <w:szCs w:val="15"/>
          <w:color w:val="1F2128"/>
        </w:rPr>
        <w:t xml:space="preserve"> to </w:t>
      </w:r>
      <w:r>
        <w:rPr>
          <w:rFonts w:ascii="Arial" w:cs="Arial" w:eastAsia="Arial" w:hAnsi="Arial"/>
          <w:sz w:val="15"/>
          <w:szCs w:val="15"/>
          <w:color w:val="2F313A"/>
        </w:rPr>
        <w:t>conduct</w:t>
      </w:r>
      <w:r>
        <w:rPr>
          <w:rFonts w:ascii="Arial" w:cs="Arial" w:eastAsia="Arial" w:hAnsi="Arial"/>
          <w:sz w:val="15"/>
          <w:szCs w:val="15"/>
          <w:color w:val="1F2128"/>
        </w:rPr>
        <w:t xml:space="preserve"> thes</w:t>
      </w:r>
      <w:r>
        <w:rPr>
          <w:rFonts w:ascii="Arial" w:cs="Arial" w:eastAsia="Arial" w:hAnsi="Arial"/>
          <w:sz w:val="15"/>
          <w:szCs w:val="15"/>
          <w:color w:val="3D4149"/>
        </w:rPr>
        <w:t>e</w:t>
      </w:r>
      <w:r>
        <w:rPr>
          <w:rFonts w:ascii="Arial" w:cs="Arial" w:eastAsia="Arial" w:hAnsi="Arial"/>
          <w:sz w:val="15"/>
          <w:szCs w:val="15"/>
          <w:color w:val="1F2128"/>
        </w:rPr>
        <w:t xml:space="preserve"> backgroun</w:t>
      </w:r>
      <w:r>
        <w:rPr>
          <w:rFonts w:ascii="Arial" w:cs="Arial" w:eastAsia="Arial" w:hAnsi="Arial"/>
          <w:sz w:val="15"/>
          <w:szCs w:val="15"/>
          <w:color w:val="4F4F57"/>
        </w:rPr>
        <w:t>d c</w:t>
      </w:r>
      <w:r>
        <w:rPr>
          <w:rFonts w:ascii="Arial" w:cs="Arial" w:eastAsia="Arial" w:hAnsi="Arial"/>
          <w:sz w:val="15"/>
          <w:szCs w:val="15"/>
          <w:color w:val="2F313A"/>
        </w:rPr>
        <w:t>he</w:t>
      </w:r>
      <w:r>
        <w:rPr>
          <w:rFonts w:ascii="Arial" w:cs="Arial" w:eastAsia="Arial" w:hAnsi="Arial"/>
          <w:sz w:val="15"/>
          <w:szCs w:val="15"/>
          <w:color w:val="4F4F57"/>
        </w:rPr>
        <w:t>c</w:t>
      </w:r>
      <w:r>
        <w:rPr>
          <w:rFonts w:ascii="Arial" w:cs="Arial" w:eastAsia="Arial" w:hAnsi="Arial"/>
          <w:sz w:val="15"/>
          <w:szCs w:val="15"/>
          <w:color w:val="2F313A"/>
        </w:rPr>
        <w:t>k</w:t>
      </w:r>
      <w:r>
        <w:rPr>
          <w:rFonts w:ascii="Arial" w:cs="Arial" w:eastAsia="Arial" w:hAnsi="Arial"/>
          <w:sz w:val="15"/>
          <w:szCs w:val="15"/>
          <w:color w:val="4F4F57"/>
        </w:rPr>
        <w:t>s.</w:t>
      </w:r>
      <w:r>
        <w:rPr>
          <w:rFonts w:ascii="Arial" w:cs="Arial" w:eastAsia="Arial" w:hAnsi="Arial"/>
          <w:sz w:val="15"/>
          <w:szCs w:val="15"/>
          <w:color w:val="1F2128"/>
        </w:rPr>
        <w:t xml:space="preserve"> </w:t>
      </w:r>
      <w:r>
        <w:rPr>
          <w:rFonts w:ascii="Arial" w:cs="Arial" w:eastAsia="Arial" w:hAnsi="Arial"/>
          <w:sz w:val="15"/>
          <w:szCs w:val="15"/>
          <w:color w:val="2F313A"/>
        </w:rPr>
        <w:t>If you</w:t>
      </w:r>
      <w:r>
        <w:rPr>
          <w:rFonts w:ascii="Arial" w:cs="Arial" w:eastAsia="Arial" w:hAnsi="Arial"/>
          <w:sz w:val="15"/>
          <w:szCs w:val="15"/>
          <w:color w:val="1F2128"/>
        </w:rPr>
        <w:t xml:space="preserve"> hav</w:t>
      </w:r>
      <w:r>
        <w:rPr>
          <w:rFonts w:ascii="Arial" w:cs="Arial" w:eastAsia="Arial" w:hAnsi="Arial"/>
          <w:sz w:val="15"/>
          <w:szCs w:val="15"/>
          <w:color w:val="3D4149"/>
        </w:rPr>
        <w:t>e any</w:t>
      </w:r>
      <w:r>
        <w:rPr>
          <w:rFonts w:ascii="Arial" w:cs="Arial" w:eastAsia="Arial" w:hAnsi="Arial"/>
          <w:sz w:val="15"/>
          <w:szCs w:val="15"/>
          <w:color w:val="1F2128"/>
        </w:rPr>
        <w:t xml:space="preserve"> </w:t>
      </w:r>
      <w:r>
        <w:rPr>
          <w:rFonts w:ascii="Arial" w:cs="Arial" w:eastAsia="Arial" w:hAnsi="Arial"/>
          <w:sz w:val="15"/>
          <w:szCs w:val="15"/>
          <w:color w:val="2F313A"/>
        </w:rPr>
        <w:t>questions about</w:t>
      </w:r>
      <w:r>
        <w:rPr>
          <w:rFonts w:ascii="Arial" w:cs="Arial" w:eastAsia="Arial" w:hAnsi="Arial"/>
          <w:sz w:val="15"/>
          <w:szCs w:val="15"/>
          <w:color w:val="1F2128"/>
        </w:rPr>
        <w:t xml:space="preserve"> the background </w:t>
      </w:r>
      <w:r>
        <w:rPr>
          <w:rFonts w:ascii="Arial" w:cs="Arial" w:eastAsia="Arial" w:hAnsi="Arial"/>
          <w:sz w:val="15"/>
          <w:szCs w:val="15"/>
          <w:color w:val="2F313A"/>
        </w:rPr>
        <w:t>check</w:t>
      </w:r>
      <w:r>
        <w:rPr>
          <w:rFonts w:ascii="Arial" w:cs="Arial" w:eastAsia="Arial" w:hAnsi="Arial"/>
          <w:sz w:val="15"/>
          <w:szCs w:val="15"/>
          <w:color w:val="6D6E72"/>
        </w:rPr>
        <w:t>,</w:t>
      </w:r>
      <w:r>
        <w:rPr>
          <w:rFonts w:ascii="Arial" w:cs="Arial" w:eastAsia="Arial" w:hAnsi="Arial"/>
          <w:sz w:val="15"/>
          <w:szCs w:val="15"/>
          <w:color w:val="1F2128"/>
        </w:rPr>
        <w:t xml:space="preserve"> </w:t>
      </w:r>
      <w:r>
        <w:rPr>
          <w:rFonts w:ascii="Arial" w:cs="Arial" w:eastAsia="Arial" w:hAnsi="Arial"/>
          <w:sz w:val="15"/>
          <w:szCs w:val="15"/>
          <w:color w:val="2F313A"/>
        </w:rPr>
        <w:t>please contact your</w:t>
      </w:r>
      <w:r>
        <w:rPr>
          <w:rFonts w:ascii="Arial" w:cs="Arial" w:eastAsia="Arial" w:hAnsi="Arial"/>
          <w:sz w:val="15"/>
          <w:szCs w:val="15"/>
          <w:color w:val="1F2128"/>
        </w:rPr>
        <w:t xml:space="preserve"> </w:t>
      </w:r>
      <w:r>
        <w:rPr>
          <w:rFonts w:ascii="Arial" w:cs="Arial" w:eastAsia="Arial" w:hAnsi="Arial"/>
          <w:sz w:val="15"/>
          <w:szCs w:val="15"/>
          <w:color w:val="3D4149"/>
        </w:rPr>
        <w:t>B</w:t>
      </w:r>
      <w:r>
        <w:rPr>
          <w:rFonts w:ascii="Arial" w:cs="Arial" w:eastAsia="Arial" w:hAnsi="Arial"/>
          <w:sz w:val="15"/>
          <w:szCs w:val="15"/>
          <w:color w:val="1F2128"/>
        </w:rPr>
        <w:t>iogen r</w:t>
      </w:r>
      <w:r>
        <w:rPr>
          <w:rFonts w:ascii="Arial" w:cs="Arial" w:eastAsia="Arial" w:hAnsi="Arial"/>
          <w:sz w:val="15"/>
          <w:szCs w:val="15"/>
          <w:color w:val="3D4149"/>
        </w:rPr>
        <w:t>ec</w:t>
      </w:r>
      <w:r>
        <w:rPr>
          <w:rFonts w:ascii="Arial" w:cs="Arial" w:eastAsia="Arial" w:hAnsi="Arial"/>
          <w:sz w:val="15"/>
          <w:szCs w:val="15"/>
          <w:color w:val="1F2128"/>
        </w:rPr>
        <w:t>ruit</w:t>
      </w:r>
      <w:r>
        <w:rPr>
          <w:rFonts w:ascii="Arial" w:cs="Arial" w:eastAsia="Arial" w:hAnsi="Arial"/>
          <w:sz w:val="15"/>
          <w:szCs w:val="15"/>
          <w:color w:val="3D4149"/>
        </w:rPr>
        <w:t>er</w:t>
      </w:r>
      <w:r>
        <w:rPr>
          <w:rFonts w:ascii="Arial" w:cs="Arial" w:eastAsia="Arial" w:hAnsi="Arial"/>
          <w:sz w:val="15"/>
          <w:szCs w:val="15"/>
          <w:color w:val="6D6E72"/>
        </w:rPr>
        <w:t>.</w:t>
      </w:r>
    </w:p>
    <w:p>
      <w:pPr>
        <w:spacing w:after="0" w:line="212" w:lineRule="exact"/>
        <w:rPr>
          <w:rFonts w:ascii="Arial" w:cs="Arial" w:eastAsia="Arial" w:hAnsi="Arial"/>
          <w:sz w:val="20"/>
          <w:szCs w:val="20"/>
          <w:b w:val="1"/>
          <w:bCs w:val="1"/>
          <w:color w:val="1F2128"/>
        </w:rPr>
      </w:pPr>
    </w:p>
    <w:p>
      <w:pPr>
        <w:ind w:left="640" w:right="80" w:hanging="301"/>
        <w:spacing w:after="0" w:line="308" w:lineRule="auto"/>
        <w:tabs>
          <w:tab w:leader="none" w:pos="640" w:val="left"/>
        </w:tabs>
        <w:numPr>
          <w:ilvl w:val="0"/>
          <w:numId w:val="157"/>
        </w:numPr>
        <w:rPr>
          <w:rFonts w:ascii="Arial" w:cs="Arial" w:eastAsia="Arial" w:hAnsi="Arial"/>
          <w:sz w:val="20"/>
          <w:szCs w:val="20"/>
          <w:b w:val="1"/>
          <w:bCs w:val="1"/>
          <w:color w:val="1F2128"/>
        </w:rPr>
      </w:pPr>
      <w:r>
        <w:rPr>
          <w:rFonts w:ascii="Arial" w:cs="Arial" w:eastAsia="Arial" w:hAnsi="Arial"/>
          <w:sz w:val="15"/>
          <w:szCs w:val="15"/>
          <w:b w:val="1"/>
          <w:bCs w:val="1"/>
          <w:color w:val="1F2128"/>
        </w:rPr>
        <w:t>New Employee Forms</w:t>
      </w:r>
      <w:r>
        <w:rPr>
          <w:rFonts w:ascii="Arial" w:cs="Arial" w:eastAsia="Arial" w:hAnsi="Arial"/>
          <w:sz w:val="15"/>
          <w:szCs w:val="15"/>
          <w:b w:val="1"/>
          <w:bCs w:val="1"/>
          <w:color w:val="6D6E72"/>
        </w:rPr>
        <w:t>:</w:t>
      </w:r>
      <w:r>
        <w:rPr>
          <w:rFonts w:ascii="Arial" w:cs="Arial" w:eastAsia="Arial" w:hAnsi="Arial"/>
          <w:sz w:val="15"/>
          <w:szCs w:val="15"/>
          <w:b w:val="1"/>
          <w:bCs w:val="1"/>
          <w:color w:val="1F2128"/>
        </w:rPr>
        <w:t xml:space="preserve"> </w:t>
      </w:r>
      <w:r>
        <w:rPr>
          <w:rFonts w:ascii="Arial" w:cs="Arial" w:eastAsia="Arial" w:hAnsi="Arial"/>
          <w:sz w:val="15"/>
          <w:szCs w:val="15"/>
          <w:color w:val="1F2128"/>
        </w:rPr>
        <w:t>Up</w:t>
      </w:r>
      <w:r>
        <w:rPr>
          <w:rFonts w:ascii="Arial" w:cs="Arial" w:eastAsia="Arial" w:hAnsi="Arial"/>
          <w:sz w:val="15"/>
          <w:szCs w:val="15"/>
          <w:color w:val="3D4149"/>
        </w:rPr>
        <w:t>on</w:t>
      </w:r>
      <w:r>
        <w:rPr>
          <w:rFonts w:ascii="Arial" w:cs="Arial" w:eastAsia="Arial" w:hAnsi="Arial"/>
          <w:sz w:val="15"/>
          <w:szCs w:val="15"/>
          <w:b w:val="1"/>
          <w:bCs w:val="1"/>
          <w:color w:val="1F2128"/>
        </w:rPr>
        <w:t xml:space="preserve"> </w:t>
      </w:r>
      <w:r>
        <w:rPr>
          <w:rFonts w:ascii="Arial" w:cs="Arial" w:eastAsia="Arial" w:hAnsi="Arial"/>
          <w:sz w:val="15"/>
          <w:szCs w:val="15"/>
          <w:color w:val="1F2128"/>
        </w:rPr>
        <w:t>re</w:t>
      </w:r>
      <w:r>
        <w:rPr>
          <w:rFonts w:ascii="Arial" w:cs="Arial" w:eastAsia="Arial" w:hAnsi="Arial"/>
          <w:sz w:val="15"/>
          <w:szCs w:val="15"/>
          <w:color w:val="3D4149"/>
        </w:rPr>
        <w:t>c</w:t>
      </w:r>
      <w:r>
        <w:rPr>
          <w:rFonts w:ascii="Arial" w:cs="Arial" w:eastAsia="Arial" w:hAnsi="Arial"/>
          <w:sz w:val="15"/>
          <w:szCs w:val="15"/>
          <w:color w:val="1F2128"/>
        </w:rPr>
        <w:t>eiving</w:t>
      </w:r>
      <w:r>
        <w:rPr>
          <w:rFonts w:ascii="Arial" w:cs="Arial" w:eastAsia="Arial" w:hAnsi="Arial"/>
          <w:sz w:val="15"/>
          <w:szCs w:val="15"/>
          <w:b w:val="1"/>
          <w:bCs w:val="1"/>
          <w:color w:val="1F2128"/>
        </w:rPr>
        <w:t xml:space="preserve"> </w:t>
      </w:r>
      <w:r>
        <w:rPr>
          <w:rFonts w:ascii="Arial" w:cs="Arial" w:eastAsia="Arial" w:hAnsi="Arial"/>
          <w:sz w:val="15"/>
          <w:szCs w:val="15"/>
          <w:color w:val="2F313A"/>
        </w:rPr>
        <w:t>your signed offer</w:t>
      </w:r>
      <w:r>
        <w:rPr>
          <w:rFonts w:ascii="Arial" w:cs="Arial" w:eastAsia="Arial" w:hAnsi="Arial"/>
          <w:sz w:val="15"/>
          <w:szCs w:val="15"/>
          <w:b w:val="1"/>
          <w:bCs w:val="1"/>
          <w:color w:val="1F2128"/>
        </w:rPr>
        <w:t xml:space="preserve"> </w:t>
      </w:r>
      <w:r>
        <w:rPr>
          <w:rFonts w:ascii="Arial" w:cs="Arial" w:eastAsia="Arial" w:hAnsi="Arial"/>
          <w:sz w:val="15"/>
          <w:szCs w:val="15"/>
          <w:color w:val="1F2128"/>
        </w:rPr>
        <w:t>lette</w:t>
      </w:r>
      <w:r>
        <w:rPr>
          <w:rFonts w:ascii="Arial" w:cs="Arial" w:eastAsia="Arial" w:hAnsi="Arial"/>
          <w:sz w:val="15"/>
          <w:szCs w:val="15"/>
          <w:color w:val="3D4149"/>
        </w:rPr>
        <w:t>r</w:t>
      </w:r>
      <w:r>
        <w:rPr>
          <w:rFonts w:ascii="Arial" w:cs="Arial" w:eastAsia="Arial" w:hAnsi="Arial"/>
          <w:sz w:val="15"/>
          <w:szCs w:val="15"/>
          <w:b w:val="1"/>
          <w:bCs w:val="1"/>
          <w:color w:val="1F2128"/>
        </w:rPr>
        <w:t xml:space="preserve"> </w:t>
      </w:r>
      <w:r>
        <w:rPr>
          <w:rFonts w:ascii="Arial" w:cs="Arial" w:eastAsia="Arial" w:hAnsi="Arial"/>
          <w:sz w:val="15"/>
          <w:szCs w:val="15"/>
          <w:color w:val="2F313A"/>
        </w:rPr>
        <w:t>and</w:t>
      </w:r>
      <w:r>
        <w:rPr>
          <w:rFonts w:ascii="Arial" w:cs="Arial" w:eastAsia="Arial" w:hAnsi="Arial"/>
          <w:sz w:val="15"/>
          <w:szCs w:val="15"/>
          <w:b w:val="1"/>
          <w:bCs w:val="1"/>
          <w:color w:val="1F2128"/>
        </w:rPr>
        <w:t xml:space="preserve"> </w:t>
      </w:r>
      <w:r>
        <w:rPr>
          <w:rFonts w:ascii="Arial" w:cs="Arial" w:eastAsia="Arial" w:hAnsi="Arial"/>
          <w:sz w:val="15"/>
          <w:szCs w:val="15"/>
          <w:color w:val="1F2128"/>
        </w:rPr>
        <w:t>new hire paperwork</w:t>
      </w:r>
      <w:r>
        <w:rPr>
          <w:rFonts w:ascii="Arial" w:cs="Arial" w:eastAsia="Arial" w:hAnsi="Arial"/>
          <w:sz w:val="15"/>
          <w:szCs w:val="15"/>
          <w:color w:val="3D4149"/>
        </w:rPr>
        <w:t>,</w:t>
      </w:r>
      <w:r>
        <w:rPr>
          <w:rFonts w:ascii="Arial" w:cs="Arial" w:eastAsia="Arial" w:hAnsi="Arial"/>
          <w:sz w:val="15"/>
          <w:szCs w:val="15"/>
          <w:b w:val="1"/>
          <w:bCs w:val="1"/>
          <w:color w:val="1F2128"/>
        </w:rPr>
        <w:t xml:space="preserve"> </w:t>
      </w:r>
      <w:r>
        <w:rPr>
          <w:rFonts w:ascii="Arial" w:cs="Arial" w:eastAsia="Arial" w:hAnsi="Arial"/>
          <w:sz w:val="15"/>
          <w:szCs w:val="15"/>
          <w:color w:val="2F313A"/>
        </w:rPr>
        <w:t>you will</w:t>
      </w:r>
      <w:r>
        <w:rPr>
          <w:rFonts w:ascii="Arial" w:cs="Arial" w:eastAsia="Arial" w:hAnsi="Arial"/>
          <w:sz w:val="15"/>
          <w:szCs w:val="15"/>
          <w:b w:val="1"/>
          <w:bCs w:val="1"/>
          <w:color w:val="1F2128"/>
        </w:rPr>
        <w:t xml:space="preserve"> </w:t>
      </w:r>
      <w:r>
        <w:rPr>
          <w:rFonts w:ascii="Arial" w:cs="Arial" w:eastAsia="Arial" w:hAnsi="Arial"/>
          <w:sz w:val="15"/>
          <w:szCs w:val="15"/>
          <w:color w:val="1F2128"/>
        </w:rPr>
        <w:t>receive</w:t>
      </w:r>
      <w:r>
        <w:rPr>
          <w:rFonts w:ascii="Arial" w:cs="Arial" w:eastAsia="Arial" w:hAnsi="Arial"/>
          <w:sz w:val="15"/>
          <w:szCs w:val="15"/>
          <w:b w:val="1"/>
          <w:bCs w:val="1"/>
          <w:color w:val="1F2128"/>
        </w:rPr>
        <w:t xml:space="preserve"> </w:t>
      </w:r>
      <w:r>
        <w:rPr>
          <w:rFonts w:ascii="Arial" w:cs="Arial" w:eastAsia="Arial" w:hAnsi="Arial"/>
          <w:sz w:val="15"/>
          <w:szCs w:val="15"/>
          <w:color w:val="3D4149"/>
        </w:rPr>
        <w:t>a</w:t>
      </w:r>
      <w:r>
        <w:rPr>
          <w:rFonts w:ascii="Arial" w:cs="Arial" w:eastAsia="Arial" w:hAnsi="Arial"/>
          <w:sz w:val="15"/>
          <w:szCs w:val="15"/>
          <w:color w:val="1F2128"/>
        </w:rPr>
        <w:t>n</w:t>
      </w:r>
      <w:r>
        <w:rPr>
          <w:rFonts w:ascii="Arial" w:cs="Arial" w:eastAsia="Arial" w:hAnsi="Arial"/>
          <w:sz w:val="15"/>
          <w:szCs w:val="15"/>
          <w:b w:val="1"/>
          <w:bCs w:val="1"/>
          <w:color w:val="1F2128"/>
        </w:rPr>
        <w:t xml:space="preserve"> </w:t>
      </w:r>
      <w:r>
        <w:rPr>
          <w:rFonts w:ascii="Arial" w:cs="Arial" w:eastAsia="Arial" w:hAnsi="Arial"/>
          <w:sz w:val="15"/>
          <w:szCs w:val="15"/>
          <w:color w:val="4F4F57"/>
        </w:rPr>
        <w:t>e</w:t>
      </w:r>
      <w:r>
        <w:rPr>
          <w:rFonts w:ascii="Arial" w:cs="Arial" w:eastAsia="Arial" w:hAnsi="Arial"/>
          <w:sz w:val="15"/>
          <w:szCs w:val="15"/>
          <w:color w:val="2F313A"/>
        </w:rPr>
        <w:t>mail containing</w:t>
      </w:r>
      <w:r>
        <w:rPr>
          <w:rFonts w:ascii="Arial" w:cs="Arial" w:eastAsia="Arial" w:hAnsi="Arial"/>
          <w:sz w:val="15"/>
          <w:szCs w:val="15"/>
          <w:b w:val="1"/>
          <w:bCs w:val="1"/>
          <w:color w:val="1F2128"/>
        </w:rPr>
        <w:t xml:space="preserve"> </w:t>
      </w:r>
      <w:r>
        <w:rPr>
          <w:rFonts w:ascii="Arial" w:cs="Arial" w:eastAsia="Arial" w:hAnsi="Arial"/>
          <w:sz w:val="15"/>
          <w:szCs w:val="15"/>
          <w:color w:val="3D4149"/>
        </w:rPr>
        <w:t>a</w:t>
      </w:r>
      <w:r>
        <w:rPr>
          <w:rFonts w:ascii="Arial" w:cs="Arial" w:eastAsia="Arial" w:hAnsi="Arial"/>
          <w:sz w:val="15"/>
          <w:szCs w:val="15"/>
          <w:b w:val="1"/>
          <w:bCs w:val="1"/>
          <w:color w:val="1F2128"/>
        </w:rPr>
        <w:t xml:space="preserve"> </w:t>
      </w:r>
      <w:r>
        <w:rPr>
          <w:rFonts w:ascii="Arial" w:cs="Arial" w:eastAsia="Arial" w:hAnsi="Arial"/>
          <w:sz w:val="15"/>
          <w:szCs w:val="15"/>
          <w:color w:val="1F2128"/>
        </w:rPr>
        <w:t>li</w:t>
      </w:r>
      <w:r>
        <w:rPr>
          <w:rFonts w:ascii="Arial" w:cs="Arial" w:eastAsia="Arial" w:hAnsi="Arial"/>
          <w:sz w:val="15"/>
          <w:szCs w:val="15"/>
          <w:color w:val="3D4149"/>
        </w:rPr>
        <w:t>nk</w:t>
      </w:r>
      <w:r>
        <w:rPr>
          <w:rFonts w:ascii="Arial" w:cs="Arial" w:eastAsia="Arial" w:hAnsi="Arial"/>
          <w:sz w:val="15"/>
          <w:szCs w:val="15"/>
          <w:b w:val="1"/>
          <w:bCs w:val="1"/>
          <w:color w:val="1F2128"/>
        </w:rPr>
        <w:t xml:space="preserve"> </w:t>
      </w:r>
      <w:r>
        <w:rPr>
          <w:rFonts w:ascii="Arial" w:cs="Arial" w:eastAsia="Arial" w:hAnsi="Arial"/>
          <w:sz w:val="15"/>
          <w:szCs w:val="15"/>
          <w:color w:val="1F2128"/>
        </w:rPr>
        <w:t>to</w:t>
      </w:r>
      <w:r>
        <w:rPr>
          <w:rFonts w:ascii="Arial" w:cs="Arial" w:eastAsia="Arial" w:hAnsi="Arial"/>
          <w:sz w:val="15"/>
          <w:szCs w:val="15"/>
          <w:b w:val="1"/>
          <w:bCs w:val="1"/>
          <w:color w:val="1F2128"/>
        </w:rPr>
        <w:t xml:space="preserve"> </w:t>
      </w:r>
      <w:r>
        <w:rPr>
          <w:rFonts w:ascii="Arial" w:cs="Arial" w:eastAsia="Arial" w:hAnsi="Arial"/>
          <w:sz w:val="15"/>
          <w:szCs w:val="15"/>
          <w:color w:val="2F313A"/>
        </w:rPr>
        <w:t>a</w:t>
      </w:r>
      <w:r>
        <w:rPr>
          <w:rFonts w:ascii="Arial" w:cs="Arial" w:eastAsia="Arial" w:hAnsi="Arial"/>
          <w:sz w:val="15"/>
          <w:szCs w:val="15"/>
          <w:b w:val="1"/>
          <w:bCs w:val="1"/>
          <w:color w:val="1F2128"/>
        </w:rPr>
        <w:t xml:space="preserve"> </w:t>
      </w:r>
      <w:r>
        <w:rPr>
          <w:rFonts w:ascii="Arial" w:cs="Arial" w:eastAsia="Arial" w:hAnsi="Arial"/>
          <w:sz w:val="15"/>
          <w:szCs w:val="15"/>
          <w:color w:val="1F2128"/>
        </w:rPr>
        <w:t>n</w:t>
      </w:r>
      <w:r>
        <w:rPr>
          <w:rFonts w:ascii="Arial" w:cs="Arial" w:eastAsia="Arial" w:hAnsi="Arial"/>
          <w:sz w:val="15"/>
          <w:szCs w:val="15"/>
          <w:color w:val="3D4149"/>
        </w:rPr>
        <w:t>ew</w:t>
      </w:r>
      <w:r>
        <w:rPr>
          <w:rFonts w:ascii="Arial" w:cs="Arial" w:eastAsia="Arial" w:hAnsi="Arial"/>
          <w:sz w:val="15"/>
          <w:szCs w:val="15"/>
          <w:b w:val="1"/>
          <w:bCs w:val="1"/>
          <w:color w:val="1F2128"/>
        </w:rPr>
        <w:t xml:space="preserve"> </w:t>
      </w:r>
      <w:r>
        <w:rPr>
          <w:rFonts w:ascii="Arial" w:cs="Arial" w:eastAsia="Arial" w:hAnsi="Arial"/>
          <w:sz w:val="15"/>
          <w:szCs w:val="15"/>
          <w:color w:val="2F313A"/>
        </w:rPr>
        <w:t xml:space="preserve">hire </w:t>
      </w:r>
      <w:r>
        <w:rPr>
          <w:rFonts w:ascii="Arial" w:cs="Arial" w:eastAsia="Arial" w:hAnsi="Arial"/>
          <w:sz w:val="15"/>
          <w:szCs w:val="15"/>
          <w:color w:val="1F2128"/>
        </w:rPr>
        <w:t>form</w:t>
      </w:r>
      <w:r>
        <w:rPr>
          <w:rFonts w:ascii="Arial" w:cs="Arial" w:eastAsia="Arial" w:hAnsi="Arial"/>
          <w:sz w:val="15"/>
          <w:szCs w:val="15"/>
          <w:color w:val="919191"/>
        </w:rPr>
        <w:t>.</w:t>
      </w:r>
      <w:r>
        <w:rPr>
          <w:rFonts w:ascii="Arial" w:cs="Arial" w:eastAsia="Arial" w:hAnsi="Arial"/>
          <w:sz w:val="15"/>
          <w:szCs w:val="15"/>
          <w:color w:val="2F313A"/>
        </w:rPr>
        <w:t xml:space="preserve"> Please </w:t>
      </w:r>
      <w:r>
        <w:rPr>
          <w:rFonts w:ascii="Arial" w:cs="Arial" w:eastAsia="Arial" w:hAnsi="Arial"/>
          <w:sz w:val="15"/>
          <w:szCs w:val="15"/>
          <w:color w:val="3D4149"/>
        </w:rPr>
        <w:t>co</w:t>
      </w:r>
      <w:r>
        <w:rPr>
          <w:rFonts w:ascii="Arial" w:cs="Arial" w:eastAsia="Arial" w:hAnsi="Arial"/>
          <w:sz w:val="15"/>
          <w:szCs w:val="15"/>
          <w:color w:val="1F2128"/>
        </w:rPr>
        <w:t>mplete</w:t>
      </w:r>
      <w:r>
        <w:rPr>
          <w:rFonts w:ascii="Arial" w:cs="Arial" w:eastAsia="Arial" w:hAnsi="Arial"/>
          <w:sz w:val="15"/>
          <w:szCs w:val="15"/>
          <w:color w:val="2F313A"/>
        </w:rPr>
        <w:t xml:space="preserve"> this </w:t>
      </w:r>
      <w:r>
        <w:rPr>
          <w:rFonts w:ascii="Arial" w:cs="Arial" w:eastAsia="Arial" w:hAnsi="Arial"/>
          <w:sz w:val="15"/>
          <w:szCs w:val="15"/>
          <w:color w:val="1F2128"/>
        </w:rPr>
        <w:t>form</w:t>
      </w:r>
      <w:r>
        <w:rPr>
          <w:rFonts w:ascii="Arial" w:cs="Arial" w:eastAsia="Arial" w:hAnsi="Arial"/>
          <w:sz w:val="15"/>
          <w:szCs w:val="15"/>
          <w:color w:val="2F313A"/>
        </w:rPr>
        <w:t xml:space="preserve"> as </w:t>
      </w:r>
      <w:r>
        <w:rPr>
          <w:rFonts w:ascii="Arial" w:cs="Arial" w:eastAsia="Arial" w:hAnsi="Arial"/>
          <w:sz w:val="15"/>
          <w:szCs w:val="15"/>
          <w:color w:val="3D4149"/>
        </w:rPr>
        <w:t>soo</w:t>
      </w:r>
      <w:r>
        <w:rPr>
          <w:rFonts w:ascii="Arial" w:cs="Arial" w:eastAsia="Arial" w:hAnsi="Arial"/>
          <w:sz w:val="15"/>
          <w:szCs w:val="15"/>
          <w:color w:val="1F2128"/>
        </w:rPr>
        <w:t>n</w:t>
      </w:r>
      <w:r>
        <w:rPr>
          <w:rFonts w:ascii="Arial" w:cs="Arial" w:eastAsia="Arial" w:hAnsi="Arial"/>
          <w:sz w:val="15"/>
          <w:szCs w:val="15"/>
          <w:color w:val="2F313A"/>
        </w:rPr>
        <w:t xml:space="preserve"> as </w:t>
      </w:r>
      <w:r>
        <w:rPr>
          <w:rFonts w:ascii="Arial" w:cs="Arial" w:eastAsia="Arial" w:hAnsi="Arial"/>
          <w:sz w:val="15"/>
          <w:szCs w:val="15"/>
          <w:color w:val="1F2128"/>
        </w:rPr>
        <w:t>possible</w:t>
      </w:r>
      <w:r>
        <w:rPr>
          <w:rFonts w:ascii="Arial" w:cs="Arial" w:eastAsia="Arial" w:hAnsi="Arial"/>
          <w:sz w:val="15"/>
          <w:szCs w:val="15"/>
          <w:color w:val="2F313A"/>
        </w:rPr>
        <w:t xml:space="preserve"> </w:t>
      </w:r>
      <w:r>
        <w:rPr>
          <w:rFonts w:ascii="Arial" w:cs="Arial" w:eastAsia="Arial" w:hAnsi="Arial"/>
          <w:sz w:val="15"/>
          <w:szCs w:val="15"/>
          <w:color w:val="3D4149"/>
        </w:rPr>
        <w:t>upo</w:t>
      </w:r>
      <w:r>
        <w:rPr>
          <w:rFonts w:ascii="Arial" w:cs="Arial" w:eastAsia="Arial" w:hAnsi="Arial"/>
          <w:sz w:val="15"/>
          <w:szCs w:val="15"/>
          <w:color w:val="1F2128"/>
        </w:rPr>
        <w:t>n r</w:t>
      </w:r>
      <w:r>
        <w:rPr>
          <w:rFonts w:ascii="Arial" w:cs="Arial" w:eastAsia="Arial" w:hAnsi="Arial"/>
          <w:sz w:val="15"/>
          <w:szCs w:val="15"/>
          <w:color w:val="3D4149"/>
        </w:rPr>
        <w:t>ece</w:t>
      </w:r>
      <w:r>
        <w:rPr>
          <w:rFonts w:ascii="Arial" w:cs="Arial" w:eastAsia="Arial" w:hAnsi="Arial"/>
          <w:sz w:val="15"/>
          <w:szCs w:val="15"/>
          <w:color w:val="1F2128"/>
        </w:rPr>
        <w:t>ipt. This</w:t>
      </w:r>
      <w:r>
        <w:rPr>
          <w:rFonts w:ascii="Arial" w:cs="Arial" w:eastAsia="Arial" w:hAnsi="Arial"/>
          <w:sz w:val="15"/>
          <w:szCs w:val="15"/>
          <w:color w:val="2F313A"/>
        </w:rPr>
        <w:t xml:space="preserve"> form will allow </w:t>
      </w:r>
      <w:r>
        <w:rPr>
          <w:rFonts w:ascii="Arial" w:cs="Arial" w:eastAsia="Arial" w:hAnsi="Arial"/>
          <w:sz w:val="15"/>
          <w:szCs w:val="15"/>
          <w:color w:val="1F2128"/>
        </w:rPr>
        <w:t>u</w:t>
      </w:r>
      <w:r>
        <w:rPr>
          <w:rFonts w:ascii="Arial" w:cs="Arial" w:eastAsia="Arial" w:hAnsi="Arial"/>
          <w:sz w:val="15"/>
          <w:szCs w:val="15"/>
          <w:color w:val="3D4149"/>
        </w:rPr>
        <w:t>s</w:t>
      </w:r>
      <w:r>
        <w:rPr>
          <w:rFonts w:ascii="Arial" w:cs="Arial" w:eastAsia="Arial" w:hAnsi="Arial"/>
          <w:sz w:val="15"/>
          <w:szCs w:val="15"/>
          <w:color w:val="2F313A"/>
        </w:rPr>
        <w:t xml:space="preserve"> </w:t>
      </w:r>
      <w:r>
        <w:rPr>
          <w:rFonts w:ascii="Arial" w:cs="Arial" w:eastAsia="Arial" w:hAnsi="Arial"/>
          <w:sz w:val="15"/>
          <w:szCs w:val="15"/>
          <w:color w:val="1F2128"/>
        </w:rPr>
        <w:t>t</w:t>
      </w:r>
      <w:r>
        <w:rPr>
          <w:rFonts w:ascii="Arial" w:cs="Arial" w:eastAsia="Arial" w:hAnsi="Arial"/>
          <w:sz w:val="15"/>
          <w:szCs w:val="15"/>
          <w:color w:val="3D4149"/>
        </w:rPr>
        <w:t>o</w:t>
      </w:r>
      <w:r>
        <w:rPr>
          <w:rFonts w:ascii="Arial" w:cs="Arial" w:eastAsia="Arial" w:hAnsi="Arial"/>
          <w:sz w:val="15"/>
          <w:szCs w:val="15"/>
          <w:color w:val="2F313A"/>
        </w:rPr>
        <w:t xml:space="preserve"> </w:t>
      </w:r>
      <w:r>
        <w:rPr>
          <w:rFonts w:ascii="Arial" w:cs="Arial" w:eastAsia="Arial" w:hAnsi="Arial"/>
          <w:sz w:val="15"/>
          <w:szCs w:val="15"/>
          <w:color w:val="1F2128"/>
        </w:rPr>
        <w:t>begin</w:t>
      </w:r>
      <w:r>
        <w:rPr>
          <w:rFonts w:ascii="Arial" w:cs="Arial" w:eastAsia="Arial" w:hAnsi="Arial"/>
          <w:sz w:val="15"/>
          <w:szCs w:val="15"/>
          <w:color w:val="2F313A"/>
        </w:rPr>
        <w:t xml:space="preserve"> creating </w:t>
      </w:r>
      <w:r>
        <w:rPr>
          <w:rFonts w:ascii="Arial" w:cs="Arial" w:eastAsia="Arial" w:hAnsi="Arial"/>
          <w:sz w:val="15"/>
          <w:szCs w:val="15"/>
          <w:color w:val="1F2128"/>
        </w:rPr>
        <w:t>internal resources for</w:t>
      </w:r>
      <w:r>
        <w:rPr>
          <w:rFonts w:ascii="Arial" w:cs="Arial" w:eastAsia="Arial" w:hAnsi="Arial"/>
          <w:sz w:val="15"/>
          <w:szCs w:val="15"/>
          <w:color w:val="2F313A"/>
        </w:rPr>
        <w:t xml:space="preserve"> you </w:t>
      </w:r>
      <w:r>
        <w:rPr>
          <w:rFonts w:ascii="Arial" w:cs="Arial" w:eastAsia="Arial" w:hAnsi="Arial"/>
          <w:sz w:val="15"/>
          <w:szCs w:val="15"/>
          <w:color w:val="1F2128"/>
        </w:rPr>
        <w:t>pr</w:t>
      </w:r>
      <w:r>
        <w:rPr>
          <w:rFonts w:ascii="Arial" w:cs="Arial" w:eastAsia="Arial" w:hAnsi="Arial"/>
          <w:sz w:val="15"/>
          <w:szCs w:val="15"/>
          <w:color w:val="3D4149"/>
        </w:rPr>
        <w:t>io</w:t>
      </w:r>
      <w:r>
        <w:rPr>
          <w:rFonts w:ascii="Arial" w:cs="Arial" w:eastAsia="Arial" w:hAnsi="Arial"/>
          <w:sz w:val="15"/>
          <w:szCs w:val="15"/>
          <w:color w:val="1F2128"/>
        </w:rPr>
        <w:t xml:space="preserve">r to </w:t>
      </w:r>
      <w:r>
        <w:rPr>
          <w:rFonts w:ascii="Arial" w:cs="Arial" w:eastAsia="Arial" w:hAnsi="Arial"/>
          <w:sz w:val="15"/>
          <w:szCs w:val="15"/>
          <w:color w:val="2F313A"/>
        </w:rPr>
        <w:t>y</w:t>
      </w:r>
      <w:r>
        <w:rPr>
          <w:rFonts w:ascii="Arial" w:cs="Arial" w:eastAsia="Arial" w:hAnsi="Arial"/>
          <w:sz w:val="15"/>
          <w:szCs w:val="15"/>
          <w:color w:val="4F4F57"/>
        </w:rPr>
        <w:t>ou</w:t>
      </w:r>
      <w:r>
        <w:rPr>
          <w:rFonts w:ascii="Arial" w:cs="Arial" w:eastAsia="Arial" w:hAnsi="Arial"/>
          <w:sz w:val="15"/>
          <w:szCs w:val="15"/>
          <w:color w:val="2F313A"/>
        </w:rPr>
        <w:t>r</w:t>
      </w:r>
      <w:r>
        <w:rPr>
          <w:rFonts w:ascii="Arial" w:cs="Arial" w:eastAsia="Arial" w:hAnsi="Arial"/>
          <w:sz w:val="15"/>
          <w:szCs w:val="15"/>
          <w:color w:val="1F2128"/>
        </w:rPr>
        <w:t xml:space="preserve"> </w:t>
      </w:r>
      <w:r>
        <w:rPr>
          <w:rFonts w:ascii="Arial" w:cs="Arial" w:eastAsia="Arial" w:hAnsi="Arial"/>
          <w:sz w:val="15"/>
          <w:szCs w:val="15"/>
          <w:color w:val="4F4F57"/>
        </w:rPr>
        <w:t>s</w:t>
      </w:r>
      <w:r>
        <w:rPr>
          <w:rFonts w:ascii="Arial" w:cs="Arial" w:eastAsia="Arial" w:hAnsi="Arial"/>
          <w:sz w:val="15"/>
          <w:szCs w:val="15"/>
          <w:color w:val="2F313A"/>
        </w:rPr>
        <w:t>tart dat</w:t>
      </w:r>
      <w:r>
        <w:rPr>
          <w:rFonts w:ascii="Arial" w:cs="Arial" w:eastAsia="Arial" w:hAnsi="Arial"/>
          <w:sz w:val="15"/>
          <w:szCs w:val="15"/>
          <w:color w:val="4F4F57"/>
        </w:rPr>
        <w:t>e</w:t>
      </w:r>
      <w:r>
        <w:rPr>
          <w:rFonts w:ascii="Arial" w:cs="Arial" w:eastAsia="Arial" w:hAnsi="Arial"/>
          <w:sz w:val="15"/>
          <w:szCs w:val="15"/>
          <w:color w:val="919191"/>
        </w:rPr>
        <w:t>.</w:t>
      </w:r>
    </w:p>
    <w:p>
      <w:pPr>
        <w:spacing w:after="0" w:line="222" w:lineRule="exact"/>
        <w:rPr>
          <w:rFonts w:ascii="Arial" w:cs="Arial" w:eastAsia="Arial" w:hAnsi="Arial"/>
          <w:sz w:val="20"/>
          <w:szCs w:val="20"/>
          <w:b w:val="1"/>
          <w:bCs w:val="1"/>
          <w:color w:val="1F2128"/>
        </w:rPr>
      </w:pPr>
    </w:p>
    <w:p>
      <w:pPr>
        <w:ind w:left="640" w:right="320" w:hanging="301"/>
        <w:spacing w:after="0" w:line="301" w:lineRule="auto"/>
        <w:tabs>
          <w:tab w:leader="none" w:pos="640" w:val="left"/>
        </w:tabs>
        <w:numPr>
          <w:ilvl w:val="0"/>
          <w:numId w:val="157"/>
        </w:numPr>
        <w:rPr>
          <w:rFonts w:ascii="Arial" w:cs="Arial" w:eastAsia="Arial" w:hAnsi="Arial"/>
          <w:sz w:val="20"/>
          <w:szCs w:val="20"/>
          <w:color w:val="1F2128"/>
        </w:rPr>
      </w:pPr>
      <w:r>
        <w:rPr>
          <w:rFonts w:ascii="Arial" w:cs="Arial" w:eastAsia="Arial" w:hAnsi="Arial"/>
          <w:sz w:val="15"/>
          <w:szCs w:val="15"/>
          <w:b w:val="1"/>
          <w:bCs w:val="1"/>
          <w:color w:val="1F2128"/>
        </w:rPr>
        <w:t>Authorizati</w:t>
      </w:r>
      <w:r>
        <w:rPr>
          <w:rFonts w:ascii="Arial" w:cs="Arial" w:eastAsia="Arial" w:hAnsi="Arial"/>
          <w:sz w:val="15"/>
          <w:szCs w:val="15"/>
          <w:b w:val="1"/>
          <w:bCs w:val="1"/>
          <w:color w:val="3D4149"/>
        </w:rPr>
        <w:t>on</w:t>
      </w:r>
      <w:r>
        <w:rPr>
          <w:rFonts w:ascii="Arial" w:cs="Arial" w:eastAsia="Arial" w:hAnsi="Arial"/>
          <w:sz w:val="15"/>
          <w:szCs w:val="15"/>
          <w:b w:val="1"/>
          <w:bCs w:val="1"/>
          <w:color w:val="1F2128"/>
        </w:rPr>
        <w:t xml:space="preserve"> to Work in the United States: </w:t>
      </w:r>
      <w:r>
        <w:rPr>
          <w:rFonts w:ascii="Arial" w:cs="Arial" w:eastAsia="Arial" w:hAnsi="Arial"/>
          <w:sz w:val="15"/>
          <w:szCs w:val="15"/>
          <w:color w:val="1F2128"/>
        </w:rPr>
        <w:t>Pl</w:t>
      </w:r>
      <w:r>
        <w:rPr>
          <w:rFonts w:ascii="Arial" w:cs="Arial" w:eastAsia="Arial" w:hAnsi="Arial"/>
          <w:sz w:val="15"/>
          <w:szCs w:val="15"/>
          <w:color w:val="3D4149"/>
        </w:rPr>
        <w:t>ease</w:t>
      </w:r>
      <w:r>
        <w:rPr>
          <w:rFonts w:ascii="Arial" w:cs="Arial" w:eastAsia="Arial" w:hAnsi="Arial"/>
          <w:sz w:val="15"/>
          <w:szCs w:val="15"/>
          <w:b w:val="1"/>
          <w:bCs w:val="1"/>
          <w:color w:val="1F2128"/>
        </w:rPr>
        <w:t xml:space="preserve"> </w:t>
      </w:r>
      <w:r>
        <w:rPr>
          <w:rFonts w:ascii="Arial" w:cs="Arial" w:eastAsia="Arial" w:hAnsi="Arial"/>
          <w:sz w:val="15"/>
          <w:szCs w:val="15"/>
          <w:color w:val="2F313A"/>
        </w:rPr>
        <w:t>note</w:t>
      </w:r>
      <w:r>
        <w:rPr>
          <w:rFonts w:ascii="Arial" w:cs="Arial" w:eastAsia="Arial" w:hAnsi="Arial"/>
          <w:sz w:val="15"/>
          <w:szCs w:val="15"/>
          <w:b w:val="1"/>
          <w:bCs w:val="1"/>
          <w:color w:val="1F2128"/>
        </w:rPr>
        <w:t xml:space="preserve"> </w:t>
      </w:r>
      <w:r>
        <w:rPr>
          <w:rFonts w:ascii="Arial" w:cs="Arial" w:eastAsia="Arial" w:hAnsi="Arial"/>
          <w:sz w:val="15"/>
          <w:szCs w:val="15"/>
          <w:color w:val="1F2128"/>
        </w:rPr>
        <w:t>that Biogen</w:t>
      </w:r>
      <w:r>
        <w:rPr>
          <w:rFonts w:ascii="Arial" w:cs="Arial" w:eastAsia="Arial" w:hAnsi="Arial"/>
          <w:sz w:val="15"/>
          <w:szCs w:val="15"/>
          <w:b w:val="1"/>
          <w:bCs w:val="1"/>
          <w:color w:val="1F2128"/>
        </w:rPr>
        <w:t xml:space="preserve"> </w:t>
      </w:r>
      <w:r>
        <w:rPr>
          <w:rFonts w:ascii="Arial" w:cs="Arial" w:eastAsia="Arial" w:hAnsi="Arial"/>
          <w:sz w:val="15"/>
          <w:szCs w:val="15"/>
          <w:color w:val="2F313A"/>
        </w:rPr>
        <w:t>is an</w:t>
      </w:r>
      <w:r>
        <w:rPr>
          <w:rFonts w:ascii="Arial" w:cs="Arial" w:eastAsia="Arial" w:hAnsi="Arial"/>
          <w:sz w:val="15"/>
          <w:szCs w:val="15"/>
          <w:b w:val="1"/>
          <w:bCs w:val="1"/>
          <w:color w:val="1F2128"/>
        </w:rPr>
        <w:t xml:space="preserve"> </w:t>
      </w:r>
      <w:r>
        <w:rPr>
          <w:rFonts w:ascii="Arial" w:cs="Arial" w:eastAsia="Arial" w:hAnsi="Arial"/>
          <w:sz w:val="15"/>
          <w:szCs w:val="15"/>
          <w:color w:val="1F2128"/>
        </w:rPr>
        <w:t>E-Verify</w:t>
      </w:r>
      <w:r>
        <w:rPr>
          <w:rFonts w:ascii="Arial" w:cs="Arial" w:eastAsia="Arial" w:hAnsi="Arial"/>
          <w:sz w:val="15"/>
          <w:szCs w:val="15"/>
          <w:b w:val="1"/>
          <w:bCs w:val="1"/>
          <w:color w:val="1F2128"/>
        </w:rPr>
        <w:t xml:space="preserve"> </w:t>
      </w:r>
      <w:r>
        <w:rPr>
          <w:rFonts w:ascii="Arial" w:cs="Arial" w:eastAsia="Arial" w:hAnsi="Arial"/>
          <w:sz w:val="15"/>
          <w:szCs w:val="15"/>
          <w:color w:val="3D4149"/>
        </w:rPr>
        <w:t>em</w:t>
      </w:r>
      <w:r>
        <w:rPr>
          <w:rFonts w:ascii="Arial" w:cs="Arial" w:eastAsia="Arial" w:hAnsi="Arial"/>
          <w:sz w:val="15"/>
          <w:szCs w:val="15"/>
          <w:color w:val="1F2128"/>
        </w:rPr>
        <w:t>p</w:t>
      </w:r>
      <w:r>
        <w:rPr>
          <w:rFonts w:ascii="Arial" w:cs="Arial" w:eastAsia="Arial" w:hAnsi="Arial"/>
          <w:sz w:val="15"/>
          <w:szCs w:val="15"/>
          <w:color w:val="3D4149"/>
        </w:rPr>
        <w:t>loyer.</w:t>
      </w:r>
      <w:r>
        <w:rPr>
          <w:rFonts w:ascii="Arial" w:cs="Arial" w:eastAsia="Arial" w:hAnsi="Arial"/>
          <w:sz w:val="15"/>
          <w:szCs w:val="15"/>
          <w:b w:val="1"/>
          <w:bCs w:val="1"/>
          <w:color w:val="1F2128"/>
        </w:rPr>
        <w:t xml:space="preserve"> </w:t>
      </w:r>
      <w:r>
        <w:rPr>
          <w:rFonts w:ascii="Arial" w:cs="Arial" w:eastAsia="Arial" w:hAnsi="Arial"/>
          <w:sz w:val="15"/>
          <w:szCs w:val="15"/>
          <w:color w:val="1F2128"/>
        </w:rPr>
        <w:t>The</w:t>
      </w:r>
      <w:r>
        <w:rPr>
          <w:rFonts w:ascii="Arial" w:cs="Arial" w:eastAsia="Arial" w:hAnsi="Arial"/>
          <w:sz w:val="15"/>
          <w:szCs w:val="15"/>
          <w:b w:val="1"/>
          <w:bCs w:val="1"/>
          <w:color w:val="1F2128"/>
        </w:rPr>
        <w:t xml:space="preserve"> </w:t>
      </w:r>
      <w:r>
        <w:rPr>
          <w:rFonts w:ascii="Arial" w:cs="Arial" w:eastAsia="Arial" w:hAnsi="Arial"/>
          <w:sz w:val="15"/>
          <w:szCs w:val="15"/>
          <w:color w:val="3D4149"/>
        </w:rPr>
        <w:t>Fede</w:t>
      </w:r>
      <w:r>
        <w:rPr>
          <w:rFonts w:ascii="Arial" w:cs="Arial" w:eastAsia="Arial" w:hAnsi="Arial"/>
          <w:sz w:val="15"/>
          <w:szCs w:val="15"/>
          <w:color w:val="1F2128"/>
        </w:rPr>
        <w:t>ral governmen</w:t>
      </w:r>
      <w:r>
        <w:rPr>
          <w:rFonts w:ascii="Arial" w:cs="Arial" w:eastAsia="Arial" w:hAnsi="Arial"/>
          <w:sz w:val="15"/>
          <w:szCs w:val="15"/>
          <w:color w:val="3D4149"/>
        </w:rPr>
        <w:t>t</w:t>
      </w:r>
      <w:r>
        <w:rPr>
          <w:rFonts w:ascii="Arial" w:cs="Arial" w:eastAsia="Arial" w:hAnsi="Arial"/>
          <w:sz w:val="15"/>
          <w:szCs w:val="15"/>
          <w:b w:val="1"/>
          <w:bCs w:val="1"/>
          <w:color w:val="1F2128"/>
        </w:rPr>
        <w:t xml:space="preserve"> </w:t>
      </w:r>
      <w:r>
        <w:rPr>
          <w:rFonts w:ascii="Arial" w:cs="Arial" w:eastAsia="Arial" w:hAnsi="Arial"/>
          <w:sz w:val="15"/>
          <w:szCs w:val="15"/>
          <w:color w:val="1F2128"/>
        </w:rPr>
        <w:t>requir</w:t>
      </w:r>
      <w:r>
        <w:rPr>
          <w:rFonts w:ascii="Arial" w:cs="Arial" w:eastAsia="Arial" w:hAnsi="Arial"/>
          <w:sz w:val="15"/>
          <w:szCs w:val="15"/>
          <w:color w:val="3D4149"/>
        </w:rPr>
        <w:t>es you</w:t>
      </w:r>
      <w:r>
        <w:rPr>
          <w:rFonts w:ascii="Arial" w:cs="Arial" w:eastAsia="Arial" w:hAnsi="Arial"/>
          <w:sz w:val="15"/>
          <w:szCs w:val="15"/>
          <w:b w:val="1"/>
          <w:bCs w:val="1"/>
          <w:color w:val="1F2128"/>
        </w:rPr>
        <w:t xml:space="preserve"> </w:t>
      </w:r>
      <w:r>
        <w:rPr>
          <w:rFonts w:ascii="Arial" w:cs="Arial" w:eastAsia="Arial" w:hAnsi="Arial"/>
          <w:sz w:val="15"/>
          <w:szCs w:val="15"/>
          <w:color w:val="1F2128"/>
        </w:rPr>
        <w:t>to</w:t>
      </w:r>
      <w:r>
        <w:rPr>
          <w:rFonts w:ascii="Arial" w:cs="Arial" w:eastAsia="Arial" w:hAnsi="Arial"/>
          <w:sz w:val="15"/>
          <w:szCs w:val="15"/>
          <w:b w:val="1"/>
          <w:bCs w:val="1"/>
          <w:color w:val="1F2128"/>
        </w:rPr>
        <w:t xml:space="preserve"> </w:t>
      </w:r>
      <w:r>
        <w:rPr>
          <w:rFonts w:ascii="Arial" w:cs="Arial" w:eastAsia="Arial" w:hAnsi="Arial"/>
          <w:sz w:val="15"/>
          <w:szCs w:val="15"/>
          <w:color w:val="2F313A"/>
        </w:rPr>
        <w:t xml:space="preserve">provide proper </w:t>
      </w:r>
      <w:r>
        <w:rPr>
          <w:rFonts w:ascii="Arial" w:cs="Arial" w:eastAsia="Arial" w:hAnsi="Arial"/>
          <w:sz w:val="15"/>
          <w:szCs w:val="15"/>
          <w:color w:val="1F2128"/>
        </w:rPr>
        <w:t>identification ve</w:t>
      </w:r>
      <w:r>
        <w:rPr>
          <w:rFonts w:ascii="Arial" w:cs="Arial" w:eastAsia="Arial" w:hAnsi="Arial"/>
          <w:sz w:val="15"/>
          <w:szCs w:val="15"/>
          <w:color w:val="3D4149"/>
        </w:rPr>
        <w:t>r</w:t>
      </w:r>
      <w:r>
        <w:rPr>
          <w:rFonts w:ascii="Arial" w:cs="Arial" w:eastAsia="Arial" w:hAnsi="Arial"/>
          <w:sz w:val="15"/>
          <w:szCs w:val="15"/>
          <w:color w:val="1F2128"/>
        </w:rPr>
        <w:t>ifying</w:t>
      </w:r>
      <w:r>
        <w:rPr>
          <w:rFonts w:ascii="Arial" w:cs="Arial" w:eastAsia="Arial" w:hAnsi="Arial"/>
          <w:sz w:val="15"/>
          <w:szCs w:val="15"/>
          <w:color w:val="2F313A"/>
        </w:rPr>
        <w:t xml:space="preserve"> your </w:t>
      </w:r>
      <w:r>
        <w:rPr>
          <w:rFonts w:ascii="Arial" w:cs="Arial" w:eastAsia="Arial" w:hAnsi="Arial"/>
          <w:sz w:val="15"/>
          <w:szCs w:val="15"/>
          <w:color w:val="3D4149"/>
        </w:rPr>
        <w:t>e</w:t>
      </w:r>
      <w:r>
        <w:rPr>
          <w:rFonts w:ascii="Arial" w:cs="Arial" w:eastAsia="Arial" w:hAnsi="Arial"/>
          <w:sz w:val="15"/>
          <w:szCs w:val="15"/>
          <w:color w:val="1F2128"/>
        </w:rPr>
        <w:t>ligib</w:t>
      </w:r>
      <w:r>
        <w:rPr>
          <w:rFonts w:ascii="Arial" w:cs="Arial" w:eastAsia="Arial" w:hAnsi="Arial"/>
          <w:sz w:val="15"/>
          <w:szCs w:val="15"/>
          <w:color w:val="3D4149"/>
        </w:rPr>
        <w:t>i</w:t>
      </w:r>
      <w:r>
        <w:rPr>
          <w:rFonts w:ascii="Arial" w:cs="Arial" w:eastAsia="Arial" w:hAnsi="Arial"/>
          <w:sz w:val="15"/>
          <w:szCs w:val="15"/>
          <w:color w:val="1F2128"/>
        </w:rPr>
        <w:t>lity t</w:t>
      </w:r>
      <w:r>
        <w:rPr>
          <w:rFonts w:ascii="Arial" w:cs="Arial" w:eastAsia="Arial" w:hAnsi="Arial"/>
          <w:sz w:val="15"/>
          <w:szCs w:val="15"/>
          <w:color w:val="4F4F57"/>
        </w:rPr>
        <w:t>o</w:t>
      </w:r>
      <w:r>
        <w:rPr>
          <w:rFonts w:ascii="Arial" w:cs="Arial" w:eastAsia="Arial" w:hAnsi="Arial"/>
          <w:sz w:val="15"/>
          <w:szCs w:val="15"/>
          <w:color w:val="2F313A"/>
        </w:rPr>
        <w:t xml:space="preserve"> </w:t>
      </w:r>
      <w:r>
        <w:rPr>
          <w:rFonts w:ascii="Arial" w:cs="Arial" w:eastAsia="Arial" w:hAnsi="Arial"/>
          <w:sz w:val="15"/>
          <w:szCs w:val="15"/>
          <w:color w:val="3D4149"/>
        </w:rPr>
        <w:t>work</w:t>
      </w:r>
      <w:r>
        <w:rPr>
          <w:rFonts w:ascii="Arial" w:cs="Arial" w:eastAsia="Arial" w:hAnsi="Arial"/>
          <w:sz w:val="15"/>
          <w:szCs w:val="15"/>
          <w:color w:val="2F313A"/>
        </w:rPr>
        <w:t xml:space="preserve"> </w:t>
      </w:r>
      <w:r>
        <w:rPr>
          <w:rFonts w:ascii="Arial" w:cs="Arial" w:eastAsia="Arial" w:hAnsi="Arial"/>
          <w:sz w:val="15"/>
          <w:szCs w:val="15"/>
          <w:color w:val="1F2128"/>
        </w:rPr>
        <w:t>in the United</w:t>
      </w:r>
      <w:r>
        <w:rPr>
          <w:rFonts w:ascii="Arial" w:cs="Arial" w:eastAsia="Arial" w:hAnsi="Arial"/>
          <w:sz w:val="15"/>
          <w:szCs w:val="15"/>
          <w:color w:val="2F313A"/>
        </w:rPr>
        <w:t xml:space="preserve"> States</w:t>
      </w:r>
      <w:r>
        <w:rPr>
          <w:rFonts w:ascii="Arial" w:cs="Arial" w:eastAsia="Arial" w:hAnsi="Arial"/>
          <w:sz w:val="15"/>
          <w:szCs w:val="15"/>
          <w:color w:val="6D6E72"/>
        </w:rPr>
        <w:t>.</w:t>
      </w:r>
    </w:p>
    <w:p>
      <w:pPr>
        <w:spacing w:after="0" w:line="186" w:lineRule="exact"/>
        <w:rPr>
          <w:rFonts w:ascii="Arial" w:cs="Arial" w:eastAsia="Arial" w:hAnsi="Arial"/>
          <w:sz w:val="20"/>
          <w:szCs w:val="20"/>
          <w:color w:val="1F2128"/>
        </w:rPr>
      </w:pPr>
    </w:p>
    <w:p>
      <w:pPr>
        <w:ind w:left="640" w:right="140"/>
        <w:spacing w:after="0" w:line="270" w:lineRule="auto"/>
        <w:rPr>
          <w:rFonts w:ascii="Arial" w:cs="Arial" w:eastAsia="Arial" w:hAnsi="Arial"/>
          <w:sz w:val="20"/>
          <w:szCs w:val="20"/>
          <w:color w:val="1F2128"/>
        </w:rPr>
      </w:pPr>
      <w:r>
        <w:rPr>
          <w:rFonts w:ascii="Arial" w:cs="Arial" w:eastAsia="Arial" w:hAnsi="Arial"/>
          <w:sz w:val="15"/>
          <w:szCs w:val="15"/>
          <w:b w:val="1"/>
          <w:bCs w:val="1"/>
          <w:color w:val="1F2128"/>
        </w:rPr>
        <w:t xml:space="preserve">If you </w:t>
      </w:r>
      <w:r>
        <w:rPr>
          <w:rFonts w:ascii="Arial" w:cs="Arial" w:eastAsia="Arial" w:hAnsi="Arial"/>
          <w:sz w:val="15"/>
          <w:szCs w:val="15"/>
          <w:b w:val="1"/>
          <w:bCs w:val="1"/>
          <w:color w:val="3D4149"/>
        </w:rPr>
        <w:t>w</w:t>
      </w:r>
      <w:r>
        <w:rPr>
          <w:rFonts w:ascii="Arial" w:cs="Arial" w:eastAsia="Arial" w:hAnsi="Arial"/>
          <w:sz w:val="15"/>
          <w:szCs w:val="15"/>
          <w:b w:val="1"/>
          <w:bCs w:val="1"/>
          <w:color w:val="1F2128"/>
        </w:rPr>
        <w:t xml:space="preserve">ill </w:t>
      </w:r>
      <w:r>
        <w:rPr>
          <w:rFonts w:ascii="Arial" w:cs="Arial" w:eastAsia="Arial" w:hAnsi="Arial"/>
          <w:sz w:val="15"/>
          <w:szCs w:val="15"/>
          <w:b w:val="1"/>
          <w:bCs w:val="1"/>
          <w:color w:val="2F313A"/>
        </w:rPr>
        <w:t>be</w:t>
      </w:r>
      <w:r>
        <w:rPr>
          <w:rFonts w:ascii="Arial" w:cs="Arial" w:eastAsia="Arial" w:hAnsi="Arial"/>
          <w:sz w:val="15"/>
          <w:szCs w:val="15"/>
          <w:b w:val="1"/>
          <w:bCs w:val="1"/>
          <w:color w:val="1F2128"/>
        </w:rPr>
        <w:t xml:space="preserve"> working at one of our office locations: </w:t>
      </w:r>
      <w:r>
        <w:rPr>
          <w:rFonts w:ascii="Arial" w:cs="Arial" w:eastAsia="Arial" w:hAnsi="Arial"/>
          <w:sz w:val="15"/>
          <w:szCs w:val="15"/>
          <w:color w:val="1F2128"/>
        </w:rPr>
        <w:t>Please</w:t>
      </w:r>
      <w:r>
        <w:rPr>
          <w:rFonts w:ascii="Arial" w:cs="Arial" w:eastAsia="Arial" w:hAnsi="Arial"/>
          <w:sz w:val="15"/>
          <w:szCs w:val="15"/>
          <w:b w:val="1"/>
          <w:bCs w:val="1"/>
          <w:color w:val="1F2128"/>
        </w:rPr>
        <w:t xml:space="preserve"> </w:t>
      </w:r>
      <w:r>
        <w:rPr>
          <w:rFonts w:ascii="Arial" w:cs="Arial" w:eastAsia="Arial" w:hAnsi="Arial"/>
          <w:sz w:val="15"/>
          <w:szCs w:val="15"/>
          <w:color w:val="3D4149"/>
        </w:rPr>
        <w:t>c</w:t>
      </w:r>
      <w:r>
        <w:rPr>
          <w:rFonts w:ascii="Arial" w:cs="Arial" w:eastAsia="Arial" w:hAnsi="Arial"/>
          <w:sz w:val="15"/>
          <w:szCs w:val="15"/>
          <w:color w:val="1F2128"/>
        </w:rPr>
        <w:t>omplete Section 1 of the</w:t>
      </w:r>
      <w:r>
        <w:rPr>
          <w:rFonts w:ascii="Arial" w:cs="Arial" w:eastAsia="Arial" w:hAnsi="Arial"/>
          <w:sz w:val="15"/>
          <w:szCs w:val="15"/>
          <w:b w:val="1"/>
          <w:bCs w:val="1"/>
          <w:color w:val="1F2128"/>
        </w:rPr>
        <w:t xml:space="preserve"> </w:t>
      </w:r>
      <w:r>
        <w:rPr>
          <w:rFonts w:ascii="Arial" w:cs="Arial" w:eastAsia="Arial" w:hAnsi="Arial"/>
          <w:sz w:val="15"/>
          <w:szCs w:val="15"/>
          <w:color w:val="3D4149"/>
        </w:rPr>
        <w:t>enc</w:t>
      </w:r>
      <w:r>
        <w:rPr>
          <w:rFonts w:ascii="Arial" w:cs="Arial" w:eastAsia="Arial" w:hAnsi="Arial"/>
          <w:sz w:val="15"/>
          <w:szCs w:val="15"/>
          <w:color w:val="1F2128"/>
        </w:rPr>
        <w:t>l</w:t>
      </w:r>
      <w:r>
        <w:rPr>
          <w:rFonts w:ascii="Arial" w:cs="Arial" w:eastAsia="Arial" w:hAnsi="Arial"/>
          <w:sz w:val="15"/>
          <w:szCs w:val="15"/>
          <w:color w:val="3D4149"/>
        </w:rPr>
        <w:t>osed</w:t>
      </w:r>
      <w:r>
        <w:rPr>
          <w:rFonts w:ascii="Arial" w:cs="Arial" w:eastAsia="Arial" w:hAnsi="Arial"/>
          <w:sz w:val="15"/>
          <w:szCs w:val="15"/>
          <w:b w:val="1"/>
          <w:bCs w:val="1"/>
          <w:color w:val="1F2128"/>
        </w:rPr>
        <w:t xml:space="preserve"> </w:t>
      </w:r>
      <w:r>
        <w:rPr>
          <w:rFonts w:ascii="Arial" w:cs="Arial" w:eastAsia="Arial" w:hAnsi="Arial"/>
          <w:sz w:val="15"/>
          <w:szCs w:val="15"/>
          <w:color w:val="2F313A"/>
        </w:rPr>
        <w:t>Employment</w:t>
      </w:r>
      <w:r>
        <w:rPr>
          <w:rFonts w:ascii="Arial" w:cs="Arial" w:eastAsia="Arial" w:hAnsi="Arial"/>
          <w:sz w:val="15"/>
          <w:szCs w:val="15"/>
          <w:b w:val="1"/>
          <w:bCs w:val="1"/>
          <w:color w:val="1F2128"/>
        </w:rPr>
        <w:t xml:space="preserve"> </w:t>
      </w:r>
      <w:r>
        <w:rPr>
          <w:rFonts w:ascii="Arial" w:cs="Arial" w:eastAsia="Arial" w:hAnsi="Arial"/>
          <w:sz w:val="15"/>
          <w:szCs w:val="15"/>
          <w:color w:val="3D4149"/>
        </w:rPr>
        <w:t>E</w:t>
      </w:r>
      <w:r>
        <w:rPr>
          <w:rFonts w:ascii="Arial" w:cs="Arial" w:eastAsia="Arial" w:hAnsi="Arial"/>
          <w:sz w:val="15"/>
          <w:szCs w:val="15"/>
          <w:color w:val="1F2128"/>
        </w:rPr>
        <w:t>ligibilit</w:t>
      </w:r>
      <w:r>
        <w:rPr>
          <w:rFonts w:ascii="Arial" w:cs="Arial" w:eastAsia="Arial" w:hAnsi="Arial"/>
          <w:sz w:val="15"/>
          <w:szCs w:val="15"/>
          <w:color w:val="3D4149"/>
        </w:rPr>
        <w:t>y</w:t>
      </w:r>
      <w:r>
        <w:rPr>
          <w:rFonts w:ascii="Arial" w:cs="Arial" w:eastAsia="Arial" w:hAnsi="Arial"/>
          <w:sz w:val="15"/>
          <w:szCs w:val="15"/>
          <w:b w:val="1"/>
          <w:bCs w:val="1"/>
          <w:color w:val="1F2128"/>
        </w:rPr>
        <w:t xml:space="preserve"> </w:t>
      </w:r>
      <w:r>
        <w:rPr>
          <w:rFonts w:ascii="Arial" w:cs="Arial" w:eastAsia="Arial" w:hAnsi="Arial"/>
          <w:sz w:val="15"/>
          <w:szCs w:val="15"/>
          <w:color w:val="1F2128"/>
        </w:rPr>
        <w:t>Verification For</w:t>
      </w:r>
      <w:r>
        <w:rPr>
          <w:rFonts w:ascii="Arial" w:cs="Arial" w:eastAsia="Arial" w:hAnsi="Arial"/>
          <w:sz w:val="15"/>
          <w:szCs w:val="15"/>
          <w:color w:val="3D4149"/>
        </w:rPr>
        <w:t>m</w:t>
      </w:r>
      <w:r>
        <w:rPr>
          <w:rFonts w:ascii="Arial" w:cs="Arial" w:eastAsia="Arial" w:hAnsi="Arial"/>
          <w:sz w:val="15"/>
          <w:szCs w:val="15"/>
          <w:b w:val="1"/>
          <w:bCs w:val="1"/>
          <w:color w:val="1F2128"/>
        </w:rPr>
        <w:t xml:space="preserve"> </w:t>
      </w:r>
      <w:r>
        <w:rPr>
          <w:rFonts w:ascii="Arial" w:cs="Arial" w:eastAsia="Arial" w:hAnsi="Arial"/>
          <w:sz w:val="15"/>
          <w:szCs w:val="15"/>
          <w:color w:val="1F2128"/>
        </w:rPr>
        <w:t xml:space="preserve">1-9. </w:t>
      </w:r>
      <w:r>
        <w:rPr>
          <w:rFonts w:ascii="Arial" w:cs="Arial" w:eastAsia="Arial" w:hAnsi="Arial"/>
          <w:sz w:val="15"/>
          <w:szCs w:val="15"/>
          <w:b w:val="1"/>
          <w:bCs w:val="1"/>
          <w:u w:val="single" w:color="auto"/>
          <w:color w:val="1F2128"/>
        </w:rPr>
        <w:t>On your first day of employment</w:t>
      </w:r>
      <w:r>
        <w:rPr>
          <w:rFonts w:ascii="Arial" w:cs="Arial" w:eastAsia="Arial" w:hAnsi="Arial"/>
          <w:sz w:val="15"/>
          <w:szCs w:val="15"/>
          <w:color w:val="1F2128"/>
        </w:rPr>
        <w:t xml:space="preserve">, </w:t>
      </w:r>
      <w:r>
        <w:rPr>
          <w:rFonts w:ascii="Arial" w:cs="Arial" w:eastAsia="Arial" w:hAnsi="Arial"/>
          <w:sz w:val="15"/>
          <w:szCs w:val="15"/>
          <w:color w:val="2F313A"/>
        </w:rPr>
        <w:t>plea</w:t>
      </w:r>
      <w:r>
        <w:rPr>
          <w:rFonts w:ascii="Arial" w:cs="Arial" w:eastAsia="Arial" w:hAnsi="Arial"/>
          <w:sz w:val="15"/>
          <w:szCs w:val="15"/>
          <w:color w:val="4F4F57"/>
        </w:rPr>
        <w:t>se</w:t>
      </w:r>
      <w:r>
        <w:rPr>
          <w:rFonts w:ascii="Arial" w:cs="Arial" w:eastAsia="Arial" w:hAnsi="Arial"/>
          <w:sz w:val="15"/>
          <w:szCs w:val="15"/>
          <w:color w:val="1F2128"/>
        </w:rPr>
        <w:t xml:space="preserve"> </w:t>
      </w:r>
      <w:r>
        <w:rPr>
          <w:rFonts w:ascii="Arial" w:cs="Arial" w:eastAsia="Arial" w:hAnsi="Arial"/>
          <w:sz w:val="15"/>
          <w:szCs w:val="15"/>
          <w:color w:val="2F313A"/>
        </w:rPr>
        <w:t>bring with you the</w:t>
      </w:r>
      <w:r>
        <w:rPr>
          <w:rFonts w:ascii="Arial" w:cs="Arial" w:eastAsia="Arial" w:hAnsi="Arial"/>
          <w:sz w:val="15"/>
          <w:szCs w:val="15"/>
          <w:color w:val="1F2128"/>
        </w:rPr>
        <w:t xml:space="preserve"> </w:t>
      </w:r>
      <w:r>
        <w:rPr>
          <w:rFonts w:ascii="Arial" w:cs="Arial" w:eastAsia="Arial" w:hAnsi="Arial"/>
          <w:sz w:val="15"/>
          <w:szCs w:val="15"/>
          <w:color w:val="3D4149"/>
        </w:rPr>
        <w:t>co</w:t>
      </w:r>
      <w:r>
        <w:rPr>
          <w:rFonts w:ascii="Arial" w:cs="Arial" w:eastAsia="Arial" w:hAnsi="Arial"/>
          <w:sz w:val="15"/>
          <w:szCs w:val="15"/>
          <w:color w:val="1F2128"/>
        </w:rPr>
        <w:t xml:space="preserve">mpleted </w:t>
      </w:r>
      <w:r>
        <w:rPr>
          <w:rFonts w:ascii="Arial" w:cs="Arial" w:eastAsia="Arial" w:hAnsi="Arial"/>
          <w:sz w:val="15"/>
          <w:szCs w:val="15"/>
          <w:color w:val="2F313A"/>
        </w:rPr>
        <w:t>Form</w:t>
      </w:r>
      <w:r>
        <w:rPr>
          <w:rFonts w:ascii="Arial" w:cs="Arial" w:eastAsia="Arial" w:hAnsi="Arial"/>
          <w:sz w:val="15"/>
          <w:szCs w:val="15"/>
          <w:color w:val="1F2128"/>
        </w:rPr>
        <w:t xml:space="preserve"> 1-9, your </w:t>
      </w:r>
      <w:r>
        <w:rPr>
          <w:rFonts w:ascii="Arial" w:cs="Arial" w:eastAsia="Arial" w:hAnsi="Arial"/>
          <w:sz w:val="15"/>
          <w:szCs w:val="15"/>
          <w:color w:val="2F313A"/>
        </w:rPr>
        <w:t>original</w:t>
      </w:r>
      <w:r>
        <w:rPr>
          <w:rFonts w:ascii="Arial" w:cs="Arial" w:eastAsia="Arial" w:hAnsi="Arial"/>
          <w:sz w:val="15"/>
          <w:szCs w:val="15"/>
          <w:color w:val="1F2128"/>
        </w:rPr>
        <w:t xml:space="preserve"> and unexpired </w:t>
      </w:r>
      <w:r>
        <w:rPr>
          <w:rFonts w:ascii="Arial" w:cs="Arial" w:eastAsia="Arial" w:hAnsi="Arial"/>
          <w:sz w:val="15"/>
          <w:szCs w:val="15"/>
          <w:color w:val="2F313A"/>
        </w:rPr>
        <w:t>documents and</w:t>
      </w:r>
      <w:r>
        <w:rPr>
          <w:rFonts w:ascii="Arial" w:cs="Arial" w:eastAsia="Arial" w:hAnsi="Arial"/>
          <w:sz w:val="15"/>
          <w:szCs w:val="15"/>
          <w:color w:val="1F2128"/>
        </w:rPr>
        <w:t xml:space="preserve"> a </w:t>
      </w:r>
      <w:r>
        <w:rPr>
          <w:rFonts w:ascii="Arial" w:cs="Arial" w:eastAsia="Arial" w:hAnsi="Arial"/>
          <w:sz w:val="15"/>
          <w:szCs w:val="15"/>
          <w:color w:val="2F313A"/>
        </w:rPr>
        <w:t xml:space="preserve">scanned copy of your </w:t>
      </w:r>
      <w:r>
        <w:rPr>
          <w:rFonts w:ascii="Arial" w:cs="Arial" w:eastAsia="Arial" w:hAnsi="Arial"/>
          <w:sz w:val="15"/>
          <w:szCs w:val="15"/>
          <w:color w:val="3D4149"/>
        </w:rPr>
        <w:t>doc</w:t>
      </w:r>
      <w:r>
        <w:rPr>
          <w:rFonts w:ascii="Arial" w:cs="Arial" w:eastAsia="Arial" w:hAnsi="Arial"/>
          <w:sz w:val="15"/>
          <w:szCs w:val="15"/>
          <w:color w:val="1F2128"/>
        </w:rPr>
        <w:t>um</w:t>
      </w:r>
      <w:r>
        <w:rPr>
          <w:rFonts w:ascii="Arial" w:cs="Arial" w:eastAsia="Arial" w:hAnsi="Arial"/>
          <w:sz w:val="15"/>
          <w:szCs w:val="15"/>
          <w:color w:val="3D4149"/>
        </w:rPr>
        <w:t>e</w:t>
      </w:r>
      <w:r>
        <w:rPr>
          <w:rFonts w:ascii="Arial" w:cs="Arial" w:eastAsia="Arial" w:hAnsi="Arial"/>
          <w:sz w:val="15"/>
          <w:szCs w:val="15"/>
          <w:color w:val="1F2128"/>
        </w:rPr>
        <w:t>nts</w:t>
      </w:r>
      <w:r>
        <w:rPr>
          <w:rFonts w:ascii="Arial" w:cs="Arial" w:eastAsia="Arial" w:hAnsi="Arial"/>
          <w:sz w:val="15"/>
          <w:szCs w:val="15"/>
          <w:color w:val="6D6E72"/>
        </w:rPr>
        <w:t>.</w:t>
      </w:r>
      <w:r>
        <w:rPr>
          <w:rFonts w:ascii="Arial" w:cs="Arial" w:eastAsia="Arial" w:hAnsi="Arial"/>
          <w:sz w:val="15"/>
          <w:szCs w:val="15"/>
          <w:color w:val="2F313A"/>
        </w:rPr>
        <w:t xml:space="preserve"> A list of a</w:t>
      </w:r>
      <w:r>
        <w:rPr>
          <w:rFonts w:ascii="Arial" w:cs="Arial" w:eastAsia="Arial" w:hAnsi="Arial"/>
          <w:sz w:val="15"/>
          <w:szCs w:val="15"/>
          <w:color w:val="4F4F57"/>
        </w:rPr>
        <w:t>c</w:t>
      </w:r>
      <w:r>
        <w:rPr>
          <w:rFonts w:ascii="Arial" w:cs="Arial" w:eastAsia="Arial" w:hAnsi="Arial"/>
          <w:sz w:val="15"/>
          <w:szCs w:val="15"/>
          <w:color w:val="2F313A"/>
        </w:rPr>
        <w:t xml:space="preserve">ceptable documents can </w:t>
      </w:r>
      <w:r>
        <w:rPr>
          <w:rFonts w:ascii="Arial" w:cs="Arial" w:eastAsia="Arial" w:hAnsi="Arial"/>
          <w:sz w:val="15"/>
          <w:szCs w:val="15"/>
          <w:color w:val="1F2128"/>
        </w:rPr>
        <w:t>b</w:t>
      </w:r>
      <w:r>
        <w:rPr>
          <w:rFonts w:ascii="Arial" w:cs="Arial" w:eastAsia="Arial" w:hAnsi="Arial"/>
          <w:sz w:val="15"/>
          <w:szCs w:val="15"/>
          <w:color w:val="3D4149"/>
        </w:rPr>
        <w:t>e</w:t>
      </w:r>
      <w:r>
        <w:rPr>
          <w:rFonts w:ascii="Arial" w:cs="Arial" w:eastAsia="Arial" w:hAnsi="Arial"/>
          <w:sz w:val="15"/>
          <w:szCs w:val="15"/>
          <w:color w:val="2F313A"/>
        </w:rPr>
        <w:t xml:space="preserve"> </w:t>
      </w:r>
      <w:r>
        <w:rPr>
          <w:rFonts w:ascii="Arial" w:cs="Arial" w:eastAsia="Arial" w:hAnsi="Arial"/>
          <w:sz w:val="15"/>
          <w:szCs w:val="15"/>
          <w:color w:val="1F2128"/>
        </w:rPr>
        <w:t>found</w:t>
      </w:r>
      <w:r>
        <w:rPr>
          <w:rFonts w:ascii="Arial" w:cs="Arial" w:eastAsia="Arial" w:hAnsi="Arial"/>
          <w:sz w:val="15"/>
          <w:szCs w:val="15"/>
          <w:color w:val="2F313A"/>
        </w:rPr>
        <w:t xml:space="preserve"> on </w:t>
      </w:r>
      <w:r>
        <w:rPr>
          <w:rFonts w:ascii="Arial" w:cs="Arial" w:eastAsia="Arial" w:hAnsi="Arial"/>
          <w:sz w:val="15"/>
          <w:szCs w:val="15"/>
          <w:color w:val="1F2128"/>
        </w:rPr>
        <w:t>the last</w:t>
      </w:r>
      <w:r>
        <w:rPr>
          <w:rFonts w:ascii="Arial" w:cs="Arial" w:eastAsia="Arial" w:hAnsi="Arial"/>
          <w:sz w:val="15"/>
          <w:szCs w:val="15"/>
          <w:color w:val="2F313A"/>
        </w:rPr>
        <w:t xml:space="preserve"> </w:t>
      </w:r>
      <w:r>
        <w:rPr>
          <w:rFonts w:ascii="Arial" w:cs="Arial" w:eastAsia="Arial" w:hAnsi="Arial"/>
          <w:sz w:val="15"/>
          <w:szCs w:val="15"/>
          <w:color w:val="3D4149"/>
        </w:rPr>
        <w:t>page</w:t>
      </w:r>
      <w:r>
        <w:rPr>
          <w:rFonts w:ascii="Arial" w:cs="Arial" w:eastAsia="Arial" w:hAnsi="Arial"/>
          <w:sz w:val="15"/>
          <w:szCs w:val="15"/>
          <w:color w:val="2F313A"/>
        </w:rPr>
        <w:t xml:space="preserve"> of </w:t>
      </w:r>
      <w:r>
        <w:rPr>
          <w:rFonts w:ascii="Arial" w:cs="Arial" w:eastAsia="Arial" w:hAnsi="Arial"/>
          <w:sz w:val="15"/>
          <w:szCs w:val="15"/>
          <w:color w:val="1F2128"/>
        </w:rPr>
        <w:t>th</w:t>
      </w:r>
      <w:r>
        <w:rPr>
          <w:rFonts w:ascii="Arial" w:cs="Arial" w:eastAsia="Arial" w:hAnsi="Arial"/>
          <w:sz w:val="15"/>
          <w:szCs w:val="15"/>
          <w:color w:val="3D4149"/>
        </w:rPr>
        <w:t>e</w:t>
      </w:r>
      <w:r>
        <w:rPr>
          <w:rFonts w:ascii="Arial" w:cs="Arial" w:eastAsia="Arial" w:hAnsi="Arial"/>
          <w:sz w:val="15"/>
          <w:szCs w:val="15"/>
          <w:color w:val="2F313A"/>
        </w:rPr>
        <w:t xml:space="preserve"> </w:t>
      </w:r>
      <w:r>
        <w:rPr>
          <w:rFonts w:ascii="Arial" w:cs="Arial" w:eastAsia="Arial" w:hAnsi="Arial"/>
          <w:sz w:val="15"/>
          <w:szCs w:val="15"/>
          <w:color w:val="1F2128"/>
        </w:rPr>
        <w:t>F</w:t>
      </w:r>
      <w:r>
        <w:rPr>
          <w:rFonts w:ascii="Arial" w:cs="Arial" w:eastAsia="Arial" w:hAnsi="Arial"/>
          <w:sz w:val="15"/>
          <w:szCs w:val="15"/>
          <w:color w:val="3D4149"/>
        </w:rPr>
        <w:t>orm</w:t>
      </w:r>
      <w:r>
        <w:rPr>
          <w:rFonts w:ascii="Arial" w:cs="Arial" w:eastAsia="Arial" w:hAnsi="Arial"/>
          <w:sz w:val="15"/>
          <w:szCs w:val="15"/>
          <w:color w:val="2F313A"/>
        </w:rPr>
        <w:t xml:space="preserve"> </w:t>
      </w:r>
      <w:r>
        <w:rPr>
          <w:rFonts w:ascii="Arial" w:cs="Arial" w:eastAsia="Arial" w:hAnsi="Arial"/>
          <w:sz w:val="15"/>
          <w:szCs w:val="15"/>
          <w:color w:val="1F2128"/>
        </w:rPr>
        <w:t>1-9 packet.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020"/>
        <w:spacing w:after="0"/>
        <w:rPr>
          <w:sz w:val="20"/>
          <w:szCs w:val="20"/>
          <w:color w:val="auto"/>
        </w:rPr>
      </w:pPr>
      <w:r>
        <w:rPr>
          <w:rFonts w:ascii="Arial" w:cs="Arial" w:eastAsia="Arial" w:hAnsi="Arial"/>
          <w:sz w:val="12"/>
          <w:szCs w:val="12"/>
          <w:color w:val="3B5B80"/>
        </w:rPr>
        <w:t>225 B</w:t>
      </w:r>
      <w:r>
        <w:rPr>
          <w:rFonts w:ascii="Arial" w:cs="Arial" w:eastAsia="Arial" w:hAnsi="Arial"/>
          <w:sz w:val="12"/>
          <w:szCs w:val="12"/>
          <w:color w:val="7285A3"/>
        </w:rPr>
        <w:t>i</w:t>
      </w:r>
      <w:r>
        <w:rPr>
          <w:rFonts w:ascii="Arial" w:cs="Arial" w:eastAsia="Arial" w:hAnsi="Arial"/>
          <w:sz w:val="12"/>
          <w:szCs w:val="12"/>
          <w:color w:val="3B5B80"/>
        </w:rPr>
        <w:t>nney Street</w:t>
      </w:r>
      <w:r>
        <w:rPr>
          <w:rFonts w:ascii="Arial" w:cs="Arial" w:eastAsia="Arial" w:hAnsi="Arial"/>
          <w:sz w:val="12"/>
          <w:szCs w:val="12"/>
          <w:color w:val="4D565B"/>
        </w:rPr>
        <w:t>,</w:t>
      </w:r>
      <w:r>
        <w:rPr>
          <w:rFonts w:ascii="Arial" w:cs="Arial" w:eastAsia="Arial" w:hAnsi="Arial"/>
          <w:sz w:val="12"/>
          <w:szCs w:val="12"/>
          <w:color w:val="3B5B80"/>
        </w:rPr>
        <w:t xml:space="preserve"> Cam</w:t>
      </w:r>
      <w:r>
        <w:rPr>
          <w:rFonts w:ascii="Arial" w:cs="Arial" w:eastAsia="Arial" w:hAnsi="Arial"/>
          <w:sz w:val="12"/>
          <w:szCs w:val="12"/>
          <w:color w:val="2F67A1"/>
        </w:rPr>
        <w:t>b</w:t>
      </w:r>
      <w:r>
        <w:rPr>
          <w:rFonts w:ascii="Arial" w:cs="Arial" w:eastAsia="Arial" w:hAnsi="Arial"/>
          <w:sz w:val="12"/>
          <w:szCs w:val="12"/>
          <w:color w:val="567C99"/>
        </w:rPr>
        <w:t>ridge</w:t>
      </w:r>
      <w:r>
        <w:rPr>
          <w:rFonts w:ascii="Arial" w:cs="Arial" w:eastAsia="Arial" w:hAnsi="Arial"/>
          <w:sz w:val="12"/>
          <w:szCs w:val="12"/>
          <w:color w:val="6E7277"/>
        </w:rPr>
        <w:t>,</w:t>
      </w:r>
      <w:r>
        <w:rPr>
          <w:rFonts w:ascii="Arial" w:cs="Arial" w:eastAsia="Arial" w:hAnsi="Arial"/>
          <w:sz w:val="12"/>
          <w:szCs w:val="12"/>
          <w:color w:val="3B5B80"/>
        </w:rPr>
        <w:t xml:space="preserve"> MA 02142 Phone 781</w:t>
      </w:r>
      <w:r>
        <w:rPr>
          <w:rFonts w:ascii="Arial" w:cs="Arial" w:eastAsia="Arial" w:hAnsi="Arial"/>
          <w:sz w:val="12"/>
          <w:szCs w:val="12"/>
          <w:color w:val="4D565B"/>
        </w:rPr>
        <w:t>-</w:t>
      </w:r>
      <w:r>
        <w:rPr>
          <w:rFonts w:ascii="Arial" w:cs="Arial" w:eastAsia="Arial" w:hAnsi="Arial"/>
          <w:sz w:val="12"/>
          <w:szCs w:val="12"/>
          <w:color w:val="3B5B80"/>
        </w:rPr>
        <w:t>464</w:t>
      </w:r>
      <w:r>
        <w:rPr>
          <w:rFonts w:ascii="Arial" w:cs="Arial" w:eastAsia="Arial" w:hAnsi="Arial"/>
          <w:sz w:val="12"/>
          <w:szCs w:val="12"/>
          <w:color w:val="4D565B"/>
        </w:rPr>
        <w:t>-</w:t>
      </w:r>
      <w:r>
        <w:rPr>
          <w:rFonts w:ascii="Arial" w:cs="Arial" w:eastAsia="Arial" w:hAnsi="Arial"/>
          <w:sz w:val="12"/>
          <w:szCs w:val="12"/>
          <w:color w:val="3B5B80"/>
        </w:rPr>
        <w:t xml:space="preserve">2000 </w:t>
      </w:r>
      <w:r>
        <w:rPr>
          <w:rFonts w:ascii="Arial" w:cs="Arial" w:eastAsia="Arial" w:hAnsi="Arial"/>
          <w:sz w:val="12"/>
          <w:szCs w:val="12"/>
          <w:color w:val="4B6991"/>
        </w:rPr>
        <w:t>www</w:t>
      </w:r>
      <w:r>
        <w:rPr>
          <w:rFonts w:ascii="Arial" w:cs="Arial" w:eastAsia="Arial" w:hAnsi="Arial"/>
          <w:sz w:val="12"/>
          <w:szCs w:val="12"/>
          <w:color w:val="7285A3"/>
        </w:rPr>
        <w:t>.</w:t>
      </w:r>
      <w:r>
        <w:rPr>
          <w:rFonts w:ascii="Arial" w:cs="Arial" w:eastAsia="Arial" w:hAnsi="Arial"/>
          <w:sz w:val="12"/>
          <w:szCs w:val="12"/>
          <w:color w:val="3B5B80"/>
        </w:rPr>
        <w:t>biogen</w:t>
      </w:r>
      <w:r>
        <w:rPr>
          <w:rFonts w:ascii="Arial" w:cs="Arial" w:eastAsia="Arial" w:hAnsi="Arial"/>
          <w:sz w:val="12"/>
          <w:szCs w:val="12"/>
          <w:color w:val="4D565B"/>
        </w:rPr>
        <w:t>.</w:t>
      </w:r>
      <w:r>
        <w:rPr>
          <w:rFonts w:ascii="Arial" w:cs="Arial" w:eastAsia="Arial" w:hAnsi="Arial"/>
          <w:sz w:val="12"/>
          <w:szCs w:val="12"/>
          <w:color w:val="3B5B80"/>
        </w:rPr>
        <w:t>com</w:t>
      </w:r>
    </w:p>
    <w:p>
      <w:pPr>
        <w:sectPr>
          <w:pgSz w:w="11900" w:h="16838" w:orient="portrait"/>
          <w:cols w:equalWidth="0" w:num="1">
            <w:col w:w="10220"/>
          </w:cols>
          <w:pgMar w:left="1440" w:top="584" w:right="239" w:bottom="1440" w:gutter="0" w:footer="0" w:header="0"/>
        </w:sectPr>
      </w:pPr>
    </w:p>
    <w:bookmarkStart w:id="199" w:name="page200"/>
    <w:bookmarkEnd w:id="199"/>
    <w:p>
      <w:pPr>
        <w:ind w:left="640"/>
        <w:spacing w:after="0" w:line="292" w:lineRule="auto"/>
        <w:rPr>
          <w:sz w:val="20"/>
          <w:szCs w:val="20"/>
          <w:color w:val="auto"/>
        </w:rPr>
      </w:pPr>
      <w:r>
        <w:rPr>
          <w:rFonts w:ascii="Arial" w:cs="Arial" w:eastAsia="Arial" w:hAnsi="Arial"/>
          <w:sz w:val="15"/>
          <w:szCs w:val="15"/>
          <w:b w:val="1"/>
          <w:bCs w:val="1"/>
          <w:color w:val="1C1C23"/>
        </w:rPr>
        <w:t xml:space="preserve">If you are </w:t>
      </w:r>
      <w:r>
        <w:rPr>
          <w:rFonts w:ascii="Arial" w:cs="Arial" w:eastAsia="Arial" w:hAnsi="Arial"/>
          <w:sz w:val="15"/>
          <w:szCs w:val="15"/>
          <w:b w:val="1"/>
          <w:bCs w:val="1"/>
          <w:color w:val="2F313B"/>
        </w:rPr>
        <w:t>a</w:t>
      </w:r>
      <w:r>
        <w:rPr>
          <w:rFonts w:ascii="Arial" w:cs="Arial" w:eastAsia="Arial" w:hAnsi="Arial"/>
          <w:sz w:val="15"/>
          <w:szCs w:val="15"/>
          <w:b w:val="1"/>
          <w:bCs w:val="1"/>
          <w:color w:val="1C1C23"/>
        </w:rPr>
        <w:t xml:space="preserve"> field </w:t>
      </w:r>
      <w:r>
        <w:rPr>
          <w:rFonts w:ascii="Arial" w:cs="Arial" w:eastAsia="Arial" w:hAnsi="Arial"/>
          <w:sz w:val="15"/>
          <w:szCs w:val="15"/>
          <w:b w:val="1"/>
          <w:bCs w:val="1"/>
          <w:color w:val="2F313B"/>
        </w:rPr>
        <w:t>employee:</w:t>
      </w:r>
      <w:r>
        <w:rPr>
          <w:rFonts w:ascii="Arial" w:cs="Arial" w:eastAsia="Arial" w:hAnsi="Arial"/>
          <w:sz w:val="15"/>
          <w:szCs w:val="15"/>
          <w:b w:val="1"/>
          <w:bCs w:val="1"/>
          <w:color w:val="1C1C23"/>
        </w:rPr>
        <w:t xml:space="preserve"> </w:t>
      </w:r>
      <w:r>
        <w:rPr>
          <w:rFonts w:ascii="Arial" w:cs="Arial" w:eastAsia="Arial" w:hAnsi="Arial"/>
          <w:sz w:val="15"/>
          <w:szCs w:val="15"/>
          <w:color w:val="2F313B"/>
        </w:rPr>
        <w:t>enclosed you will</w:t>
      </w:r>
      <w:r>
        <w:rPr>
          <w:rFonts w:ascii="Arial" w:cs="Arial" w:eastAsia="Arial" w:hAnsi="Arial"/>
          <w:sz w:val="15"/>
          <w:szCs w:val="15"/>
          <w:b w:val="1"/>
          <w:bCs w:val="1"/>
          <w:color w:val="1C1C23"/>
        </w:rPr>
        <w:t xml:space="preserve"> </w:t>
      </w:r>
      <w:r>
        <w:rPr>
          <w:rFonts w:ascii="Arial" w:cs="Arial" w:eastAsia="Arial" w:hAnsi="Arial"/>
          <w:sz w:val="15"/>
          <w:szCs w:val="15"/>
          <w:color w:val="1C1C23"/>
        </w:rPr>
        <w:t>find notary instructions</w:t>
      </w:r>
      <w:r>
        <w:rPr>
          <w:rFonts w:ascii="Arial" w:cs="Arial" w:eastAsia="Arial" w:hAnsi="Arial"/>
          <w:sz w:val="15"/>
          <w:szCs w:val="15"/>
          <w:b w:val="1"/>
          <w:bCs w:val="1"/>
          <w:color w:val="1C1C23"/>
        </w:rPr>
        <w:t xml:space="preserve"> </w:t>
      </w:r>
      <w:r>
        <w:rPr>
          <w:rFonts w:ascii="Arial" w:cs="Arial" w:eastAsia="Arial" w:hAnsi="Arial"/>
          <w:sz w:val="15"/>
          <w:szCs w:val="15"/>
          <w:color w:val="2F313B"/>
        </w:rPr>
        <w:t>and a</w:t>
      </w:r>
      <w:r>
        <w:rPr>
          <w:rFonts w:ascii="Arial" w:cs="Arial" w:eastAsia="Arial" w:hAnsi="Arial"/>
          <w:sz w:val="15"/>
          <w:szCs w:val="15"/>
          <w:b w:val="1"/>
          <w:bCs w:val="1"/>
          <w:color w:val="1C1C23"/>
        </w:rPr>
        <w:t xml:space="preserve"> </w:t>
      </w:r>
      <w:r>
        <w:rPr>
          <w:rFonts w:ascii="Arial" w:cs="Arial" w:eastAsia="Arial" w:hAnsi="Arial"/>
          <w:sz w:val="15"/>
          <w:szCs w:val="15"/>
          <w:color w:val="1C1C23"/>
        </w:rPr>
        <w:t>Form 1-9</w:t>
      </w:r>
      <w:r>
        <w:rPr>
          <w:rFonts w:ascii="Arial" w:cs="Arial" w:eastAsia="Arial" w:hAnsi="Arial"/>
          <w:sz w:val="15"/>
          <w:szCs w:val="15"/>
          <w:b w:val="1"/>
          <w:bCs w:val="1"/>
          <w:color w:val="1C1C23"/>
        </w:rPr>
        <w:t xml:space="preserve"> </w:t>
      </w:r>
      <w:r>
        <w:rPr>
          <w:rFonts w:ascii="Arial" w:cs="Arial" w:eastAsia="Arial" w:hAnsi="Arial"/>
          <w:sz w:val="15"/>
          <w:szCs w:val="15"/>
          <w:color w:val="2F313B"/>
        </w:rPr>
        <w:t>packet</w:t>
      </w:r>
      <w:r>
        <w:rPr>
          <w:rFonts w:ascii="Arial" w:cs="Arial" w:eastAsia="Arial" w:hAnsi="Arial"/>
          <w:sz w:val="15"/>
          <w:szCs w:val="15"/>
          <w:color w:val="4D5056"/>
        </w:rPr>
        <w:t>.</w:t>
      </w:r>
      <w:r>
        <w:rPr>
          <w:rFonts w:ascii="Arial" w:cs="Arial" w:eastAsia="Arial" w:hAnsi="Arial"/>
          <w:sz w:val="15"/>
          <w:szCs w:val="15"/>
          <w:b w:val="1"/>
          <w:bCs w:val="1"/>
          <w:color w:val="1C1C23"/>
        </w:rPr>
        <w:t xml:space="preserve"> </w:t>
      </w:r>
      <w:r>
        <w:rPr>
          <w:rFonts w:ascii="Arial" w:cs="Arial" w:eastAsia="Arial" w:hAnsi="Arial"/>
          <w:sz w:val="15"/>
          <w:szCs w:val="15"/>
          <w:color w:val="2F313B"/>
        </w:rPr>
        <w:t>You are</w:t>
      </w:r>
      <w:r>
        <w:rPr>
          <w:rFonts w:ascii="Arial" w:cs="Arial" w:eastAsia="Arial" w:hAnsi="Arial"/>
          <w:sz w:val="15"/>
          <w:szCs w:val="15"/>
          <w:b w:val="1"/>
          <w:bCs w:val="1"/>
          <w:color w:val="1C1C23"/>
        </w:rPr>
        <w:t xml:space="preserve"> </w:t>
      </w:r>
      <w:r>
        <w:rPr>
          <w:rFonts w:ascii="Arial" w:cs="Arial" w:eastAsia="Arial" w:hAnsi="Arial"/>
          <w:sz w:val="15"/>
          <w:szCs w:val="15"/>
          <w:color w:val="1C1C23"/>
        </w:rPr>
        <w:t>required</w:t>
      </w:r>
      <w:r>
        <w:rPr>
          <w:rFonts w:ascii="Arial" w:cs="Arial" w:eastAsia="Arial" w:hAnsi="Arial"/>
          <w:sz w:val="15"/>
          <w:szCs w:val="15"/>
          <w:b w:val="1"/>
          <w:bCs w:val="1"/>
          <w:color w:val="1C1C23"/>
        </w:rPr>
        <w:t xml:space="preserve"> </w:t>
      </w:r>
      <w:r>
        <w:rPr>
          <w:rFonts w:ascii="Arial" w:cs="Arial" w:eastAsia="Arial" w:hAnsi="Arial"/>
          <w:sz w:val="15"/>
          <w:szCs w:val="15"/>
          <w:color w:val="2F313B"/>
        </w:rPr>
        <w:t>to complete</w:t>
      </w:r>
      <w:r>
        <w:rPr>
          <w:rFonts w:ascii="Arial" w:cs="Arial" w:eastAsia="Arial" w:hAnsi="Arial"/>
          <w:sz w:val="15"/>
          <w:szCs w:val="15"/>
          <w:b w:val="1"/>
          <w:bCs w:val="1"/>
          <w:color w:val="1C1C23"/>
        </w:rPr>
        <w:t xml:space="preserve"> </w:t>
      </w:r>
      <w:r>
        <w:rPr>
          <w:rFonts w:ascii="Arial" w:cs="Arial" w:eastAsia="Arial" w:hAnsi="Arial"/>
          <w:sz w:val="15"/>
          <w:szCs w:val="15"/>
          <w:color w:val="1C1C23"/>
        </w:rPr>
        <w:t>the</w:t>
      </w:r>
      <w:r>
        <w:rPr>
          <w:rFonts w:ascii="Arial" w:cs="Arial" w:eastAsia="Arial" w:hAnsi="Arial"/>
          <w:sz w:val="15"/>
          <w:szCs w:val="15"/>
          <w:b w:val="1"/>
          <w:bCs w:val="1"/>
          <w:color w:val="1C1C23"/>
        </w:rPr>
        <w:t xml:space="preserve"> </w:t>
      </w:r>
      <w:r>
        <w:rPr>
          <w:rFonts w:ascii="Arial" w:cs="Arial" w:eastAsia="Arial" w:hAnsi="Arial"/>
          <w:sz w:val="15"/>
          <w:szCs w:val="15"/>
          <w:color w:val="2F313B"/>
        </w:rPr>
        <w:t>entire Form</w:t>
      </w:r>
      <w:r>
        <w:rPr>
          <w:rFonts w:ascii="Arial" w:cs="Arial" w:eastAsia="Arial" w:hAnsi="Arial"/>
          <w:sz w:val="15"/>
          <w:szCs w:val="15"/>
          <w:b w:val="1"/>
          <w:bCs w:val="1"/>
          <w:color w:val="1C1C23"/>
        </w:rPr>
        <w:t xml:space="preserve"> </w:t>
      </w:r>
      <w:r>
        <w:rPr>
          <w:rFonts w:ascii="Arial" w:cs="Arial" w:eastAsia="Arial" w:hAnsi="Arial"/>
          <w:sz w:val="15"/>
          <w:szCs w:val="15"/>
          <w:color w:val="1C1C23"/>
        </w:rPr>
        <w:t>1</w:t>
      </w:r>
      <w:r>
        <w:rPr>
          <w:rFonts w:ascii="Arial" w:cs="Arial" w:eastAsia="Arial" w:hAnsi="Arial"/>
          <w:sz w:val="15"/>
          <w:szCs w:val="15"/>
          <w:color w:val="5D6269"/>
        </w:rPr>
        <w:t>-</w:t>
      </w:r>
      <w:r>
        <w:rPr>
          <w:rFonts w:ascii="Arial" w:cs="Arial" w:eastAsia="Arial" w:hAnsi="Arial"/>
          <w:sz w:val="15"/>
          <w:szCs w:val="15"/>
          <w:color w:val="2F313B"/>
        </w:rPr>
        <w:t>9 of</w:t>
      </w:r>
      <w:r>
        <w:rPr>
          <w:rFonts w:ascii="Arial" w:cs="Arial" w:eastAsia="Arial" w:hAnsi="Arial"/>
          <w:sz w:val="15"/>
          <w:szCs w:val="15"/>
          <w:color w:val="1C1C23"/>
        </w:rPr>
        <w:t xml:space="preserve"> the 1-9 </w:t>
      </w:r>
      <w:r>
        <w:rPr>
          <w:rFonts w:ascii="Arial" w:cs="Arial" w:eastAsia="Arial" w:hAnsi="Arial"/>
          <w:sz w:val="15"/>
          <w:szCs w:val="15"/>
          <w:color w:val="2F313B"/>
        </w:rPr>
        <w:t>packet within 3 days of your start at a Notary Public and</w:t>
      </w:r>
      <w:r>
        <w:rPr>
          <w:rFonts w:ascii="Arial" w:cs="Arial" w:eastAsia="Arial" w:hAnsi="Arial"/>
          <w:sz w:val="15"/>
          <w:szCs w:val="15"/>
          <w:color w:val="1C1C23"/>
        </w:rPr>
        <w:t xml:space="preserve"> mail your </w:t>
      </w:r>
      <w:r>
        <w:rPr>
          <w:rFonts w:ascii="Arial" w:cs="Arial" w:eastAsia="Arial" w:hAnsi="Arial"/>
          <w:sz w:val="15"/>
          <w:szCs w:val="15"/>
          <w:color w:val="2F313B"/>
        </w:rPr>
        <w:t>original as</w:t>
      </w:r>
      <w:r>
        <w:rPr>
          <w:rFonts w:ascii="Arial" w:cs="Arial" w:eastAsia="Arial" w:hAnsi="Arial"/>
          <w:sz w:val="15"/>
          <w:szCs w:val="15"/>
          <w:color w:val="1C1C23"/>
        </w:rPr>
        <w:t xml:space="preserve"> instructed </w:t>
      </w:r>
      <w:r>
        <w:rPr>
          <w:rFonts w:ascii="Arial" w:cs="Arial" w:eastAsia="Arial" w:hAnsi="Arial"/>
          <w:sz w:val="15"/>
          <w:szCs w:val="15"/>
          <w:color w:val="2F313B"/>
        </w:rPr>
        <w:t>in the packet.</w:t>
      </w:r>
    </w:p>
    <w:p>
      <w:pPr>
        <w:spacing w:after="0" w:line="195" w:lineRule="exact"/>
        <w:rPr>
          <w:sz w:val="20"/>
          <w:szCs w:val="20"/>
          <w:color w:val="auto"/>
        </w:rPr>
      </w:pPr>
    </w:p>
    <w:p>
      <w:pPr>
        <w:jc w:val="both"/>
        <w:ind w:left="640" w:hanging="301"/>
        <w:spacing w:after="0" w:line="317" w:lineRule="auto"/>
        <w:tabs>
          <w:tab w:leader="none" w:pos="640" w:val="left"/>
        </w:tabs>
        <w:numPr>
          <w:ilvl w:val="0"/>
          <w:numId w:val="158"/>
        </w:numPr>
        <w:rPr>
          <w:rFonts w:ascii="Arial" w:cs="Arial" w:eastAsia="Arial" w:hAnsi="Arial"/>
          <w:sz w:val="20"/>
          <w:szCs w:val="20"/>
          <w:b w:val="1"/>
          <w:bCs w:val="1"/>
          <w:color w:val="1C1C23"/>
        </w:rPr>
      </w:pPr>
      <w:r>
        <w:rPr>
          <w:rFonts w:ascii="Arial" w:cs="Arial" w:eastAsia="Arial" w:hAnsi="Arial"/>
          <w:sz w:val="15"/>
          <w:szCs w:val="15"/>
          <w:b w:val="1"/>
          <w:bCs w:val="1"/>
          <w:color w:val="1C1C23"/>
        </w:rPr>
        <w:t xml:space="preserve">Signed Proprietary Agreement: </w:t>
      </w:r>
      <w:r>
        <w:rPr>
          <w:rFonts w:ascii="Arial" w:cs="Arial" w:eastAsia="Arial" w:hAnsi="Arial"/>
          <w:sz w:val="15"/>
          <w:szCs w:val="15"/>
          <w:color w:val="1C1C23"/>
        </w:rPr>
        <w:t>In</w:t>
      </w:r>
      <w:r>
        <w:rPr>
          <w:rFonts w:ascii="Arial" w:cs="Arial" w:eastAsia="Arial" w:hAnsi="Arial"/>
          <w:sz w:val="15"/>
          <w:szCs w:val="15"/>
          <w:b w:val="1"/>
          <w:bCs w:val="1"/>
          <w:color w:val="1C1C23"/>
        </w:rPr>
        <w:t xml:space="preserve"> </w:t>
      </w:r>
      <w:r>
        <w:rPr>
          <w:rFonts w:ascii="Arial" w:cs="Arial" w:eastAsia="Arial" w:hAnsi="Arial"/>
          <w:sz w:val="15"/>
          <w:szCs w:val="15"/>
          <w:color w:val="2F313B"/>
        </w:rPr>
        <w:t>order</w:t>
      </w:r>
      <w:r>
        <w:rPr>
          <w:rFonts w:ascii="Arial" w:cs="Arial" w:eastAsia="Arial" w:hAnsi="Arial"/>
          <w:sz w:val="15"/>
          <w:szCs w:val="15"/>
          <w:b w:val="1"/>
          <w:bCs w:val="1"/>
          <w:color w:val="1C1C23"/>
        </w:rPr>
        <w:t xml:space="preserve"> </w:t>
      </w:r>
      <w:r>
        <w:rPr>
          <w:rFonts w:ascii="Arial" w:cs="Arial" w:eastAsia="Arial" w:hAnsi="Arial"/>
          <w:sz w:val="15"/>
          <w:szCs w:val="15"/>
          <w:color w:val="1C1C23"/>
        </w:rPr>
        <w:t>t</w:t>
      </w:r>
      <w:r>
        <w:rPr>
          <w:rFonts w:ascii="Arial" w:cs="Arial" w:eastAsia="Arial" w:hAnsi="Arial"/>
          <w:sz w:val="15"/>
          <w:szCs w:val="15"/>
          <w:color w:val="4D5056"/>
        </w:rPr>
        <w:t>o</w:t>
      </w:r>
      <w:r>
        <w:rPr>
          <w:rFonts w:ascii="Arial" w:cs="Arial" w:eastAsia="Arial" w:hAnsi="Arial"/>
          <w:sz w:val="15"/>
          <w:szCs w:val="15"/>
          <w:b w:val="1"/>
          <w:bCs w:val="1"/>
          <w:color w:val="1C1C23"/>
        </w:rPr>
        <w:t xml:space="preserve"> </w:t>
      </w:r>
      <w:r>
        <w:rPr>
          <w:rFonts w:ascii="Arial" w:cs="Arial" w:eastAsia="Arial" w:hAnsi="Arial"/>
          <w:sz w:val="15"/>
          <w:szCs w:val="15"/>
          <w:color w:val="2F313B"/>
        </w:rPr>
        <w:t>protect Biogen</w:t>
      </w:r>
      <w:r>
        <w:rPr>
          <w:rFonts w:ascii="Arial" w:cs="Arial" w:eastAsia="Arial" w:hAnsi="Arial"/>
          <w:sz w:val="15"/>
          <w:szCs w:val="15"/>
          <w:color w:val="5D6269"/>
        </w:rPr>
        <w:t>'</w:t>
      </w:r>
      <w:r>
        <w:rPr>
          <w:rFonts w:ascii="Arial" w:cs="Arial" w:eastAsia="Arial" w:hAnsi="Arial"/>
          <w:sz w:val="15"/>
          <w:szCs w:val="15"/>
          <w:color w:val="2F313B"/>
        </w:rPr>
        <w:t>s substantial</w:t>
      </w:r>
      <w:r>
        <w:rPr>
          <w:rFonts w:ascii="Arial" w:cs="Arial" w:eastAsia="Arial" w:hAnsi="Arial"/>
          <w:sz w:val="15"/>
          <w:szCs w:val="15"/>
          <w:b w:val="1"/>
          <w:bCs w:val="1"/>
          <w:color w:val="1C1C23"/>
        </w:rPr>
        <w:t xml:space="preserve"> </w:t>
      </w:r>
      <w:r>
        <w:rPr>
          <w:rFonts w:ascii="Arial" w:cs="Arial" w:eastAsia="Arial" w:hAnsi="Arial"/>
          <w:sz w:val="15"/>
          <w:szCs w:val="15"/>
          <w:color w:val="1C1C23"/>
        </w:rPr>
        <w:t>investment in</w:t>
      </w:r>
      <w:r>
        <w:rPr>
          <w:rFonts w:ascii="Arial" w:cs="Arial" w:eastAsia="Arial" w:hAnsi="Arial"/>
          <w:sz w:val="15"/>
          <w:szCs w:val="15"/>
          <w:b w:val="1"/>
          <w:bCs w:val="1"/>
          <w:color w:val="1C1C23"/>
        </w:rPr>
        <w:t xml:space="preserve"> </w:t>
      </w:r>
      <w:r>
        <w:rPr>
          <w:rFonts w:ascii="Arial" w:cs="Arial" w:eastAsia="Arial" w:hAnsi="Arial"/>
          <w:sz w:val="15"/>
          <w:szCs w:val="15"/>
          <w:color w:val="2F313B"/>
        </w:rPr>
        <w:t>creating and maintaining its conf</w:t>
      </w:r>
      <w:r>
        <w:rPr>
          <w:rFonts w:ascii="Arial" w:cs="Arial" w:eastAsia="Arial" w:hAnsi="Arial"/>
          <w:sz w:val="15"/>
          <w:szCs w:val="15"/>
          <w:color w:val="4D5056"/>
        </w:rPr>
        <w:t>i</w:t>
      </w:r>
      <w:r>
        <w:rPr>
          <w:rFonts w:ascii="Arial" w:cs="Arial" w:eastAsia="Arial" w:hAnsi="Arial"/>
          <w:sz w:val="15"/>
          <w:szCs w:val="15"/>
          <w:color w:val="2F313B"/>
        </w:rPr>
        <w:t>dential and</w:t>
      </w:r>
      <w:r>
        <w:rPr>
          <w:rFonts w:ascii="Arial" w:cs="Arial" w:eastAsia="Arial" w:hAnsi="Arial"/>
          <w:sz w:val="15"/>
          <w:szCs w:val="15"/>
          <w:b w:val="1"/>
          <w:bCs w:val="1"/>
          <w:color w:val="1C1C23"/>
        </w:rPr>
        <w:t xml:space="preserve"> </w:t>
      </w:r>
      <w:r>
        <w:rPr>
          <w:rFonts w:ascii="Arial" w:cs="Arial" w:eastAsia="Arial" w:hAnsi="Arial"/>
          <w:sz w:val="15"/>
          <w:szCs w:val="15"/>
          <w:color w:val="2F313B"/>
        </w:rPr>
        <w:t xml:space="preserve">proprietary </w:t>
      </w:r>
      <w:r>
        <w:rPr>
          <w:rFonts w:ascii="Arial" w:cs="Arial" w:eastAsia="Arial" w:hAnsi="Arial"/>
          <w:sz w:val="15"/>
          <w:szCs w:val="15"/>
          <w:color w:val="1C1C23"/>
        </w:rPr>
        <w:t>information</w:t>
      </w:r>
      <w:r>
        <w:rPr>
          <w:rFonts w:ascii="Arial" w:cs="Arial" w:eastAsia="Arial" w:hAnsi="Arial"/>
          <w:sz w:val="15"/>
          <w:szCs w:val="15"/>
          <w:color w:val="4D5056"/>
        </w:rPr>
        <w:t>,</w:t>
      </w:r>
      <w:r>
        <w:rPr>
          <w:rFonts w:ascii="Arial" w:cs="Arial" w:eastAsia="Arial" w:hAnsi="Arial"/>
          <w:sz w:val="15"/>
          <w:szCs w:val="15"/>
          <w:color w:val="2F313B"/>
        </w:rPr>
        <w:t xml:space="preserve"> and </w:t>
      </w:r>
      <w:r>
        <w:rPr>
          <w:rFonts w:ascii="Arial" w:cs="Arial" w:eastAsia="Arial" w:hAnsi="Arial"/>
          <w:sz w:val="15"/>
          <w:szCs w:val="15"/>
          <w:color w:val="1C1C23"/>
        </w:rPr>
        <w:t>to</w:t>
      </w:r>
      <w:r>
        <w:rPr>
          <w:rFonts w:ascii="Arial" w:cs="Arial" w:eastAsia="Arial" w:hAnsi="Arial"/>
          <w:sz w:val="15"/>
          <w:szCs w:val="15"/>
          <w:color w:val="2F313B"/>
        </w:rPr>
        <w:t xml:space="preserve"> maintain goodwill with our customers</w:t>
      </w:r>
      <w:r>
        <w:rPr>
          <w:rFonts w:ascii="Arial" w:cs="Arial" w:eastAsia="Arial" w:hAnsi="Arial"/>
          <w:sz w:val="15"/>
          <w:szCs w:val="15"/>
          <w:color w:val="5D6269"/>
        </w:rPr>
        <w:t>,</w:t>
      </w:r>
      <w:r>
        <w:rPr>
          <w:rFonts w:ascii="Arial" w:cs="Arial" w:eastAsia="Arial" w:hAnsi="Arial"/>
          <w:sz w:val="15"/>
          <w:szCs w:val="15"/>
          <w:color w:val="2F313B"/>
        </w:rPr>
        <w:t xml:space="preserve"> vendors and other business partners</w:t>
      </w:r>
      <w:r>
        <w:rPr>
          <w:rFonts w:ascii="Arial" w:cs="Arial" w:eastAsia="Arial" w:hAnsi="Arial"/>
          <w:sz w:val="15"/>
          <w:szCs w:val="15"/>
          <w:color w:val="5D6269"/>
        </w:rPr>
        <w:t>,</w:t>
      </w:r>
      <w:r>
        <w:rPr>
          <w:rFonts w:ascii="Arial" w:cs="Arial" w:eastAsia="Arial" w:hAnsi="Arial"/>
          <w:sz w:val="15"/>
          <w:szCs w:val="15"/>
          <w:color w:val="2F313B"/>
        </w:rPr>
        <w:t xml:space="preserve"> you will be </w:t>
      </w:r>
      <w:r>
        <w:rPr>
          <w:rFonts w:ascii="Arial" w:cs="Arial" w:eastAsia="Arial" w:hAnsi="Arial"/>
          <w:sz w:val="15"/>
          <w:szCs w:val="15"/>
          <w:color w:val="1C1C23"/>
        </w:rPr>
        <w:t>required to</w:t>
      </w:r>
      <w:r>
        <w:rPr>
          <w:rFonts w:ascii="Arial" w:cs="Arial" w:eastAsia="Arial" w:hAnsi="Arial"/>
          <w:sz w:val="15"/>
          <w:szCs w:val="15"/>
          <w:color w:val="2F313B"/>
        </w:rPr>
        <w:t xml:space="preserve"> sign our </w:t>
      </w:r>
      <w:r>
        <w:rPr>
          <w:rFonts w:ascii="Arial" w:cs="Arial" w:eastAsia="Arial" w:hAnsi="Arial"/>
          <w:sz w:val="15"/>
          <w:szCs w:val="15"/>
          <w:color w:val="1C1C23"/>
        </w:rPr>
        <w:t xml:space="preserve">'Employee Proprietary Information </w:t>
      </w:r>
      <w:r>
        <w:rPr>
          <w:rFonts w:ascii="Arial" w:cs="Arial" w:eastAsia="Arial" w:hAnsi="Arial"/>
          <w:sz w:val="15"/>
          <w:szCs w:val="15"/>
          <w:color w:val="2F313B"/>
        </w:rPr>
        <w:t>and</w:t>
      </w:r>
      <w:r>
        <w:rPr>
          <w:rFonts w:ascii="Arial" w:cs="Arial" w:eastAsia="Arial" w:hAnsi="Arial"/>
          <w:sz w:val="15"/>
          <w:szCs w:val="15"/>
          <w:color w:val="1C1C23"/>
        </w:rPr>
        <w:t xml:space="preserve"> Inventions </w:t>
      </w:r>
      <w:r>
        <w:rPr>
          <w:rFonts w:ascii="Arial" w:cs="Arial" w:eastAsia="Arial" w:hAnsi="Arial"/>
          <w:sz w:val="15"/>
          <w:szCs w:val="15"/>
          <w:color w:val="2F313B"/>
        </w:rPr>
        <w:t>and</w:t>
      </w:r>
      <w:r>
        <w:rPr>
          <w:rFonts w:ascii="Arial" w:cs="Arial" w:eastAsia="Arial" w:hAnsi="Arial"/>
          <w:sz w:val="15"/>
          <w:szCs w:val="15"/>
          <w:color w:val="1C1C23"/>
        </w:rPr>
        <w:t xml:space="preserve"> Dispute </w:t>
      </w:r>
      <w:r>
        <w:rPr>
          <w:rFonts w:ascii="Arial" w:cs="Arial" w:eastAsia="Arial" w:hAnsi="Arial"/>
          <w:sz w:val="15"/>
          <w:szCs w:val="15"/>
          <w:color w:val="2F313B"/>
        </w:rPr>
        <w:t>Resolution Agreement</w:t>
      </w:r>
      <w:r>
        <w:rPr>
          <w:rFonts w:ascii="Arial" w:cs="Arial" w:eastAsia="Arial" w:hAnsi="Arial"/>
          <w:sz w:val="15"/>
          <w:szCs w:val="15"/>
          <w:color w:val="5D6269"/>
        </w:rPr>
        <w:t>'</w:t>
      </w:r>
      <w:r>
        <w:rPr>
          <w:rFonts w:ascii="Arial" w:cs="Arial" w:eastAsia="Arial" w:hAnsi="Arial"/>
          <w:sz w:val="15"/>
          <w:szCs w:val="15"/>
          <w:color w:val="1C1C23"/>
        </w:rPr>
        <w:t xml:space="preserve"> </w:t>
      </w:r>
      <w:r>
        <w:rPr>
          <w:rFonts w:ascii="Arial" w:cs="Arial" w:eastAsia="Arial" w:hAnsi="Arial"/>
          <w:sz w:val="15"/>
          <w:szCs w:val="15"/>
          <w:color w:val="2F313B"/>
        </w:rPr>
        <w:t>as a condition of employment. A copy of</w:t>
      </w:r>
      <w:r>
        <w:rPr>
          <w:rFonts w:ascii="Arial" w:cs="Arial" w:eastAsia="Arial" w:hAnsi="Arial"/>
          <w:sz w:val="15"/>
          <w:szCs w:val="15"/>
          <w:color w:val="1C1C23"/>
        </w:rPr>
        <w:t xml:space="preserve"> the </w:t>
      </w:r>
      <w:r>
        <w:rPr>
          <w:rFonts w:ascii="Arial" w:cs="Arial" w:eastAsia="Arial" w:hAnsi="Arial"/>
          <w:sz w:val="15"/>
          <w:szCs w:val="15"/>
          <w:color w:val="2F313B"/>
        </w:rPr>
        <w:t xml:space="preserve">Agreement is enclosed with </w:t>
      </w:r>
      <w:r>
        <w:rPr>
          <w:rFonts w:ascii="Arial" w:cs="Arial" w:eastAsia="Arial" w:hAnsi="Arial"/>
          <w:sz w:val="15"/>
          <w:szCs w:val="15"/>
          <w:color w:val="1C1C23"/>
        </w:rPr>
        <w:t>this letter for</w:t>
      </w:r>
      <w:r>
        <w:rPr>
          <w:rFonts w:ascii="Arial" w:cs="Arial" w:eastAsia="Arial" w:hAnsi="Arial"/>
          <w:sz w:val="15"/>
          <w:szCs w:val="15"/>
          <w:color w:val="2F313B"/>
        </w:rPr>
        <w:t xml:space="preserve"> your </w:t>
      </w:r>
      <w:r>
        <w:rPr>
          <w:rFonts w:ascii="Arial" w:cs="Arial" w:eastAsia="Arial" w:hAnsi="Arial"/>
          <w:sz w:val="15"/>
          <w:szCs w:val="15"/>
          <w:color w:val="1C1C23"/>
        </w:rPr>
        <w:t>reference</w:t>
      </w:r>
      <w:r>
        <w:rPr>
          <w:rFonts w:ascii="Arial" w:cs="Arial" w:eastAsia="Arial" w:hAnsi="Arial"/>
          <w:sz w:val="15"/>
          <w:szCs w:val="15"/>
          <w:color w:val="5D6269"/>
        </w:rPr>
        <w:t>.</w:t>
      </w:r>
      <w:r>
        <w:rPr>
          <w:rFonts w:ascii="Arial" w:cs="Arial" w:eastAsia="Arial" w:hAnsi="Arial"/>
          <w:sz w:val="15"/>
          <w:szCs w:val="15"/>
          <w:color w:val="2F313B"/>
        </w:rPr>
        <w:t xml:space="preserve"> Please sign and return this Agreement with your signed acceptance of our offer.</w:t>
      </w:r>
    </w:p>
    <w:p>
      <w:pPr>
        <w:spacing w:after="0" w:line="183" w:lineRule="exact"/>
        <w:rPr>
          <w:sz w:val="20"/>
          <w:szCs w:val="20"/>
          <w:color w:val="auto"/>
        </w:rPr>
      </w:pPr>
    </w:p>
    <w:p>
      <w:pPr>
        <w:ind w:left="180" w:right="20" w:firstLine="13"/>
        <w:spacing w:after="0" w:line="255" w:lineRule="auto"/>
        <w:rPr>
          <w:sz w:val="20"/>
          <w:szCs w:val="20"/>
          <w:color w:val="auto"/>
        </w:rPr>
      </w:pPr>
      <w:r>
        <w:rPr>
          <w:rFonts w:ascii="Arial" w:cs="Arial" w:eastAsia="Arial" w:hAnsi="Arial"/>
          <w:sz w:val="15"/>
          <w:szCs w:val="15"/>
          <w:color w:val="2F313B"/>
        </w:rPr>
        <w:t xml:space="preserve">Mike, we are excited at </w:t>
      </w:r>
      <w:r>
        <w:rPr>
          <w:rFonts w:ascii="Arial" w:cs="Arial" w:eastAsia="Arial" w:hAnsi="Arial"/>
          <w:sz w:val="15"/>
          <w:szCs w:val="15"/>
          <w:color w:val="1C1C23"/>
        </w:rPr>
        <w:t>the</w:t>
      </w:r>
      <w:r>
        <w:rPr>
          <w:rFonts w:ascii="Arial" w:cs="Arial" w:eastAsia="Arial" w:hAnsi="Arial"/>
          <w:sz w:val="15"/>
          <w:szCs w:val="15"/>
          <w:color w:val="2F313B"/>
        </w:rPr>
        <w:t xml:space="preserve"> prospect of your joining Biogen</w:t>
      </w:r>
      <w:r>
        <w:rPr>
          <w:rFonts w:ascii="Arial" w:cs="Arial" w:eastAsia="Arial" w:hAnsi="Arial"/>
          <w:sz w:val="15"/>
          <w:szCs w:val="15"/>
          <w:color w:val="878C8E"/>
        </w:rPr>
        <w:t>.</w:t>
      </w:r>
      <w:r>
        <w:rPr>
          <w:rFonts w:ascii="Arial" w:cs="Arial" w:eastAsia="Arial" w:hAnsi="Arial"/>
          <w:sz w:val="15"/>
          <w:szCs w:val="15"/>
          <w:color w:val="2F313B"/>
        </w:rPr>
        <w:t xml:space="preserve"> To confirm your acceptance of </w:t>
      </w:r>
      <w:r>
        <w:rPr>
          <w:rFonts w:ascii="Arial" w:cs="Arial" w:eastAsia="Arial" w:hAnsi="Arial"/>
          <w:sz w:val="15"/>
          <w:szCs w:val="15"/>
          <w:color w:val="1C1C23"/>
        </w:rPr>
        <w:t>this</w:t>
      </w:r>
      <w:r>
        <w:rPr>
          <w:rFonts w:ascii="Arial" w:cs="Arial" w:eastAsia="Arial" w:hAnsi="Arial"/>
          <w:sz w:val="15"/>
          <w:szCs w:val="15"/>
          <w:color w:val="2F313B"/>
        </w:rPr>
        <w:t xml:space="preserve"> offer of employment</w:t>
      </w:r>
      <w:r>
        <w:rPr>
          <w:rFonts w:ascii="Arial" w:cs="Arial" w:eastAsia="Arial" w:hAnsi="Arial"/>
          <w:sz w:val="15"/>
          <w:szCs w:val="15"/>
          <w:color w:val="878C8E"/>
        </w:rPr>
        <w:t>,</w:t>
      </w:r>
      <w:r>
        <w:rPr>
          <w:rFonts w:ascii="Arial" w:cs="Arial" w:eastAsia="Arial" w:hAnsi="Arial"/>
          <w:sz w:val="15"/>
          <w:szCs w:val="15"/>
          <w:color w:val="2F313B"/>
        </w:rPr>
        <w:t xml:space="preserve"> please sign and </w:t>
      </w:r>
      <w:r>
        <w:rPr>
          <w:rFonts w:ascii="Arial" w:cs="Arial" w:eastAsia="Arial" w:hAnsi="Arial"/>
          <w:sz w:val="15"/>
          <w:szCs w:val="15"/>
          <w:color w:val="1C1C23"/>
        </w:rPr>
        <w:t>return thi</w:t>
      </w:r>
      <w:r>
        <w:rPr>
          <w:rFonts w:ascii="Arial" w:cs="Arial" w:eastAsia="Arial" w:hAnsi="Arial"/>
          <w:sz w:val="15"/>
          <w:szCs w:val="15"/>
          <w:color w:val="4D5056"/>
        </w:rPr>
        <w:t>s</w:t>
      </w:r>
      <w:r>
        <w:rPr>
          <w:rFonts w:ascii="Arial" w:cs="Arial" w:eastAsia="Arial" w:hAnsi="Arial"/>
          <w:sz w:val="15"/>
          <w:szCs w:val="15"/>
          <w:color w:val="2F313B"/>
        </w:rPr>
        <w:t xml:space="preserve"> letter by April 25</w:t>
      </w:r>
      <w:r>
        <w:rPr>
          <w:rFonts w:ascii="Arial" w:cs="Arial" w:eastAsia="Arial" w:hAnsi="Arial"/>
          <w:sz w:val="15"/>
          <w:szCs w:val="15"/>
          <w:color w:val="4D5056"/>
        </w:rPr>
        <w:t>,</w:t>
      </w:r>
      <w:r>
        <w:rPr>
          <w:rFonts w:ascii="Arial" w:cs="Arial" w:eastAsia="Arial" w:hAnsi="Arial"/>
          <w:sz w:val="15"/>
          <w:szCs w:val="15"/>
          <w:color w:val="2F313B"/>
        </w:rPr>
        <w:t xml:space="preserve"> 20</w:t>
      </w:r>
      <w:r>
        <w:rPr>
          <w:rFonts w:ascii="Arial" w:cs="Arial" w:eastAsia="Arial" w:hAnsi="Arial"/>
          <w:sz w:val="15"/>
          <w:szCs w:val="15"/>
          <w:color w:val="1C1C23"/>
        </w:rPr>
        <w:t>16</w:t>
      </w:r>
      <w:r>
        <w:rPr>
          <w:rFonts w:ascii="Arial" w:cs="Arial" w:eastAsia="Arial" w:hAnsi="Arial"/>
          <w:sz w:val="15"/>
          <w:szCs w:val="15"/>
          <w:color w:val="2F313B"/>
        </w:rPr>
        <w:t xml:space="preserve"> and keep </w:t>
      </w:r>
      <w:r>
        <w:rPr>
          <w:rFonts w:ascii="Arial" w:cs="Arial" w:eastAsia="Arial" w:hAnsi="Arial"/>
          <w:sz w:val="15"/>
          <w:szCs w:val="15"/>
          <w:color w:val="1C1C23"/>
        </w:rPr>
        <w:t>the</w:t>
      </w:r>
      <w:r>
        <w:rPr>
          <w:rFonts w:ascii="Arial" w:cs="Arial" w:eastAsia="Arial" w:hAnsi="Arial"/>
          <w:sz w:val="15"/>
          <w:szCs w:val="15"/>
          <w:color w:val="2F313B"/>
        </w:rPr>
        <w:t xml:space="preserve"> other copy </w:t>
      </w:r>
      <w:r>
        <w:rPr>
          <w:rFonts w:ascii="Arial" w:cs="Arial" w:eastAsia="Arial" w:hAnsi="Arial"/>
          <w:sz w:val="15"/>
          <w:szCs w:val="15"/>
          <w:color w:val="1C1C23"/>
        </w:rPr>
        <w:t>for</w:t>
      </w:r>
      <w:r>
        <w:rPr>
          <w:rFonts w:ascii="Arial" w:cs="Arial" w:eastAsia="Arial" w:hAnsi="Arial"/>
          <w:sz w:val="15"/>
          <w:szCs w:val="15"/>
          <w:color w:val="2F313B"/>
        </w:rPr>
        <w:t xml:space="preserve"> your </w:t>
      </w:r>
      <w:r>
        <w:rPr>
          <w:rFonts w:ascii="Arial" w:cs="Arial" w:eastAsia="Arial" w:hAnsi="Arial"/>
          <w:sz w:val="15"/>
          <w:szCs w:val="15"/>
          <w:color w:val="1C1C23"/>
        </w:rPr>
        <w:t>re</w:t>
      </w:r>
      <w:r>
        <w:rPr>
          <w:rFonts w:ascii="Arial" w:cs="Arial" w:eastAsia="Arial" w:hAnsi="Arial"/>
          <w:sz w:val="15"/>
          <w:szCs w:val="15"/>
          <w:color w:val="4D5056"/>
        </w:rPr>
        <w:t>c</w:t>
      </w:r>
      <w:r>
        <w:rPr>
          <w:rFonts w:ascii="Arial" w:cs="Arial" w:eastAsia="Arial" w:hAnsi="Arial"/>
          <w:sz w:val="15"/>
          <w:szCs w:val="15"/>
          <w:color w:val="2F313B"/>
        </w:rPr>
        <w:t>ords</w:t>
      </w:r>
      <w:r>
        <w:rPr>
          <w:rFonts w:ascii="Arial" w:cs="Arial" w:eastAsia="Arial" w:hAnsi="Arial"/>
          <w:sz w:val="15"/>
          <w:szCs w:val="15"/>
          <w:color w:val="878C8E"/>
        </w:rPr>
        <w:t>.</w:t>
      </w:r>
      <w:r>
        <w:rPr>
          <w:rFonts w:ascii="Arial" w:cs="Arial" w:eastAsia="Arial" w:hAnsi="Arial"/>
          <w:sz w:val="15"/>
          <w:szCs w:val="15"/>
          <w:color w:val="2F313B"/>
        </w:rPr>
        <w:t xml:space="preserve"> Review and complete </w:t>
      </w:r>
      <w:r>
        <w:rPr>
          <w:rFonts w:ascii="Arial" w:cs="Arial" w:eastAsia="Arial" w:hAnsi="Arial"/>
          <w:sz w:val="15"/>
          <w:szCs w:val="15"/>
          <w:color w:val="1C1C23"/>
        </w:rPr>
        <w:t>the</w:t>
      </w:r>
      <w:r>
        <w:rPr>
          <w:rFonts w:ascii="Arial" w:cs="Arial" w:eastAsia="Arial" w:hAnsi="Arial"/>
          <w:sz w:val="15"/>
          <w:szCs w:val="15"/>
          <w:color w:val="2F313B"/>
        </w:rPr>
        <w:t xml:space="preserve"> enclosed New </w:t>
      </w:r>
      <w:r>
        <w:rPr>
          <w:rFonts w:ascii="Arial" w:cs="Arial" w:eastAsia="Arial" w:hAnsi="Arial"/>
          <w:sz w:val="15"/>
          <w:szCs w:val="15"/>
          <w:color w:val="1C1C23"/>
        </w:rPr>
        <w:t>Employee</w:t>
      </w:r>
      <w:r>
        <w:rPr>
          <w:rFonts w:ascii="Arial" w:cs="Arial" w:eastAsia="Arial" w:hAnsi="Arial"/>
          <w:sz w:val="15"/>
          <w:szCs w:val="15"/>
          <w:color w:val="2F313B"/>
        </w:rPr>
        <w:t xml:space="preserve"> Checklist with actions required in order </w:t>
      </w:r>
      <w:r>
        <w:rPr>
          <w:rFonts w:ascii="Arial" w:cs="Arial" w:eastAsia="Arial" w:hAnsi="Arial"/>
          <w:sz w:val="15"/>
          <w:szCs w:val="15"/>
          <w:color w:val="1C1C23"/>
        </w:rPr>
        <w:t>to</w:t>
      </w:r>
      <w:r>
        <w:rPr>
          <w:rFonts w:ascii="Arial" w:cs="Arial" w:eastAsia="Arial" w:hAnsi="Arial"/>
          <w:sz w:val="15"/>
          <w:szCs w:val="15"/>
          <w:color w:val="2F313B"/>
        </w:rPr>
        <w:t xml:space="preserve"> begin your acceptance process</w:t>
      </w:r>
      <w:r>
        <w:rPr>
          <w:rFonts w:ascii="Arial" w:cs="Arial" w:eastAsia="Arial" w:hAnsi="Arial"/>
          <w:sz w:val="15"/>
          <w:szCs w:val="15"/>
          <w:color w:val="4D5056"/>
        </w:rPr>
        <w:t>.</w:t>
      </w:r>
      <w:r>
        <w:rPr>
          <w:rFonts w:ascii="Arial" w:cs="Arial" w:eastAsia="Arial" w:hAnsi="Arial"/>
          <w:sz w:val="15"/>
          <w:szCs w:val="15"/>
          <w:color w:val="2F313B"/>
        </w:rPr>
        <w:t xml:space="preserve"> We would anticipate your first day of employment </w:t>
      </w:r>
      <w:r>
        <w:rPr>
          <w:rFonts w:ascii="Arial" w:cs="Arial" w:eastAsia="Arial" w:hAnsi="Arial"/>
          <w:sz w:val="15"/>
          <w:szCs w:val="15"/>
          <w:color w:val="1C1C23"/>
        </w:rPr>
        <w:t>to</w:t>
      </w:r>
      <w:r>
        <w:rPr>
          <w:rFonts w:ascii="Arial" w:cs="Arial" w:eastAsia="Arial" w:hAnsi="Arial"/>
          <w:sz w:val="15"/>
          <w:szCs w:val="15"/>
          <w:color w:val="2F313B"/>
        </w:rPr>
        <w:t xml:space="preserve"> be on or prior to </w:t>
      </w:r>
      <w:r>
        <w:rPr>
          <w:rFonts w:ascii="Arial" w:cs="Arial" w:eastAsia="Arial" w:hAnsi="Arial"/>
          <w:sz w:val="15"/>
          <w:szCs w:val="15"/>
          <w:color w:val="1C1C23"/>
        </w:rPr>
        <w:t>May 16</w:t>
      </w:r>
      <w:r>
        <w:rPr>
          <w:rFonts w:ascii="Arial" w:cs="Arial" w:eastAsia="Arial" w:hAnsi="Arial"/>
          <w:sz w:val="15"/>
          <w:szCs w:val="15"/>
          <w:color w:val="5D6269"/>
        </w:rPr>
        <w:t>,</w:t>
      </w:r>
      <w:r>
        <w:rPr>
          <w:rFonts w:ascii="Arial" w:cs="Arial" w:eastAsia="Arial" w:hAnsi="Arial"/>
          <w:sz w:val="15"/>
          <w:szCs w:val="15"/>
          <w:color w:val="2F313B"/>
        </w:rPr>
        <w:t xml:space="preserve"> 2016</w:t>
      </w:r>
      <w:r>
        <w:rPr>
          <w:rFonts w:ascii="Arial" w:cs="Arial" w:eastAsia="Arial" w:hAnsi="Arial"/>
          <w:sz w:val="15"/>
          <w:szCs w:val="15"/>
          <w:color w:val="4D5056"/>
        </w:rPr>
        <w:t>.</w:t>
      </w:r>
      <w:r>
        <w:rPr>
          <w:rFonts w:ascii="Arial" w:cs="Arial" w:eastAsia="Arial" w:hAnsi="Arial"/>
          <w:sz w:val="15"/>
          <w:szCs w:val="15"/>
          <w:color w:val="2F313B"/>
        </w:rPr>
        <w:t xml:space="preserve"> </w:t>
      </w:r>
      <w:r>
        <w:rPr>
          <w:rFonts w:ascii="Arial" w:cs="Arial" w:eastAsia="Arial" w:hAnsi="Arial"/>
          <w:sz w:val="15"/>
          <w:szCs w:val="15"/>
          <w:color w:val="1C1C23"/>
        </w:rPr>
        <w:t>If you</w:t>
      </w:r>
      <w:r>
        <w:rPr>
          <w:rFonts w:ascii="Arial" w:cs="Arial" w:eastAsia="Arial" w:hAnsi="Arial"/>
          <w:sz w:val="15"/>
          <w:szCs w:val="15"/>
          <w:color w:val="2F313B"/>
        </w:rPr>
        <w:t xml:space="preserve"> have any questions</w:t>
      </w:r>
      <w:r>
        <w:rPr>
          <w:rFonts w:ascii="Arial" w:cs="Arial" w:eastAsia="Arial" w:hAnsi="Arial"/>
          <w:sz w:val="15"/>
          <w:szCs w:val="15"/>
          <w:color w:val="878C8E"/>
        </w:rPr>
        <w:t>,</w:t>
      </w:r>
      <w:r>
        <w:rPr>
          <w:rFonts w:ascii="Arial" w:cs="Arial" w:eastAsia="Arial" w:hAnsi="Arial"/>
          <w:sz w:val="15"/>
          <w:szCs w:val="15"/>
          <w:color w:val="2F313B"/>
        </w:rPr>
        <w:t xml:space="preserve"> please feel </w:t>
      </w:r>
      <w:r>
        <w:rPr>
          <w:rFonts w:ascii="Arial" w:cs="Arial" w:eastAsia="Arial" w:hAnsi="Arial"/>
          <w:sz w:val="15"/>
          <w:szCs w:val="15"/>
          <w:color w:val="1C1C23"/>
        </w:rPr>
        <w:t>free</w:t>
      </w:r>
      <w:r>
        <w:rPr>
          <w:rFonts w:ascii="Arial" w:cs="Arial" w:eastAsia="Arial" w:hAnsi="Arial"/>
          <w:sz w:val="15"/>
          <w:szCs w:val="15"/>
          <w:color w:val="2F313B"/>
        </w:rPr>
        <w:t xml:space="preserve"> to contact me</w:t>
      </w:r>
      <w:r>
        <w:rPr>
          <w:rFonts w:ascii="Arial" w:cs="Arial" w:eastAsia="Arial" w:hAnsi="Arial"/>
          <w:sz w:val="15"/>
          <w:szCs w:val="15"/>
          <w:color w:val="4D5056"/>
        </w:rPr>
        <w:t>.</w:t>
      </w:r>
    </w:p>
    <w:p>
      <w:pPr>
        <w:spacing w:after="0" w:line="200" w:lineRule="exact"/>
        <w:rPr>
          <w:sz w:val="20"/>
          <w:szCs w:val="20"/>
          <w:color w:val="auto"/>
        </w:rPr>
      </w:pPr>
    </w:p>
    <w:p>
      <w:pPr>
        <w:spacing w:after="0" w:line="348" w:lineRule="exact"/>
        <w:rPr>
          <w:sz w:val="20"/>
          <w:szCs w:val="20"/>
          <w:color w:val="auto"/>
        </w:rPr>
      </w:pPr>
    </w:p>
    <w:p>
      <w:pPr>
        <w:ind w:left="180"/>
        <w:spacing w:after="0"/>
        <w:rPr>
          <w:sz w:val="20"/>
          <w:szCs w:val="20"/>
          <w:color w:val="auto"/>
        </w:rPr>
      </w:pPr>
      <w:r>
        <w:rPr>
          <w:rFonts w:ascii="Arial" w:cs="Arial" w:eastAsia="Arial" w:hAnsi="Arial"/>
          <w:sz w:val="15"/>
          <w:szCs w:val="15"/>
          <w:color w:val="2F313B"/>
        </w:rPr>
        <w:t>Best Regards,</w:t>
      </w:r>
    </w:p>
    <w:p>
      <w:pPr>
        <w:spacing w:after="0" w:line="365" w:lineRule="exact"/>
        <w:rPr>
          <w:sz w:val="20"/>
          <w:szCs w:val="20"/>
          <w:color w:val="auto"/>
        </w:rPr>
      </w:pPr>
    </w:p>
    <w:p>
      <w:pPr>
        <w:ind w:left="180"/>
        <w:spacing w:after="0"/>
        <w:rPr>
          <w:sz w:val="20"/>
          <w:szCs w:val="20"/>
          <w:color w:val="auto"/>
        </w:rPr>
      </w:pPr>
      <w:r>
        <w:rPr>
          <w:rFonts w:ascii="Arial" w:cs="Arial" w:eastAsia="Arial" w:hAnsi="Arial"/>
          <w:sz w:val="15"/>
          <w:szCs w:val="15"/>
          <w:color w:val="2F313B"/>
        </w:rPr>
        <w:t>/s/ Matt McSherry</w:t>
      </w:r>
    </w:p>
    <w:p>
      <w:pPr>
        <w:spacing w:after="0" w:line="199" w:lineRule="exact"/>
        <w:rPr>
          <w:sz w:val="20"/>
          <w:szCs w:val="20"/>
          <w:color w:val="auto"/>
        </w:rPr>
      </w:pPr>
    </w:p>
    <w:p>
      <w:pPr>
        <w:ind w:left="180"/>
        <w:spacing w:after="0"/>
        <w:rPr>
          <w:sz w:val="20"/>
          <w:szCs w:val="20"/>
          <w:color w:val="auto"/>
        </w:rPr>
      </w:pPr>
      <w:r>
        <w:rPr>
          <w:rFonts w:ascii="Arial" w:cs="Arial" w:eastAsia="Arial" w:hAnsi="Arial"/>
          <w:sz w:val="15"/>
          <w:szCs w:val="15"/>
          <w:color w:val="1C1C23"/>
        </w:rPr>
        <w:t>Matt McSherry</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5"/>
          <w:szCs w:val="15"/>
          <w:color w:val="2F313B"/>
        </w:rPr>
        <w:t>Senior Director, Talent Acquisition</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5"/>
          <w:szCs w:val="15"/>
          <w:color w:val="2F313B"/>
        </w:rPr>
        <w:t>C</w:t>
      </w:r>
      <w:r>
        <w:rPr>
          <w:rFonts w:ascii="Arial" w:cs="Arial" w:eastAsia="Arial" w:hAnsi="Arial"/>
          <w:sz w:val="15"/>
          <w:szCs w:val="15"/>
          <w:color w:val="4D5056"/>
        </w:rPr>
        <w:t>c:</w:t>
      </w:r>
      <w:r>
        <w:rPr>
          <w:rFonts w:ascii="Arial" w:cs="Arial" w:eastAsia="Arial" w:hAnsi="Arial"/>
          <w:sz w:val="15"/>
          <w:szCs w:val="15"/>
          <w:color w:val="2F313B"/>
        </w:rPr>
        <w:t xml:space="preserve"> George Scangos</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5"/>
          <w:szCs w:val="15"/>
          <w:color w:val="2F313B"/>
        </w:rPr>
        <w:t>27669BR</w:t>
      </w:r>
    </w:p>
    <w:p>
      <w:pPr>
        <w:spacing w:after="0" w:line="186" w:lineRule="exact"/>
        <w:rPr>
          <w:sz w:val="20"/>
          <w:szCs w:val="20"/>
          <w:color w:val="auto"/>
        </w:rPr>
      </w:pPr>
    </w:p>
    <w:p>
      <w:pPr>
        <w:ind w:left="180" w:right="840"/>
        <w:spacing w:after="0" w:line="266" w:lineRule="auto"/>
        <w:rPr>
          <w:sz w:val="20"/>
          <w:szCs w:val="20"/>
          <w:color w:val="auto"/>
        </w:rPr>
      </w:pPr>
      <w:r>
        <w:rPr>
          <w:rFonts w:ascii="Arial" w:cs="Arial" w:eastAsia="Arial" w:hAnsi="Arial"/>
          <w:sz w:val="15"/>
          <w:szCs w:val="15"/>
          <w:color w:val="2F313B"/>
        </w:rPr>
        <w:t xml:space="preserve">I accept </w:t>
      </w:r>
      <w:r>
        <w:rPr>
          <w:rFonts w:ascii="Arial" w:cs="Arial" w:eastAsia="Arial" w:hAnsi="Arial"/>
          <w:sz w:val="15"/>
          <w:szCs w:val="15"/>
          <w:color w:val="1C1C23"/>
        </w:rPr>
        <w:t>thi</w:t>
      </w:r>
      <w:r>
        <w:rPr>
          <w:rFonts w:ascii="Arial" w:cs="Arial" w:eastAsia="Arial" w:hAnsi="Arial"/>
          <w:sz w:val="15"/>
          <w:szCs w:val="15"/>
          <w:color w:val="4D5056"/>
        </w:rPr>
        <w:t>s</w:t>
      </w:r>
      <w:r>
        <w:rPr>
          <w:rFonts w:ascii="Arial" w:cs="Arial" w:eastAsia="Arial" w:hAnsi="Arial"/>
          <w:sz w:val="15"/>
          <w:szCs w:val="15"/>
          <w:color w:val="2F313B"/>
        </w:rPr>
        <w:t xml:space="preserve"> offer of employment and ackn</w:t>
      </w:r>
      <w:r>
        <w:rPr>
          <w:rFonts w:ascii="Arial" w:cs="Arial" w:eastAsia="Arial" w:hAnsi="Arial"/>
          <w:sz w:val="15"/>
          <w:szCs w:val="15"/>
          <w:color w:val="4D5056"/>
        </w:rPr>
        <w:t>ow</w:t>
      </w:r>
      <w:r>
        <w:rPr>
          <w:rFonts w:ascii="Arial" w:cs="Arial" w:eastAsia="Arial" w:hAnsi="Arial"/>
          <w:sz w:val="15"/>
          <w:szCs w:val="15"/>
          <w:color w:val="2F313B"/>
        </w:rPr>
        <w:t>led</w:t>
      </w:r>
      <w:r>
        <w:rPr>
          <w:rFonts w:ascii="Arial" w:cs="Arial" w:eastAsia="Arial" w:hAnsi="Arial"/>
          <w:sz w:val="15"/>
          <w:szCs w:val="15"/>
          <w:color w:val="5D6269"/>
        </w:rPr>
        <w:t>ge</w:t>
      </w:r>
      <w:r>
        <w:rPr>
          <w:rFonts w:ascii="Arial" w:cs="Arial" w:eastAsia="Arial" w:hAnsi="Arial"/>
          <w:sz w:val="15"/>
          <w:szCs w:val="15"/>
          <w:color w:val="2F313B"/>
        </w:rPr>
        <w:t xml:space="preserve"> </w:t>
      </w:r>
      <w:r>
        <w:rPr>
          <w:rFonts w:ascii="Arial" w:cs="Arial" w:eastAsia="Arial" w:hAnsi="Arial"/>
          <w:sz w:val="15"/>
          <w:szCs w:val="15"/>
          <w:color w:val="1C1C23"/>
        </w:rPr>
        <w:t>the</w:t>
      </w:r>
      <w:r>
        <w:rPr>
          <w:rFonts w:ascii="Arial" w:cs="Arial" w:eastAsia="Arial" w:hAnsi="Arial"/>
          <w:sz w:val="15"/>
          <w:szCs w:val="15"/>
          <w:color w:val="2F313B"/>
        </w:rPr>
        <w:t xml:space="preserve"> contingencies of employment described above</w:t>
      </w:r>
      <w:r>
        <w:rPr>
          <w:rFonts w:ascii="Arial" w:cs="Arial" w:eastAsia="Arial" w:hAnsi="Arial"/>
          <w:sz w:val="15"/>
          <w:szCs w:val="15"/>
          <w:color w:val="878C8E"/>
        </w:rPr>
        <w:t>,</w:t>
      </w:r>
      <w:r>
        <w:rPr>
          <w:rFonts w:ascii="Arial" w:cs="Arial" w:eastAsia="Arial" w:hAnsi="Arial"/>
          <w:sz w:val="15"/>
          <w:szCs w:val="15"/>
          <w:color w:val="2F313B"/>
        </w:rPr>
        <w:t xml:space="preserve"> including the at-will </w:t>
      </w:r>
      <w:r>
        <w:rPr>
          <w:rFonts w:ascii="Arial" w:cs="Arial" w:eastAsia="Arial" w:hAnsi="Arial"/>
          <w:sz w:val="15"/>
          <w:szCs w:val="15"/>
          <w:color w:val="1C1C23"/>
        </w:rPr>
        <w:t>nature</w:t>
      </w:r>
      <w:r>
        <w:rPr>
          <w:rFonts w:ascii="Arial" w:cs="Arial" w:eastAsia="Arial" w:hAnsi="Arial"/>
          <w:sz w:val="15"/>
          <w:szCs w:val="15"/>
          <w:color w:val="2F313B"/>
        </w:rPr>
        <w:t xml:space="preserve"> of </w:t>
      </w:r>
      <w:r>
        <w:rPr>
          <w:rFonts w:ascii="Arial" w:cs="Arial" w:eastAsia="Arial" w:hAnsi="Arial"/>
          <w:sz w:val="15"/>
          <w:szCs w:val="15"/>
          <w:color w:val="1C1C23"/>
        </w:rPr>
        <w:t>my</w:t>
      </w:r>
      <w:r>
        <w:rPr>
          <w:rFonts w:ascii="Arial" w:cs="Arial" w:eastAsia="Arial" w:hAnsi="Arial"/>
          <w:sz w:val="15"/>
          <w:szCs w:val="15"/>
          <w:color w:val="2F313B"/>
        </w:rPr>
        <w:t xml:space="preserve"> employment.</w:t>
      </w:r>
    </w:p>
    <w:p>
      <w:pPr>
        <w:spacing w:after="0" w:line="156" w:lineRule="exact"/>
        <w:rPr>
          <w:sz w:val="20"/>
          <w:szCs w:val="20"/>
          <w:color w:val="auto"/>
        </w:rPr>
      </w:pPr>
    </w:p>
    <w:tbl>
      <w:tblPr>
        <w:tblLayout w:type="fixed"/>
        <w:tblInd w:w="180" w:type="dxa"/>
        <w:tblCellMar>
          <w:top w:w="0" w:type="dxa"/>
          <w:left w:w="0" w:type="dxa"/>
          <w:bottom w:w="0" w:type="dxa"/>
          <w:right w:w="0" w:type="dxa"/>
        </w:tblCellMar>
      </w:tblPr>
      <w:tr>
        <w:trPr>
          <w:trHeight w:val="185"/>
        </w:trPr>
        <w:tc>
          <w:tcPr>
            <w:tcW w:w="1280" w:type="dxa"/>
            <w:vAlign w:val="bottom"/>
          </w:tcPr>
          <w:p>
            <w:pPr>
              <w:spacing w:after="0"/>
              <w:rPr>
                <w:sz w:val="20"/>
                <w:szCs w:val="20"/>
                <w:color w:val="auto"/>
              </w:rPr>
            </w:pPr>
            <w:r>
              <w:rPr>
                <w:rFonts w:ascii="Arial" w:cs="Arial" w:eastAsia="Arial" w:hAnsi="Arial"/>
                <w:sz w:val="15"/>
                <w:szCs w:val="15"/>
                <w:color w:val="2F313B"/>
              </w:rPr>
              <w:t>ACCEPTED:</w:t>
            </w:r>
          </w:p>
        </w:tc>
        <w:tc>
          <w:tcPr>
            <w:tcW w:w="1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25"/>
        </w:trPr>
        <w:tc>
          <w:tcPr>
            <w:tcW w:w="1280" w:type="dxa"/>
            <w:vAlign w:val="bottom"/>
            <w:tcBorders>
              <w:bottom w:val="single" w:sz="8" w:color="2F313B"/>
            </w:tcBorders>
          </w:tcPr>
          <w:p>
            <w:pPr>
              <w:spacing w:after="0"/>
              <w:rPr>
                <w:sz w:val="20"/>
                <w:szCs w:val="20"/>
                <w:color w:val="auto"/>
              </w:rPr>
            </w:pPr>
            <w:r>
              <w:rPr>
                <w:rFonts w:ascii="Arial" w:cs="Arial" w:eastAsia="Arial" w:hAnsi="Arial"/>
                <w:sz w:val="15"/>
                <w:szCs w:val="15"/>
                <w:color w:val="2F313B"/>
              </w:rPr>
              <w:t>/s/ Michael Ehlers</w:t>
            </w:r>
          </w:p>
        </w:tc>
        <w:tc>
          <w:tcPr>
            <w:tcW w:w="1720" w:type="dxa"/>
            <w:vAlign w:val="bottom"/>
            <w:tcBorders>
              <w:bottom w:val="single" w:sz="8" w:color="2F313B"/>
            </w:tcBorders>
            <w:gridSpan w:val="2"/>
          </w:tcPr>
          <w:p>
            <w:pPr>
              <w:ind w:left="460"/>
              <w:spacing w:after="0"/>
              <w:rPr>
                <w:sz w:val="20"/>
                <w:szCs w:val="20"/>
                <w:color w:val="auto"/>
              </w:rPr>
            </w:pPr>
            <w:r>
              <w:rPr>
                <w:rFonts w:ascii="Arial" w:cs="Arial" w:eastAsia="Arial" w:hAnsi="Arial"/>
                <w:sz w:val="15"/>
                <w:szCs w:val="15"/>
                <w:color w:val="2F313B"/>
              </w:rPr>
              <w:t>Michael Ehlers</w:t>
            </w:r>
          </w:p>
        </w:tc>
        <w:tc>
          <w:tcPr>
            <w:tcW w:w="940" w:type="dxa"/>
            <w:vAlign w:val="bottom"/>
            <w:tcBorders>
              <w:bottom w:val="single" w:sz="8" w:color="2F313B"/>
            </w:tcBorders>
          </w:tcPr>
          <w:p>
            <w:pPr>
              <w:jc w:val="right"/>
              <w:ind w:right="103"/>
              <w:spacing w:after="0"/>
              <w:rPr>
                <w:sz w:val="20"/>
                <w:szCs w:val="20"/>
                <w:color w:val="auto"/>
              </w:rPr>
            </w:pPr>
            <w:r>
              <w:rPr>
                <w:rFonts w:ascii="Arial" w:cs="Arial" w:eastAsia="Arial" w:hAnsi="Arial"/>
                <w:sz w:val="15"/>
                <w:szCs w:val="15"/>
                <w:color w:val="2F313B"/>
              </w:rPr>
              <w:t>4/25/16</w:t>
            </w:r>
          </w:p>
        </w:tc>
      </w:tr>
      <w:tr>
        <w:trPr>
          <w:trHeight w:val="192"/>
        </w:trPr>
        <w:tc>
          <w:tcPr>
            <w:tcW w:w="1280" w:type="dxa"/>
            <w:vAlign w:val="bottom"/>
          </w:tcPr>
          <w:p>
            <w:pPr>
              <w:spacing w:after="0"/>
              <w:rPr>
                <w:sz w:val="20"/>
                <w:szCs w:val="20"/>
                <w:color w:val="auto"/>
              </w:rPr>
            </w:pPr>
            <w:r>
              <w:rPr>
                <w:rFonts w:ascii="Arial" w:cs="Arial" w:eastAsia="Arial" w:hAnsi="Arial"/>
                <w:sz w:val="15"/>
                <w:szCs w:val="15"/>
                <w:color w:val="2F313B"/>
              </w:rPr>
              <w:t>Signature</w:t>
            </w:r>
          </w:p>
        </w:tc>
        <w:tc>
          <w:tcPr>
            <w:tcW w:w="1200" w:type="dxa"/>
            <w:vAlign w:val="bottom"/>
          </w:tcPr>
          <w:p>
            <w:pPr>
              <w:ind w:left="60"/>
              <w:spacing w:after="0"/>
              <w:rPr>
                <w:sz w:val="20"/>
                <w:szCs w:val="20"/>
                <w:color w:val="auto"/>
              </w:rPr>
            </w:pPr>
            <w:r>
              <w:rPr>
                <w:rFonts w:ascii="Arial" w:cs="Arial" w:eastAsia="Arial" w:hAnsi="Arial"/>
                <w:sz w:val="15"/>
                <w:szCs w:val="15"/>
                <w:color w:val="2F313B"/>
              </w:rPr>
              <w:t>Name (Print)</w:t>
            </w:r>
          </w:p>
        </w:tc>
        <w:tc>
          <w:tcPr>
            <w:tcW w:w="1460" w:type="dxa"/>
            <w:vAlign w:val="bottom"/>
            <w:gridSpan w:val="2"/>
          </w:tcPr>
          <w:p>
            <w:pPr>
              <w:jc w:val="right"/>
              <w:ind w:right="103"/>
              <w:spacing w:after="0"/>
              <w:rPr>
                <w:sz w:val="20"/>
                <w:szCs w:val="20"/>
                <w:color w:val="auto"/>
              </w:rPr>
            </w:pPr>
            <w:r>
              <w:rPr>
                <w:rFonts w:ascii="Arial" w:cs="Arial" w:eastAsia="Arial" w:hAnsi="Arial"/>
                <w:sz w:val="15"/>
                <w:szCs w:val="15"/>
                <w:color w:val="2F313B"/>
              </w:rPr>
              <w:t>Signature 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020"/>
        <w:spacing w:after="0"/>
        <w:rPr>
          <w:sz w:val="20"/>
          <w:szCs w:val="20"/>
          <w:color w:val="auto"/>
        </w:rPr>
      </w:pPr>
      <w:r>
        <w:rPr>
          <w:rFonts w:ascii="Arial" w:cs="Arial" w:eastAsia="Arial" w:hAnsi="Arial"/>
          <w:sz w:val="12"/>
          <w:szCs w:val="12"/>
          <w:color w:val="3B5B80"/>
        </w:rPr>
        <w:t>225 B</w:t>
      </w:r>
      <w:r>
        <w:rPr>
          <w:rFonts w:ascii="Arial" w:cs="Arial" w:eastAsia="Arial" w:hAnsi="Arial"/>
          <w:sz w:val="12"/>
          <w:szCs w:val="12"/>
          <w:color w:val="7285A3"/>
        </w:rPr>
        <w:t>i</w:t>
      </w:r>
      <w:r>
        <w:rPr>
          <w:rFonts w:ascii="Arial" w:cs="Arial" w:eastAsia="Arial" w:hAnsi="Arial"/>
          <w:sz w:val="12"/>
          <w:szCs w:val="12"/>
          <w:color w:val="3B5B80"/>
        </w:rPr>
        <w:t>nney Street</w:t>
      </w:r>
      <w:r>
        <w:rPr>
          <w:rFonts w:ascii="Arial" w:cs="Arial" w:eastAsia="Arial" w:hAnsi="Arial"/>
          <w:sz w:val="12"/>
          <w:szCs w:val="12"/>
          <w:color w:val="4D565B"/>
        </w:rPr>
        <w:t>,</w:t>
      </w:r>
      <w:r>
        <w:rPr>
          <w:rFonts w:ascii="Arial" w:cs="Arial" w:eastAsia="Arial" w:hAnsi="Arial"/>
          <w:sz w:val="12"/>
          <w:szCs w:val="12"/>
          <w:color w:val="3B5B80"/>
        </w:rPr>
        <w:t xml:space="preserve"> Cam</w:t>
      </w:r>
      <w:r>
        <w:rPr>
          <w:rFonts w:ascii="Arial" w:cs="Arial" w:eastAsia="Arial" w:hAnsi="Arial"/>
          <w:sz w:val="12"/>
          <w:szCs w:val="12"/>
          <w:color w:val="2F67A1"/>
        </w:rPr>
        <w:t>b</w:t>
      </w:r>
      <w:r>
        <w:rPr>
          <w:rFonts w:ascii="Arial" w:cs="Arial" w:eastAsia="Arial" w:hAnsi="Arial"/>
          <w:sz w:val="12"/>
          <w:szCs w:val="12"/>
          <w:color w:val="567C99"/>
        </w:rPr>
        <w:t>ridge</w:t>
      </w:r>
      <w:r>
        <w:rPr>
          <w:rFonts w:ascii="Arial" w:cs="Arial" w:eastAsia="Arial" w:hAnsi="Arial"/>
          <w:sz w:val="12"/>
          <w:szCs w:val="12"/>
          <w:color w:val="6E7277"/>
        </w:rPr>
        <w:t>,</w:t>
      </w:r>
      <w:r>
        <w:rPr>
          <w:rFonts w:ascii="Arial" w:cs="Arial" w:eastAsia="Arial" w:hAnsi="Arial"/>
          <w:sz w:val="12"/>
          <w:szCs w:val="12"/>
          <w:color w:val="3B5B80"/>
        </w:rPr>
        <w:t xml:space="preserve"> MA 02142 Phone 781</w:t>
      </w:r>
      <w:r>
        <w:rPr>
          <w:rFonts w:ascii="Arial" w:cs="Arial" w:eastAsia="Arial" w:hAnsi="Arial"/>
          <w:sz w:val="12"/>
          <w:szCs w:val="12"/>
          <w:color w:val="4D565B"/>
        </w:rPr>
        <w:t>-</w:t>
      </w:r>
      <w:r>
        <w:rPr>
          <w:rFonts w:ascii="Arial" w:cs="Arial" w:eastAsia="Arial" w:hAnsi="Arial"/>
          <w:sz w:val="12"/>
          <w:szCs w:val="12"/>
          <w:color w:val="3B5B80"/>
        </w:rPr>
        <w:t>464</w:t>
      </w:r>
      <w:r>
        <w:rPr>
          <w:rFonts w:ascii="Arial" w:cs="Arial" w:eastAsia="Arial" w:hAnsi="Arial"/>
          <w:sz w:val="12"/>
          <w:szCs w:val="12"/>
          <w:color w:val="4D565B"/>
        </w:rPr>
        <w:t>-</w:t>
      </w:r>
      <w:r>
        <w:rPr>
          <w:rFonts w:ascii="Arial" w:cs="Arial" w:eastAsia="Arial" w:hAnsi="Arial"/>
          <w:sz w:val="12"/>
          <w:szCs w:val="12"/>
          <w:color w:val="3B5B80"/>
        </w:rPr>
        <w:t xml:space="preserve">2000 </w:t>
      </w:r>
      <w:r>
        <w:rPr>
          <w:rFonts w:ascii="Arial" w:cs="Arial" w:eastAsia="Arial" w:hAnsi="Arial"/>
          <w:sz w:val="12"/>
          <w:szCs w:val="12"/>
          <w:color w:val="4B6991"/>
        </w:rPr>
        <w:t>www</w:t>
      </w:r>
      <w:r>
        <w:rPr>
          <w:rFonts w:ascii="Arial" w:cs="Arial" w:eastAsia="Arial" w:hAnsi="Arial"/>
          <w:sz w:val="12"/>
          <w:szCs w:val="12"/>
          <w:color w:val="7285A3"/>
        </w:rPr>
        <w:t>.</w:t>
      </w:r>
      <w:r>
        <w:rPr>
          <w:rFonts w:ascii="Arial" w:cs="Arial" w:eastAsia="Arial" w:hAnsi="Arial"/>
          <w:sz w:val="12"/>
          <w:szCs w:val="12"/>
          <w:color w:val="3B5B80"/>
        </w:rPr>
        <w:t>biogen</w:t>
      </w:r>
      <w:r>
        <w:rPr>
          <w:rFonts w:ascii="Arial" w:cs="Arial" w:eastAsia="Arial" w:hAnsi="Arial"/>
          <w:sz w:val="12"/>
          <w:szCs w:val="12"/>
          <w:color w:val="4D565B"/>
        </w:rPr>
        <w:t>.</w:t>
      </w:r>
      <w:r>
        <w:rPr>
          <w:rFonts w:ascii="Arial" w:cs="Arial" w:eastAsia="Arial" w:hAnsi="Arial"/>
          <w:sz w:val="12"/>
          <w:szCs w:val="12"/>
          <w:color w:val="3B5B80"/>
        </w:rPr>
        <w:t>com</w:t>
      </w:r>
    </w:p>
    <w:p>
      <w:pPr>
        <w:sectPr>
          <w:pgSz w:w="11900" w:h="16838" w:orient="portrait"/>
          <w:cols w:equalWidth="0" w:num="1">
            <w:col w:w="10220"/>
          </w:cols>
          <w:pgMar w:left="1440" w:top="725" w:right="239" w:bottom="1440" w:gutter="0" w:footer="0" w:header="0"/>
        </w:sectPr>
      </w:pPr>
    </w:p>
    <w:bookmarkStart w:id="200" w:name="page201"/>
    <w:bookmarkEnd w:id="200"/>
    <w:p>
      <w:pPr>
        <w:ind w:left="1180"/>
        <w:spacing w:after="0"/>
        <w:rPr>
          <w:sz w:val="20"/>
          <w:szCs w:val="20"/>
          <w:color w:val="auto"/>
        </w:rPr>
      </w:pPr>
      <w:r>
        <w:rPr>
          <w:rFonts w:ascii="Arial" w:cs="Arial" w:eastAsia="Arial" w:hAnsi="Arial"/>
          <w:sz w:val="15"/>
          <w:szCs w:val="15"/>
          <w:b w:val="1"/>
          <w:bCs w:val="1"/>
          <w:color w:val="23232A"/>
        </w:rPr>
        <w:t>BIOGEN CASH SIGN</w:t>
      </w:r>
      <w:r>
        <w:rPr>
          <w:rFonts w:ascii="Arial" w:cs="Arial" w:eastAsia="Arial" w:hAnsi="Arial"/>
          <w:sz w:val="15"/>
          <w:szCs w:val="15"/>
          <w:b w:val="1"/>
          <w:bCs w:val="1"/>
          <w:color w:val="42444D"/>
        </w:rPr>
        <w:t>-</w:t>
      </w:r>
      <w:r>
        <w:rPr>
          <w:rFonts w:ascii="Arial" w:cs="Arial" w:eastAsia="Arial" w:hAnsi="Arial"/>
          <w:sz w:val="15"/>
          <w:szCs w:val="15"/>
          <w:b w:val="1"/>
          <w:bCs w:val="1"/>
          <w:color w:val="23232A"/>
        </w:rPr>
        <w:t>ON BONUS AGREEMENT</w:t>
      </w:r>
    </w:p>
    <w:p>
      <w:pPr>
        <w:spacing w:after="0" w:line="255" w:lineRule="exact"/>
        <w:rPr>
          <w:sz w:val="20"/>
          <w:szCs w:val="20"/>
          <w:color w:val="auto"/>
        </w:rPr>
      </w:pPr>
    </w:p>
    <w:p>
      <w:pPr>
        <w:ind w:left="180" w:right="400"/>
        <w:spacing w:after="0" w:line="258" w:lineRule="auto"/>
        <w:rPr>
          <w:sz w:val="20"/>
          <w:szCs w:val="20"/>
          <w:color w:val="auto"/>
        </w:rPr>
      </w:pPr>
      <w:r>
        <w:rPr>
          <w:rFonts w:ascii="Arial" w:cs="Arial" w:eastAsia="Arial" w:hAnsi="Arial"/>
          <w:sz w:val="15"/>
          <w:szCs w:val="15"/>
          <w:color w:val="34343D"/>
        </w:rPr>
        <w:t>I have ac</w:t>
      </w:r>
      <w:r>
        <w:rPr>
          <w:rFonts w:ascii="Arial" w:cs="Arial" w:eastAsia="Arial" w:hAnsi="Arial"/>
          <w:sz w:val="15"/>
          <w:szCs w:val="15"/>
          <w:color w:val="595B62"/>
        </w:rPr>
        <w:t>ce</w:t>
      </w:r>
      <w:r>
        <w:rPr>
          <w:rFonts w:ascii="Arial" w:cs="Arial" w:eastAsia="Arial" w:hAnsi="Arial"/>
          <w:sz w:val="15"/>
          <w:szCs w:val="15"/>
          <w:color w:val="34343D"/>
        </w:rPr>
        <w:t xml:space="preserve">pted </w:t>
      </w:r>
      <w:r>
        <w:rPr>
          <w:rFonts w:ascii="Arial" w:cs="Arial" w:eastAsia="Arial" w:hAnsi="Arial"/>
          <w:sz w:val="15"/>
          <w:szCs w:val="15"/>
          <w:color w:val="42444D"/>
        </w:rPr>
        <w:t>a</w:t>
      </w:r>
      <w:r>
        <w:rPr>
          <w:rFonts w:ascii="Arial" w:cs="Arial" w:eastAsia="Arial" w:hAnsi="Arial"/>
          <w:sz w:val="15"/>
          <w:szCs w:val="15"/>
          <w:color w:val="34343D"/>
        </w:rPr>
        <w:t xml:space="preserve"> position </w:t>
      </w:r>
      <w:r>
        <w:rPr>
          <w:rFonts w:ascii="Arial" w:cs="Arial" w:eastAsia="Arial" w:hAnsi="Arial"/>
          <w:sz w:val="15"/>
          <w:szCs w:val="15"/>
          <w:color w:val="42444D"/>
        </w:rPr>
        <w:t>of</w:t>
      </w:r>
      <w:r>
        <w:rPr>
          <w:rFonts w:ascii="Arial" w:cs="Arial" w:eastAsia="Arial" w:hAnsi="Arial"/>
          <w:sz w:val="15"/>
          <w:szCs w:val="15"/>
          <w:color w:val="34343D"/>
        </w:rPr>
        <w:t xml:space="preserve"> employment with Biogen that provides </w:t>
      </w:r>
      <w:r>
        <w:rPr>
          <w:rFonts w:ascii="Arial" w:cs="Arial" w:eastAsia="Arial" w:hAnsi="Arial"/>
          <w:sz w:val="15"/>
          <w:szCs w:val="15"/>
          <w:color w:val="23232A"/>
        </w:rPr>
        <w:t>f</w:t>
      </w:r>
      <w:r>
        <w:rPr>
          <w:rFonts w:ascii="Arial" w:cs="Arial" w:eastAsia="Arial" w:hAnsi="Arial"/>
          <w:sz w:val="15"/>
          <w:szCs w:val="15"/>
          <w:color w:val="42444D"/>
        </w:rPr>
        <w:t>o</w:t>
      </w:r>
      <w:r>
        <w:rPr>
          <w:rFonts w:ascii="Arial" w:cs="Arial" w:eastAsia="Arial" w:hAnsi="Arial"/>
          <w:sz w:val="15"/>
          <w:szCs w:val="15"/>
          <w:color w:val="23232A"/>
        </w:rPr>
        <w:t>r</w:t>
      </w:r>
      <w:r>
        <w:rPr>
          <w:rFonts w:ascii="Arial" w:cs="Arial" w:eastAsia="Arial" w:hAnsi="Arial"/>
          <w:sz w:val="15"/>
          <w:szCs w:val="15"/>
          <w:color w:val="34343D"/>
        </w:rPr>
        <w:t xml:space="preserve"> payment </w:t>
      </w:r>
      <w:r>
        <w:rPr>
          <w:rFonts w:ascii="Arial" w:cs="Arial" w:eastAsia="Arial" w:hAnsi="Arial"/>
          <w:sz w:val="15"/>
          <w:szCs w:val="15"/>
          <w:color w:val="42444D"/>
        </w:rPr>
        <w:t>of a cash s</w:t>
      </w:r>
      <w:r>
        <w:rPr>
          <w:rFonts w:ascii="Arial" w:cs="Arial" w:eastAsia="Arial" w:hAnsi="Arial"/>
          <w:sz w:val="15"/>
          <w:szCs w:val="15"/>
          <w:color w:val="23232A"/>
        </w:rPr>
        <w:t>ign</w:t>
      </w:r>
      <w:r>
        <w:rPr>
          <w:rFonts w:ascii="Arial" w:cs="Arial" w:eastAsia="Arial" w:hAnsi="Arial"/>
          <w:sz w:val="15"/>
          <w:szCs w:val="15"/>
          <w:color w:val="42444D"/>
        </w:rPr>
        <w:t>-on bo</w:t>
      </w:r>
      <w:r>
        <w:rPr>
          <w:rFonts w:ascii="Arial" w:cs="Arial" w:eastAsia="Arial" w:hAnsi="Arial"/>
          <w:sz w:val="15"/>
          <w:szCs w:val="15"/>
          <w:color w:val="23232A"/>
        </w:rPr>
        <w:t>nu</w:t>
      </w:r>
      <w:r>
        <w:rPr>
          <w:rFonts w:ascii="Arial" w:cs="Arial" w:eastAsia="Arial" w:hAnsi="Arial"/>
          <w:sz w:val="15"/>
          <w:szCs w:val="15"/>
          <w:color w:val="42444D"/>
        </w:rPr>
        <w:t>s</w:t>
      </w:r>
      <w:r>
        <w:rPr>
          <w:rFonts w:ascii="Arial" w:cs="Arial" w:eastAsia="Arial" w:hAnsi="Arial"/>
          <w:sz w:val="15"/>
          <w:szCs w:val="15"/>
          <w:color w:val="34343D"/>
        </w:rPr>
        <w:t xml:space="preserve"> of </w:t>
      </w:r>
      <w:r>
        <w:rPr>
          <w:rFonts w:ascii="Arial" w:cs="Arial" w:eastAsia="Arial" w:hAnsi="Arial"/>
          <w:sz w:val="15"/>
          <w:szCs w:val="15"/>
          <w:color w:val="42444D"/>
        </w:rPr>
        <w:t>$300</w:t>
      </w:r>
      <w:r>
        <w:rPr>
          <w:rFonts w:ascii="Arial" w:cs="Arial" w:eastAsia="Arial" w:hAnsi="Arial"/>
          <w:sz w:val="15"/>
          <w:szCs w:val="15"/>
          <w:color w:val="6B6B72"/>
        </w:rPr>
        <w:t>,</w:t>
      </w:r>
      <w:r>
        <w:rPr>
          <w:rFonts w:ascii="Arial" w:cs="Arial" w:eastAsia="Arial" w:hAnsi="Arial"/>
          <w:sz w:val="15"/>
          <w:szCs w:val="15"/>
          <w:color w:val="34343D"/>
        </w:rPr>
        <w:t>000</w:t>
      </w:r>
      <w:r>
        <w:rPr>
          <w:rFonts w:ascii="Arial" w:cs="Arial" w:eastAsia="Arial" w:hAnsi="Arial"/>
          <w:sz w:val="15"/>
          <w:szCs w:val="15"/>
          <w:color w:val="979799"/>
        </w:rPr>
        <w:t>.</w:t>
      </w:r>
      <w:r>
        <w:rPr>
          <w:rFonts w:ascii="Arial" w:cs="Arial" w:eastAsia="Arial" w:hAnsi="Arial"/>
          <w:sz w:val="15"/>
          <w:szCs w:val="15"/>
          <w:color w:val="34343D"/>
        </w:rPr>
        <w:t xml:space="preserve">00 </w:t>
      </w:r>
      <w:r>
        <w:rPr>
          <w:rFonts w:ascii="Arial" w:cs="Arial" w:eastAsia="Arial" w:hAnsi="Arial"/>
          <w:sz w:val="15"/>
          <w:szCs w:val="15"/>
          <w:color w:val="23232A"/>
        </w:rPr>
        <w:t>to</w:t>
      </w:r>
      <w:r>
        <w:rPr>
          <w:rFonts w:ascii="Arial" w:cs="Arial" w:eastAsia="Arial" w:hAnsi="Arial"/>
          <w:sz w:val="15"/>
          <w:szCs w:val="15"/>
          <w:color w:val="34343D"/>
        </w:rPr>
        <w:t xml:space="preserve"> me </w:t>
      </w:r>
      <w:r>
        <w:rPr>
          <w:rFonts w:ascii="Arial" w:cs="Arial" w:eastAsia="Arial" w:hAnsi="Arial"/>
          <w:sz w:val="15"/>
          <w:szCs w:val="15"/>
          <w:color w:val="23232A"/>
        </w:rPr>
        <w:t>following</w:t>
      </w:r>
      <w:r>
        <w:rPr>
          <w:rFonts w:ascii="Arial" w:cs="Arial" w:eastAsia="Arial" w:hAnsi="Arial"/>
          <w:sz w:val="15"/>
          <w:szCs w:val="15"/>
          <w:color w:val="34343D"/>
        </w:rPr>
        <w:t xml:space="preserve"> </w:t>
      </w:r>
      <w:r>
        <w:rPr>
          <w:rFonts w:ascii="Arial" w:cs="Arial" w:eastAsia="Arial" w:hAnsi="Arial"/>
          <w:sz w:val="15"/>
          <w:szCs w:val="15"/>
          <w:color w:val="42444D"/>
        </w:rPr>
        <w:t>comme</w:t>
      </w:r>
      <w:r>
        <w:rPr>
          <w:rFonts w:ascii="Arial" w:cs="Arial" w:eastAsia="Arial" w:hAnsi="Arial"/>
          <w:sz w:val="15"/>
          <w:szCs w:val="15"/>
          <w:color w:val="23232A"/>
        </w:rPr>
        <w:t>n</w:t>
      </w:r>
      <w:r>
        <w:rPr>
          <w:rFonts w:ascii="Arial" w:cs="Arial" w:eastAsia="Arial" w:hAnsi="Arial"/>
          <w:sz w:val="15"/>
          <w:szCs w:val="15"/>
          <w:color w:val="42444D"/>
        </w:rPr>
        <w:t>cement of employme</w:t>
      </w:r>
      <w:r>
        <w:rPr>
          <w:rFonts w:ascii="Arial" w:cs="Arial" w:eastAsia="Arial" w:hAnsi="Arial"/>
          <w:sz w:val="15"/>
          <w:szCs w:val="15"/>
          <w:color w:val="23232A"/>
        </w:rPr>
        <w:t>nt. I</w:t>
      </w:r>
      <w:r>
        <w:rPr>
          <w:rFonts w:ascii="Arial" w:cs="Arial" w:eastAsia="Arial" w:hAnsi="Arial"/>
          <w:sz w:val="15"/>
          <w:szCs w:val="15"/>
          <w:color w:val="42444D"/>
        </w:rPr>
        <w:t xml:space="preserve"> </w:t>
      </w:r>
      <w:r>
        <w:rPr>
          <w:rFonts w:ascii="Arial" w:cs="Arial" w:eastAsia="Arial" w:hAnsi="Arial"/>
          <w:sz w:val="15"/>
          <w:szCs w:val="15"/>
          <w:color w:val="34343D"/>
        </w:rPr>
        <w:t>understand</w:t>
      </w:r>
      <w:r>
        <w:rPr>
          <w:rFonts w:ascii="Arial" w:cs="Arial" w:eastAsia="Arial" w:hAnsi="Arial"/>
          <w:sz w:val="15"/>
          <w:szCs w:val="15"/>
          <w:color w:val="42444D"/>
        </w:rPr>
        <w:t xml:space="preserve"> </w:t>
      </w:r>
      <w:r>
        <w:rPr>
          <w:rFonts w:ascii="Arial" w:cs="Arial" w:eastAsia="Arial" w:hAnsi="Arial"/>
          <w:sz w:val="15"/>
          <w:szCs w:val="15"/>
          <w:color w:val="23232A"/>
        </w:rPr>
        <w:t>that th</w:t>
      </w:r>
      <w:r>
        <w:rPr>
          <w:rFonts w:ascii="Arial" w:cs="Arial" w:eastAsia="Arial" w:hAnsi="Arial"/>
          <w:sz w:val="15"/>
          <w:szCs w:val="15"/>
          <w:color w:val="42444D"/>
        </w:rPr>
        <w:t xml:space="preserve">e </w:t>
      </w:r>
      <w:r>
        <w:rPr>
          <w:rFonts w:ascii="Arial" w:cs="Arial" w:eastAsia="Arial" w:hAnsi="Arial"/>
          <w:sz w:val="15"/>
          <w:szCs w:val="15"/>
          <w:color w:val="23232A"/>
        </w:rPr>
        <w:t>fu</w:t>
      </w:r>
      <w:r>
        <w:rPr>
          <w:rFonts w:ascii="Arial" w:cs="Arial" w:eastAsia="Arial" w:hAnsi="Arial"/>
          <w:sz w:val="15"/>
          <w:szCs w:val="15"/>
          <w:color w:val="42444D"/>
        </w:rPr>
        <w:t xml:space="preserve">ll </w:t>
      </w:r>
      <w:r>
        <w:rPr>
          <w:rFonts w:ascii="Arial" w:cs="Arial" w:eastAsia="Arial" w:hAnsi="Arial"/>
          <w:sz w:val="15"/>
          <w:szCs w:val="15"/>
          <w:color w:val="23232A"/>
        </w:rPr>
        <w:t>benefi</w:t>
      </w:r>
      <w:r>
        <w:rPr>
          <w:rFonts w:ascii="Arial" w:cs="Arial" w:eastAsia="Arial" w:hAnsi="Arial"/>
          <w:sz w:val="15"/>
          <w:szCs w:val="15"/>
          <w:color w:val="42444D"/>
        </w:rPr>
        <w:t>t o</w:t>
      </w:r>
      <w:r>
        <w:rPr>
          <w:rFonts w:ascii="Arial" w:cs="Arial" w:eastAsia="Arial" w:hAnsi="Arial"/>
          <w:sz w:val="15"/>
          <w:szCs w:val="15"/>
          <w:color w:val="23232A"/>
        </w:rPr>
        <w:t>f thi</w:t>
      </w:r>
      <w:r>
        <w:rPr>
          <w:rFonts w:ascii="Arial" w:cs="Arial" w:eastAsia="Arial" w:hAnsi="Arial"/>
          <w:sz w:val="15"/>
          <w:szCs w:val="15"/>
          <w:color w:val="42444D"/>
        </w:rPr>
        <w:t>s cash sign-o</w:t>
      </w:r>
      <w:r>
        <w:rPr>
          <w:rFonts w:ascii="Arial" w:cs="Arial" w:eastAsia="Arial" w:hAnsi="Arial"/>
          <w:sz w:val="15"/>
          <w:szCs w:val="15"/>
          <w:color w:val="23232A"/>
        </w:rPr>
        <w:t>n</w:t>
      </w:r>
      <w:r>
        <w:rPr>
          <w:rFonts w:ascii="Arial" w:cs="Arial" w:eastAsia="Arial" w:hAnsi="Arial"/>
          <w:sz w:val="15"/>
          <w:szCs w:val="15"/>
          <w:color w:val="42444D"/>
        </w:rPr>
        <w:t xml:space="preserve"> </w:t>
      </w:r>
      <w:r>
        <w:rPr>
          <w:rFonts w:ascii="Arial" w:cs="Arial" w:eastAsia="Arial" w:hAnsi="Arial"/>
          <w:sz w:val="15"/>
          <w:szCs w:val="15"/>
          <w:color w:val="34343D"/>
        </w:rPr>
        <w:t>bonus</w:t>
      </w:r>
      <w:r>
        <w:rPr>
          <w:rFonts w:ascii="Arial" w:cs="Arial" w:eastAsia="Arial" w:hAnsi="Arial"/>
          <w:sz w:val="15"/>
          <w:szCs w:val="15"/>
          <w:color w:val="42444D"/>
        </w:rPr>
        <w:t xml:space="preserve"> </w:t>
      </w:r>
      <w:r>
        <w:rPr>
          <w:rFonts w:ascii="Arial" w:cs="Arial" w:eastAsia="Arial" w:hAnsi="Arial"/>
          <w:sz w:val="15"/>
          <w:szCs w:val="15"/>
          <w:color w:val="23232A"/>
        </w:rPr>
        <w:t>i</w:t>
      </w:r>
      <w:r>
        <w:rPr>
          <w:rFonts w:ascii="Arial" w:cs="Arial" w:eastAsia="Arial" w:hAnsi="Arial"/>
          <w:sz w:val="15"/>
          <w:szCs w:val="15"/>
          <w:color w:val="42444D"/>
        </w:rPr>
        <w:t>s condit</w:t>
      </w:r>
      <w:r>
        <w:rPr>
          <w:rFonts w:ascii="Arial" w:cs="Arial" w:eastAsia="Arial" w:hAnsi="Arial"/>
          <w:sz w:val="15"/>
          <w:szCs w:val="15"/>
          <w:color w:val="23232A"/>
        </w:rPr>
        <w:t>ion</w:t>
      </w:r>
      <w:r>
        <w:rPr>
          <w:rFonts w:ascii="Arial" w:cs="Arial" w:eastAsia="Arial" w:hAnsi="Arial"/>
          <w:sz w:val="15"/>
          <w:szCs w:val="15"/>
          <w:color w:val="42444D"/>
        </w:rPr>
        <w:t xml:space="preserve">ed </w:t>
      </w:r>
      <w:r>
        <w:rPr>
          <w:rFonts w:ascii="Arial" w:cs="Arial" w:eastAsia="Arial" w:hAnsi="Arial"/>
          <w:sz w:val="15"/>
          <w:szCs w:val="15"/>
          <w:color w:val="23232A"/>
        </w:rPr>
        <w:t>up</w:t>
      </w:r>
      <w:r>
        <w:rPr>
          <w:rFonts w:ascii="Arial" w:cs="Arial" w:eastAsia="Arial" w:hAnsi="Arial"/>
          <w:sz w:val="15"/>
          <w:szCs w:val="15"/>
          <w:color w:val="42444D"/>
        </w:rPr>
        <w:t xml:space="preserve">on </w:t>
      </w:r>
      <w:r>
        <w:rPr>
          <w:rFonts w:ascii="Arial" w:cs="Arial" w:eastAsia="Arial" w:hAnsi="Arial"/>
          <w:sz w:val="15"/>
          <w:szCs w:val="15"/>
          <w:color w:val="34343D"/>
        </w:rPr>
        <w:t>my remaining</w:t>
      </w:r>
      <w:r>
        <w:rPr>
          <w:rFonts w:ascii="Arial" w:cs="Arial" w:eastAsia="Arial" w:hAnsi="Arial"/>
          <w:sz w:val="15"/>
          <w:szCs w:val="15"/>
          <w:color w:val="42444D"/>
        </w:rPr>
        <w:t xml:space="preserve"> an emp</w:t>
      </w:r>
      <w:r>
        <w:rPr>
          <w:rFonts w:ascii="Arial" w:cs="Arial" w:eastAsia="Arial" w:hAnsi="Arial"/>
          <w:sz w:val="15"/>
          <w:szCs w:val="15"/>
          <w:color w:val="23232A"/>
        </w:rPr>
        <w:t>l</w:t>
      </w:r>
      <w:r>
        <w:rPr>
          <w:rFonts w:ascii="Arial" w:cs="Arial" w:eastAsia="Arial" w:hAnsi="Arial"/>
          <w:sz w:val="15"/>
          <w:szCs w:val="15"/>
          <w:color w:val="42444D"/>
        </w:rPr>
        <w:t xml:space="preserve">oyee of </w:t>
      </w:r>
      <w:r>
        <w:rPr>
          <w:rFonts w:ascii="Arial" w:cs="Arial" w:eastAsia="Arial" w:hAnsi="Arial"/>
          <w:sz w:val="15"/>
          <w:szCs w:val="15"/>
          <w:color w:val="23232A"/>
        </w:rPr>
        <w:t>B</w:t>
      </w:r>
      <w:r>
        <w:rPr>
          <w:rFonts w:ascii="Arial" w:cs="Arial" w:eastAsia="Arial" w:hAnsi="Arial"/>
          <w:sz w:val="15"/>
          <w:szCs w:val="15"/>
          <w:color w:val="42444D"/>
        </w:rPr>
        <w:t>iogen</w:t>
      </w:r>
      <w:r>
        <w:rPr>
          <w:rFonts w:ascii="Arial" w:cs="Arial" w:eastAsia="Arial" w:hAnsi="Arial"/>
          <w:sz w:val="15"/>
          <w:szCs w:val="15"/>
          <w:color w:val="23232A"/>
        </w:rPr>
        <w:t xml:space="preserve"> fo</w:t>
      </w:r>
      <w:r>
        <w:rPr>
          <w:rFonts w:ascii="Arial" w:cs="Arial" w:eastAsia="Arial" w:hAnsi="Arial"/>
          <w:sz w:val="15"/>
          <w:szCs w:val="15"/>
          <w:color w:val="42444D"/>
        </w:rPr>
        <w:t>r</w:t>
      </w:r>
      <w:r>
        <w:rPr>
          <w:rFonts w:ascii="Arial" w:cs="Arial" w:eastAsia="Arial" w:hAnsi="Arial"/>
          <w:sz w:val="15"/>
          <w:szCs w:val="15"/>
          <w:color w:val="23232A"/>
        </w:rPr>
        <w:t xml:space="preserve"> </w:t>
      </w:r>
      <w:r>
        <w:rPr>
          <w:rFonts w:ascii="Arial" w:cs="Arial" w:eastAsia="Arial" w:hAnsi="Arial"/>
          <w:sz w:val="15"/>
          <w:szCs w:val="15"/>
          <w:color w:val="34343D"/>
        </w:rPr>
        <w:t>at</w:t>
      </w:r>
      <w:r>
        <w:rPr>
          <w:rFonts w:ascii="Arial" w:cs="Arial" w:eastAsia="Arial" w:hAnsi="Arial"/>
          <w:sz w:val="15"/>
          <w:szCs w:val="15"/>
          <w:color w:val="23232A"/>
        </w:rPr>
        <w:t xml:space="preserve"> l</w:t>
      </w:r>
      <w:r>
        <w:rPr>
          <w:rFonts w:ascii="Arial" w:cs="Arial" w:eastAsia="Arial" w:hAnsi="Arial"/>
          <w:sz w:val="15"/>
          <w:szCs w:val="15"/>
          <w:color w:val="42444D"/>
        </w:rPr>
        <w:t>eas</w:t>
      </w:r>
      <w:r>
        <w:rPr>
          <w:rFonts w:ascii="Arial" w:cs="Arial" w:eastAsia="Arial" w:hAnsi="Arial"/>
          <w:sz w:val="15"/>
          <w:szCs w:val="15"/>
          <w:color w:val="23232A"/>
        </w:rPr>
        <w:t xml:space="preserve">t </w:t>
      </w:r>
      <w:r>
        <w:rPr>
          <w:rFonts w:ascii="Arial" w:cs="Arial" w:eastAsia="Arial" w:hAnsi="Arial"/>
          <w:sz w:val="15"/>
          <w:szCs w:val="15"/>
          <w:color w:val="42444D"/>
        </w:rPr>
        <w:t>24</w:t>
      </w:r>
      <w:r>
        <w:rPr>
          <w:rFonts w:ascii="Arial" w:cs="Arial" w:eastAsia="Arial" w:hAnsi="Arial"/>
          <w:sz w:val="15"/>
          <w:szCs w:val="15"/>
          <w:color w:val="23232A"/>
        </w:rPr>
        <w:t xml:space="preserve"> </w:t>
      </w:r>
      <w:r>
        <w:rPr>
          <w:rFonts w:ascii="Arial" w:cs="Arial" w:eastAsia="Arial" w:hAnsi="Arial"/>
          <w:sz w:val="15"/>
          <w:szCs w:val="15"/>
          <w:color w:val="34343D"/>
        </w:rPr>
        <w:t>month</w:t>
      </w:r>
      <w:r>
        <w:rPr>
          <w:rFonts w:ascii="Arial" w:cs="Arial" w:eastAsia="Arial" w:hAnsi="Arial"/>
          <w:sz w:val="15"/>
          <w:szCs w:val="15"/>
          <w:color w:val="595B62"/>
        </w:rPr>
        <w:t>s.</w:t>
      </w:r>
      <w:r>
        <w:rPr>
          <w:rFonts w:ascii="Arial" w:cs="Arial" w:eastAsia="Arial" w:hAnsi="Arial"/>
          <w:sz w:val="15"/>
          <w:szCs w:val="15"/>
          <w:color w:val="23232A"/>
        </w:rPr>
        <w:t xml:space="preserve"> I he</w:t>
      </w:r>
      <w:r>
        <w:rPr>
          <w:rFonts w:ascii="Arial" w:cs="Arial" w:eastAsia="Arial" w:hAnsi="Arial"/>
          <w:sz w:val="15"/>
          <w:szCs w:val="15"/>
          <w:color w:val="42444D"/>
        </w:rPr>
        <w:t>reby accep</w:t>
      </w:r>
      <w:r>
        <w:rPr>
          <w:rFonts w:ascii="Arial" w:cs="Arial" w:eastAsia="Arial" w:hAnsi="Arial"/>
          <w:sz w:val="15"/>
          <w:szCs w:val="15"/>
          <w:color w:val="23232A"/>
        </w:rPr>
        <w:t xml:space="preserve">t </w:t>
      </w:r>
      <w:r>
        <w:rPr>
          <w:rFonts w:ascii="Arial" w:cs="Arial" w:eastAsia="Arial" w:hAnsi="Arial"/>
          <w:sz w:val="15"/>
          <w:szCs w:val="15"/>
          <w:color w:val="34343D"/>
        </w:rPr>
        <w:t>Biogen</w:t>
      </w:r>
      <w:r>
        <w:rPr>
          <w:rFonts w:ascii="Arial" w:cs="Arial" w:eastAsia="Arial" w:hAnsi="Arial"/>
          <w:sz w:val="15"/>
          <w:szCs w:val="15"/>
          <w:color w:val="797C83"/>
        </w:rPr>
        <w:t>'</w:t>
      </w:r>
      <w:r>
        <w:rPr>
          <w:rFonts w:ascii="Arial" w:cs="Arial" w:eastAsia="Arial" w:hAnsi="Arial"/>
          <w:sz w:val="15"/>
          <w:szCs w:val="15"/>
          <w:color w:val="34343D"/>
        </w:rPr>
        <w:t>s</w:t>
      </w:r>
      <w:r>
        <w:rPr>
          <w:rFonts w:ascii="Arial" w:cs="Arial" w:eastAsia="Arial" w:hAnsi="Arial"/>
          <w:sz w:val="15"/>
          <w:szCs w:val="15"/>
          <w:color w:val="23232A"/>
        </w:rPr>
        <w:t xml:space="preserve"> </w:t>
      </w:r>
      <w:r>
        <w:rPr>
          <w:rFonts w:ascii="Arial" w:cs="Arial" w:eastAsia="Arial" w:hAnsi="Arial"/>
          <w:sz w:val="15"/>
          <w:szCs w:val="15"/>
          <w:color w:val="42444D"/>
        </w:rPr>
        <w:t>offer o</w:t>
      </w:r>
      <w:r>
        <w:rPr>
          <w:rFonts w:ascii="Arial" w:cs="Arial" w:eastAsia="Arial" w:hAnsi="Arial"/>
          <w:sz w:val="15"/>
          <w:szCs w:val="15"/>
          <w:color w:val="23232A"/>
        </w:rPr>
        <w:t xml:space="preserve">f </w:t>
      </w:r>
      <w:r>
        <w:rPr>
          <w:rFonts w:ascii="Arial" w:cs="Arial" w:eastAsia="Arial" w:hAnsi="Arial"/>
          <w:sz w:val="15"/>
          <w:szCs w:val="15"/>
          <w:color w:val="42444D"/>
        </w:rPr>
        <w:t>a cash sig</w:t>
      </w:r>
      <w:r>
        <w:rPr>
          <w:rFonts w:ascii="Arial" w:cs="Arial" w:eastAsia="Arial" w:hAnsi="Arial"/>
          <w:sz w:val="15"/>
          <w:szCs w:val="15"/>
          <w:color w:val="23232A"/>
        </w:rPr>
        <w:t>n-</w:t>
      </w:r>
      <w:r>
        <w:rPr>
          <w:rFonts w:ascii="Arial" w:cs="Arial" w:eastAsia="Arial" w:hAnsi="Arial"/>
          <w:sz w:val="15"/>
          <w:szCs w:val="15"/>
          <w:color w:val="42444D"/>
        </w:rPr>
        <w:t>o</w:t>
      </w:r>
      <w:r>
        <w:rPr>
          <w:rFonts w:ascii="Arial" w:cs="Arial" w:eastAsia="Arial" w:hAnsi="Arial"/>
          <w:sz w:val="15"/>
          <w:szCs w:val="15"/>
          <w:color w:val="23232A"/>
        </w:rPr>
        <w:t>n bo</w:t>
      </w:r>
      <w:r>
        <w:rPr>
          <w:rFonts w:ascii="Arial" w:cs="Arial" w:eastAsia="Arial" w:hAnsi="Arial"/>
          <w:sz w:val="15"/>
          <w:szCs w:val="15"/>
          <w:color w:val="42444D"/>
        </w:rPr>
        <w:t>n</w:t>
      </w:r>
      <w:r>
        <w:rPr>
          <w:rFonts w:ascii="Arial" w:cs="Arial" w:eastAsia="Arial" w:hAnsi="Arial"/>
          <w:sz w:val="15"/>
          <w:szCs w:val="15"/>
          <w:color w:val="23232A"/>
        </w:rPr>
        <w:t xml:space="preserve">us </w:t>
      </w:r>
      <w:r>
        <w:rPr>
          <w:rFonts w:ascii="Arial" w:cs="Arial" w:eastAsia="Arial" w:hAnsi="Arial"/>
          <w:sz w:val="15"/>
          <w:szCs w:val="15"/>
          <w:color w:val="42444D"/>
        </w:rPr>
        <w:t>according</w:t>
      </w:r>
      <w:r>
        <w:rPr>
          <w:rFonts w:ascii="Arial" w:cs="Arial" w:eastAsia="Arial" w:hAnsi="Arial"/>
          <w:sz w:val="15"/>
          <w:szCs w:val="15"/>
          <w:color w:val="23232A"/>
        </w:rPr>
        <w:t xml:space="preserve"> t</w:t>
      </w:r>
      <w:r>
        <w:rPr>
          <w:rFonts w:ascii="Arial" w:cs="Arial" w:eastAsia="Arial" w:hAnsi="Arial"/>
          <w:sz w:val="15"/>
          <w:szCs w:val="15"/>
          <w:color w:val="42444D"/>
        </w:rPr>
        <w:t>o</w:t>
      </w:r>
      <w:r>
        <w:rPr>
          <w:rFonts w:ascii="Arial" w:cs="Arial" w:eastAsia="Arial" w:hAnsi="Arial"/>
          <w:sz w:val="15"/>
          <w:szCs w:val="15"/>
          <w:color w:val="23232A"/>
        </w:rPr>
        <w:t xml:space="preserve"> th</w:t>
      </w:r>
      <w:r>
        <w:rPr>
          <w:rFonts w:ascii="Arial" w:cs="Arial" w:eastAsia="Arial" w:hAnsi="Arial"/>
          <w:sz w:val="15"/>
          <w:szCs w:val="15"/>
          <w:color w:val="42444D"/>
        </w:rPr>
        <w:t>e fo</w:t>
      </w:r>
      <w:r>
        <w:rPr>
          <w:rFonts w:ascii="Arial" w:cs="Arial" w:eastAsia="Arial" w:hAnsi="Arial"/>
          <w:sz w:val="15"/>
          <w:szCs w:val="15"/>
          <w:color w:val="23232A"/>
        </w:rPr>
        <w:t>ll</w:t>
      </w:r>
      <w:r>
        <w:rPr>
          <w:rFonts w:ascii="Arial" w:cs="Arial" w:eastAsia="Arial" w:hAnsi="Arial"/>
          <w:sz w:val="15"/>
          <w:szCs w:val="15"/>
          <w:color w:val="42444D"/>
        </w:rPr>
        <w:t>owing</w:t>
      </w:r>
      <w:r>
        <w:rPr>
          <w:rFonts w:ascii="Arial" w:cs="Arial" w:eastAsia="Arial" w:hAnsi="Arial"/>
          <w:sz w:val="15"/>
          <w:szCs w:val="15"/>
          <w:color w:val="23232A"/>
        </w:rPr>
        <w:t xml:space="preserve"> te</w:t>
      </w:r>
      <w:r>
        <w:rPr>
          <w:rFonts w:ascii="Arial" w:cs="Arial" w:eastAsia="Arial" w:hAnsi="Arial"/>
          <w:sz w:val="15"/>
          <w:szCs w:val="15"/>
          <w:color w:val="42444D"/>
        </w:rPr>
        <w:t>rms</w:t>
      </w:r>
      <w:r>
        <w:rPr>
          <w:rFonts w:ascii="Arial" w:cs="Arial" w:eastAsia="Arial" w:hAnsi="Arial"/>
          <w:sz w:val="15"/>
          <w:szCs w:val="15"/>
          <w:color w:val="6B6B72"/>
        </w:rPr>
        <w:t>:</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5"/>
          <w:szCs w:val="15"/>
          <w:color w:val="34343D"/>
        </w:rPr>
        <w:t xml:space="preserve">The payment </w:t>
      </w:r>
      <w:r>
        <w:rPr>
          <w:rFonts w:ascii="Arial" w:cs="Arial" w:eastAsia="Arial" w:hAnsi="Arial"/>
          <w:sz w:val="15"/>
          <w:szCs w:val="15"/>
          <w:color w:val="42444D"/>
        </w:rPr>
        <w:t>of</w:t>
      </w:r>
      <w:r>
        <w:rPr>
          <w:rFonts w:ascii="Arial" w:cs="Arial" w:eastAsia="Arial" w:hAnsi="Arial"/>
          <w:sz w:val="15"/>
          <w:szCs w:val="15"/>
          <w:color w:val="34343D"/>
        </w:rPr>
        <w:t xml:space="preserve"> </w:t>
      </w:r>
      <w:r>
        <w:rPr>
          <w:rFonts w:ascii="Arial" w:cs="Arial" w:eastAsia="Arial" w:hAnsi="Arial"/>
          <w:sz w:val="15"/>
          <w:szCs w:val="15"/>
          <w:color w:val="23232A"/>
        </w:rPr>
        <w:t>th</w:t>
      </w:r>
      <w:r>
        <w:rPr>
          <w:rFonts w:ascii="Arial" w:cs="Arial" w:eastAsia="Arial" w:hAnsi="Arial"/>
          <w:sz w:val="15"/>
          <w:szCs w:val="15"/>
          <w:color w:val="42444D"/>
        </w:rPr>
        <w:t>e cash sig</w:t>
      </w:r>
      <w:r>
        <w:rPr>
          <w:rFonts w:ascii="Arial" w:cs="Arial" w:eastAsia="Arial" w:hAnsi="Arial"/>
          <w:sz w:val="15"/>
          <w:szCs w:val="15"/>
          <w:color w:val="23232A"/>
        </w:rPr>
        <w:t>n</w:t>
      </w:r>
      <w:r>
        <w:rPr>
          <w:rFonts w:ascii="Arial" w:cs="Arial" w:eastAsia="Arial" w:hAnsi="Arial"/>
          <w:sz w:val="15"/>
          <w:szCs w:val="15"/>
          <w:color w:val="595B62"/>
        </w:rPr>
        <w:t>-</w:t>
      </w:r>
      <w:r>
        <w:rPr>
          <w:rFonts w:ascii="Arial" w:cs="Arial" w:eastAsia="Arial" w:hAnsi="Arial"/>
          <w:sz w:val="15"/>
          <w:szCs w:val="15"/>
          <w:color w:val="34343D"/>
        </w:rPr>
        <w:t xml:space="preserve">on </w:t>
      </w:r>
      <w:r>
        <w:rPr>
          <w:rFonts w:ascii="Arial" w:cs="Arial" w:eastAsia="Arial" w:hAnsi="Arial"/>
          <w:sz w:val="15"/>
          <w:szCs w:val="15"/>
          <w:color w:val="23232A"/>
        </w:rPr>
        <w:t>b</w:t>
      </w:r>
      <w:r>
        <w:rPr>
          <w:rFonts w:ascii="Arial" w:cs="Arial" w:eastAsia="Arial" w:hAnsi="Arial"/>
          <w:sz w:val="15"/>
          <w:szCs w:val="15"/>
          <w:color w:val="42444D"/>
        </w:rPr>
        <w:t>on</w:t>
      </w:r>
      <w:r>
        <w:rPr>
          <w:rFonts w:ascii="Arial" w:cs="Arial" w:eastAsia="Arial" w:hAnsi="Arial"/>
          <w:sz w:val="15"/>
          <w:szCs w:val="15"/>
          <w:color w:val="23232A"/>
        </w:rPr>
        <w:t>u</w:t>
      </w:r>
      <w:r>
        <w:rPr>
          <w:rFonts w:ascii="Arial" w:cs="Arial" w:eastAsia="Arial" w:hAnsi="Arial"/>
          <w:sz w:val="15"/>
          <w:szCs w:val="15"/>
          <w:color w:val="42444D"/>
        </w:rPr>
        <w:t>s by</w:t>
      </w:r>
      <w:r>
        <w:rPr>
          <w:rFonts w:ascii="Arial" w:cs="Arial" w:eastAsia="Arial" w:hAnsi="Arial"/>
          <w:sz w:val="15"/>
          <w:szCs w:val="15"/>
          <w:color w:val="34343D"/>
        </w:rPr>
        <w:t xml:space="preserve"> Biogen is taxable </w:t>
      </w:r>
      <w:r>
        <w:rPr>
          <w:rFonts w:ascii="Arial" w:cs="Arial" w:eastAsia="Arial" w:hAnsi="Arial"/>
          <w:sz w:val="15"/>
          <w:szCs w:val="15"/>
          <w:color w:val="23232A"/>
        </w:rPr>
        <w:t>income to</w:t>
      </w:r>
      <w:r>
        <w:rPr>
          <w:rFonts w:ascii="Arial" w:cs="Arial" w:eastAsia="Arial" w:hAnsi="Arial"/>
          <w:sz w:val="15"/>
          <w:szCs w:val="15"/>
          <w:color w:val="34343D"/>
        </w:rPr>
        <w:t xml:space="preserve"> me </w:t>
      </w:r>
      <w:r>
        <w:rPr>
          <w:rFonts w:ascii="Arial" w:cs="Arial" w:eastAsia="Arial" w:hAnsi="Arial"/>
          <w:sz w:val="15"/>
          <w:szCs w:val="15"/>
          <w:color w:val="42444D"/>
        </w:rPr>
        <w:t>and</w:t>
      </w:r>
      <w:r>
        <w:rPr>
          <w:rFonts w:ascii="Arial" w:cs="Arial" w:eastAsia="Arial" w:hAnsi="Arial"/>
          <w:sz w:val="15"/>
          <w:szCs w:val="15"/>
          <w:color w:val="34343D"/>
        </w:rPr>
        <w:t xml:space="preserve"> w</w:t>
      </w:r>
      <w:r>
        <w:rPr>
          <w:rFonts w:ascii="Arial" w:cs="Arial" w:eastAsia="Arial" w:hAnsi="Arial"/>
          <w:sz w:val="15"/>
          <w:szCs w:val="15"/>
          <w:color w:val="595B62"/>
        </w:rPr>
        <w:t>i</w:t>
      </w:r>
      <w:r>
        <w:rPr>
          <w:rFonts w:ascii="Arial" w:cs="Arial" w:eastAsia="Arial" w:hAnsi="Arial"/>
          <w:sz w:val="15"/>
          <w:szCs w:val="15"/>
          <w:color w:val="23232A"/>
        </w:rPr>
        <w:t>ll</w:t>
      </w:r>
      <w:r>
        <w:rPr>
          <w:rFonts w:ascii="Arial" w:cs="Arial" w:eastAsia="Arial" w:hAnsi="Arial"/>
          <w:sz w:val="15"/>
          <w:szCs w:val="15"/>
          <w:color w:val="34343D"/>
        </w:rPr>
        <w:t xml:space="preserve"> </w:t>
      </w:r>
      <w:r>
        <w:rPr>
          <w:rFonts w:ascii="Arial" w:cs="Arial" w:eastAsia="Arial" w:hAnsi="Arial"/>
          <w:sz w:val="15"/>
          <w:szCs w:val="15"/>
          <w:color w:val="42444D"/>
        </w:rPr>
        <w:t>be</w:t>
      </w:r>
      <w:r>
        <w:rPr>
          <w:rFonts w:ascii="Arial" w:cs="Arial" w:eastAsia="Arial" w:hAnsi="Arial"/>
          <w:sz w:val="15"/>
          <w:szCs w:val="15"/>
          <w:color w:val="34343D"/>
        </w:rPr>
        <w:t xml:space="preserve"> taxed at </w:t>
      </w:r>
      <w:r>
        <w:rPr>
          <w:rFonts w:ascii="Arial" w:cs="Arial" w:eastAsia="Arial" w:hAnsi="Arial"/>
          <w:sz w:val="15"/>
          <w:szCs w:val="15"/>
          <w:color w:val="23232A"/>
        </w:rPr>
        <w:t>th</w:t>
      </w:r>
      <w:r>
        <w:rPr>
          <w:rFonts w:ascii="Arial" w:cs="Arial" w:eastAsia="Arial" w:hAnsi="Arial"/>
          <w:sz w:val="15"/>
          <w:szCs w:val="15"/>
          <w:color w:val="42444D"/>
        </w:rPr>
        <w:t>e</w:t>
      </w:r>
      <w:r>
        <w:rPr>
          <w:rFonts w:ascii="Arial" w:cs="Arial" w:eastAsia="Arial" w:hAnsi="Arial"/>
          <w:sz w:val="15"/>
          <w:szCs w:val="15"/>
          <w:color w:val="34343D"/>
        </w:rPr>
        <w:t xml:space="preserve"> time of </w:t>
      </w:r>
      <w:r>
        <w:rPr>
          <w:rFonts w:ascii="Arial" w:cs="Arial" w:eastAsia="Arial" w:hAnsi="Arial"/>
          <w:sz w:val="15"/>
          <w:szCs w:val="15"/>
          <w:color w:val="42444D"/>
        </w:rPr>
        <w:t>pay</w:t>
      </w:r>
      <w:r>
        <w:rPr>
          <w:rFonts w:ascii="Arial" w:cs="Arial" w:eastAsia="Arial" w:hAnsi="Arial"/>
          <w:sz w:val="15"/>
          <w:szCs w:val="15"/>
          <w:color w:val="23232A"/>
        </w:rPr>
        <w:t>ment.</w:t>
      </w:r>
    </w:p>
    <w:p>
      <w:pPr>
        <w:spacing w:after="0" w:line="212" w:lineRule="exact"/>
        <w:rPr>
          <w:sz w:val="20"/>
          <w:szCs w:val="20"/>
          <w:color w:val="auto"/>
        </w:rPr>
      </w:pPr>
    </w:p>
    <w:p>
      <w:pPr>
        <w:jc w:val="both"/>
        <w:ind w:left="180"/>
        <w:spacing w:after="0" w:line="255" w:lineRule="auto"/>
        <w:rPr>
          <w:sz w:val="20"/>
          <w:szCs w:val="20"/>
          <w:color w:val="auto"/>
        </w:rPr>
      </w:pPr>
      <w:r>
        <w:rPr>
          <w:rFonts w:ascii="Arial" w:cs="Arial" w:eastAsia="Arial" w:hAnsi="Arial"/>
          <w:sz w:val="15"/>
          <w:szCs w:val="15"/>
          <w:color w:val="23232A"/>
        </w:rPr>
        <w:t xml:space="preserve">I </w:t>
      </w:r>
      <w:r>
        <w:rPr>
          <w:rFonts w:ascii="Arial" w:cs="Arial" w:eastAsia="Arial" w:hAnsi="Arial"/>
          <w:sz w:val="15"/>
          <w:szCs w:val="15"/>
          <w:color w:val="34343D"/>
        </w:rPr>
        <w:t>acknowl</w:t>
      </w:r>
      <w:r>
        <w:rPr>
          <w:rFonts w:ascii="Arial" w:cs="Arial" w:eastAsia="Arial" w:hAnsi="Arial"/>
          <w:sz w:val="15"/>
          <w:szCs w:val="15"/>
          <w:color w:val="595B62"/>
        </w:rPr>
        <w:t>e</w:t>
      </w:r>
      <w:r>
        <w:rPr>
          <w:rFonts w:ascii="Arial" w:cs="Arial" w:eastAsia="Arial" w:hAnsi="Arial"/>
          <w:sz w:val="15"/>
          <w:szCs w:val="15"/>
          <w:color w:val="34343D"/>
        </w:rPr>
        <w:t>dge</w:t>
      </w:r>
      <w:r>
        <w:rPr>
          <w:rFonts w:ascii="Arial" w:cs="Arial" w:eastAsia="Arial" w:hAnsi="Arial"/>
          <w:sz w:val="15"/>
          <w:szCs w:val="15"/>
          <w:color w:val="23232A"/>
        </w:rPr>
        <w:t xml:space="preserve"> </w:t>
      </w:r>
      <w:r>
        <w:rPr>
          <w:rFonts w:ascii="Arial" w:cs="Arial" w:eastAsia="Arial" w:hAnsi="Arial"/>
          <w:sz w:val="15"/>
          <w:szCs w:val="15"/>
          <w:color w:val="42444D"/>
        </w:rPr>
        <w:t>and</w:t>
      </w:r>
      <w:r>
        <w:rPr>
          <w:rFonts w:ascii="Arial" w:cs="Arial" w:eastAsia="Arial" w:hAnsi="Arial"/>
          <w:sz w:val="15"/>
          <w:szCs w:val="15"/>
          <w:color w:val="23232A"/>
        </w:rPr>
        <w:t xml:space="preserve"> agree t</w:t>
      </w:r>
      <w:r>
        <w:rPr>
          <w:rFonts w:ascii="Arial" w:cs="Arial" w:eastAsia="Arial" w:hAnsi="Arial"/>
          <w:sz w:val="15"/>
          <w:szCs w:val="15"/>
          <w:color w:val="42444D"/>
        </w:rPr>
        <w:t>hat if</w:t>
      </w:r>
      <w:r>
        <w:rPr>
          <w:rFonts w:ascii="Arial" w:cs="Arial" w:eastAsia="Arial" w:hAnsi="Arial"/>
          <w:sz w:val="15"/>
          <w:szCs w:val="15"/>
          <w:color w:val="979799"/>
        </w:rPr>
        <w:t>,</w:t>
      </w:r>
      <w:r>
        <w:rPr>
          <w:rFonts w:ascii="Arial" w:cs="Arial" w:eastAsia="Arial" w:hAnsi="Arial"/>
          <w:sz w:val="15"/>
          <w:szCs w:val="15"/>
          <w:color w:val="23232A"/>
        </w:rPr>
        <w:t xml:space="preserve"> </w:t>
      </w:r>
      <w:r>
        <w:rPr>
          <w:rFonts w:ascii="Arial" w:cs="Arial" w:eastAsia="Arial" w:hAnsi="Arial"/>
          <w:sz w:val="15"/>
          <w:szCs w:val="15"/>
          <w:color w:val="34343D"/>
        </w:rPr>
        <w:t>within</w:t>
      </w:r>
      <w:r>
        <w:rPr>
          <w:rFonts w:ascii="Arial" w:cs="Arial" w:eastAsia="Arial" w:hAnsi="Arial"/>
          <w:sz w:val="15"/>
          <w:szCs w:val="15"/>
          <w:color w:val="23232A"/>
        </w:rPr>
        <w:t xml:space="preserve"> </w:t>
      </w:r>
      <w:r>
        <w:rPr>
          <w:rFonts w:ascii="Arial" w:cs="Arial" w:eastAsia="Arial" w:hAnsi="Arial"/>
          <w:sz w:val="15"/>
          <w:szCs w:val="15"/>
          <w:color w:val="595B62"/>
        </w:rPr>
        <w:t>2</w:t>
      </w:r>
      <w:r>
        <w:rPr>
          <w:rFonts w:ascii="Arial" w:cs="Arial" w:eastAsia="Arial" w:hAnsi="Arial"/>
          <w:sz w:val="15"/>
          <w:szCs w:val="15"/>
          <w:color w:val="34343D"/>
        </w:rPr>
        <w:t>4 months</w:t>
      </w:r>
      <w:r>
        <w:rPr>
          <w:rFonts w:ascii="Arial" w:cs="Arial" w:eastAsia="Arial" w:hAnsi="Arial"/>
          <w:sz w:val="15"/>
          <w:szCs w:val="15"/>
          <w:color w:val="23232A"/>
        </w:rPr>
        <w:t xml:space="preserve"> </w:t>
      </w:r>
      <w:r>
        <w:rPr>
          <w:rFonts w:ascii="Arial" w:cs="Arial" w:eastAsia="Arial" w:hAnsi="Arial"/>
          <w:sz w:val="15"/>
          <w:szCs w:val="15"/>
          <w:color w:val="42444D"/>
        </w:rPr>
        <w:t>of</w:t>
      </w:r>
      <w:r>
        <w:rPr>
          <w:rFonts w:ascii="Arial" w:cs="Arial" w:eastAsia="Arial" w:hAnsi="Arial"/>
          <w:sz w:val="15"/>
          <w:szCs w:val="15"/>
          <w:color w:val="23232A"/>
        </w:rPr>
        <w:t xml:space="preserve"> </w:t>
      </w:r>
      <w:r>
        <w:rPr>
          <w:rFonts w:ascii="Arial" w:cs="Arial" w:eastAsia="Arial" w:hAnsi="Arial"/>
          <w:sz w:val="15"/>
          <w:szCs w:val="15"/>
          <w:color w:val="34343D"/>
        </w:rPr>
        <w:t>the</w:t>
      </w:r>
      <w:r>
        <w:rPr>
          <w:rFonts w:ascii="Arial" w:cs="Arial" w:eastAsia="Arial" w:hAnsi="Arial"/>
          <w:sz w:val="15"/>
          <w:szCs w:val="15"/>
          <w:color w:val="23232A"/>
        </w:rPr>
        <w:t xml:space="preserve"> </w:t>
      </w:r>
      <w:r>
        <w:rPr>
          <w:rFonts w:ascii="Arial" w:cs="Arial" w:eastAsia="Arial" w:hAnsi="Arial"/>
          <w:sz w:val="15"/>
          <w:szCs w:val="15"/>
          <w:color w:val="42444D"/>
        </w:rPr>
        <w:t>e</w:t>
      </w:r>
      <w:r>
        <w:rPr>
          <w:rFonts w:ascii="Arial" w:cs="Arial" w:eastAsia="Arial" w:hAnsi="Arial"/>
          <w:sz w:val="15"/>
          <w:szCs w:val="15"/>
          <w:color w:val="23232A"/>
        </w:rPr>
        <w:t>ffec</w:t>
      </w:r>
      <w:r>
        <w:rPr>
          <w:rFonts w:ascii="Arial" w:cs="Arial" w:eastAsia="Arial" w:hAnsi="Arial"/>
          <w:sz w:val="15"/>
          <w:szCs w:val="15"/>
          <w:color w:val="42444D"/>
        </w:rPr>
        <w:t>tive</w:t>
      </w:r>
      <w:r>
        <w:rPr>
          <w:rFonts w:ascii="Arial" w:cs="Arial" w:eastAsia="Arial" w:hAnsi="Arial"/>
          <w:sz w:val="15"/>
          <w:szCs w:val="15"/>
          <w:color w:val="23232A"/>
        </w:rPr>
        <w:t xml:space="preserve"> dat</w:t>
      </w:r>
      <w:r>
        <w:rPr>
          <w:rFonts w:ascii="Arial" w:cs="Arial" w:eastAsia="Arial" w:hAnsi="Arial"/>
          <w:sz w:val="15"/>
          <w:szCs w:val="15"/>
          <w:color w:val="42444D"/>
        </w:rPr>
        <w:t>e of my emplo</w:t>
      </w:r>
      <w:r>
        <w:rPr>
          <w:rFonts w:ascii="Arial" w:cs="Arial" w:eastAsia="Arial" w:hAnsi="Arial"/>
          <w:sz w:val="15"/>
          <w:szCs w:val="15"/>
          <w:color w:val="23232A"/>
        </w:rPr>
        <w:t>ym</w:t>
      </w:r>
      <w:r>
        <w:rPr>
          <w:rFonts w:ascii="Arial" w:cs="Arial" w:eastAsia="Arial" w:hAnsi="Arial"/>
          <w:sz w:val="15"/>
          <w:szCs w:val="15"/>
          <w:color w:val="42444D"/>
        </w:rPr>
        <w:t>en</w:t>
      </w:r>
      <w:r>
        <w:rPr>
          <w:rFonts w:ascii="Arial" w:cs="Arial" w:eastAsia="Arial" w:hAnsi="Arial"/>
          <w:sz w:val="15"/>
          <w:szCs w:val="15"/>
          <w:color w:val="23232A"/>
        </w:rPr>
        <w:t xml:space="preserve">t </w:t>
      </w:r>
      <w:r>
        <w:rPr>
          <w:rFonts w:ascii="Arial" w:cs="Arial" w:eastAsia="Arial" w:hAnsi="Arial"/>
          <w:sz w:val="15"/>
          <w:szCs w:val="15"/>
          <w:color w:val="34343D"/>
        </w:rPr>
        <w:t>(start date),</w:t>
      </w:r>
      <w:r>
        <w:rPr>
          <w:rFonts w:ascii="Arial" w:cs="Arial" w:eastAsia="Arial" w:hAnsi="Arial"/>
          <w:sz w:val="15"/>
          <w:szCs w:val="15"/>
          <w:color w:val="23232A"/>
        </w:rPr>
        <w:t xml:space="preserve"> I </w:t>
      </w:r>
      <w:r>
        <w:rPr>
          <w:rFonts w:ascii="Arial" w:cs="Arial" w:eastAsia="Arial" w:hAnsi="Arial"/>
          <w:sz w:val="15"/>
          <w:szCs w:val="15"/>
          <w:color w:val="34343D"/>
        </w:rPr>
        <w:t>voluntarily</w:t>
      </w:r>
      <w:r>
        <w:rPr>
          <w:rFonts w:ascii="Arial" w:cs="Arial" w:eastAsia="Arial" w:hAnsi="Arial"/>
          <w:sz w:val="15"/>
          <w:szCs w:val="15"/>
          <w:color w:val="23232A"/>
        </w:rPr>
        <w:t xml:space="preserve"> t</w:t>
      </w:r>
      <w:r>
        <w:rPr>
          <w:rFonts w:ascii="Arial" w:cs="Arial" w:eastAsia="Arial" w:hAnsi="Arial"/>
          <w:sz w:val="15"/>
          <w:szCs w:val="15"/>
          <w:color w:val="42444D"/>
        </w:rPr>
        <w:t>ermina</w:t>
      </w:r>
      <w:r>
        <w:rPr>
          <w:rFonts w:ascii="Arial" w:cs="Arial" w:eastAsia="Arial" w:hAnsi="Arial"/>
          <w:sz w:val="15"/>
          <w:szCs w:val="15"/>
          <w:color w:val="23232A"/>
        </w:rPr>
        <w:t>t</w:t>
      </w:r>
      <w:r>
        <w:rPr>
          <w:rFonts w:ascii="Arial" w:cs="Arial" w:eastAsia="Arial" w:hAnsi="Arial"/>
          <w:sz w:val="15"/>
          <w:szCs w:val="15"/>
          <w:color w:val="42444D"/>
        </w:rPr>
        <w:t>e</w:t>
      </w:r>
      <w:r>
        <w:rPr>
          <w:rFonts w:ascii="Arial" w:cs="Arial" w:eastAsia="Arial" w:hAnsi="Arial"/>
          <w:sz w:val="15"/>
          <w:szCs w:val="15"/>
          <w:color w:val="23232A"/>
        </w:rPr>
        <w:t xml:space="preserve"> </w:t>
      </w:r>
      <w:r>
        <w:rPr>
          <w:rFonts w:ascii="Arial" w:cs="Arial" w:eastAsia="Arial" w:hAnsi="Arial"/>
          <w:sz w:val="15"/>
          <w:szCs w:val="15"/>
          <w:color w:val="34343D"/>
        </w:rPr>
        <w:t>my</w:t>
      </w:r>
      <w:r>
        <w:rPr>
          <w:rFonts w:ascii="Arial" w:cs="Arial" w:eastAsia="Arial" w:hAnsi="Arial"/>
          <w:sz w:val="15"/>
          <w:szCs w:val="15"/>
          <w:color w:val="23232A"/>
        </w:rPr>
        <w:t xml:space="preserve"> </w:t>
      </w:r>
      <w:r>
        <w:rPr>
          <w:rFonts w:ascii="Arial" w:cs="Arial" w:eastAsia="Arial" w:hAnsi="Arial"/>
          <w:sz w:val="15"/>
          <w:szCs w:val="15"/>
          <w:color w:val="42444D"/>
        </w:rPr>
        <w:t>empl</w:t>
      </w:r>
      <w:r>
        <w:rPr>
          <w:rFonts w:ascii="Arial" w:cs="Arial" w:eastAsia="Arial" w:hAnsi="Arial"/>
          <w:sz w:val="15"/>
          <w:szCs w:val="15"/>
          <w:color w:val="23232A"/>
        </w:rPr>
        <w:t>o</w:t>
      </w:r>
      <w:r>
        <w:rPr>
          <w:rFonts w:ascii="Arial" w:cs="Arial" w:eastAsia="Arial" w:hAnsi="Arial"/>
          <w:sz w:val="15"/>
          <w:szCs w:val="15"/>
          <w:color w:val="42444D"/>
        </w:rPr>
        <w:t>y</w:t>
      </w:r>
      <w:r>
        <w:rPr>
          <w:rFonts w:ascii="Arial" w:cs="Arial" w:eastAsia="Arial" w:hAnsi="Arial"/>
          <w:sz w:val="15"/>
          <w:szCs w:val="15"/>
          <w:color w:val="23232A"/>
        </w:rPr>
        <w:t xml:space="preserve">ment </w:t>
      </w:r>
      <w:r>
        <w:rPr>
          <w:rFonts w:ascii="Arial" w:cs="Arial" w:eastAsia="Arial" w:hAnsi="Arial"/>
          <w:sz w:val="15"/>
          <w:szCs w:val="15"/>
          <w:color w:val="42444D"/>
        </w:rPr>
        <w:t>or</w:t>
      </w:r>
      <w:r>
        <w:rPr>
          <w:rFonts w:ascii="Arial" w:cs="Arial" w:eastAsia="Arial" w:hAnsi="Arial"/>
          <w:sz w:val="15"/>
          <w:szCs w:val="15"/>
          <w:color w:val="23232A"/>
        </w:rPr>
        <w:t xml:space="preserve"> </w:t>
      </w:r>
      <w:r>
        <w:rPr>
          <w:rFonts w:ascii="Arial" w:cs="Arial" w:eastAsia="Arial" w:hAnsi="Arial"/>
          <w:sz w:val="15"/>
          <w:szCs w:val="15"/>
          <w:color w:val="34343D"/>
        </w:rPr>
        <w:t xml:space="preserve">Biogen </w:t>
      </w:r>
      <w:r>
        <w:rPr>
          <w:rFonts w:ascii="Arial" w:cs="Arial" w:eastAsia="Arial" w:hAnsi="Arial"/>
          <w:sz w:val="15"/>
          <w:szCs w:val="15"/>
          <w:color w:val="23232A"/>
        </w:rPr>
        <w:t>t</w:t>
      </w:r>
      <w:r>
        <w:rPr>
          <w:rFonts w:ascii="Arial" w:cs="Arial" w:eastAsia="Arial" w:hAnsi="Arial"/>
          <w:sz w:val="15"/>
          <w:szCs w:val="15"/>
          <w:color w:val="42444D"/>
        </w:rPr>
        <w:t>erminates my employment</w:t>
      </w:r>
      <w:r>
        <w:rPr>
          <w:rFonts w:ascii="Arial" w:cs="Arial" w:eastAsia="Arial" w:hAnsi="Arial"/>
          <w:sz w:val="15"/>
          <w:szCs w:val="15"/>
          <w:color w:val="34343D"/>
        </w:rPr>
        <w:t xml:space="preserve"> </w:t>
      </w:r>
      <w:r>
        <w:rPr>
          <w:rFonts w:ascii="Arial" w:cs="Arial" w:eastAsia="Arial" w:hAnsi="Arial"/>
          <w:sz w:val="15"/>
          <w:szCs w:val="15"/>
          <w:color w:val="23232A"/>
        </w:rPr>
        <w:t>For</w:t>
      </w:r>
      <w:r>
        <w:rPr>
          <w:rFonts w:ascii="Arial" w:cs="Arial" w:eastAsia="Arial" w:hAnsi="Arial"/>
          <w:sz w:val="15"/>
          <w:szCs w:val="15"/>
          <w:color w:val="34343D"/>
        </w:rPr>
        <w:t xml:space="preserve"> Cause</w:t>
      </w:r>
      <w:r>
        <w:rPr>
          <w:rFonts w:ascii="Arial" w:cs="Arial" w:eastAsia="Arial" w:hAnsi="Arial"/>
          <w:sz w:val="15"/>
          <w:szCs w:val="15"/>
          <w:color w:val="797C83"/>
        </w:rPr>
        <w:t>,</w:t>
      </w:r>
      <w:r>
        <w:rPr>
          <w:rFonts w:ascii="Arial" w:cs="Arial" w:eastAsia="Arial" w:hAnsi="Arial"/>
          <w:sz w:val="15"/>
          <w:szCs w:val="15"/>
          <w:color w:val="34343D"/>
        </w:rPr>
        <w:t xml:space="preserve"> </w:t>
      </w:r>
      <w:r>
        <w:rPr>
          <w:rFonts w:ascii="Arial" w:cs="Arial" w:eastAsia="Arial" w:hAnsi="Arial"/>
          <w:sz w:val="15"/>
          <w:szCs w:val="15"/>
          <w:color w:val="42444D"/>
        </w:rPr>
        <w:t>as</w:t>
      </w:r>
      <w:r>
        <w:rPr>
          <w:rFonts w:ascii="Arial" w:cs="Arial" w:eastAsia="Arial" w:hAnsi="Arial"/>
          <w:sz w:val="15"/>
          <w:szCs w:val="15"/>
          <w:color w:val="34343D"/>
        </w:rPr>
        <w:t xml:space="preserve"> defined </w:t>
      </w:r>
      <w:r>
        <w:rPr>
          <w:rFonts w:ascii="Arial" w:cs="Arial" w:eastAsia="Arial" w:hAnsi="Arial"/>
          <w:sz w:val="15"/>
          <w:szCs w:val="15"/>
          <w:color w:val="23232A"/>
        </w:rPr>
        <w:t>in</w:t>
      </w:r>
      <w:r>
        <w:rPr>
          <w:rFonts w:ascii="Arial" w:cs="Arial" w:eastAsia="Arial" w:hAnsi="Arial"/>
          <w:sz w:val="15"/>
          <w:szCs w:val="15"/>
          <w:color w:val="34343D"/>
        </w:rPr>
        <w:t xml:space="preserve"> the </w:t>
      </w:r>
      <w:r>
        <w:rPr>
          <w:rFonts w:ascii="Arial" w:cs="Arial" w:eastAsia="Arial" w:hAnsi="Arial"/>
          <w:sz w:val="15"/>
          <w:szCs w:val="15"/>
          <w:color w:val="23232A"/>
        </w:rPr>
        <w:t>Bi</w:t>
      </w:r>
      <w:r>
        <w:rPr>
          <w:rFonts w:ascii="Arial" w:cs="Arial" w:eastAsia="Arial" w:hAnsi="Arial"/>
          <w:sz w:val="15"/>
          <w:szCs w:val="15"/>
          <w:color w:val="42444D"/>
        </w:rPr>
        <w:t>ogen</w:t>
      </w:r>
      <w:r>
        <w:rPr>
          <w:rFonts w:ascii="Arial" w:cs="Arial" w:eastAsia="Arial" w:hAnsi="Arial"/>
          <w:sz w:val="15"/>
          <w:szCs w:val="15"/>
          <w:color w:val="34343D"/>
        </w:rPr>
        <w:t xml:space="preserve"> </w:t>
      </w:r>
      <w:r>
        <w:rPr>
          <w:rFonts w:ascii="Arial" w:cs="Arial" w:eastAsia="Arial" w:hAnsi="Arial"/>
          <w:sz w:val="15"/>
          <w:szCs w:val="15"/>
          <w:color w:val="23232A"/>
        </w:rPr>
        <w:t>In</w:t>
      </w:r>
      <w:r>
        <w:rPr>
          <w:rFonts w:ascii="Arial" w:cs="Arial" w:eastAsia="Arial" w:hAnsi="Arial"/>
          <w:sz w:val="15"/>
          <w:szCs w:val="15"/>
          <w:color w:val="42444D"/>
        </w:rPr>
        <w:t>c. 20</w:t>
      </w:r>
      <w:r>
        <w:rPr>
          <w:rFonts w:ascii="Arial" w:cs="Arial" w:eastAsia="Arial" w:hAnsi="Arial"/>
          <w:sz w:val="15"/>
          <w:szCs w:val="15"/>
          <w:color w:val="23232A"/>
        </w:rPr>
        <w:t>0</w:t>
      </w:r>
      <w:r>
        <w:rPr>
          <w:rFonts w:ascii="Arial" w:cs="Arial" w:eastAsia="Arial" w:hAnsi="Arial"/>
          <w:sz w:val="15"/>
          <w:szCs w:val="15"/>
          <w:color w:val="42444D"/>
        </w:rPr>
        <w:t>8</w:t>
      </w:r>
      <w:r>
        <w:rPr>
          <w:rFonts w:ascii="Arial" w:cs="Arial" w:eastAsia="Arial" w:hAnsi="Arial"/>
          <w:sz w:val="15"/>
          <w:szCs w:val="15"/>
          <w:color w:val="34343D"/>
        </w:rPr>
        <w:t xml:space="preserve"> Omnibus </w:t>
      </w:r>
      <w:r>
        <w:rPr>
          <w:rFonts w:ascii="Arial" w:cs="Arial" w:eastAsia="Arial" w:hAnsi="Arial"/>
          <w:sz w:val="15"/>
          <w:szCs w:val="15"/>
          <w:color w:val="42444D"/>
        </w:rPr>
        <w:t>Equity</w:t>
      </w:r>
      <w:r>
        <w:rPr>
          <w:rFonts w:ascii="Arial" w:cs="Arial" w:eastAsia="Arial" w:hAnsi="Arial"/>
          <w:sz w:val="15"/>
          <w:szCs w:val="15"/>
          <w:color w:val="34343D"/>
        </w:rPr>
        <w:t xml:space="preserve"> Plan</w:t>
      </w:r>
      <w:r>
        <w:rPr>
          <w:rFonts w:ascii="Arial" w:cs="Arial" w:eastAsia="Arial" w:hAnsi="Arial"/>
          <w:sz w:val="15"/>
          <w:szCs w:val="15"/>
          <w:color w:val="6B6B72"/>
        </w:rPr>
        <w:t>,</w:t>
      </w:r>
      <w:r>
        <w:rPr>
          <w:rFonts w:ascii="Arial" w:cs="Arial" w:eastAsia="Arial" w:hAnsi="Arial"/>
          <w:sz w:val="15"/>
          <w:szCs w:val="15"/>
          <w:color w:val="34343D"/>
        </w:rPr>
        <w:t xml:space="preserve"> </w:t>
      </w:r>
      <w:r>
        <w:rPr>
          <w:rFonts w:ascii="Arial" w:cs="Arial" w:eastAsia="Arial" w:hAnsi="Arial"/>
          <w:sz w:val="15"/>
          <w:szCs w:val="15"/>
          <w:color w:val="42444D"/>
        </w:rPr>
        <w:t>o</w:t>
      </w:r>
      <w:r>
        <w:rPr>
          <w:rFonts w:ascii="Arial" w:cs="Arial" w:eastAsia="Arial" w:hAnsi="Arial"/>
          <w:sz w:val="15"/>
          <w:szCs w:val="15"/>
          <w:color w:val="23232A"/>
        </w:rPr>
        <w:t>r f</w:t>
      </w:r>
      <w:r>
        <w:rPr>
          <w:rFonts w:ascii="Arial" w:cs="Arial" w:eastAsia="Arial" w:hAnsi="Arial"/>
          <w:sz w:val="15"/>
          <w:szCs w:val="15"/>
          <w:color w:val="42444D"/>
        </w:rPr>
        <w:t>o</w:t>
      </w:r>
      <w:r>
        <w:rPr>
          <w:rFonts w:ascii="Arial" w:cs="Arial" w:eastAsia="Arial" w:hAnsi="Arial"/>
          <w:sz w:val="15"/>
          <w:szCs w:val="15"/>
          <w:color w:val="23232A"/>
        </w:rPr>
        <w:t>r</w:t>
      </w:r>
      <w:r>
        <w:rPr>
          <w:rFonts w:ascii="Arial" w:cs="Arial" w:eastAsia="Arial" w:hAnsi="Arial"/>
          <w:sz w:val="15"/>
          <w:szCs w:val="15"/>
          <w:color w:val="34343D"/>
        </w:rPr>
        <w:t xml:space="preserve"> misconduct </w:t>
      </w:r>
      <w:r>
        <w:rPr>
          <w:rFonts w:ascii="Arial" w:cs="Arial" w:eastAsia="Arial" w:hAnsi="Arial"/>
          <w:sz w:val="15"/>
          <w:szCs w:val="15"/>
          <w:color w:val="42444D"/>
        </w:rPr>
        <w:t>or</w:t>
      </w:r>
      <w:r>
        <w:rPr>
          <w:rFonts w:ascii="Arial" w:cs="Arial" w:eastAsia="Arial" w:hAnsi="Arial"/>
          <w:sz w:val="15"/>
          <w:szCs w:val="15"/>
          <w:color w:val="34343D"/>
        </w:rPr>
        <w:t xml:space="preserve"> poor performance, </w:t>
      </w:r>
      <w:r>
        <w:rPr>
          <w:rFonts w:ascii="Arial" w:cs="Arial" w:eastAsia="Arial" w:hAnsi="Arial"/>
          <w:sz w:val="15"/>
          <w:szCs w:val="15"/>
          <w:color w:val="42444D"/>
        </w:rPr>
        <w:t>as</w:t>
      </w:r>
      <w:r>
        <w:rPr>
          <w:rFonts w:ascii="Arial" w:cs="Arial" w:eastAsia="Arial" w:hAnsi="Arial"/>
          <w:sz w:val="15"/>
          <w:szCs w:val="15"/>
          <w:color w:val="34343D"/>
        </w:rPr>
        <w:t xml:space="preserve"> </w:t>
      </w:r>
      <w:r>
        <w:rPr>
          <w:rFonts w:ascii="Arial" w:cs="Arial" w:eastAsia="Arial" w:hAnsi="Arial"/>
          <w:sz w:val="15"/>
          <w:szCs w:val="15"/>
          <w:color w:val="23232A"/>
        </w:rPr>
        <w:t>d</w:t>
      </w:r>
      <w:r>
        <w:rPr>
          <w:rFonts w:ascii="Arial" w:cs="Arial" w:eastAsia="Arial" w:hAnsi="Arial"/>
          <w:sz w:val="15"/>
          <w:szCs w:val="15"/>
          <w:color w:val="42444D"/>
        </w:rPr>
        <w:t>e</w:t>
      </w:r>
      <w:r>
        <w:rPr>
          <w:rFonts w:ascii="Arial" w:cs="Arial" w:eastAsia="Arial" w:hAnsi="Arial"/>
          <w:sz w:val="15"/>
          <w:szCs w:val="15"/>
          <w:color w:val="23232A"/>
        </w:rPr>
        <w:t>t</w:t>
      </w:r>
      <w:r>
        <w:rPr>
          <w:rFonts w:ascii="Arial" w:cs="Arial" w:eastAsia="Arial" w:hAnsi="Arial"/>
          <w:sz w:val="15"/>
          <w:szCs w:val="15"/>
          <w:color w:val="42444D"/>
        </w:rPr>
        <w:t>e</w:t>
      </w:r>
      <w:r>
        <w:rPr>
          <w:rFonts w:ascii="Arial" w:cs="Arial" w:eastAsia="Arial" w:hAnsi="Arial"/>
          <w:sz w:val="15"/>
          <w:szCs w:val="15"/>
          <w:color w:val="23232A"/>
        </w:rPr>
        <w:t>rmin</w:t>
      </w:r>
      <w:r>
        <w:rPr>
          <w:rFonts w:ascii="Arial" w:cs="Arial" w:eastAsia="Arial" w:hAnsi="Arial"/>
          <w:sz w:val="15"/>
          <w:szCs w:val="15"/>
          <w:color w:val="42444D"/>
        </w:rPr>
        <w:t>ed i</w:t>
      </w:r>
      <w:r>
        <w:rPr>
          <w:rFonts w:ascii="Arial" w:cs="Arial" w:eastAsia="Arial" w:hAnsi="Arial"/>
          <w:sz w:val="15"/>
          <w:szCs w:val="15"/>
          <w:color w:val="23232A"/>
        </w:rPr>
        <w:t xml:space="preserve">n </w:t>
      </w:r>
      <w:r>
        <w:rPr>
          <w:rFonts w:ascii="Arial" w:cs="Arial" w:eastAsia="Arial" w:hAnsi="Arial"/>
          <w:sz w:val="15"/>
          <w:szCs w:val="15"/>
          <w:color w:val="34343D"/>
        </w:rPr>
        <w:t>good</w:t>
      </w:r>
      <w:r>
        <w:rPr>
          <w:rFonts w:ascii="Arial" w:cs="Arial" w:eastAsia="Arial" w:hAnsi="Arial"/>
          <w:sz w:val="15"/>
          <w:szCs w:val="15"/>
          <w:color w:val="23232A"/>
        </w:rPr>
        <w:t xml:space="preserve"> faith </w:t>
      </w:r>
      <w:r>
        <w:rPr>
          <w:rFonts w:ascii="Arial" w:cs="Arial" w:eastAsia="Arial" w:hAnsi="Arial"/>
          <w:sz w:val="15"/>
          <w:szCs w:val="15"/>
          <w:color w:val="34343D"/>
        </w:rPr>
        <w:t>by</w:t>
      </w:r>
      <w:r>
        <w:rPr>
          <w:rFonts w:ascii="Arial" w:cs="Arial" w:eastAsia="Arial" w:hAnsi="Arial"/>
          <w:sz w:val="15"/>
          <w:szCs w:val="15"/>
          <w:color w:val="23232A"/>
        </w:rPr>
        <w:t xml:space="preserve"> the </w:t>
      </w:r>
      <w:r>
        <w:rPr>
          <w:rFonts w:ascii="Arial" w:cs="Arial" w:eastAsia="Arial" w:hAnsi="Arial"/>
          <w:sz w:val="15"/>
          <w:szCs w:val="15"/>
          <w:color w:val="42444D"/>
        </w:rPr>
        <w:t>Com</w:t>
      </w:r>
      <w:r>
        <w:rPr>
          <w:rFonts w:ascii="Arial" w:cs="Arial" w:eastAsia="Arial" w:hAnsi="Arial"/>
          <w:sz w:val="15"/>
          <w:szCs w:val="15"/>
          <w:color w:val="23232A"/>
        </w:rPr>
        <w:t>pany, I will n</w:t>
      </w:r>
      <w:r>
        <w:rPr>
          <w:rFonts w:ascii="Arial" w:cs="Arial" w:eastAsia="Arial" w:hAnsi="Arial"/>
          <w:sz w:val="15"/>
          <w:szCs w:val="15"/>
          <w:color w:val="42444D"/>
        </w:rPr>
        <w:t>ot</w:t>
      </w:r>
      <w:r>
        <w:rPr>
          <w:rFonts w:ascii="Arial" w:cs="Arial" w:eastAsia="Arial" w:hAnsi="Arial"/>
          <w:sz w:val="15"/>
          <w:szCs w:val="15"/>
          <w:color w:val="23232A"/>
        </w:rPr>
        <w:t xml:space="preserve"> h</w:t>
      </w:r>
      <w:r>
        <w:rPr>
          <w:rFonts w:ascii="Arial" w:cs="Arial" w:eastAsia="Arial" w:hAnsi="Arial"/>
          <w:sz w:val="15"/>
          <w:szCs w:val="15"/>
          <w:color w:val="42444D"/>
        </w:rPr>
        <w:t>ave</w:t>
      </w:r>
      <w:r>
        <w:rPr>
          <w:rFonts w:ascii="Arial" w:cs="Arial" w:eastAsia="Arial" w:hAnsi="Arial"/>
          <w:sz w:val="15"/>
          <w:szCs w:val="15"/>
          <w:color w:val="23232A"/>
        </w:rPr>
        <w:t xml:space="preserve"> </w:t>
      </w:r>
      <w:r>
        <w:rPr>
          <w:rFonts w:ascii="Arial" w:cs="Arial" w:eastAsia="Arial" w:hAnsi="Arial"/>
          <w:sz w:val="15"/>
          <w:szCs w:val="15"/>
          <w:color w:val="34343D"/>
        </w:rPr>
        <w:t>earned</w:t>
      </w:r>
      <w:r>
        <w:rPr>
          <w:rFonts w:ascii="Arial" w:cs="Arial" w:eastAsia="Arial" w:hAnsi="Arial"/>
          <w:sz w:val="15"/>
          <w:szCs w:val="15"/>
          <w:color w:val="23232A"/>
        </w:rPr>
        <w:t xml:space="preserve"> the </w:t>
      </w:r>
      <w:r>
        <w:rPr>
          <w:rFonts w:ascii="Arial" w:cs="Arial" w:eastAsia="Arial" w:hAnsi="Arial"/>
          <w:sz w:val="15"/>
          <w:szCs w:val="15"/>
          <w:color w:val="42444D"/>
        </w:rPr>
        <w:t>cas</w:t>
      </w:r>
      <w:r>
        <w:rPr>
          <w:rFonts w:ascii="Arial" w:cs="Arial" w:eastAsia="Arial" w:hAnsi="Arial"/>
          <w:sz w:val="15"/>
          <w:szCs w:val="15"/>
          <w:color w:val="23232A"/>
        </w:rPr>
        <w:t xml:space="preserve">h </w:t>
      </w:r>
      <w:r>
        <w:rPr>
          <w:rFonts w:ascii="Arial" w:cs="Arial" w:eastAsia="Arial" w:hAnsi="Arial"/>
          <w:sz w:val="15"/>
          <w:szCs w:val="15"/>
          <w:color w:val="42444D"/>
        </w:rPr>
        <w:t>s</w:t>
      </w:r>
      <w:r>
        <w:rPr>
          <w:rFonts w:ascii="Arial" w:cs="Arial" w:eastAsia="Arial" w:hAnsi="Arial"/>
          <w:sz w:val="15"/>
          <w:szCs w:val="15"/>
          <w:color w:val="23232A"/>
        </w:rPr>
        <w:t>ign</w:t>
      </w:r>
      <w:r>
        <w:rPr>
          <w:rFonts w:ascii="Arial" w:cs="Arial" w:eastAsia="Arial" w:hAnsi="Arial"/>
          <w:sz w:val="15"/>
          <w:szCs w:val="15"/>
          <w:color w:val="797C83"/>
        </w:rPr>
        <w:t>-</w:t>
      </w:r>
      <w:r>
        <w:rPr>
          <w:rFonts w:ascii="Arial" w:cs="Arial" w:eastAsia="Arial" w:hAnsi="Arial"/>
          <w:sz w:val="15"/>
          <w:szCs w:val="15"/>
          <w:color w:val="34343D"/>
        </w:rPr>
        <w:t>on</w:t>
      </w:r>
      <w:r>
        <w:rPr>
          <w:rFonts w:ascii="Arial" w:cs="Arial" w:eastAsia="Arial" w:hAnsi="Arial"/>
          <w:sz w:val="15"/>
          <w:szCs w:val="15"/>
          <w:color w:val="23232A"/>
        </w:rPr>
        <w:t xml:space="preserve"> bonus provided to </w:t>
      </w:r>
      <w:r>
        <w:rPr>
          <w:rFonts w:ascii="Arial" w:cs="Arial" w:eastAsia="Arial" w:hAnsi="Arial"/>
          <w:sz w:val="15"/>
          <w:szCs w:val="15"/>
          <w:color w:val="34343D"/>
        </w:rPr>
        <w:t>me</w:t>
      </w:r>
      <w:r>
        <w:rPr>
          <w:rFonts w:ascii="Arial" w:cs="Arial" w:eastAsia="Arial" w:hAnsi="Arial"/>
          <w:sz w:val="15"/>
          <w:szCs w:val="15"/>
          <w:color w:val="23232A"/>
        </w:rPr>
        <w:t xml:space="preserve"> und</w:t>
      </w:r>
      <w:r>
        <w:rPr>
          <w:rFonts w:ascii="Arial" w:cs="Arial" w:eastAsia="Arial" w:hAnsi="Arial"/>
          <w:sz w:val="15"/>
          <w:szCs w:val="15"/>
          <w:color w:val="42444D"/>
        </w:rPr>
        <w:t>er</w:t>
      </w:r>
      <w:r>
        <w:rPr>
          <w:rFonts w:ascii="Arial" w:cs="Arial" w:eastAsia="Arial" w:hAnsi="Arial"/>
          <w:sz w:val="15"/>
          <w:szCs w:val="15"/>
          <w:color w:val="23232A"/>
        </w:rPr>
        <w:t xml:space="preserve"> </w:t>
      </w:r>
      <w:r>
        <w:rPr>
          <w:rFonts w:ascii="Arial" w:cs="Arial" w:eastAsia="Arial" w:hAnsi="Arial"/>
          <w:sz w:val="15"/>
          <w:szCs w:val="15"/>
          <w:color w:val="34343D"/>
        </w:rPr>
        <w:t>this Agreement</w:t>
      </w:r>
      <w:r>
        <w:rPr>
          <w:rFonts w:ascii="Arial" w:cs="Arial" w:eastAsia="Arial" w:hAnsi="Arial"/>
          <w:sz w:val="15"/>
          <w:szCs w:val="15"/>
          <w:color w:val="23232A"/>
        </w:rPr>
        <w:t xml:space="preserve"> </w:t>
      </w:r>
      <w:r>
        <w:rPr>
          <w:rFonts w:ascii="Arial" w:cs="Arial" w:eastAsia="Arial" w:hAnsi="Arial"/>
          <w:sz w:val="15"/>
          <w:szCs w:val="15"/>
          <w:color w:val="42444D"/>
        </w:rPr>
        <w:t>a</w:t>
      </w:r>
      <w:r>
        <w:rPr>
          <w:rFonts w:ascii="Arial" w:cs="Arial" w:eastAsia="Arial" w:hAnsi="Arial"/>
          <w:sz w:val="15"/>
          <w:szCs w:val="15"/>
          <w:color w:val="23232A"/>
        </w:rPr>
        <w:t xml:space="preserve">nd I </w:t>
      </w:r>
      <w:r>
        <w:rPr>
          <w:rFonts w:ascii="Arial" w:cs="Arial" w:eastAsia="Arial" w:hAnsi="Arial"/>
          <w:sz w:val="15"/>
          <w:szCs w:val="15"/>
          <w:color w:val="42444D"/>
        </w:rPr>
        <w:t>will</w:t>
      </w:r>
      <w:r>
        <w:rPr>
          <w:rFonts w:ascii="Arial" w:cs="Arial" w:eastAsia="Arial" w:hAnsi="Arial"/>
          <w:sz w:val="15"/>
          <w:szCs w:val="15"/>
          <w:color w:val="23232A"/>
        </w:rPr>
        <w:t xml:space="preserve"> </w:t>
      </w:r>
      <w:r>
        <w:rPr>
          <w:rFonts w:ascii="Arial" w:cs="Arial" w:eastAsia="Arial" w:hAnsi="Arial"/>
          <w:sz w:val="15"/>
          <w:szCs w:val="15"/>
          <w:color w:val="34343D"/>
        </w:rPr>
        <w:t>repay</w:t>
      </w:r>
      <w:r>
        <w:rPr>
          <w:rFonts w:ascii="Arial" w:cs="Arial" w:eastAsia="Arial" w:hAnsi="Arial"/>
          <w:sz w:val="15"/>
          <w:szCs w:val="15"/>
          <w:color w:val="23232A"/>
        </w:rPr>
        <w:t xml:space="preserve"> </w:t>
      </w:r>
      <w:r>
        <w:rPr>
          <w:rFonts w:ascii="Arial" w:cs="Arial" w:eastAsia="Arial" w:hAnsi="Arial"/>
          <w:sz w:val="15"/>
          <w:szCs w:val="15"/>
          <w:color w:val="42444D"/>
        </w:rPr>
        <w:t>suc</w:t>
      </w:r>
      <w:r>
        <w:rPr>
          <w:rFonts w:ascii="Arial" w:cs="Arial" w:eastAsia="Arial" w:hAnsi="Arial"/>
          <w:sz w:val="15"/>
          <w:szCs w:val="15"/>
          <w:color w:val="23232A"/>
        </w:rPr>
        <w:t xml:space="preserve">h </w:t>
      </w:r>
      <w:r>
        <w:rPr>
          <w:rFonts w:ascii="Arial" w:cs="Arial" w:eastAsia="Arial" w:hAnsi="Arial"/>
          <w:sz w:val="15"/>
          <w:szCs w:val="15"/>
          <w:color w:val="42444D"/>
        </w:rPr>
        <w:t>bonus accordi</w:t>
      </w:r>
      <w:r>
        <w:rPr>
          <w:rFonts w:ascii="Arial" w:cs="Arial" w:eastAsia="Arial" w:hAnsi="Arial"/>
          <w:sz w:val="15"/>
          <w:szCs w:val="15"/>
          <w:color w:val="23232A"/>
        </w:rPr>
        <w:t>ng</w:t>
      </w:r>
      <w:r>
        <w:rPr>
          <w:rFonts w:ascii="Arial" w:cs="Arial" w:eastAsia="Arial" w:hAnsi="Arial"/>
          <w:sz w:val="15"/>
          <w:szCs w:val="15"/>
          <w:color w:val="42444D"/>
        </w:rPr>
        <w:t xml:space="preserve"> </w:t>
      </w:r>
      <w:r>
        <w:rPr>
          <w:rFonts w:ascii="Arial" w:cs="Arial" w:eastAsia="Arial" w:hAnsi="Arial"/>
          <w:sz w:val="15"/>
          <w:szCs w:val="15"/>
          <w:color w:val="34343D"/>
        </w:rPr>
        <w:t>to</w:t>
      </w:r>
      <w:r>
        <w:rPr>
          <w:rFonts w:ascii="Arial" w:cs="Arial" w:eastAsia="Arial" w:hAnsi="Arial"/>
          <w:sz w:val="15"/>
          <w:szCs w:val="15"/>
          <w:color w:val="42444D"/>
        </w:rPr>
        <w:t xml:space="preserve"> </w:t>
      </w:r>
      <w:r>
        <w:rPr>
          <w:rFonts w:ascii="Arial" w:cs="Arial" w:eastAsia="Arial" w:hAnsi="Arial"/>
          <w:sz w:val="15"/>
          <w:szCs w:val="15"/>
          <w:color w:val="23232A"/>
        </w:rPr>
        <w:t>the</w:t>
      </w:r>
      <w:r>
        <w:rPr>
          <w:rFonts w:ascii="Arial" w:cs="Arial" w:eastAsia="Arial" w:hAnsi="Arial"/>
          <w:sz w:val="15"/>
          <w:szCs w:val="15"/>
          <w:color w:val="42444D"/>
        </w:rPr>
        <w:t xml:space="preserve"> </w:t>
      </w:r>
      <w:r>
        <w:rPr>
          <w:rFonts w:ascii="Arial" w:cs="Arial" w:eastAsia="Arial" w:hAnsi="Arial"/>
          <w:sz w:val="15"/>
          <w:szCs w:val="15"/>
          <w:color w:val="34343D"/>
        </w:rPr>
        <w:t>following</w:t>
      </w:r>
      <w:r>
        <w:rPr>
          <w:rFonts w:ascii="Arial" w:cs="Arial" w:eastAsia="Arial" w:hAnsi="Arial"/>
          <w:sz w:val="15"/>
          <w:szCs w:val="15"/>
          <w:color w:val="42444D"/>
        </w:rPr>
        <w:t xml:space="preserve"> sc</w:t>
      </w:r>
      <w:r>
        <w:rPr>
          <w:rFonts w:ascii="Arial" w:cs="Arial" w:eastAsia="Arial" w:hAnsi="Arial"/>
          <w:sz w:val="15"/>
          <w:szCs w:val="15"/>
          <w:color w:val="23232A"/>
        </w:rPr>
        <w:t>h</w:t>
      </w:r>
      <w:r>
        <w:rPr>
          <w:rFonts w:ascii="Arial" w:cs="Arial" w:eastAsia="Arial" w:hAnsi="Arial"/>
          <w:sz w:val="15"/>
          <w:szCs w:val="15"/>
          <w:color w:val="42444D"/>
        </w:rPr>
        <w:t>edu</w:t>
      </w:r>
      <w:r>
        <w:rPr>
          <w:rFonts w:ascii="Arial" w:cs="Arial" w:eastAsia="Arial" w:hAnsi="Arial"/>
          <w:sz w:val="15"/>
          <w:szCs w:val="15"/>
          <w:color w:val="23232A"/>
        </w:rPr>
        <w:t>le</w:t>
      </w:r>
      <w:r>
        <w:rPr>
          <w:rFonts w:ascii="Arial" w:cs="Arial" w:eastAsia="Arial" w:hAnsi="Arial"/>
          <w:sz w:val="15"/>
          <w:szCs w:val="15"/>
          <w:color w:val="979799"/>
        </w:rPr>
        <w:t>:</w:t>
      </w:r>
    </w:p>
    <w:p>
      <w:pPr>
        <w:spacing w:after="0" w:line="189" w:lineRule="exact"/>
        <w:rPr>
          <w:sz w:val="20"/>
          <w:szCs w:val="20"/>
          <w:color w:val="auto"/>
        </w:rPr>
      </w:pPr>
    </w:p>
    <w:p>
      <w:pPr>
        <w:ind w:left="640" w:hanging="301"/>
        <w:spacing w:after="0" w:line="266" w:lineRule="auto"/>
        <w:tabs>
          <w:tab w:leader="none" w:pos="524" w:val="left"/>
        </w:tabs>
        <w:numPr>
          <w:ilvl w:val="0"/>
          <w:numId w:val="159"/>
        </w:numPr>
        <w:rPr>
          <w:rFonts w:ascii="Arial" w:cs="Arial" w:eastAsia="Arial" w:hAnsi="Arial"/>
          <w:sz w:val="15"/>
          <w:szCs w:val="15"/>
          <w:color w:val="42444D"/>
        </w:rPr>
      </w:pPr>
      <w:r>
        <w:rPr>
          <w:rFonts w:ascii="Arial" w:cs="Arial" w:eastAsia="Arial" w:hAnsi="Arial"/>
          <w:sz w:val="15"/>
          <w:szCs w:val="15"/>
          <w:color w:val="23232A"/>
        </w:rPr>
        <w:t xml:space="preserve">If </w:t>
      </w:r>
      <w:r>
        <w:rPr>
          <w:rFonts w:ascii="Arial" w:cs="Arial" w:eastAsia="Arial" w:hAnsi="Arial"/>
          <w:sz w:val="15"/>
          <w:szCs w:val="15"/>
          <w:color w:val="42444D"/>
        </w:rPr>
        <w:t>my e</w:t>
      </w:r>
      <w:r>
        <w:rPr>
          <w:rFonts w:ascii="Arial" w:cs="Arial" w:eastAsia="Arial" w:hAnsi="Arial"/>
          <w:sz w:val="15"/>
          <w:szCs w:val="15"/>
          <w:color w:val="23232A"/>
        </w:rPr>
        <w:t>mpl</w:t>
      </w:r>
      <w:r>
        <w:rPr>
          <w:rFonts w:ascii="Arial" w:cs="Arial" w:eastAsia="Arial" w:hAnsi="Arial"/>
          <w:sz w:val="15"/>
          <w:szCs w:val="15"/>
          <w:color w:val="42444D"/>
        </w:rPr>
        <w:t>oy</w:t>
      </w:r>
      <w:r>
        <w:rPr>
          <w:rFonts w:ascii="Arial" w:cs="Arial" w:eastAsia="Arial" w:hAnsi="Arial"/>
          <w:sz w:val="15"/>
          <w:szCs w:val="15"/>
          <w:color w:val="23232A"/>
        </w:rPr>
        <w:t>m</w:t>
      </w:r>
      <w:r>
        <w:rPr>
          <w:rFonts w:ascii="Arial" w:cs="Arial" w:eastAsia="Arial" w:hAnsi="Arial"/>
          <w:sz w:val="15"/>
          <w:szCs w:val="15"/>
          <w:color w:val="42444D"/>
        </w:rPr>
        <w:t>ent</w:t>
      </w:r>
      <w:r>
        <w:rPr>
          <w:rFonts w:ascii="Arial" w:cs="Arial" w:eastAsia="Arial" w:hAnsi="Arial"/>
          <w:sz w:val="15"/>
          <w:szCs w:val="15"/>
          <w:color w:val="23232A"/>
        </w:rPr>
        <w:t xml:space="preserve"> </w:t>
      </w:r>
      <w:r>
        <w:rPr>
          <w:rFonts w:ascii="Arial" w:cs="Arial" w:eastAsia="Arial" w:hAnsi="Arial"/>
          <w:sz w:val="15"/>
          <w:szCs w:val="15"/>
          <w:color w:val="34343D"/>
        </w:rPr>
        <w:t>term</w:t>
      </w:r>
      <w:r>
        <w:rPr>
          <w:rFonts w:ascii="Arial" w:cs="Arial" w:eastAsia="Arial" w:hAnsi="Arial"/>
          <w:sz w:val="15"/>
          <w:szCs w:val="15"/>
          <w:color w:val="6B6B72"/>
        </w:rPr>
        <w:t>i</w:t>
      </w:r>
      <w:r>
        <w:rPr>
          <w:rFonts w:ascii="Arial" w:cs="Arial" w:eastAsia="Arial" w:hAnsi="Arial"/>
          <w:sz w:val="15"/>
          <w:szCs w:val="15"/>
          <w:color w:val="23232A"/>
        </w:rPr>
        <w:t>nat</w:t>
      </w:r>
      <w:r>
        <w:rPr>
          <w:rFonts w:ascii="Arial" w:cs="Arial" w:eastAsia="Arial" w:hAnsi="Arial"/>
          <w:sz w:val="15"/>
          <w:szCs w:val="15"/>
          <w:color w:val="42444D"/>
        </w:rPr>
        <w:t>es on or</w:t>
      </w:r>
      <w:r>
        <w:rPr>
          <w:rFonts w:ascii="Arial" w:cs="Arial" w:eastAsia="Arial" w:hAnsi="Arial"/>
          <w:sz w:val="15"/>
          <w:szCs w:val="15"/>
          <w:color w:val="23232A"/>
        </w:rPr>
        <w:t xml:space="preserve"> </w:t>
      </w:r>
      <w:r>
        <w:rPr>
          <w:rFonts w:ascii="Arial" w:cs="Arial" w:eastAsia="Arial" w:hAnsi="Arial"/>
          <w:sz w:val="15"/>
          <w:szCs w:val="15"/>
          <w:color w:val="34343D"/>
        </w:rPr>
        <w:t>b</w:t>
      </w:r>
      <w:r>
        <w:rPr>
          <w:rFonts w:ascii="Arial" w:cs="Arial" w:eastAsia="Arial" w:hAnsi="Arial"/>
          <w:sz w:val="15"/>
          <w:szCs w:val="15"/>
          <w:color w:val="595B62"/>
        </w:rPr>
        <w:t>e</w:t>
      </w:r>
      <w:r>
        <w:rPr>
          <w:rFonts w:ascii="Arial" w:cs="Arial" w:eastAsia="Arial" w:hAnsi="Arial"/>
          <w:sz w:val="15"/>
          <w:szCs w:val="15"/>
          <w:color w:val="23232A"/>
        </w:rPr>
        <w:t>fo</w:t>
      </w:r>
      <w:r>
        <w:rPr>
          <w:rFonts w:ascii="Arial" w:cs="Arial" w:eastAsia="Arial" w:hAnsi="Arial"/>
          <w:sz w:val="15"/>
          <w:szCs w:val="15"/>
          <w:color w:val="42444D"/>
        </w:rPr>
        <w:t>re</w:t>
      </w:r>
      <w:r>
        <w:rPr>
          <w:rFonts w:ascii="Arial" w:cs="Arial" w:eastAsia="Arial" w:hAnsi="Arial"/>
          <w:sz w:val="15"/>
          <w:szCs w:val="15"/>
          <w:color w:val="23232A"/>
        </w:rPr>
        <w:t xml:space="preserve"> 1</w:t>
      </w:r>
      <w:r>
        <w:rPr>
          <w:rFonts w:ascii="Arial" w:cs="Arial" w:eastAsia="Arial" w:hAnsi="Arial"/>
          <w:sz w:val="15"/>
          <w:szCs w:val="15"/>
          <w:color w:val="42444D"/>
        </w:rPr>
        <w:t>2</w:t>
      </w:r>
      <w:r>
        <w:rPr>
          <w:rFonts w:ascii="Arial" w:cs="Arial" w:eastAsia="Arial" w:hAnsi="Arial"/>
          <w:sz w:val="15"/>
          <w:szCs w:val="15"/>
          <w:color w:val="23232A"/>
        </w:rPr>
        <w:t xml:space="preserve"> </w:t>
      </w:r>
      <w:r>
        <w:rPr>
          <w:rFonts w:ascii="Arial" w:cs="Arial" w:eastAsia="Arial" w:hAnsi="Arial"/>
          <w:sz w:val="15"/>
          <w:szCs w:val="15"/>
          <w:color w:val="34343D"/>
        </w:rPr>
        <w:t>months</w:t>
      </w:r>
      <w:r>
        <w:rPr>
          <w:rFonts w:ascii="Arial" w:cs="Arial" w:eastAsia="Arial" w:hAnsi="Arial"/>
          <w:sz w:val="15"/>
          <w:szCs w:val="15"/>
          <w:color w:val="23232A"/>
        </w:rPr>
        <w:t xml:space="preserve"> from </w:t>
      </w:r>
      <w:r>
        <w:rPr>
          <w:rFonts w:ascii="Arial" w:cs="Arial" w:eastAsia="Arial" w:hAnsi="Arial"/>
          <w:sz w:val="15"/>
          <w:szCs w:val="15"/>
          <w:color w:val="34343D"/>
        </w:rPr>
        <w:t>my</w:t>
      </w:r>
      <w:r>
        <w:rPr>
          <w:rFonts w:ascii="Arial" w:cs="Arial" w:eastAsia="Arial" w:hAnsi="Arial"/>
          <w:sz w:val="15"/>
          <w:szCs w:val="15"/>
          <w:color w:val="23232A"/>
        </w:rPr>
        <w:t xml:space="preserve"> </w:t>
      </w:r>
      <w:r>
        <w:rPr>
          <w:rFonts w:ascii="Arial" w:cs="Arial" w:eastAsia="Arial" w:hAnsi="Arial"/>
          <w:sz w:val="15"/>
          <w:szCs w:val="15"/>
          <w:color w:val="42444D"/>
        </w:rPr>
        <w:t>s</w:t>
      </w:r>
      <w:r>
        <w:rPr>
          <w:rFonts w:ascii="Arial" w:cs="Arial" w:eastAsia="Arial" w:hAnsi="Arial"/>
          <w:sz w:val="15"/>
          <w:szCs w:val="15"/>
          <w:color w:val="23232A"/>
        </w:rPr>
        <w:t xml:space="preserve">tart </w:t>
      </w:r>
      <w:r>
        <w:rPr>
          <w:rFonts w:ascii="Arial" w:cs="Arial" w:eastAsia="Arial" w:hAnsi="Arial"/>
          <w:sz w:val="15"/>
          <w:szCs w:val="15"/>
          <w:color w:val="34343D"/>
        </w:rPr>
        <w:t>date,</w:t>
      </w:r>
      <w:r>
        <w:rPr>
          <w:rFonts w:ascii="Arial" w:cs="Arial" w:eastAsia="Arial" w:hAnsi="Arial"/>
          <w:sz w:val="15"/>
          <w:szCs w:val="15"/>
          <w:color w:val="23232A"/>
        </w:rPr>
        <w:t xml:space="preserve"> th</w:t>
      </w:r>
      <w:r>
        <w:rPr>
          <w:rFonts w:ascii="Arial" w:cs="Arial" w:eastAsia="Arial" w:hAnsi="Arial"/>
          <w:sz w:val="15"/>
          <w:szCs w:val="15"/>
          <w:color w:val="42444D"/>
        </w:rPr>
        <w:t>e</w:t>
      </w:r>
      <w:r>
        <w:rPr>
          <w:rFonts w:ascii="Arial" w:cs="Arial" w:eastAsia="Arial" w:hAnsi="Arial"/>
          <w:sz w:val="15"/>
          <w:szCs w:val="15"/>
          <w:color w:val="23232A"/>
        </w:rPr>
        <w:t xml:space="preserve"> full </w:t>
      </w:r>
      <w:r>
        <w:rPr>
          <w:rFonts w:ascii="Arial" w:cs="Arial" w:eastAsia="Arial" w:hAnsi="Arial"/>
          <w:sz w:val="15"/>
          <w:szCs w:val="15"/>
          <w:color w:val="42444D"/>
        </w:rPr>
        <w:t>amount of</w:t>
      </w:r>
      <w:r>
        <w:rPr>
          <w:rFonts w:ascii="Arial" w:cs="Arial" w:eastAsia="Arial" w:hAnsi="Arial"/>
          <w:sz w:val="15"/>
          <w:szCs w:val="15"/>
          <w:color w:val="23232A"/>
        </w:rPr>
        <w:t xml:space="preserve"> th</w:t>
      </w:r>
      <w:r>
        <w:rPr>
          <w:rFonts w:ascii="Arial" w:cs="Arial" w:eastAsia="Arial" w:hAnsi="Arial"/>
          <w:sz w:val="15"/>
          <w:szCs w:val="15"/>
          <w:color w:val="42444D"/>
        </w:rPr>
        <w:t>e cas</w:t>
      </w:r>
      <w:r>
        <w:rPr>
          <w:rFonts w:ascii="Arial" w:cs="Arial" w:eastAsia="Arial" w:hAnsi="Arial"/>
          <w:sz w:val="15"/>
          <w:szCs w:val="15"/>
          <w:color w:val="23232A"/>
        </w:rPr>
        <w:t xml:space="preserve">h </w:t>
      </w:r>
      <w:r>
        <w:rPr>
          <w:rFonts w:ascii="Arial" w:cs="Arial" w:eastAsia="Arial" w:hAnsi="Arial"/>
          <w:sz w:val="15"/>
          <w:szCs w:val="15"/>
          <w:color w:val="42444D"/>
        </w:rPr>
        <w:t>sig</w:t>
      </w:r>
      <w:r>
        <w:rPr>
          <w:rFonts w:ascii="Arial" w:cs="Arial" w:eastAsia="Arial" w:hAnsi="Arial"/>
          <w:sz w:val="15"/>
          <w:szCs w:val="15"/>
          <w:color w:val="23232A"/>
        </w:rPr>
        <w:t>n-</w:t>
      </w:r>
      <w:r>
        <w:rPr>
          <w:rFonts w:ascii="Arial" w:cs="Arial" w:eastAsia="Arial" w:hAnsi="Arial"/>
          <w:sz w:val="15"/>
          <w:szCs w:val="15"/>
          <w:color w:val="42444D"/>
        </w:rPr>
        <w:t>on</w:t>
      </w:r>
      <w:r>
        <w:rPr>
          <w:rFonts w:ascii="Arial" w:cs="Arial" w:eastAsia="Arial" w:hAnsi="Arial"/>
          <w:sz w:val="15"/>
          <w:szCs w:val="15"/>
          <w:color w:val="23232A"/>
        </w:rPr>
        <w:t xml:space="preserve"> </w:t>
      </w:r>
      <w:r>
        <w:rPr>
          <w:rFonts w:ascii="Arial" w:cs="Arial" w:eastAsia="Arial" w:hAnsi="Arial"/>
          <w:sz w:val="15"/>
          <w:szCs w:val="15"/>
          <w:color w:val="34343D"/>
        </w:rPr>
        <w:t>bonus</w:t>
      </w:r>
      <w:r>
        <w:rPr>
          <w:rFonts w:ascii="Arial" w:cs="Arial" w:eastAsia="Arial" w:hAnsi="Arial"/>
          <w:sz w:val="15"/>
          <w:szCs w:val="15"/>
          <w:color w:val="595B62"/>
        </w:rPr>
        <w:t>,</w:t>
      </w:r>
      <w:r>
        <w:rPr>
          <w:rFonts w:ascii="Arial" w:cs="Arial" w:eastAsia="Arial" w:hAnsi="Arial"/>
          <w:sz w:val="15"/>
          <w:szCs w:val="15"/>
          <w:color w:val="23232A"/>
        </w:rPr>
        <w:t xml:space="preserve"> </w:t>
      </w:r>
      <w:r>
        <w:rPr>
          <w:rFonts w:ascii="Arial" w:cs="Arial" w:eastAsia="Arial" w:hAnsi="Arial"/>
          <w:sz w:val="15"/>
          <w:szCs w:val="15"/>
          <w:color w:val="34343D"/>
        </w:rPr>
        <w:t>net</w:t>
      </w:r>
      <w:r>
        <w:rPr>
          <w:rFonts w:ascii="Arial" w:cs="Arial" w:eastAsia="Arial" w:hAnsi="Arial"/>
          <w:sz w:val="15"/>
          <w:szCs w:val="15"/>
          <w:color w:val="23232A"/>
        </w:rPr>
        <w:t xml:space="preserve"> of t</w:t>
      </w:r>
      <w:r>
        <w:rPr>
          <w:rFonts w:ascii="Arial" w:cs="Arial" w:eastAsia="Arial" w:hAnsi="Arial"/>
          <w:sz w:val="15"/>
          <w:szCs w:val="15"/>
          <w:color w:val="595B62"/>
        </w:rPr>
        <w:t>he</w:t>
      </w:r>
      <w:r>
        <w:rPr>
          <w:rFonts w:ascii="Arial" w:cs="Arial" w:eastAsia="Arial" w:hAnsi="Arial"/>
          <w:sz w:val="15"/>
          <w:szCs w:val="15"/>
          <w:color w:val="23232A"/>
        </w:rPr>
        <w:t xml:space="preserve"> </w:t>
      </w:r>
      <w:r>
        <w:rPr>
          <w:rFonts w:ascii="Arial" w:cs="Arial" w:eastAsia="Arial" w:hAnsi="Arial"/>
          <w:sz w:val="15"/>
          <w:szCs w:val="15"/>
          <w:color w:val="42444D"/>
        </w:rPr>
        <w:t>a</w:t>
      </w:r>
      <w:r>
        <w:rPr>
          <w:rFonts w:ascii="Arial" w:cs="Arial" w:eastAsia="Arial" w:hAnsi="Arial"/>
          <w:sz w:val="15"/>
          <w:szCs w:val="15"/>
          <w:color w:val="23232A"/>
        </w:rPr>
        <w:t>ppl</w:t>
      </w:r>
      <w:r>
        <w:rPr>
          <w:rFonts w:ascii="Arial" w:cs="Arial" w:eastAsia="Arial" w:hAnsi="Arial"/>
          <w:sz w:val="15"/>
          <w:szCs w:val="15"/>
          <w:color w:val="42444D"/>
        </w:rPr>
        <w:t>ica</w:t>
      </w:r>
      <w:r>
        <w:rPr>
          <w:rFonts w:ascii="Arial" w:cs="Arial" w:eastAsia="Arial" w:hAnsi="Arial"/>
          <w:sz w:val="15"/>
          <w:szCs w:val="15"/>
          <w:color w:val="23232A"/>
        </w:rPr>
        <w:t>b</w:t>
      </w:r>
      <w:r>
        <w:rPr>
          <w:rFonts w:ascii="Arial" w:cs="Arial" w:eastAsia="Arial" w:hAnsi="Arial"/>
          <w:sz w:val="15"/>
          <w:szCs w:val="15"/>
          <w:color w:val="42444D"/>
        </w:rPr>
        <w:t>le</w:t>
      </w:r>
      <w:r>
        <w:rPr>
          <w:rFonts w:ascii="Arial" w:cs="Arial" w:eastAsia="Arial" w:hAnsi="Arial"/>
          <w:sz w:val="15"/>
          <w:szCs w:val="15"/>
          <w:color w:val="23232A"/>
        </w:rPr>
        <w:t xml:space="preserve"> proportion </w:t>
      </w:r>
      <w:r>
        <w:rPr>
          <w:rFonts w:ascii="Arial" w:cs="Arial" w:eastAsia="Arial" w:hAnsi="Arial"/>
          <w:sz w:val="15"/>
          <w:szCs w:val="15"/>
          <w:color w:val="34343D"/>
        </w:rPr>
        <w:t>of ta</w:t>
      </w:r>
      <w:r>
        <w:rPr>
          <w:rFonts w:ascii="Arial" w:cs="Arial" w:eastAsia="Arial" w:hAnsi="Arial"/>
          <w:sz w:val="15"/>
          <w:szCs w:val="15"/>
          <w:color w:val="595B62"/>
        </w:rPr>
        <w:t>x</w:t>
      </w:r>
      <w:r>
        <w:rPr>
          <w:rFonts w:ascii="Arial" w:cs="Arial" w:eastAsia="Arial" w:hAnsi="Arial"/>
          <w:sz w:val="15"/>
          <w:szCs w:val="15"/>
          <w:color w:val="23232A"/>
        </w:rPr>
        <w:t xml:space="preserve"> </w:t>
      </w:r>
      <w:r>
        <w:rPr>
          <w:rFonts w:ascii="Arial" w:cs="Arial" w:eastAsia="Arial" w:hAnsi="Arial"/>
          <w:sz w:val="15"/>
          <w:szCs w:val="15"/>
          <w:color w:val="34343D"/>
        </w:rPr>
        <w:t>withholdings</w:t>
      </w:r>
      <w:r>
        <w:rPr>
          <w:rFonts w:ascii="Arial" w:cs="Arial" w:eastAsia="Arial" w:hAnsi="Arial"/>
          <w:sz w:val="15"/>
          <w:szCs w:val="15"/>
          <w:color w:val="797C83"/>
        </w:rPr>
        <w:t>;</w:t>
      </w:r>
    </w:p>
    <w:p>
      <w:pPr>
        <w:spacing w:after="0" w:line="1" w:lineRule="exact"/>
        <w:rPr>
          <w:rFonts w:ascii="Arial" w:cs="Arial" w:eastAsia="Arial" w:hAnsi="Arial"/>
          <w:sz w:val="15"/>
          <w:szCs w:val="15"/>
          <w:color w:val="42444D"/>
        </w:rPr>
      </w:pPr>
    </w:p>
    <w:p>
      <w:pPr>
        <w:ind w:left="640" w:hanging="301"/>
        <w:spacing w:after="0" w:line="266" w:lineRule="auto"/>
        <w:tabs>
          <w:tab w:leader="none" w:pos="546" w:val="left"/>
        </w:tabs>
        <w:numPr>
          <w:ilvl w:val="0"/>
          <w:numId w:val="159"/>
        </w:numPr>
        <w:rPr>
          <w:rFonts w:ascii="Arial" w:cs="Arial" w:eastAsia="Arial" w:hAnsi="Arial"/>
          <w:sz w:val="15"/>
          <w:szCs w:val="15"/>
          <w:color w:val="42444D"/>
        </w:rPr>
      </w:pPr>
      <w:r>
        <w:rPr>
          <w:rFonts w:ascii="Arial" w:cs="Arial" w:eastAsia="Arial" w:hAnsi="Arial"/>
          <w:sz w:val="15"/>
          <w:szCs w:val="15"/>
          <w:color w:val="23232A"/>
        </w:rPr>
        <w:t xml:space="preserve">If </w:t>
      </w:r>
      <w:r>
        <w:rPr>
          <w:rFonts w:ascii="Arial" w:cs="Arial" w:eastAsia="Arial" w:hAnsi="Arial"/>
          <w:sz w:val="15"/>
          <w:szCs w:val="15"/>
          <w:color w:val="34343D"/>
        </w:rPr>
        <w:t>my</w:t>
      </w:r>
      <w:r>
        <w:rPr>
          <w:rFonts w:ascii="Arial" w:cs="Arial" w:eastAsia="Arial" w:hAnsi="Arial"/>
          <w:sz w:val="15"/>
          <w:szCs w:val="15"/>
          <w:color w:val="23232A"/>
        </w:rPr>
        <w:t xml:space="preserve"> </w:t>
      </w:r>
      <w:r>
        <w:rPr>
          <w:rFonts w:ascii="Arial" w:cs="Arial" w:eastAsia="Arial" w:hAnsi="Arial"/>
          <w:sz w:val="15"/>
          <w:szCs w:val="15"/>
          <w:color w:val="42444D"/>
        </w:rPr>
        <w:t>emp</w:t>
      </w:r>
      <w:r>
        <w:rPr>
          <w:rFonts w:ascii="Arial" w:cs="Arial" w:eastAsia="Arial" w:hAnsi="Arial"/>
          <w:sz w:val="15"/>
          <w:szCs w:val="15"/>
          <w:color w:val="23232A"/>
        </w:rPr>
        <w:t>lo</w:t>
      </w:r>
      <w:r>
        <w:rPr>
          <w:rFonts w:ascii="Arial" w:cs="Arial" w:eastAsia="Arial" w:hAnsi="Arial"/>
          <w:sz w:val="15"/>
          <w:szCs w:val="15"/>
          <w:color w:val="42444D"/>
        </w:rPr>
        <w:t>y</w:t>
      </w:r>
      <w:r>
        <w:rPr>
          <w:rFonts w:ascii="Arial" w:cs="Arial" w:eastAsia="Arial" w:hAnsi="Arial"/>
          <w:sz w:val="15"/>
          <w:szCs w:val="15"/>
          <w:color w:val="23232A"/>
        </w:rPr>
        <w:t>me</w:t>
      </w:r>
      <w:r>
        <w:rPr>
          <w:rFonts w:ascii="Arial" w:cs="Arial" w:eastAsia="Arial" w:hAnsi="Arial"/>
          <w:sz w:val="15"/>
          <w:szCs w:val="15"/>
          <w:color w:val="42444D"/>
        </w:rPr>
        <w:t>n</w:t>
      </w:r>
      <w:r>
        <w:rPr>
          <w:rFonts w:ascii="Arial" w:cs="Arial" w:eastAsia="Arial" w:hAnsi="Arial"/>
          <w:sz w:val="15"/>
          <w:szCs w:val="15"/>
          <w:color w:val="23232A"/>
        </w:rPr>
        <w:t>t t</w:t>
      </w:r>
      <w:r>
        <w:rPr>
          <w:rFonts w:ascii="Arial" w:cs="Arial" w:eastAsia="Arial" w:hAnsi="Arial"/>
          <w:sz w:val="15"/>
          <w:szCs w:val="15"/>
          <w:color w:val="42444D"/>
        </w:rPr>
        <w:t>er</w:t>
      </w:r>
      <w:r>
        <w:rPr>
          <w:rFonts w:ascii="Arial" w:cs="Arial" w:eastAsia="Arial" w:hAnsi="Arial"/>
          <w:sz w:val="15"/>
          <w:szCs w:val="15"/>
          <w:color w:val="23232A"/>
        </w:rPr>
        <w:t>minat</w:t>
      </w:r>
      <w:r>
        <w:rPr>
          <w:rFonts w:ascii="Arial" w:cs="Arial" w:eastAsia="Arial" w:hAnsi="Arial"/>
          <w:sz w:val="15"/>
          <w:szCs w:val="15"/>
          <w:color w:val="42444D"/>
        </w:rPr>
        <w:t>es a</w:t>
      </w:r>
      <w:r>
        <w:rPr>
          <w:rFonts w:ascii="Arial" w:cs="Arial" w:eastAsia="Arial" w:hAnsi="Arial"/>
          <w:sz w:val="15"/>
          <w:szCs w:val="15"/>
          <w:color w:val="23232A"/>
        </w:rPr>
        <w:t xml:space="preserve">fter </w:t>
      </w:r>
      <w:r>
        <w:rPr>
          <w:rFonts w:ascii="Arial" w:cs="Arial" w:eastAsia="Arial" w:hAnsi="Arial"/>
          <w:sz w:val="15"/>
          <w:szCs w:val="15"/>
          <w:color w:val="42444D"/>
        </w:rPr>
        <w:t>12 mon</w:t>
      </w:r>
      <w:r>
        <w:rPr>
          <w:rFonts w:ascii="Arial" w:cs="Arial" w:eastAsia="Arial" w:hAnsi="Arial"/>
          <w:sz w:val="15"/>
          <w:szCs w:val="15"/>
          <w:color w:val="23232A"/>
        </w:rPr>
        <w:t>th</w:t>
      </w:r>
      <w:r>
        <w:rPr>
          <w:rFonts w:ascii="Arial" w:cs="Arial" w:eastAsia="Arial" w:hAnsi="Arial"/>
          <w:sz w:val="15"/>
          <w:szCs w:val="15"/>
          <w:color w:val="42444D"/>
        </w:rPr>
        <w:t>s</w:t>
      </w:r>
      <w:r>
        <w:rPr>
          <w:rFonts w:ascii="Arial" w:cs="Arial" w:eastAsia="Arial" w:hAnsi="Arial"/>
          <w:sz w:val="15"/>
          <w:szCs w:val="15"/>
          <w:color w:val="23232A"/>
        </w:rPr>
        <w:t xml:space="preserve"> an</w:t>
      </w:r>
      <w:r>
        <w:rPr>
          <w:rFonts w:ascii="Arial" w:cs="Arial" w:eastAsia="Arial" w:hAnsi="Arial"/>
          <w:sz w:val="15"/>
          <w:szCs w:val="15"/>
          <w:color w:val="42444D"/>
        </w:rPr>
        <w:t>d</w:t>
      </w:r>
      <w:r>
        <w:rPr>
          <w:rFonts w:ascii="Arial" w:cs="Arial" w:eastAsia="Arial" w:hAnsi="Arial"/>
          <w:sz w:val="15"/>
          <w:szCs w:val="15"/>
          <w:color w:val="23232A"/>
        </w:rPr>
        <w:t xml:space="preserve"> o</w:t>
      </w:r>
      <w:r>
        <w:rPr>
          <w:rFonts w:ascii="Arial" w:cs="Arial" w:eastAsia="Arial" w:hAnsi="Arial"/>
          <w:sz w:val="15"/>
          <w:szCs w:val="15"/>
          <w:color w:val="42444D"/>
        </w:rPr>
        <w:t>n</w:t>
      </w:r>
      <w:r>
        <w:rPr>
          <w:rFonts w:ascii="Arial" w:cs="Arial" w:eastAsia="Arial" w:hAnsi="Arial"/>
          <w:sz w:val="15"/>
          <w:szCs w:val="15"/>
          <w:color w:val="23232A"/>
        </w:rPr>
        <w:t xml:space="preserve"> or before </w:t>
      </w:r>
      <w:r>
        <w:rPr>
          <w:rFonts w:ascii="Arial" w:cs="Arial" w:eastAsia="Arial" w:hAnsi="Arial"/>
          <w:sz w:val="15"/>
          <w:szCs w:val="15"/>
          <w:color w:val="42444D"/>
        </w:rPr>
        <w:t>24</w:t>
      </w:r>
      <w:r>
        <w:rPr>
          <w:rFonts w:ascii="Arial" w:cs="Arial" w:eastAsia="Arial" w:hAnsi="Arial"/>
          <w:sz w:val="15"/>
          <w:szCs w:val="15"/>
          <w:color w:val="23232A"/>
        </w:rPr>
        <w:t xml:space="preserve"> </w:t>
      </w:r>
      <w:r>
        <w:rPr>
          <w:rFonts w:ascii="Arial" w:cs="Arial" w:eastAsia="Arial" w:hAnsi="Arial"/>
          <w:sz w:val="15"/>
          <w:szCs w:val="15"/>
          <w:color w:val="34343D"/>
        </w:rPr>
        <w:t>months</w:t>
      </w:r>
      <w:r>
        <w:rPr>
          <w:rFonts w:ascii="Arial" w:cs="Arial" w:eastAsia="Arial" w:hAnsi="Arial"/>
          <w:sz w:val="15"/>
          <w:szCs w:val="15"/>
          <w:color w:val="23232A"/>
        </w:rPr>
        <w:t xml:space="preserve"> from m</w:t>
      </w:r>
      <w:r>
        <w:rPr>
          <w:rFonts w:ascii="Arial" w:cs="Arial" w:eastAsia="Arial" w:hAnsi="Arial"/>
          <w:sz w:val="15"/>
          <w:szCs w:val="15"/>
          <w:color w:val="42444D"/>
        </w:rPr>
        <w:t>y</w:t>
      </w:r>
      <w:r>
        <w:rPr>
          <w:rFonts w:ascii="Arial" w:cs="Arial" w:eastAsia="Arial" w:hAnsi="Arial"/>
          <w:sz w:val="15"/>
          <w:szCs w:val="15"/>
          <w:color w:val="23232A"/>
        </w:rPr>
        <w:t xml:space="preserve"> </w:t>
      </w:r>
      <w:r>
        <w:rPr>
          <w:rFonts w:ascii="Arial" w:cs="Arial" w:eastAsia="Arial" w:hAnsi="Arial"/>
          <w:sz w:val="15"/>
          <w:szCs w:val="15"/>
          <w:color w:val="34343D"/>
        </w:rPr>
        <w:t>start</w:t>
      </w:r>
      <w:r>
        <w:rPr>
          <w:rFonts w:ascii="Arial" w:cs="Arial" w:eastAsia="Arial" w:hAnsi="Arial"/>
          <w:sz w:val="15"/>
          <w:szCs w:val="15"/>
          <w:color w:val="23232A"/>
        </w:rPr>
        <w:t xml:space="preserve"> </w:t>
      </w:r>
      <w:r>
        <w:rPr>
          <w:rFonts w:ascii="Arial" w:cs="Arial" w:eastAsia="Arial" w:hAnsi="Arial"/>
          <w:sz w:val="15"/>
          <w:szCs w:val="15"/>
          <w:color w:val="42444D"/>
        </w:rPr>
        <w:t>date</w:t>
      </w:r>
      <w:r>
        <w:rPr>
          <w:rFonts w:ascii="Arial" w:cs="Arial" w:eastAsia="Arial" w:hAnsi="Arial"/>
          <w:sz w:val="15"/>
          <w:szCs w:val="15"/>
          <w:color w:val="979799"/>
        </w:rPr>
        <w:t>,</w:t>
      </w:r>
      <w:r>
        <w:rPr>
          <w:rFonts w:ascii="Arial" w:cs="Arial" w:eastAsia="Arial" w:hAnsi="Arial"/>
          <w:sz w:val="15"/>
          <w:szCs w:val="15"/>
          <w:color w:val="23232A"/>
        </w:rPr>
        <w:t xml:space="preserve"> 5</w:t>
      </w:r>
      <w:r>
        <w:rPr>
          <w:rFonts w:ascii="Arial" w:cs="Arial" w:eastAsia="Arial" w:hAnsi="Arial"/>
          <w:sz w:val="15"/>
          <w:szCs w:val="15"/>
          <w:color w:val="42444D"/>
        </w:rPr>
        <w:t>0%</w:t>
      </w:r>
      <w:r>
        <w:rPr>
          <w:rFonts w:ascii="Arial" w:cs="Arial" w:eastAsia="Arial" w:hAnsi="Arial"/>
          <w:sz w:val="15"/>
          <w:szCs w:val="15"/>
          <w:color w:val="23232A"/>
        </w:rPr>
        <w:t xml:space="preserve"> </w:t>
      </w:r>
      <w:r>
        <w:rPr>
          <w:rFonts w:ascii="Arial" w:cs="Arial" w:eastAsia="Arial" w:hAnsi="Arial"/>
          <w:sz w:val="15"/>
          <w:szCs w:val="15"/>
          <w:color w:val="34343D"/>
        </w:rPr>
        <w:t>of</w:t>
      </w:r>
      <w:r>
        <w:rPr>
          <w:rFonts w:ascii="Arial" w:cs="Arial" w:eastAsia="Arial" w:hAnsi="Arial"/>
          <w:sz w:val="15"/>
          <w:szCs w:val="15"/>
          <w:color w:val="23232A"/>
        </w:rPr>
        <w:t xml:space="preserve"> the </w:t>
      </w:r>
      <w:r>
        <w:rPr>
          <w:rFonts w:ascii="Arial" w:cs="Arial" w:eastAsia="Arial" w:hAnsi="Arial"/>
          <w:sz w:val="15"/>
          <w:szCs w:val="15"/>
          <w:color w:val="34343D"/>
        </w:rPr>
        <w:t>amount</w:t>
      </w:r>
      <w:r>
        <w:rPr>
          <w:rFonts w:ascii="Arial" w:cs="Arial" w:eastAsia="Arial" w:hAnsi="Arial"/>
          <w:sz w:val="15"/>
          <w:szCs w:val="15"/>
          <w:color w:val="23232A"/>
        </w:rPr>
        <w:t xml:space="preserve"> </w:t>
      </w:r>
      <w:r>
        <w:rPr>
          <w:rFonts w:ascii="Arial" w:cs="Arial" w:eastAsia="Arial" w:hAnsi="Arial"/>
          <w:sz w:val="15"/>
          <w:szCs w:val="15"/>
          <w:color w:val="42444D"/>
        </w:rPr>
        <w:t>o</w:t>
      </w:r>
      <w:r>
        <w:rPr>
          <w:rFonts w:ascii="Arial" w:cs="Arial" w:eastAsia="Arial" w:hAnsi="Arial"/>
          <w:sz w:val="15"/>
          <w:szCs w:val="15"/>
          <w:color w:val="23232A"/>
        </w:rPr>
        <w:t>f th</w:t>
      </w:r>
      <w:r>
        <w:rPr>
          <w:rFonts w:ascii="Arial" w:cs="Arial" w:eastAsia="Arial" w:hAnsi="Arial"/>
          <w:sz w:val="15"/>
          <w:szCs w:val="15"/>
          <w:color w:val="42444D"/>
        </w:rPr>
        <w:t>e cash</w:t>
      </w:r>
      <w:r>
        <w:rPr>
          <w:rFonts w:ascii="Arial" w:cs="Arial" w:eastAsia="Arial" w:hAnsi="Arial"/>
          <w:sz w:val="15"/>
          <w:szCs w:val="15"/>
          <w:color w:val="23232A"/>
        </w:rPr>
        <w:t xml:space="preserve"> </w:t>
      </w:r>
      <w:r>
        <w:rPr>
          <w:rFonts w:ascii="Arial" w:cs="Arial" w:eastAsia="Arial" w:hAnsi="Arial"/>
          <w:sz w:val="15"/>
          <w:szCs w:val="15"/>
          <w:color w:val="34343D"/>
        </w:rPr>
        <w:t>sign-on bonus</w:t>
      </w:r>
      <w:r>
        <w:rPr>
          <w:rFonts w:ascii="Arial" w:cs="Arial" w:eastAsia="Arial" w:hAnsi="Arial"/>
          <w:sz w:val="15"/>
          <w:szCs w:val="15"/>
          <w:color w:val="595B62"/>
        </w:rPr>
        <w:t>,</w:t>
      </w:r>
      <w:r>
        <w:rPr>
          <w:rFonts w:ascii="Arial" w:cs="Arial" w:eastAsia="Arial" w:hAnsi="Arial"/>
          <w:sz w:val="15"/>
          <w:szCs w:val="15"/>
          <w:color w:val="23232A"/>
        </w:rPr>
        <w:t xml:space="preserve"> n</w:t>
      </w:r>
      <w:r>
        <w:rPr>
          <w:rFonts w:ascii="Arial" w:cs="Arial" w:eastAsia="Arial" w:hAnsi="Arial"/>
          <w:sz w:val="15"/>
          <w:szCs w:val="15"/>
          <w:color w:val="42444D"/>
        </w:rPr>
        <w:t>e</w:t>
      </w:r>
      <w:r>
        <w:rPr>
          <w:rFonts w:ascii="Arial" w:cs="Arial" w:eastAsia="Arial" w:hAnsi="Arial"/>
          <w:sz w:val="15"/>
          <w:szCs w:val="15"/>
          <w:color w:val="23232A"/>
        </w:rPr>
        <w:t xml:space="preserve">t </w:t>
      </w:r>
      <w:r>
        <w:rPr>
          <w:rFonts w:ascii="Arial" w:cs="Arial" w:eastAsia="Arial" w:hAnsi="Arial"/>
          <w:sz w:val="15"/>
          <w:szCs w:val="15"/>
          <w:color w:val="42444D"/>
        </w:rPr>
        <w:t>of</w:t>
      </w:r>
      <w:r>
        <w:rPr>
          <w:rFonts w:ascii="Arial" w:cs="Arial" w:eastAsia="Arial" w:hAnsi="Arial"/>
          <w:sz w:val="15"/>
          <w:szCs w:val="15"/>
          <w:color w:val="23232A"/>
        </w:rPr>
        <w:t xml:space="preserve"> </w:t>
      </w:r>
      <w:r>
        <w:rPr>
          <w:rFonts w:ascii="Arial" w:cs="Arial" w:eastAsia="Arial" w:hAnsi="Arial"/>
          <w:sz w:val="15"/>
          <w:szCs w:val="15"/>
          <w:color w:val="34343D"/>
        </w:rPr>
        <w:t>the</w:t>
      </w:r>
      <w:r>
        <w:rPr>
          <w:rFonts w:ascii="Arial" w:cs="Arial" w:eastAsia="Arial" w:hAnsi="Arial"/>
          <w:sz w:val="15"/>
          <w:szCs w:val="15"/>
          <w:color w:val="23232A"/>
        </w:rPr>
        <w:t xml:space="preserve"> </w:t>
      </w:r>
      <w:r>
        <w:rPr>
          <w:rFonts w:ascii="Arial" w:cs="Arial" w:eastAsia="Arial" w:hAnsi="Arial"/>
          <w:sz w:val="15"/>
          <w:szCs w:val="15"/>
          <w:color w:val="42444D"/>
        </w:rPr>
        <w:t>app</w:t>
      </w:r>
      <w:r>
        <w:rPr>
          <w:rFonts w:ascii="Arial" w:cs="Arial" w:eastAsia="Arial" w:hAnsi="Arial"/>
          <w:sz w:val="15"/>
          <w:szCs w:val="15"/>
          <w:color w:val="23232A"/>
        </w:rPr>
        <w:t>l</w:t>
      </w:r>
      <w:r>
        <w:rPr>
          <w:rFonts w:ascii="Arial" w:cs="Arial" w:eastAsia="Arial" w:hAnsi="Arial"/>
          <w:sz w:val="15"/>
          <w:szCs w:val="15"/>
          <w:color w:val="42444D"/>
        </w:rPr>
        <w:t>icab</w:t>
      </w:r>
      <w:r>
        <w:rPr>
          <w:rFonts w:ascii="Arial" w:cs="Arial" w:eastAsia="Arial" w:hAnsi="Arial"/>
          <w:sz w:val="15"/>
          <w:szCs w:val="15"/>
          <w:color w:val="23232A"/>
        </w:rPr>
        <w:t xml:space="preserve">le </w:t>
      </w:r>
      <w:r>
        <w:rPr>
          <w:rFonts w:ascii="Arial" w:cs="Arial" w:eastAsia="Arial" w:hAnsi="Arial"/>
          <w:sz w:val="15"/>
          <w:szCs w:val="15"/>
          <w:color w:val="34343D"/>
        </w:rPr>
        <w:t>proportion</w:t>
      </w:r>
      <w:r>
        <w:rPr>
          <w:rFonts w:ascii="Arial" w:cs="Arial" w:eastAsia="Arial" w:hAnsi="Arial"/>
          <w:sz w:val="15"/>
          <w:szCs w:val="15"/>
          <w:color w:val="23232A"/>
        </w:rPr>
        <w:t xml:space="preserve"> </w:t>
      </w:r>
      <w:r>
        <w:rPr>
          <w:rFonts w:ascii="Arial" w:cs="Arial" w:eastAsia="Arial" w:hAnsi="Arial"/>
          <w:sz w:val="15"/>
          <w:szCs w:val="15"/>
          <w:color w:val="42444D"/>
        </w:rPr>
        <w:t>of</w:t>
      </w:r>
      <w:r>
        <w:rPr>
          <w:rFonts w:ascii="Arial" w:cs="Arial" w:eastAsia="Arial" w:hAnsi="Arial"/>
          <w:sz w:val="15"/>
          <w:szCs w:val="15"/>
          <w:color w:val="23232A"/>
        </w:rPr>
        <w:t xml:space="preserve"> </w:t>
      </w:r>
      <w:r>
        <w:rPr>
          <w:rFonts w:ascii="Arial" w:cs="Arial" w:eastAsia="Arial" w:hAnsi="Arial"/>
          <w:sz w:val="15"/>
          <w:szCs w:val="15"/>
          <w:color w:val="34343D"/>
        </w:rPr>
        <w:t>tax withholdings; or</w:t>
      </w:r>
    </w:p>
    <w:p>
      <w:pPr>
        <w:spacing w:after="0" w:line="2" w:lineRule="exact"/>
        <w:rPr>
          <w:sz w:val="20"/>
          <w:szCs w:val="20"/>
          <w:color w:val="auto"/>
        </w:rPr>
      </w:pPr>
    </w:p>
    <w:p>
      <w:pPr>
        <w:jc w:val="both"/>
        <w:ind w:left="180"/>
        <w:spacing w:after="0" w:line="253" w:lineRule="auto"/>
        <w:rPr>
          <w:sz w:val="20"/>
          <w:szCs w:val="20"/>
          <w:color w:val="auto"/>
        </w:rPr>
      </w:pPr>
      <w:r>
        <w:rPr>
          <w:rFonts w:ascii="Arial" w:cs="Arial" w:eastAsia="Arial" w:hAnsi="Arial"/>
          <w:sz w:val="15"/>
          <w:szCs w:val="15"/>
          <w:color w:val="23232A"/>
        </w:rPr>
        <w:t xml:space="preserve">I </w:t>
      </w:r>
      <w:r>
        <w:rPr>
          <w:rFonts w:ascii="Arial" w:cs="Arial" w:eastAsia="Arial" w:hAnsi="Arial"/>
          <w:sz w:val="15"/>
          <w:szCs w:val="15"/>
          <w:color w:val="34343D"/>
        </w:rPr>
        <w:t>shall pay to</w:t>
      </w:r>
      <w:r>
        <w:rPr>
          <w:rFonts w:ascii="Arial" w:cs="Arial" w:eastAsia="Arial" w:hAnsi="Arial"/>
          <w:sz w:val="15"/>
          <w:szCs w:val="15"/>
          <w:color w:val="23232A"/>
        </w:rPr>
        <w:t xml:space="preserve"> Biog</w:t>
      </w:r>
      <w:r>
        <w:rPr>
          <w:rFonts w:ascii="Arial" w:cs="Arial" w:eastAsia="Arial" w:hAnsi="Arial"/>
          <w:sz w:val="15"/>
          <w:szCs w:val="15"/>
          <w:color w:val="42444D"/>
        </w:rPr>
        <w:t>en a</w:t>
      </w:r>
      <w:r>
        <w:rPr>
          <w:rFonts w:ascii="Arial" w:cs="Arial" w:eastAsia="Arial" w:hAnsi="Arial"/>
          <w:sz w:val="15"/>
          <w:szCs w:val="15"/>
          <w:color w:val="23232A"/>
        </w:rPr>
        <w:t xml:space="preserve">ll </w:t>
      </w:r>
      <w:r>
        <w:rPr>
          <w:rFonts w:ascii="Arial" w:cs="Arial" w:eastAsia="Arial" w:hAnsi="Arial"/>
          <w:sz w:val="15"/>
          <w:szCs w:val="15"/>
          <w:color w:val="42444D"/>
        </w:rPr>
        <w:t>s</w:t>
      </w:r>
      <w:r>
        <w:rPr>
          <w:rFonts w:ascii="Arial" w:cs="Arial" w:eastAsia="Arial" w:hAnsi="Arial"/>
          <w:sz w:val="15"/>
          <w:szCs w:val="15"/>
          <w:color w:val="23232A"/>
        </w:rPr>
        <w:t>u</w:t>
      </w:r>
      <w:r>
        <w:rPr>
          <w:rFonts w:ascii="Arial" w:cs="Arial" w:eastAsia="Arial" w:hAnsi="Arial"/>
          <w:sz w:val="15"/>
          <w:szCs w:val="15"/>
          <w:color w:val="42444D"/>
        </w:rPr>
        <w:t>ch</w:t>
      </w:r>
      <w:r>
        <w:rPr>
          <w:rFonts w:ascii="Arial" w:cs="Arial" w:eastAsia="Arial" w:hAnsi="Arial"/>
          <w:sz w:val="15"/>
          <w:szCs w:val="15"/>
          <w:color w:val="23232A"/>
        </w:rPr>
        <w:t xml:space="preserve"> </w:t>
      </w:r>
      <w:r>
        <w:rPr>
          <w:rFonts w:ascii="Arial" w:cs="Arial" w:eastAsia="Arial" w:hAnsi="Arial"/>
          <w:sz w:val="15"/>
          <w:szCs w:val="15"/>
          <w:color w:val="34343D"/>
        </w:rPr>
        <w:t>repayable amounts within thirty</w:t>
      </w:r>
      <w:r>
        <w:rPr>
          <w:rFonts w:ascii="Arial" w:cs="Arial" w:eastAsia="Arial" w:hAnsi="Arial"/>
          <w:sz w:val="15"/>
          <w:szCs w:val="15"/>
          <w:color w:val="23232A"/>
        </w:rPr>
        <w:t xml:space="preserve"> </w:t>
      </w:r>
      <w:r>
        <w:rPr>
          <w:rFonts w:ascii="Arial" w:cs="Arial" w:eastAsia="Arial" w:hAnsi="Arial"/>
          <w:sz w:val="15"/>
          <w:szCs w:val="15"/>
          <w:color w:val="42444D"/>
        </w:rPr>
        <w:t>(3</w:t>
      </w:r>
      <w:r>
        <w:rPr>
          <w:rFonts w:ascii="Arial" w:cs="Arial" w:eastAsia="Arial" w:hAnsi="Arial"/>
          <w:sz w:val="15"/>
          <w:szCs w:val="15"/>
          <w:color w:val="23232A"/>
        </w:rPr>
        <w:t xml:space="preserve">0) days </w:t>
      </w:r>
      <w:r>
        <w:rPr>
          <w:rFonts w:ascii="Arial" w:cs="Arial" w:eastAsia="Arial" w:hAnsi="Arial"/>
          <w:sz w:val="15"/>
          <w:szCs w:val="15"/>
          <w:color w:val="34343D"/>
        </w:rPr>
        <w:t>of</w:t>
      </w:r>
      <w:r>
        <w:rPr>
          <w:rFonts w:ascii="Arial" w:cs="Arial" w:eastAsia="Arial" w:hAnsi="Arial"/>
          <w:sz w:val="15"/>
          <w:szCs w:val="15"/>
          <w:color w:val="23232A"/>
        </w:rPr>
        <w:t xml:space="preserve"> th</w:t>
      </w:r>
      <w:r>
        <w:rPr>
          <w:rFonts w:ascii="Arial" w:cs="Arial" w:eastAsia="Arial" w:hAnsi="Arial"/>
          <w:sz w:val="15"/>
          <w:szCs w:val="15"/>
          <w:color w:val="42444D"/>
        </w:rPr>
        <w:t>e</w:t>
      </w:r>
      <w:r>
        <w:rPr>
          <w:rFonts w:ascii="Arial" w:cs="Arial" w:eastAsia="Arial" w:hAnsi="Arial"/>
          <w:sz w:val="15"/>
          <w:szCs w:val="15"/>
          <w:color w:val="23232A"/>
        </w:rPr>
        <w:t xml:space="preserve"> </w:t>
      </w:r>
      <w:r>
        <w:rPr>
          <w:rFonts w:ascii="Arial" w:cs="Arial" w:eastAsia="Arial" w:hAnsi="Arial"/>
          <w:sz w:val="15"/>
          <w:szCs w:val="15"/>
          <w:color w:val="34343D"/>
        </w:rPr>
        <w:t>effective</w:t>
      </w:r>
      <w:r>
        <w:rPr>
          <w:rFonts w:ascii="Arial" w:cs="Arial" w:eastAsia="Arial" w:hAnsi="Arial"/>
          <w:sz w:val="15"/>
          <w:szCs w:val="15"/>
          <w:color w:val="23232A"/>
        </w:rPr>
        <w:t xml:space="preserve"> d</w:t>
      </w:r>
      <w:r>
        <w:rPr>
          <w:rFonts w:ascii="Arial" w:cs="Arial" w:eastAsia="Arial" w:hAnsi="Arial"/>
          <w:sz w:val="15"/>
          <w:szCs w:val="15"/>
          <w:color w:val="42444D"/>
        </w:rPr>
        <w:t>a</w:t>
      </w:r>
      <w:r>
        <w:rPr>
          <w:rFonts w:ascii="Arial" w:cs="Arial" w:eastAsia="Arial" w:hAnsi="Arial"/>
          <w:sz w:val="15"/>
          <w:szCs w:val="15"/>
          <w:color w:val="23232A"/>
        </w:rPr>
        <w:t xml:space="preserve">te </w:t>
      </w:r>
      <w:r>
        <w:rPr>
          <w:rFonts w:ascii="Arial" w:cs="Arial" w:eastAsia="Arial" w:hAnsi="Arial"/>
          <w:sz w:val="15"/>
          <w:szCs w:val="15"/>
          <w:color w:val="34343D"/>
        </w:rPr>
        <w:t>of</w:t>
      </w:r>
      <w:r>
        <w:rPr>
          <w:rFonts w:ascii="Arial" w:cs="Arial" w:eastAsia="Arial" w:hAnsi="Arial"/>
          <w:sz w:val="15"/>
          <w:szCs w:val="15"/>
          <w:color w:val="23232A"/>
        </w:rPr>
        <w:t xml:space="preserve"> my </w:t>
      </w:r>
      <w:r>
        <w:rPr>
          <w:rFonts w:ascii="Arial" w:cs="Arial" w:eastAsia="Arial" w:hAnsi="Arial"/>
          <w:sz w:val="15"/>
          <w:szCs w:val="15"/>
          <w:color w:val="42444D"/>
        </w:rPr>
        <w:t>employme</w:t>
      </w:r>
      <w:r>
        <w:rPr>
          <w:rFonts w:ascii="Arial" w:cs="Arial" w:eastAsia="Arial" w:hAnsi="Arial"/>
          <w:sz w:val="15"/>
          <w:szCs w:val="15"/>
          <w:color w:val="23232A"/>
        </w:rPr>
        <w:t xml:space="preserve">nt </w:t>
      </w:r>
      <w:r>
        <w:rPr>
          <w:rFonts w:ascii="Arial" w:cs="Arial" w:eastAsia="Arial" w:hAnsi="Arial"/>
          <w:sz w:val="15"/>
          <w:szCs w:val="15"/>
          <w:color w:val="34343D"/>
        </w:rPr>
        <w:t>termination</w:t>
      </w:r>
      <w:r>
        <w:rPr>
          <w:rFonts w:ascii="Arial" w:cs="Arial" w:eastAsia="Arial" w:hAnsi="Arial"/>
          <w:sz w:val="15"/>
          <w:szCs w:val="15"/>
          <w:color w:val="23232A"/>
        </w:rPr>
        <w:t xml:space="preserve"> </w:t>
      </w:r>
      <w:r>
        <w:rPr>
          <w:rFonts w:ascii="Arial" w:cs="Arial" w:eastAsia="Arial" w:hAnsi="Arial"/>
          <w:sz w:val="15"/>
          <w:szCs w:val="15"/>
          <w:color w:val="42444D"/>
        </w:rPr>
        <w:t>or</w:t>
      </w:r>
      <w:r>
        <w:rPr>
          <w:rFonts w:ascii="Arial" w:cs="Arial" w:eastAsia="Arial" w:hAnsi="Arial"/>
          <w:sz w:val="15"/>
          <w:szCs w:val="15"/>
          <w:color w:val="23232A"/>
        </w:rPr>
        <w:t xml:space="preserve"> </w:t>
      </w:r>
      <w:r>
        <w:rPr>
          <w:rFonts w:ascii="Arial" w:cs="Arial" w:eastAsia="Arial" w:hAnsi="Arial"/>
          <w:sz w:val="15"/>
          <w:szCs w:val="15"/>
          <w:color w:val="34343D"/>
        </w:rPr>
        <w:t>by</w:t>
      </w:r>
      <w:r>
        <w:rPr>
          <w:rFonts w:ascii="Arial" w:cs="Arial" w:eastAsia="Arial" w:hAnsi="Arial"/>
          <w:sz w:val="15"/>
          <w:szCs w:val="15"/>
          <w:color w:val="23232A"/>
        </w:rPr>
        <w:t xml:space="preserve"> </w:t>
      </w:r>
      <w:r>
        <w:rPr>
          <w:rFonts w:ascii="Arial" w:cs="Arial" w:eastAsia="Arial" w:hAnsi="Arial"/>
          <w:sz w:val="15"/>
          <w:szCs w:val="15"/>
          <w:color w:val="42444D"/>
        </w:rPr>
        <w:t>the</w:t>
      </w:r>
      <w:r>
        <w:rPr>
          <w:rFonts w:ascii="Arial" w:cs="Arial" w:eastAsia="Arial" w:hAnsi="Arial"/>
          <w:sz w:val="15"/>
          <w:szCs w:val="15"/>
          <w:color w:val="23232A"/>
        </w:rPr>
        <w:t xml:space="preserve"> </w:t>
      </w:r>
      <w:r>
        <w:rPr>
          <w:rFonts w:ascii="Arial" w:cs="Arial" w:eastAsia="Arial" w:hAnsi="Arial"/>
          <w:sz w:val="15"/>
          <w:szCs w:val="15"/>
          <w:color w:val="34343D"/>
        </w:rPr>
        <w:t>end of</w:t>
      </w:r>
      <w:r>
        <w:rPr>
          <w:rFonts w:ascii="Arial" w:cs="Arial" w:eastAsia="Arial" w:hAnsi="Arial"/>
          <w:sz w:val="15"/>
          <w:szCs w:val="15"/>
          <w:color w:val="23232A"/>
        </w:rPr>
        <w:t xml:space="preserve"> th</w:t>
      </w:r>
      <w:r>
        <w:rPr>
          <w:rFonts w:ascii="Arial" w:cs="Arial" w:eastAsia="Arial" w:hAnsi="Arial"/>
          <w:sz w:val="15"/>
          <w:szCs w:val="15"/>
          <w:color w:val="42444D"/>
        </w:rPr>
        <w:t>e year</w:t>
      </w:r>
      <w:r>
        <w:rPr>
          <w:rFonts w:ascii="Arial" w:cs="Arial" w:eastAsia="Arial" w:hAnsi="Arial"/>
          <w:sz w:val="15"/>
          <w:szCs w:val="15"/>
          <w:color w:val="23232A"/>
        </w:rPr>
        <w:t xml:space="preserve"> </w:t>
      </w:r>
      <w:r>
        <w:rPr>
          <w:rFonts w:ascii="Arial" w:cs="Arial" w:eastAsia="Arial" w:hAnsi="Arial"/>
          <w:sz w:val="15"/>
          <w:szCs w:val="15"/>
          <w:color w:val="34343D"/>
        </w:rPr>
        <w:t xml:space="preserve">in </w:t>
      </w:r>
      <w:r>
        <w:rPr>
          <w:rFonts w:ascii="Arial" w:cs="Arial" w:eastAsia="Arial" w:hAnsi="Arial"/>
          <w:sz w:val="15"/>
          <w:szCs w:val="15"/>
          <w:color w:val="42444D"/>
        </w:rPr>
        <w:t>w</w:t>
      </w:r>
      <w:r>
        <w:rPr>
          <w:rFonts w:ascii="Arial" w:cs="Arial" w:eastAsia="Arial" w:hAnsi="Arial"/>
          <w:sz w:val="15"/>
          <w:szCs w:val="15"/>
          <w:color w:val="23232A"/>
        </w:rPr>
        <w:t>h</w:t>
      </w:r>
      <w:r>
        <w:rPr>
          <w:rFonts w:ascii="Arial" w:cs="Arial" w:eastAsia="Arial" w:hAnsi="Arial"/>
          <w:sz w:val="15"/>
          <w:szCs w:val="15"/>
          <w:color w:val="42444D"/>
        </w:rPr>
        <w:t>ich</w:t>
      </w:r>
      <w:r>
        <w:rPr>
          <w:rFonts w:ascii="Arial" w:cs="Arial" w:eastAsia="Arial" w:hAnsi="Arial"/>
          <w:sz w:val="15"/>
          <w:szCs w:val="15"/>
          <w:color w:val="34343D"/>
        </w:rPr>
        <w:t xml:space="preserve"> my </w:t>
      </w:r>
      <w:r>
        <w:rPr>
          <w:rFonts w:ascii="Arial" w:cs="Arial" w:eastAsia="Arial" w:hAnsi="Arial"/>
          <w:sz w:val="15"/>
          <w:szCs w:val="15"/>
          <w:color w:val="42444D"/>
        </w:rPr>
        <w:t>emp</w:t>
      </w:r>
      <w:r>
        <w:rPr>
          <w:rFonts w:ascii="Arial" w:cs="Arial" w:eastAsia="Arial" w:hAnsi="Arial"/>
          <w:sz w:val="15"/>
          <w:szCs w:val="15"/>
          <w:color w:val="23232A"/>
        </w:rPr>
        <w:t>loym</w:t>
      </w:r>
      <w:r>
        <w:rPr>
          <w:rFonts w:ascii="Arial" w:cs="Arial" w:eastAsia="Arial" w:hAnsi="Arial"/>
          <w:sz w:val="15"/>
          <w:szCs w:val="15"/>
          <w:color w:val="42444D"/>
        </w:rPr>
        <w:t>en</w:t>
      </w:r>
      <w:r>
        <w:rPr>
          <w:rFonts w:ascii="Arial" w:cs="Arial" w:eastAsia="Arial" w:hAnsi="Arial"/>
          <w:sz w:val="15"/>
          <w:szCs w:val="15"/>
          <w:color w:val="34343D"/>
        </w:rPr>
        <w:t xml:space="preserve"> </w:t>
      </w:r>
      <w:r>
        <w:rPr>
          <w:rFonts w:ascii="Arial" w:cs="Arial" w:eastAsia="Arial" w:hAnsi="Arial"/>
          <w:sz w:val="15"/>
          <w:szCs w:val="15"/>
          <w:color w:val="23232A"/>
        </w:rPr>
        <w:t>t</w:t>
      </w:r>
      <w:r>
        <w:rPr>
          <w:rFonts w:ascii="Arial" w:cs="Arial" w:eastAsia="Arial" w:hAnsi="Arial"/>
          <w:sz w:val="15"/>
          <w:szCs w:val="15"/>
          <w:color w:val="42444D"/>
        </w:rPr>
        <w:t>e</w:t>
      </w:r>
      <w:r>
        <w:rPr>
          <w:rFonts w:ascii="Arial" w:cs="Arial" w:eastAsia="Arial" w:hAnsi="Arial"/>
          <w:sz w:val="15"/>
          <w:szCs w:val="15"/>
          <w:color w:val="23232A"/>
        </w:rPr>
        <w:t>rmin</w:t>
      </w:r>
      <w:r>
        <w:rPr>
          <w:rFonts w:ascii="Arial" w:cs="Arial" w:eastAsia="Arial" w:hAnsi="Arial"/>
          <w:sz w:val="15"/>
          <w:szCs w:val="15"/>
          <w:color w:val="42444D"/>
        </w:rPr>
        <w:t>a</w:t>
      </w:r>
      <w:r>
        <w:rPr>
          <w:rFonts w:ascii="Arial" w:cs="Arial" w:eastAsia="Arial" w:hAnsi="Arial"/>
          <w:sz w:val="15"/>
          <w:szCs w:val="15"/>
          <w:color w:val="23232A"/>
        </w:rPr>
        <w:t>tes</w:t>
      </w:r>
      <w:r>
        <w:rPr>
          <w:rFonts w:ascii="Arial" w:cs="Arial" w:eastAsia="Arial" w:hAnsi="Arial"/>
          <w:sz w:val="15"/>
          <w:szCs w:val="15"/>
          <w:color w:val="595B62"/>
        </w:rPr>
        <w:t>,</w:t>
      </w:r>
      <w:r>
        <w:rPr>
          <w:rFonts w:ascii="Arial" w:cs="Arial" w:eastAsia="Arial" w:hAnsi="Arial"/>
          <w:sz w:val="15"/>
          <w:szCs w:val="15"/>
          <w:color w:val="34343D"/>
        </w:rPr>
        <w:t xml:space="preserve"> whichever </w:t>
      </w:r>
      <w:r>
        <w:rPr>
          <w:rFonts w:ascii="Arial" w:cs="Arial" w:eastAsia="Arial" w:hAnsi="Arial"/>
          <w:sz w:val="15"/>
          <w:szCs w:val="15"/>
          <w:color w:val="42444D"/>
        </w:rPr>
        <w:t>comes</w:t>
      </w:r>
      <w:r>
        <w:rPr>
          <w:rFonts w:ascii="Arial" w:cs="Arial" w:eastAsia="Arial" w:hAnsi="Arial"/>
          <w:sz w:val="15"/>
          <w:szCs w:val="15"/>
          <w:color w:val="34343D"/>
        </w:rPr>
        <w:t xml:space="preserve"> </w:t>
      </w:r>
      <w:r>
        <w:rPr>
          <w:rFonts w:ascii="Arial" w:cs="Arial" w:eastAsia="Arial" w:hAnsi="Arial"/>
          <w:sz w:val="15"/>
          <w:szCs w:val="15"/>
          <w:color w:val="23232A"/>
        </w:rPr>
        <w:t>fi</w:t>
      </w:r>
      <w:r>
        <w:rPr>
          <w:rFonts w:ascii="Arial" w:cs="Arial" w:eastAsia="Arial" w:hAnsi="Arial"/>
          <w:sz w:val="15"/>
          <w:szCs w:val="15"/>
          <w:color w:val="6B6B72"/>
        </w:rPr>
        <w:t>r</w:t>
      </w:r>
      <w:r>
        <w:rPr>
          <w:rFonts w:ascii="Arial" w:cs="Arial" w:eastAsia="Arial" w:hAnsi="Arial"/>
          <w:sz w:val="15"/>
          <w:szCs w:val="15"/>
          <w:color w:val="42444D"/>
        </w:rPr>
        <w:t>s</w:t>
      </w:r>
      <w:r>
        <w:rPr>
          <w:rFonts w:ascii="Arial" w:cs="Arial" w:eastAsia="Arial" w:hAnsi="Arial"/>
          <w:sz w:val="15"/>
          <w:szCs w:val="15"/>
          <w:color w:val="23232A"/>
        </w:rPr>
        <w:t>t. I</w:t>
      </w:r>
      <w:r>
        <w:rPr>
          <w:rFonts w:ascii="Arial" w:cs="Arial" w:eastAsia="Arial" w:hAnsi="Arial"/>
          <w:sz w:val="15"/>
          <w:szCs w:val="15"/>
          <w:color w:val="34343D"/>
        </w:rPr>
        <w:t xml:space="preserve"> voluntarily authorize Biogen to </w:t>
      </w:r>
      <w:r>
        <w:rPr>
          <w:rFonts w:ascii="Arial" w:cs="Arial" w:eastAsia="Arial" w:hAnsi="Arial"/>
          <w:sz w:val="15"/>
          <w:szCs w:val="15"/>
          <w:color w:val="42444D"/>
        </w:rPr>
        <w:t>de</w:t>
      </w:r>
      <w:r>
        <w:rPr>
          <w:rFonts w:ascii="Arial" w:cs="Arial" w:eastAsia="Arial" w:hAnsi="Arial"/>
          <w:sz w:val="15"/>
          <w:szCs w:val="15"/>
          <w:color w:val="23232A"/>
        </w:rPr>
        <w:t>du</w:t>
      </w:r>
      <w:r>
        <w:rPr>
          <w:rFonts w:ascii="Arial" w:cs="Arial" w:eastAsia="Arial" w:hAnsi="Arial"/>
          <w:sz w:val="15"/>
          <w:szCs w:val="15"/>
          <w:color w:val="42444D"/>
        </w:rPr>
        <w:t>c</w:t>
      </w:r>
      <w:r>
        <w:rPr>
          <w:rFonts w:ascii="Arial" w:cs="Arial" w:eastAsia="Arial" w:hAnsi="Arial"/>
          <w:sz w:val="15"/>
          <w:szCs w:val="15"/>
          <w:color w:val="23232A"/>
        </w:rPr>
        <w:t>t</w:t>
      </w:r>
      <w:r>
        <w:rPr>
          <w:rFonts w:ascii="Arial" w:cs="Arial" w:eastAsia="Arial" w:hAnsi="Arial"/>
          <w:sz w:val="15"/>
          <w:szCs w:val="15"/>
          <w:color w:val="797C83"/>
        </w:rPr>
        <w:t>,</w:t>
      </w:r>
      <w:r>
        <w:rPr>
          <w:rFonts w:ascii="Arial" w:cs="Arial" w:eastAsia="Arial" w:hAnsi="Arial"/>
          <w:sz w:val="15"/>
          <w:szCs w:val="15"/>
          <w:color w:val="34343D"/>
        </w:rPr>
        <w:t xml:space="preserve"> </w:t>
      </w:r>
      <w:r>
        <w:rPr>
          <w:rFonts w:ascii="Arial" w:cs="Arial" w:eastAsia="Arial" w:hAnsi="Arial"/>
          <w:sz w:val="15"/>
          <w:szCs w:val="15"/>
          <w:color w:val="42444D"/>
        </w:rPr>
        <w:t>w</w:t>
      </w:r>
      <w:r>
        <w:rPr>
          <w:rFonts w:ascii="Arial" w:cs="Arial" w:eastAsia="Arial" w:hAnsi="Arial"/>
          <w:sz w:val="15"/>
          <w:szCs w:val="15"/>
          <w:color w:val="797C83"/>
        </w:rPr>
        <w:t>i</w:t>
      </w:r>
      <w:r>
        <w:rPr>
          <w:rFonts w:ascii="Arial" w:cs="Arial" w:eastAsia="Arial" w:hAnsi="Arial"/>
          <w:sz w:val="15"/>
          <w:szCs w:val="15"/>
          <w:color w:val="595B62"/>
        </w:rPr>
        <w:t>th</w:t>
      </w:r>
      <w:r>
        <w:rPr>
          <w:rFonts w:ascii="Arial" w:cs="Arial" w:eastAsia="Arial" w:hAnsi="Arial"/>
          <w:sz w:val="15"/>
          <w:szCs w:val="15"/>
          <w:color w:val="34343D"/>
        </w:rPr>
        <w:t xml:space="preserve">hold and/or retain </w:t>
      </w:r>
      <w:r>
        <w:rPr>
          <w:rFonts w:ascii="Arial" w:cs="Arial" w:eastAsia="Arial" w:hAnsi="Arial"/>
          <w:sz w:val="15"/>
          <w:szCs w:val="15"/>
          <w:color w:val="42444D"/>
        </w:rPr>
        <w:t>a</w:t>
      </w:r>
      <w:r>
        <w:rPr>
          <w:rFonts w:ascii="Arial" w:cs="Arial" w:eastAsia="Arial" w:hAnsi="Arial"/>
          <w:sz w:val="15"/>
          <w:szCs w:val="15"/>
          <w:color w:val="23232A"/>
        </w:rPr>
        <w:t>ll</w:t>
      </w:r>
      <w:r>
        <w:rPr>
          <w:rFonts w:ascii="Arial" w:cs="Arial" w:eastAsia="Arial" w:hAnsi="Arial"/>
          <w:sz w:val="15"/>
          <w:szCs w:val="15"/>
          <w:color w:val="34343D"/>
        </w:rPr>
        <w:t xml:space="preserve"> </w:t>
      </w:r>
      <w:r>
        <w:rPr>
          <w:rFonts w:ascii="Arial" w:cs="Arial" w:eastAsia="Arial" w:hAnsi="Arial"/>
          <w:sz w:val="15"/>
          <w:szCs w:val="15"/>
          <w:color w:val="42444D"/>
        </w:rPr>
        <w:t>o</w:t>
      </w:r>
      <w:r>
        <w:rPr>
          <w:rFonts w:ascii="Arial" w:cs="Arial" w:eastAsia="Arial" w:hAnsi="Arial"/>
          <w:sz w:val="15"/>
          <w:szCs w:val="15"/>
          <w:color w:val="23232A"/>
        </w:rPr>
        <w:t>r</w:t>
      </w:r>
      <w:r>
        <w:rPr>
          <w:rFonts w:ascii="Arial" w:cs="Arial" w:eastAsia="Arial" w:hAnsi="Arial"/>
          <w:sz w:val="15"/>
          <w:szCs w:val="15"/>
          <w:color w:val="34343D"/>
        </w:rPr>
        <w:t xml:space="preserve"> any portion </w:t>
      </w:r>
      <w:r>
        <w:rPr>
          <w:rFonts w:ascii="Arial" w:cs="Arial" w:eastAsia="Arial" w:hAnsi="Arial"/>
          <w:sz w:val="15"/>
          <w:szCs w:val="15"/>
          <w:color w:val="42444D"/>
        </w:rPr>
        <w:t>of</w:t>
      </w:r>
      <w:r>
        <w:rPr>
          <w:rFonts w:ascii="Arial" w:cs="Arial" w:eastAsia="Arial" w:hAnsi="Arial"/>
          <w:sz w:val="15"/>
          <w:szCs w:val="15"/>
          <w:color w:val="34343D"/>
        </w:rPr>
        <w:t xml:space="preserve"> </w:t>
      </w:r>
      <w:r>
        <w:rPr>
          <w:rFonts w:ascii="Arial" w:cs="Arial" w:eastAsia="Arial" w:hAnsi="Arial"/>
          <w:sz w:val="15"/>
          <w:szCs w:val="15"/>
          <w:color w:val="23232A"/>
        </w:rPr>
        <w:t>th</w:t>
      </w:r>
      <w:r>
        <w:rPr>
          <w:rFonts w:ascii="Arial" w:cs="Arial" w:eastAsia="Arial" w:hAnsi="Arial"/>
          <w:sz w:val="15"/>
          <w:szCs w:val="15"/>
          <w:color w:val="42444D"/>
        </w:rPr>
        <w:t>e</w:t>
      </w:r>
      <w:r>
        <w:rPr>
          <w:rFonts w:ascii="Arial" w:cs="Arial" w:eastAsia="Arial" w:hAnsi="Arial"/>
          <w:sz w:val="15"/>
          <w:szCs w:val="15"/>
          <w:color w:val="34343D"/>
        </w:rPr>
        <w:t xml:space="preserve"> </w:t>
      </w:r>
      <w:r>
        <w:rPr>
          <w:rFonts w:ascii="Arial" w:cs="Arial" w:eastAsia="Arial" w:hAnsi="Arial"/>
          <w:sz w:val="15"/>
          <w:szCs w:val="15"/>
          <w:color w:val="42444D"/>
        </w:rPr>
        <w:t>amo</w:t>
      </w:r>
      <w:r>
        <w:rPr>
          <w:rFonts w:ascii="Arial" w:cs="Arial" w:eastAsia="Arial" w:hAnsi="Arial"/>
          <w:sz w:val="15"/>
          <w:szCs w:val="15"/>
          <w:color w:val="23232A"/>
        </w:rPr>
        <w:t>unt</w:t>
      </w:r>
      <w:r>
        <w:rPr>
          <w:rFonts w:ascii="Arial" w:cs="Arial" w:eastAsia="Arial" w:hAnsi="Arial"/>
          <w:sz w:val="15"/>
          <w:szCs w:val="15"/>
          <w:color w:val="42444D"/>
        </w:rPr>
        <w:t xml:space="preserve"> which </w:t>
      </w:r>
      <w:r>
        <w:rPr>
          <w:rFonts w:ascii="Arial" w:cs="Arial" w:eastAsia="Arial" w:hAnsi="Arial"/>
          <w:sz w:val="15"/>
          <w:szCs w:val="15"/>
          <w:color w:val="23232A"/>
        </w:rPr>
        <w:t>I may</w:t>
      </w:r>
      <w:r>
        <w:rPr>
          <w:rFonts w:ascii="Arial" w:cs="Arial" w:eastAsia="Arial" w:hAnsi="Arial"/>
          <w:sz w:val="15"/>
          <w:szCs w:val="15"/>
          <w:color w:val="42444D"/>
        </w:rPr>
        <w:t xml:space="preserve"> </w:t>
      </w:r>
      <w:r>
        <w:rPr>
          <w:rFonts w:ascii="Arial" w:cs="Arial" w:eastAsia="Arial" w:hAnsi="Arial"/>
          <w:sz w:val="15"/>
          <w:szCs w:val="15"/>
          <w:color w:val="34343D"/>
        </w:rPr>
        <w:t>be</w:t>
      </w:r>
      <w:r>
        <w:rPr>
          <w:rFonts w:ascii="Arial" w:cs="Arial" w:eastAsia="Arial" w:hAnsi="Arial"/>
          <w:sz w:val="15"/>
          <w:szCs w:val="15"/>
          <w:color w:val="42444D"/>
        </w:rPr>
        <w:t xml:space="preserve"> </w:t>
      </w:r>
      <w:r>
        <w:rPr>
          <w:rFonts w:ascii="Arial" w:cs="Arial" w:eastAsia="Arial" w:hAnsi="Arial"/>
          <w:sz w:val="15"/>
          <w:szCs w:val="15"/>
          <w:color w:val="23232A"/>
        </w:rPr>
        <w:t>req</w:t>
      </w:r>
      <w:r>
        <w:rPr>
          <w:rFonts w:ascii="Arial" w:cs="Arial" w:eastAsia="Arial" w:hAnsi="Arial"/>
          <w:sz w:val="15"/>
          <w:szCs w:val="15"/>
          <w:color w:val="42444D"/>
        </w:rPr>
        <w:t xml:space="preserve">uired </w:t>
      </w:r>
      <w:r>
        <w:rPr>
          <w:rFonts w:ascii="Arial" w:cs="Arial" w:eastAsia="Arial" w:hAnsi="Arial"/>
          <w:sz w:val="15"/>
          <w:szCs w:val="15"/>
          <w:color w:val="34343D"/>
        </w:rPr>
        <w:t>to</w:t>
      </w:r>
      <w:r>
        <w:rPr>
          <w:rFonts w:ascii="Arial" w:cs="Arial" w:eastAsia="Arial" w:hAnsi="Arial"/>
          <w:sz w:val="15"/>
          <w:szCs w:val="15"/>
          <w:color w:val="42444D"/>
        </w:rPr>
        <w:t xml:space="preserve"> </w:t>
      </w:r>
      <w:r>
        <w:rPr>
          <w:rFonts w:ascii="Arial" w:cs="Arial" w:eastAsia="Arial" w:hAnsi="Arial"/>
          <w:sz w:val="15"/>
          <w:szCs w:val="15"/>
          <w:color w:val="23232A"/>
        </w:rPr>
        <w:t>r</w:t>
      </w:r>
      <w:r>
        <w:rPr>
          <w:rFonts w:ascii="Arial" w:cs="Arial" w:eastAsia="Arial" w:hAnsi="Arial"/>
          <w:sz w:val="15"/>
          <w:szCs w:val="15"/>
          <w:color w:val="42444D"/>
        </w:rPr>
        <w:t>e</w:t>
      </w:r>
      <w:r>
        <w:rPr>
          <w:rFonts w:ascii="Arial" w:cs="Arial" w:eastAsia="Arial" w:hAnsi="Arial"/>
          <w:sz w:val="15"/>
          <w:szCs w:val="15"/>
          <w:color w:val="23232A"/>
        </w:rPr>
        <w:t>fun</w:t>
      </w:r>
      <w:r>
        <w:rPr>
          <w:rFonts w:ascii="Arial" w:cs="Arial" w:eastAsia="Arial" w:hAnsi="Arial"/>
          <w:sz w:val="15"/>
          <w:szCs w:val="15"/>
          <w:color w:val="595B62"/>
        </w:rPr>
        <w:t>d</w:t>
      </w:r>
      <w:r>
        <w:rPr>
          <w:rFonts w:ascii="Arial" w:cs="Arial" w:eastAsia="Arial" w:hAnsi="Arial"/>
          <w:sz w:val="15"/>
          <w:szCs w:val="15"/>
          <w:color w:val="42444D"/>
        </w:rPr>
        <w:t xml:space="preserve"> or </w:t>
      </w:r>
      <w:r>
        <w:rPr>
          <w:rFonts w:ascii="Arial" w:cs="Arial" w:eastAsia="Arial" w:hAnsi="Arial"/>
          <w:sz w:val="15"/>
          <w:szCs w:val="15"/>
          <w:color w:val="23232A"/>
        </w:rPr>
        <w:t>r</w:t>
      </w:r>
      <w:r>
        <w:rPr>
          <w:rFonts w:ascii="Arial" w:cs="Arial" w:eastAsia="Arial" w:hAnsi="Arial"/>
          <w:sz w:val="15"/>
          <w:szCs w:val="15"/>
          <w:color w:val="595B62"/>
        </w:rPr>
        <w:t>ep</w:t>
      </w:r>
      <w:r>
        <w:rPr>
          <w:rFonts w:ascii="Arial" w:cs="Arial" w:eastAsia="Arial" w:hAnsi="Arial"/>
          <w:sz w:val="15"/>
          <w:szCs w:val="15"/>
          <w:color w:val="34343D"/>
        </w:rPr>
        <w:t>ay to</w:t>
      </w:r>
      <w:r>
        <w:rPr>
          <w:rFonts w:ascii="Arial" w:cs="Arial" w:eastAsia="Arial" w:hAnsi="Arial"/>
          <w:sz w:val="15"/>
          <w:szCs w:val="15"/>
          <w:color w:val="42444D"/>
        </w:rPr>
        <w:t xml:space="preserve"> Bioge</w:t>
      </w:r>
      <w:r>
        <w:rPr>
          <w:rFonts w:ascii="Arial" w:cs="Arial" w:eastAsia="Arial" w:hAnsi="Arial"/>
          <w:sz w:val="15"/>
          <w:szCs w:val="15"/>
          <w:color w:val="23232A"/>
        </w:rPr>
        <w:t>n hereund</w:t>
      </w:r>
      <w:r>
        <w:rPr>
          <w:rFonts w:ascii="Arial" w:cs="Arial" w:eastAsia="Arial" w:hAnsi="Arial"/>
          <w:sz w:val="15"/>
          <w:szCs w:val="15"/>
          <w:color w:val="42444D"/>
        </w:rPr>
        <w:t>e</w:t>
      </w:r>
      <w:r>
        <w:rPr>
          <w:rFonts w:ascii="Arial" w:cs="Arial" w:eastAsia="Arial" w:hAnsi="Arial"/>
          <w:sz w:val="15"/>
          <w:szCs w:val="15"/>
          <w:color w:val="23232A"/>
        </w:rPr>
        <w:t>r</w:t>
      </w:r>
      <w:r>
        <w:rPr>
          <w:rFonts w:ascii="Arial" w:cs="Arial" w:eastAsia="Arial" w:hAnsi="Arial"/>
          <w:sz w:val="15"/>
          <w:szCs w:val="15"/>
          <w:color w:val="42444D"/>
        </w:rPr>
        <w:t xml:space="preserve"> </w:t>
      </w:r>
      <w:r>
        <w:rPr>
          <w:rFonts w:ascii="Arial" w:cs="Arial" w:eastAsia="Arial" w:hAnsi="Arial"/>
          <w:sz w:val="15"/>
          <w:szCs w:val="15"/>
          <w:color w:val="34343D"/>
        </w:rPr>
        <w:t>from any wages, salary, vacation pay</w:t>
      </w:r>
      <w:r>
        <w:rPr>
          <w:rFonts w:ascii="Arial" w:cs="Arial" w:eastAsia="Arial" w:hAnsi="Arial"/>
          <w:sz w:val="15"/>
          <w:szCs w:val="15"/>
          <w:color w:val="797C83"/>
        </w:rPr>
        <w:t>,</w:t>
      </w:r>
      <w:r>
        <w:rPr>
          <w:rFonts w:ascii="Arial" w:cs="Arial" w:eastAsia="Arial" w:hAnsi="Arial"/>
          <w:sz w:val="15"/>
          <w:szCs w:val="15"/>
          <w:color w:val="42444D"/>
        </w:rPr>
        <w:t xml:space="preserve"> severance pay </w:t>
      </w:r>
      <w:r>
        <w:rPr>
          <w:rFonts w:ascii="Arial" w:cs="Arial" w:eastAsia="Arial" w:hAnsi="Arial"/>
          <w:sz w:val="15"/>
          <w:szCs w:val="15"/>
          <w:color w:val="34343D"/>
        </w:rPr>
        <w:t>or</w:t>
      </w:r>
      <w:r>
        <w:rPr>
          <w:rFonts w:ascii="Arial" w:cs="Arial" w:eastAsia="Arial" w:hAnsi="Arial"/>
          <w:sz w:val="15"/>
          <w:szCs w:val="15"/>
          <w:color w:val="42444D"/>
        </w:rPr>
        <w:t xml:space="preserve"> o</w:t>
      </w:r>
      <w:r>
        <w:rPr>
          <w:rFonts w:ascii="Arial" w:cs="Arial" w:eastAsia="Arial" w:hAnsi="Arial"/>
          <w:sz w:val="15"/>
          <w:szCs w:val="15"/>
          <w:color w:val="23232A"/>
        </w:rPr>
        <w:t>the</w:t>
      </w:r>
      <w:r>
        <w:rPr>
          <w:rFonts w:ascii="Arial" w:cs="Arial" w:eastAsia="Arial" w:hAnsi="Arial"/>
          <w:sz w:val="15"/>
          <w:szCs w:val="15"/>
          <w:color w:val="42444D"/>
        </w:rPr>
        <w:t xml:space="preserve">r </w:t>
      </w:r>
      <w:r>
        <w:rPr>
          <w:rFonts w:ascii="Arial" w:cs="Arial" w:eastAsia="Arial" w:hAnsi="Arial"/>
          <w:sz w:val="15"/>
          <w:szCs w:val="15"/>
          <w:color w:val="34343D"/>
        </w:rPr>
        <w:t>pay which</w:t>
      </w:r>
      <w:r>
        <w:rPr>
          <w:rFonts w:ascii="Arial" w:cs="Arial" w:eastAsia="Arial" w:hAnsi="Arial"/>
          <w:sz w:val="15"/>
          <w:szCs w:val="15"/>
          <w:color w:val="42444D"/>
        </w:rPr>
        <w:t xml:space="preserve"> </w:t>
      </w:r>
      <w:r>
        <w:rPr>
          <w:rFonts w:ascii="Arial" w:cs="Arial" w:eastAsia="Arial" w:hAnsi="Arial"/>
          <w:sz w:val="15"/>
          <w:szCs w:val="15"/>
          <w:color w:val="34343D"/>
        </w:rPr>
        <w:t xml:space="preserve">may </w:t>
      </w:r>
      <w:r>
        <w:rPr>
          <w:rFonts w:ascii="Arial" w:cs="Arial" w:eastAsia="Arial" w:hAnsi="Arial"/>
          <w:sz w:val="15"/>
          <w:szCs w:val="15"/>
          <w:color w:val="42444D"/>
        </w:rPr>
        <w:t>b</w:t>
      </w:r>
      <w:r>
        <w:rPr>
          <w:rFonts w:ascii="Arial" w:cs="Arial" w:eastAsia="Arial" w:hAnsi="Arial"/>
          <w:sz w:val="15"/>
          <w:szCs w:val="15"/>
          <w:color w:val="6B6B72"/>
        </w:rPr>
        <w:t>e</w:t>
      </w:r>
      <w:r>
        <w:rPr>
          <w:rFonts w:ascii="Arial" w:cs="Arial" w:eastAsia="Arial" w:hAnsi="Arial"/>
          <w:sz w:val="15"/>
          <w:szCs w:val="15"/>
          <w:color w:val="34343D"/>
        </w:rPr>
        <w:t xml:space="preserve"> due </w:t>
      </w:r>
      <w:r>
        <w:rPr>
          <w:rFonts w:ascii="Arial" w:cs="Arial" w:eastAsia="Arial" w:hAnsi="Arial"/>
          <w:sz w:val="15"/>
          <w:szCs w:val="15"/>
          <w:color w:val="42444D"/>
        </w:rPr>
        <w:t>a</w:t>
      </w:r>
      <w:r>
        <w:rPr>
          <w:rFonts w:ascii="Arial" w:cs="Arial" w:eastAsia="Arial" w:hAnsi="Arial"/>
          <w:sz w:val="15"/>
          <w:szCs w:val="15"/>
          <w:color w:val="23232A"/>
        </w:rPr>
        <w:t>nd</w:t>
      </w:r>
      <w:r>
        <w:rPr>
          <w:rFonts w:ascii="Arial" w:cs="Arial" w:eastAsia="Arial" w:hAnsi="Arial"/>
          <w:sz w:val="15"/>
          <w:szCs w:val="15"/>
          <w:color w:val="34343D"/>
        </w:rPr>
        <w:t xml:space="preserve"> owing </w:t>
      </w:r>
      <w:r>
        <w:rPr>
          <w:rFonts w:ascii="Arial" w:cs="Arial" w:eastAsia="Arial" w:hAnsi="Arial"/>
          <w:sz w:val="15"/>
          <w:szCs w:val="15"/>
          <w:color w:val="23232A"/>
        </w:rPr>
        <w:t>t</w:t>
      </w:r>
      <w:r>
        <w:rPr>
          <w:rFonts w:ascii="Arial" w:cs="Arial" w:eastAsia="Arial" w:hAnsi="Arial"/>
          <w:sz w:val="15"/>
          <w:szCs w:val="15"/>
          <w:color w:val="42444D"/>
        </w:rPr>
        <w:t>o</w:t>
      </w:r>
      <w:r>
        <w:rPr>
          <w:rFonts w:ascii="Arial" w:cs="Arial" w:eastAsia="Arial" w:hAnsi="Arial"/>
          <w:sz w:val="15"/>
          <w:szCs w:val="15"/>
          <w:color w:val="34343D"/>
        </w:rPr>
        <w:t xml:space="preserve"> </w:t>
      </w:r>
      <w:r>
        <w:rPr>
          <w:rFonts w:ascii="Arial" w:cs="Arial" w:eastAsia="Arial" w:hAnsi="Arial"/>
          <w:sz w:val="15"/>
          <w:szCs w:val="15"/>
          <w:color w:val="23232A"/>
        </w:rPr>
        <w:t>m</w:t>
      </w:r>
      <w:r>
        <w:rPr>
          <w:rFonts w:ascii="Arial" w:cs="Arial" w:eastAsia="Arial" w:hAnsi="Arial"/>
          <w:sz w:val="15"/>
          <w:szCs w:val="15"/>
          <w:color w:val="42444D"/>
        </w:rPr>
        <w:t>e</w:t>
      </w:r>
      <w:r>
        <w:rPr>
          <w:rFonts w:ascii="Arial" w:cs="Arial" w:eastAsia="Arial" w:hAnsi="Arial"/>
          <w:sz w:val="15"/>
          <w:szCs w:val="15"/>
          <w:color w:val="34343D"/>
        </w:rPr>
        <w:t xml:space="preserve"> upon </w:t>
      </w:r>
      <w:r>
        <w:rPr>
          <w:rFonts w:ascii="Arial" w:cs="Arial" w:eastAsia="Arial" w:hAnsi="Arial"/>
          <w:sz w:val="15"/>
          <w:szCs w:val="15"/>
          <w:color w:val="42444D"/>
        </w:rPr>
        <w:t>ter</w:t>
      </w:r>
      <w:r>
        <w:rPr>
          <w:rFonts w:ascii="Arial" w:cs="Arial" w:eastAsia="Arial" w:hAnsi="Arial"/>
          <w:sz w:val="15"/>
          <w:szCs w:val="15"/>
          <w:color w:val="23232A"/>
        </w:rPr>
        <w:t>m</w:t>
      </w:r>
      <w:r>
        <w:rPr>
          <w:rFonts w:ascii="Arial" w:cs="Arial" w:eastAsia="Arial" w:hAnsi="Arial"/>
          <w:sz w:val="15"/>
          <w:szCs w:val="15"/>
          <w:color w:val="42444D"/>
        </w:rPr>
        <w:t>i</w:t>
      </w:r>
      <w:r>
        <w:rPr>
          <w:rFonts w:ascii="Arial" w:cs="Arial" w:eastAsia="Arial" w:hAnsi="Arial"/>
          <w:sz w:val="15"/>
          <w:szCs w:val="15"/>
          <w:color w:val="23232A"/>
        </w:rPr>
        <w:t>nat</w:t>
      </w:r>
      <w:r>
        <w:rPr>
          <w:rFonts w:ascii="Arial" w:cs="Arial" w:eastAsia="Arial" w:hAnsi="Arial"/>
          <w:sz w:val="15"/>
          <w:szCs w:val="15"/>
          <w:color w:val="6B6B72"/>
        </w:rPr>
        <w:t>i</w:t>
      </w:r>
      <w:r>
        <w:rPr>
          <w:rFonts w:ascii="Arial" w:cs="Arial" w:eastAsia="Arial" w:hAnsi="Arial"/>
          <w:sz w:val="15"/>
          <w:szCs w:val="15"/>
          <w:color w:val="42444D"/>
        </w:rPr>
        <w:t>o</w:t>
      </w:r>
      <w:r>
        <w:rPr>
          <w:rFonts w:ascii="Arial" w:cs="Arial" w:eastAsia="Arial" w:hAnsi="Arial"/>
          <w:sz w:val="15"/>
          <w:szCs w:val="15"/>
          <w:color w:val="23232A"/>
        </w:rPr>
        <w:t>n</w:t>
      </w:r>
      <w:r>
        <w:rPr>
          <w:rFonts w:ascii="Arial" w:cs="Arial" w:eastAsia="Arial" w:hAnsi="Arial"/>
          <w:sz w:val="15"/>
          <w:szCs w:val="15"/>
          <w:color w:val="34343D"/>
        </w:rPr>
        <w:t xml:space="preserve"> </w:t>
      </w:r>
      <w:r>
        <w:rPr>
          <w:rFonts w:ascii="Arial" w:cs="Arial" w:eastAsia="Arial" w:hAnsi="Arial"/>
          <w:sz w:val="15"/>
          <w:szCs w:val="15"/>
          <w:color w:val="42444D"/>
        </w:rPr>
        <w:t>of emp</w:t>
      </w:r>
      <w:r>
        <w:rPr>
          <w:rFonts w:ascii="Arial" w:cs="Arial" w:eastAsia="Arial" w:hAnsi="Arial"/>
          <w:sz w:val="15"/>
          <w:szCs w:val="15"/>
          <w:color w:val="23232A"/>
        </w:rPr>
        <w:t>l</w:t>
      </w:r>
      <w:r>
        <w:rPr>
          <w:rFonts w:ascii="Arial" w:cs="Arial" w:eastAsia="Arial" w:hAnsi="Arial"/>
          <w:sz w:val="15"/>
          <w:szCs w:val="15"/>
          <w:color w:val="42444D"/>
        </w:rPr>
        <w:t>oyme</w:t>
      </w:r>
      <w:r>
        <w:rPr>
          <w:rFonts w:ascii="Arial" w:cs="Arial" w:eastAsia="Arial" w:hAnsi="Arial"/>
          <w:sz w:val="15"/>
          <w:szCs w:val="15"/>
          <w:color w:val="23232A"/>
        </w:rPr>
        <w:t>n</w:t>
      </w:r>
      <w:r>
        <w:rPr>
          <w:rFonts w:ascii="Arial" w:cs="Arial" w:eastAsia="Arial" w:hAnsi="Arial"/>
          <w:sz w:val="15"/>
          <w:szCs w:val="15"/>
          <w:color w:val="42444D"/>
        </w:rPr>
        <w:t>t,</w:t>
      </w:r>
      <w:r>
        <w:rPr>
          <w:rFonts w:ascii="Arial" w:cs="Arial" w:eastAsia="Arial" w:hAnsi="Arial"/>
          <w:sz w:val="15"/>
          <w:szCs w:val="15"/>
          <w:color w:val="34343D"/>
        </w:rPr>
        <w:t xml:space="preserve"> </w:t>
      </w:r>
      <w:r>
        <w:rPr>
          <w:rFonts w:ascii="Arial" w:cs="Arial" w:eastAsia="Arial" w:hAnsi="Arial"/>
          <w:sz w:val="15"/>
          <w:szCs w:val="15"/>
          <w:color w:val="23232A"/>
        </w:rPr>
        <w:t>t</w:t>
      </w:r>
      <w:r>
        <w:rPr>
          <w:rFonts w:ascii="Arial" w:cs="Arial" w:eastAsia="Arial" w:hAnsi="Arial"/>
          <w:sz w:val="15"/>
          <w:szCs w:val="15"/>
          <w:color w:val="42444D"/>
        </w:rPr>
        <w:t>o</w:t>
      </w:r>
      <w:r>
        <w:rPr>
          <w:rFonts w:ascii="Arial" w:cs="Arial" w:eastAsia="Arial" w:hAnsi="Arial"/>
          <w:sz w:val="15"/>
          <w:szCs w:val="15"/>
          <w:color w:val="34343D"/>
        </w:rPr>
        <w:t xml:space="preserve"> </w:t>
      </w:r>
      <w:r>
        <w:rPr>
          <w:rFonts w:ascii="Arial" w:cs="Arial" w:eastAsia="Arial" w:hAnsi="Arial"/>
          <w:sz w:val="15"/>
          <w:szCs w:val="15"/>
          <w:color w:val="23232A"/>
        </w:rPr>
        <w:t>th</w:t>
      </w:r>
      <w:r>
        <w:rPr>
          <w:rFonts w:ascii="Arial" w:cs="Arial" w:eastAsia="Arial" w:hAnsi="Arial"/>
          <w:sz w:val="15"/>
          <w:szCs w:val="15"/>
          <w:color w:val="42444D"/>
        </w:rPr>
        <w:t>e</w:t>
      </w:r>
      <w:r>
        <w:rPr>
          <w:rFonts w:ascii="Arial" w:cs="Arial" w:eastAsia="Arial" w:hAnsi="Arial"/>
          <w:sz w:val="15"/>
          <w:szCs w:val="15"/>
          <w:color w:val="34343D"/>
        </w:rPr>
        <w:t xml:space="preserve"> e</w:t>
      </w:r>
      <w:r>
        <w:rPr>
          <w:rFonts w:ascii="Arial" w:cs="Arial" w:eastAsia="Arial" w:hAnsi="Arial"/>
          <w:sz w:val="15"/>
          <w:szCs w:val="15"/>
          <w:color w:val="595B62"/>
        </w:rPr>
        <w:t>x</w:t>
      </w:r>
      <w:r>
        <w:rPr>
          <w:rFonts w:ascii="Arial" w:cs="Arial" w:eastAsia="Arial" w:hAnsi="Arial"/>
          <w:sz w:val="15"/>
          <w:szCs w:val="15"/>
          <w:color w:val="34343D"/>
        </w:rPr>
        <w:t xml:space="preserve">tent permitted </w:t>
      </w:r>
      <w:r>
        <w:rPr>
          <w:rFonts w:ascii="Arial" w:cs="Arial" w:eastAsia="Arial" w:hAnsi="Arial"/>
          <w:sz w:val="15"/>
          <w:szCs w:val="15"/>
          <w:color w:val="595B62"/>
        </w:rPr>
        <w:t>unde</w:t>
      </w:r>
      <w:r>
        <w:rPr>
          <w:rFonts w:ascii="Arial" w:cs="Arial" w:eastAsia="Arial" w:hAnsi="Arial"/>
          <w:sz w:val="15"/>
          <w:szCs w:val="15"/>
          <w:color w:val="34343D"/>
        </w:rPr>
        <w:t xml:space="preserve">r </w:t>
      </w:r>
      <w:r>
        <w:rPr>
          <w:rFonts w:ascii="Arial" w:cs="Arial" w:eastAsia="Arial" w:hAnsi="Arial"/>
          <w:sz w:val="15"/>
          <w:szCs w:val="15"/>
          <w:color w:val="42444D"/>
        </w:rPr>
        <w:t>applicab</w:t>
      </w:r>
      <w:r>
        <w:rPr>
          <w:rFonts w:ascii="Arial" w:cs="Arial" w:eastAsia="Arial" w:hAnsi="Arial"/>
          <w:sz w:val="15"/>
          <w:szCs w:val="15"/>
          <w:color w:val="23232A"/>
        </w:rPr>
        <w:t>le l</w:t>
      </w:r>
      <w:r>
        <w:rPr>
          <w:rFonts w:ascii="Arial" w:cs="Arial" w:eastAsia="Arial" w:hAnsi="Arial"/>
          <w:sz w:val="15"/>
          <w:szCs w:val="15"/>
          <w:color w:val="42444D"/>
        </w:rPr>
        <w:t>aw.</w:t>
      </w:r>
      <w:r>
        <w:rPr>
          <w:rFonts w:ascii="Arial" w:cs="Arial" w:eastAsia="Arial" w:hAnsi="Arial"/>
          <w:sz w:val="15"/>
          <w:szCs w:val="15"/>
          <w:color w:val="34343D"/>
        </w:rPr>
        <w:t xml:space="preserve"> </w:t>
      </w:r>
      <w:r>
        <w:rPr>
          <w:rFonts w:ascii="Arial" w:cs="Arial" w:eastAsia="Arial" w:hAnsi="Arial"/>
          <w:sz w:val="15"/>
          <w:szCs w:val="15"/>
          <w:color w:val="23232A"/>
        </w:rPr>
        <w:t>I</w:t>
      </w:r>
      <w:r>
        <w:rPr>
          <w:rFonts w:ascii="Arial" w:cs="Arial" w:eastAsia="Arial" w:hAnsi="Arial"/>
          <w:sz w:val="15"/>
          <w:szCs w:val="15"/>
          <w:color w:val="34343D"/>
        </w:rPr>
        <w:t xml:space="preserve"> shall </w:t>
      </w:r>
      <w:r>
        <w:rPr>
          <w:rFonts w:ascii="Arial" w:cs="Arial" w:eastAsia="Arial" w:hAnsi="Arial"/>
          <w:sz w:val="15"/>
          <w:szCs w:val="15"/>
          <w:color w:val="23232A"/>
        </w:rPr>
        <w:t>remai</w:t>
      </w:r>
      <w:r>
        <w:rPr>
          <w:rFonts w:ascii="Arial" w:cs="Arial" w:eastAsia="Arial" w:hAnsi="Arial"/>
          <w:sz w:val="15"/>
          <w:szCs w:val="15"/>
          <w:color w:val="42444D"/>
        </w:rPr>
        <w:t>n</w:t>
      </w:r>
      <w:r>
        <w:rPr>
          <w:rFonts w:ascii="Arial" w:cs="Arial" w:eastAsia="Arial" w:hAnsi="Arial"/>
          <w:sz w:val="15"/>
          <w:szCs w:val="15"/>
          <w:color w:val="34343D"/>
        </w:rPr>
        <w:t xml:space="preserve"> liable to </w:t>
      </w:r>
      <w:r>
        <w:rPr>
          <w:rFonts w:ascii="Arial" w:cs="Arial" w:eastAsia="Arial" w:hAnsi="Arial"/>
          <w:sz w:val="15"/>
          <w:szCs w:val="15"/>
          <w:color w:val="23232A"/>
        </w:rPr>
        <w:t>Biogen f</w:t>
      </w:r>
      <w:r>
        <w:rPr>
          <w:rFonts w:ascii="Arial" w:cs="Arial" w:eastAsia="Arial" w:hAnsi="Arial"/>
          <w:sz w:val="15"/>
          <w:szCs w:val="15"/>
          <w:color w:val="42444D"/>
        </w:rPr>
        <w:t>o</w:t>
      </w:r>
      <w:r>
        <w:rPr>
          <w:rFonts w:ascii="Arial" w:cs="Arial" w:eastAsia="Arial" w:hAnsi="Arial"/>
          <w:sz w:val="15"/>
          <w:szCs w:val="15"/>
          <w:color w:val="23232A"/>
        </w:rPr>
        <w:t>r</w:t>
      </w:r>
      <w:r>
        <w:rPr>
          <w:rFonts w:ascii="Arial" w:cs="Arial" w:eastAsia="Arial" w:hAnsi="Arial"/>
          <w:sz w:val="15"/>
          <w:szCs w:val="15"/>
          <w:color w:val="34343D"/>
        </w:rPr>
        <w:t xml:space="preserve"> any </w:t>
      </w:r>
      <w:r>
        <w:rPr>
          <w:rFonts w:ascii="Arial" w:cs="Arial" w:eastAsia="Arial" w:hAnsi="Arial"/>
          <w:sz w:val="15"/>
          <w:szCs w:val="15"/>
          <w:color w:val="42444D"/>
        </w:rPr>
        <w:t>amo</w:t>
      </w:r>
      <w:r>
        <w:rPr>
          <w:rFonts w:ascii="Arial" w:cs="Arial" w:eastAsia="Arial" w:hAnsi="Arial"/>
          <w:sz w:val="15"/>
          <w:szCs w:val="15"/>
          <w:color w:val="23232A"/>
        </w:rPr>
        <w:t>unt</w:t>
      </w:r>
      <w:r>
        <w:rPr>
          <w:rFonts w:ascii="Arial" w:cs="Arial" w:eastAsia="Arial" w:hAnsi="Arial"/>
          <w:sz w:val="15"/>
          <w:szCs w:val="15"/>
          <w:color w:val="42444D"/>
        </w:rPr>
        <w:t xml:space="preserve">s in excess </w:t>
      </w:r>
      <w:r>
        <w:rPr>
          <w:rFonts w:ascii="Arial" w:cs="Arial" w:eastAsia="Arial" w:hAnsi="Arial"/>
          <w:sz w:val="15"/>
          <w:szCs w:val="15"/>
          <w:color w:val="34343D"/>
        </w:rPr>
        <w:t>of the</w:t>
      </w:r>
      <w:r>
        <w:rPr>
          <w:rFonts w:ascii="Arial" w:cs="Arial" w:eastAsia="Arial" w:hAnsi="Arial"/>
          <w:sz w:val="15"/>
          <w:szCs w:val="15"/>
          <w:color w:val="42444D"/>
        </w:rPr>
        <w:t xml:space="preserve"> su</w:t>
      </w:r>
      <w:r>
        <w:rPr>
          <w:rFonts w:ascii="Arial" w:cs="Arial" w:eastAsia="Arial" w:hAnsi="Arial"/>
          <w:sz w:val="15"/>
          <w:szCs w:val="15"/>
          <w:color w:val="23232A"/>
        </w:rPr>
        <w:t>m</w:t>
      </w:r>
      <w:r>
        <w:rPr>
          <w:rFonts w:ascii="Arial" w:cs="Arial" w:eastAsia="Arial" w:hAnsi="Arial"/>
          <w:sz w:val="15"/>
          <w:szCs w:val="15"/>
          <w:color w:val="42444D"/>
        </w:rPr>
        <w:t xml:space="preserve">s </w:t>
      </w:r>
      <w:r>
        <w:rPr>
          <w:rFonts w:ascii="Arial" w:cs="Arial" w:eastAsia="Arial" w:hAnsi="Arial"/>
          <w:sz w:val="15"/>
          <w:szCs w:val="15"/>
          <w:color w:val="34343D"/>
        </w:rPr>
        <w:t>so deducted</w:t>
      </w:r>
      <w:r>
        <w:rPr>
          <w:rFonts w:ascii="Arial" w:cs="Arial" w:eastAsia="Arial" w:hAnsi="Arial"/>
          <w:sz w:val="15"/>
          <w:szCs w:val="15"/>
          <w:color w:val="979799"/>
        </w:rPr>
        <w:t>,</w:t>
      </w:r>
      <w:r>
        <w:rPr>
          <w:rFonts w:ascii="Arial" w:cs="Arial" w:eastAsia="Arial" w:hAnsi="Arial"/>
          <w:sz w:val="15"/>
          <w:szCs w:val="15"/>
          <w:color w:val="42444D"/>
        </w:rPr>
        <w:t xml:space="preserve"> withhe</w:t>
      </w:r>
      <w:r>
        <w:rPr>
          <w:rFonts w:ascii="Arial" w:cs="Arial" w:eastAsia="Arial" w:hAnsi="Arial"/>
          <w:sz w:val="15"/>
          <w:szCs w:val="15"/>
          <w:color w:val="23232A"/>
        </w:rPr>
        <w:t>l</w:t>
      </w:r>
      <w:r>
        <w:rPr>
          <w:rFonts w:ascii="Arial" w:cs="Arial" w:eastAsia="Arial" w:hAnsi="Arial"/>
          <w:sz w:val="15"/>
          <w:szCs w:val="15"/>
          <w:color w:val="42444D"/>
        </w:rPr>
        <w:t>d and/o</w:t>
      </w:r>
      <w:r>
        <w:rPr>
          <w:rFonts w:ascii="Arial" w:cs="Arial" w:eastAsia="Arial" w:hAnsi="Arial"/>
          <w:sz w:val="15"/>
          <w:szCs w:val="15"/>
          <w:color w:val="23232A"/>
        </w:rPr>
        <w:t>r</w:t>
      </w:r>
      <w:r>
        <w:rPr>
          <w:rFonts w:ascii="Arial" w:cs="Arial" w:eastAsia="Arial" w:hAnsi="Arial"/>
          <w:sz w:val="15"/>
          <w:szCs w:val="15"/>
          <w:color w:val="42444D"/>
        </w:rPr>
        <w:t xml:space="preserve"> </w:t>
      </w:r>
      <w:r>
        <w:rPr>
          <w:rFonts w:ascii="Arial" w:cs="Arial" w:eastAsia="Arial" w:hAnsi="Arial"/>
          <w:sz w:val="15"/>
          <w:szCs w:val="15"/>
          <w:color w:val="34343D"/>
        </w:rPr>
        <w:t>retained by</w:t>
      </w:r>
      <w:r>
        <w:rPr>
          <w:rFonts w:ascii="Arial" w:cs="Arial" w:eastAsia="Arial" w:hAnsi="Arial"/>
          <w:sz w:val="15"/>
          <w:szCs w:val="15"/>
          <w:color w:val="42444D"/>
        </w:rPr>
        <w:t xml:space="preserve"> </w:t>
      </w:r>
      <w:r>
        <w:rPr>
          <w:rFonts w:ascii="Arial" w:cs="Arial" w:eastAsia="Arial" w:hAnsi="Arial"/>
          <w:sz w:val="15"/>
          <w:szCs w:val="15"/>
          <w:color w:val="23232A"/>
        </w:rPr>
        <w:t>B</w:t>
      </w:r>
      <w:r>
        <w:rPr>
          <w:rFonts w:ascii="Arial" w:cs="Arial" w:eastAsia="Arial" w:hAnsi="Arial"/>
          <w:sz w:val="15"/>
          <w:szCs w:val="15"/>
          <w:color w:val="42444D"/>
        </w:rPr>
        <w:t>ioge</w:t>
      </w:r>
      <w:r>
        <w:rPr>
          <w:rFonts w:ascii="Arial" w:cs="Arial" w:eastAsia="Arial" w:hAnsi="Arial"/>
          <w:sz w:val="15"/>
          <w:szCs w:val="15"/>
          <w:color w:val="23232A"/>
        </w:rPr>
        <w:t>n</w:t>
      </w:r>
      <w:r>
        <w:rPr>
          <w:rFonts w:ascii="Arial" w:cs="Arial" w:eastAsia="Arial" w:hAnsi="Arial"/>
          <w:sz w:val="15"/>
          <w:szCs w:val="15"/>
          <w:color w:val="979799"/>
        </w:rPr>
        <w:t>.</w:t>
      </w:r>
    </w:p>
    <w:p>
      <w:pPr>
        <w:spacing w:after="0" w:line="192" w:lineRule="exact"/>
        <w:rPr>
          <w:sz w:val="20"/>
          <w:szCs w:val="20"/>
          <w:color w:val="auto"/>
        </w:rPr>
      </w:pPr>
    </w:p>
    <w:p>
      <w:pPr>
        <w:jc w:val="both"/>
        <w:ind w:left="180"/>
        <w:spacing w:after="0" w:line="266" w:lineRule="auto"/>
        <w:rPr>
          <w:sz w:val="20"/>
          <w:szCs w:val="20"/>
          <w:color w:val="auto"/>
        </w:rPr>
      </w:pPr>
      <w:r>
        <w:rPr>
          <w:rFonts w:ascii="Arial" w:cs="Arial" w:eastAsia="Arial" w:hAnsi="Arial"/>
          <w:sz w:val="15"/>
          <w:szCs w:val="15"/>
          <w:color w:val="34343D"/>
        </w:rPr>
        <w:t xml:space="preserve">Except </w:t>
      </w:r>
      <w:r>
        <w:rPr>
          <w:rFonts w:ascii="Arial" w:cs="Arial" w:eastAsia="Arial" w:hAnsi="Arial"/>
          <w:sz w:val="15"/>
          <w:szCs w:val="15"/>
          <w:color w:val="595B62"/>
        </w:rPr>
        <w:t>as</w:t>
      </w:r>
      <w:r>
        <w:rPr>
          <w:rFonts w:ascii="Arial" w:cs="Arial" w:eastAsia="Arial" w:hAnsi="Arial"/>
          <w:sz w:val="15"/>
          <w:szCs w:val="15"/>
          <w:color w:val="34343D"/>
        </w:rPr>
        <w:t xml:space="preserve"> </w:t>
      </w:r>
      <w:r>
        <w:rPr>
          <w:rFonts w:ascii="Arial" w:cs="Arial" w:eastAsia="Arial" w:hAnsi="Arial"/>
          <w:sz w:val="15"/>
          <w:szCs w:val="15"/>
          <w:color w:val="42444D"/>
        </w:rPr>
        <w:t>s</w:t>
      </w:r>
      <w:r>
        <w:rPr>
          <w:rFonts w:ascii="Arial" w:cs="Arial" w:eastAsia="Arial" w:hAnsi="Arial"/>
          <w:sz w:val="15"/>
          <w:szCs w:val="15"/>
          <w:color w:val="23232A"/>
        </w:rPr>
        <w:t>t</w:t>
      </w:r>
      <w:r>
        <w:rPr>
          <w:rFonts w:ascii="Arial" w:cs="Arial" w:eastAsia="Arial" w:hAnsi="Arial"/>
          <w:sz w:val="15"/>
          <w:szCs w:val="15"/>
          <w:color w:val="42444D"/>
        </w:rPr>
        <w:t>ated</w:t>
      </w:r>
      <w:r>
        <w:rPr>
          <w:rFonts w:ascii="Arial" w:cs="Arial" w:eastAsia="Arial" w:hAnsi="Arial"/>
          <w:sz w:val="15"/>
          <w:szCs w:val="15"/>
          <w:color w:val="34343D"/>
        </w:rPr>
        <w:t xml:space="preserve"> above</w:t>
      </w:r>
      <w:r>
        <w:rPr>
          <w:rFonts w:ascii="Arial" w:cs="Arial" w:eastAsia="Arial" w:hAnsi="Arial"/>
          <w:sz w:val="15"/>
          <w:szCs w:val="15"/>
          <w:color w:val="595B62"/>
        </w:rPr>
        <w:t>.</w:t>
      </w:r>
      <w:r>
        <w:rPr>
          <w:rFonts w:ascii="Arial" w:cs="Arial" w:eastAsia="Arial" w:hAnsi="Arial"/>
          <w:sz w:val="15"/>
          <w:szCs w:val="15"/>
          <w:color w:val="34343D"/>
        </w:rPr>
        <w:t xml:space="preserve"> </w:t>
      </w:r>
      <w:r>
        <w:rPr>
          <w:rFonts w:ascii="Arial" w:cs="Arial" w:eastAsia="Arial" w:hAnsi="Arial"/>
          <w:sz w:val="15"/>
          <w:szCs w:val="15"/>
          <w:color w:val="23232A"/>
        </w:rPr>
        <w:t>I</w:t>
      </w:r>
      <w:r>
        <w:rPr>
          <w:rFonts w:ascii="Arial" w:cs="Arial" w:eastAsia="Arial" w:hAnsi="Arial"/>
          <w:sz w:val="15"/>
          <w:szCs w:val="15"/>
          <w:color w:val="34343D"/>
        </w:rPr>
        <w:t xml:space="preserve"> shall </w:t>
      </w:r>
      <w:r>
        <w:rPr>
          <w:rFonts w:ascii="Arial" w:cs="Arial" w:eastAsia="Arial" w:hAnsi="Arial"/>
          <w:sz w:val="15"/>
          <w:szCs w:val="15"/>
          <w:color w:val="23232A"/>
        </w:rPr>
        <w:t>h</w:t>
      </w:r>
      <w:r>
        <w:rPr>
          <w:rFonts w:ascii="Arial" w:cs="Arial" w:eastAsia="Arial" w:hAnsi="Arial"/>
          <w:sz w:val="15"/>
          <w:szCs w:val="15"/>
          <w:color w:val="42444D"/>
        </w:rPr>
        <w:t>ave</w:t>
      </w:r>
      <w:r>
        <w:rPr>
          <w:rFonts w:ascii="Arial" w:cs="Arial" w:eastAsia="Arial" w:hAnsi="Arial"/>
          <w:sz w:val="15"/>
          <w:szCs w:val="15"/>
          <w:color w:val="34343D"/>
        </w:rPr>
        <w:t xml:space="preserve"> no </w:t>
      </w:r>
      <w:r>
        <w:rPr>
          <w:rFonts w:ascii="Arial" w:cs="Arial" w:eastAsia="Arial" w:hAnsi="Arial"/>
          <w:sz w:val="15"/>
          <w:szCs w:val="15"/>
          <w:color w:val="23232A"/>
        </w:rPr>
        <w:t>l</w:t>
      </w:r>
      <w:r>
        <w:rPr>
          <w:rFonts w:ascii="Arial" w:cs="Arial" w:eastAsia="Arial" w:hAnsi="Arial"/>
          <w:sz w:val="15"/>
          <w:szCs w:val="15"/>
          <w:color w:val="42444D"/>
        </w:rPr>
        <w:t>ia</w:t>
      </w:r>
      <w:r>
        <w:rPr>
          <w:rFonts w:ascii="Arial" w:cs="Arial" w:eastAsia="Arial" w:hAnsi="Arial"/>
          <w:sz w:val="15"/>
          <w:szCs w:val="15"/>
          <w:color w:val="23232A"/>
        </w:rPr>
        <w:t>b</w:t>
      </w:r>
      <w:r>
        <w:rPr>
          <w:rFonts w:ascii="Arial" w:cs="Arial" w:eastAsia="Arial" w:hAnsi="Arial"/>
          <w:sz w:val="15"/>
          <w:szCs w:val="15"/>
          <w:color w:val="42444D"/>
        </w:rPr>
        <w:t>i</w:t>
      </w:r>
      <w:r>
        <w:rPr>
          <w:rFonts w:ascii="Arial" w:cs="Arial" w:eastAsia="Arial" w:hAnsi="Arial"/>
          <w:sz w:val="15"/>
          <w:szCs w:val="15"/>
          <w:color w:val="23232A"/>
        </w:rPr>
        <w:t>lity</w:t>
      </w:r>
      <w:r>
        <w:rPr>
          <w:rFonts w:ascii="Arial" w:cs="Arial" w:eastAsia="Arial" w:hAnsi="Arial"/>
          <w:sz w:val="15"/>
          <w:szCs w:val="15"/>
          <w:color w:val="34343D"/>
        </w:rPr>
        <w:t xml:space="preserve"> or </w:t>
      </w:r>
      <w:r>
        <w:rPr>
          <w:rFonts w:ascii="Arial" w:cs="Arial" w:eastAsia="Arial" w:hAnsi="Arial"/>
          <w:sz w:val="15"/>
          <w:szCs w:val="15"/>
          <w:color w:val="23232A"/>
        </w:rPr>
        <w:t>re</w:t>
      </w:r>
      <w:r>
        <w:rPr>
          <w:rFonts w:ascii="Arial" w:cs="Arial" w:eastAsia="Arial" w:hAnsi="Arial"/>
          <w:sz w:val="15"/>
          <w:szCs w:val="15"/>
          <w:color w:val="42444D"/>
        </w:rPr>
        <w:t>sponsib</w:t>
      </w:r>
      <w:r>
        <w:rPr>
          <w:rFonts w:ascii="Arial" w:cs="Arial" w:eastAsia="Arial" w:hAnsi="Arial"/>
          <w:sz w:val="15"/>
          <w:szCs w:val="15"/>
          <w:color w:val="23232A"/>
        </w:rPr>
        <w:t>ility</w:t>
      </w:r>
      <w:r>
        <w:rPr>
          <w:rFonts w:ascii="Arial" w:cs="Arial" w:eastAsia="Arial" w:hAnsi="Arial"/>
          <w:sz w:val="15"/>
          <w:szCs w:val="15"/>
          <w:color w:val="34343D"/>
        </w:rPr>
        <w:t xml:space="preserve"> to refund </w:t>
      </w:r>
      <w:r>
        <w:rPr>
          <w:rFonts w:ascii="Arial" w:cs="Arial" w:eastAsia="Arial" w:hAnsi="Arial"/>
          <w:sz w:val="15"/>
          <w:szCs w:val="15"/>
          <w:color w:val="42444D"/>
        </w:rPr>
        <w:t>o</w:t>
      </w:r>
      <w:r>
        <w:rPr>
          <w:rFonts w:ascii="Arial" w:cs="Arial" w:eastAsia="Arial" w:hAnsi="Arial"/>
          <w:sz w:val="15"/>
          <w:szCs w:val="15"/>
          <w:color w:val="23232A"/>
        </w:rPr>
        <w:t>r repay t</w:t>
      </w:r>
      <w:r>
        <w:rPr>
          <w:rFonts w:ascii="Arial" w:cs="Arial" w:eastAsia="Arial" w:hAnsi="Arial"/>
          <w:sz w:val="15"/>
          <w:szCs w:val="15"/>
          <w:color w:val="42444D"/>
        </w:rPr>
        <w:t>o</w:t>
      </w:r>
      <w:r>
        <w:rPr>
          <w:rFonts w:ascii="Arial" w:cs="Arial" w:eastAsia="Arial" w:hAnsi="Arial"/>
          <w:sz w:val="15"/>
          <w:szCs w:val="15"/>
          <w:color w:val="34343D"/>
        </w:rPr>
        <w:t xml:space="preserve"> Biogen any </w:t>
      </w:r>
      <w:r>
        <w:rPr>
          <w:rFonts w:ascii="Arial" w:cs="Arial" w:eastAsia="Arial" w:hAnsi="Arial"/>
          <w:sz w:val="15"/>
          <w:szCs w:val="15"/>
          <w:color w:val="42444D"/>
        </w:rPr>
        <w:t>amo</w:t>
      </w:r>
      <w:r>
        <w:rPr>
          <w:rFonts w:ascii="Arial" w:cs="Arial" w:eastAsia="Arial" w:hAnsi="Arial"/>
          <w:sz w:val="15"/>
          <w:szCs w:val="15"/>
          <w:color w:val="23232A"/>
        </w:rPr>
        <w:t>u</w:t>
      </w:r>
      <w:r>
        <w:rPr>
          <w:rFonts w:ascii="Arial" w:cs="Arial" w:eastAsia="Arial" w:hAnsi="Arial"/>
          <w:sz w:val="15"/>
          <w:szCs w:val="15"/>
          <w:color w:val="42444D"/>
        </w:rPr>
        <w:t>n</w:t>
      </w:r>
      <w:r>
        <w:rPr>
          <w:rFonts w:ascii="Arial" w:cs="Arial" w:eastAsia="Arial" w:hAnsi="Arial"/>
          <w:sz w:val="15"/>
          <w:szCs w:val="15"/>
          <w:color w:val="23232A"/>
        </w:rPr>
        <w:t>t</w:t>
      </w:r>
      <w:r>
        <w:rPr>
          <w:rFonts w:ascii="Arial" w:cs="Arial" w:eastAsia="Arial" w:hAnsi="Arial"/>
          <w:sz w:val="15"/>
          <w:szCs w:val="15"/>
          <w:color w:val="42444D"/>
        </w:rPr>
        <w:t>s</w:t>
      </w:r>
      <w:r>
        <w:rPr>
          <w:rFonts w:ascii="Arial" w:cs="Arial" w:eastAsia="Arial" w:hAnsi="Arial"/>
          <w:sz w:val="15"/>
          <w:szCs w:val="15"/>
          <w:color w:val="34343D"/>
        </w:rPr>
        <w:t xml:space="preserve"> paid </w:t>
      </w:r>
      <w:r>
        <w:rPr>
          <w:rFonts w:ascii="Arial" w:cs="Arial" w:eastAsia="Arial" w:hAnsi="Arial"/>
          <w:sz w:val="15"/>
          <w:szCs w:val="15"/>
          <w:color w:val="23232A"/>
        </w:rPr>
        <w:t>by</w:t>
      </w:r>
      <w:r>
        <w:rPr>
          <w:rFonts w:ascii="Arial" w:cs="Arial" w:eastAsia="Arial" w:hAnsi="Arial"/>
          <w:sz w:val="15"/>
          <w:szCs w:val="15"/>
          <w:color w:val="34343D"/>
        </w:rPr>
        <w:t xml:space="preserve"> Biogen </w:t>
      </w:r>
      <w:r>
        <w:rPr>
          <w:rFonts w:ascii="Arial" w:cs="Arial" w:eastAsia="Arial" w:hAnsi="Arial"/>
          <w:sz w:val="15"/>
          <w:szCs w:val="15"/>
          <w:color w:val="23232A"/>
        </w:rPr>
        <w:t>t</w:t>
      </w:r>
      <w:r>
        <w:rPr>
          <w:rFonts w:ascii="Arial" w:cs="Arial" w:eastAsia="Arial" w:hAnsi="Arial"/>
          <w:sz w:val="15"/>
          <w:szCs w:val="15"/>
          <w:color w:val="42444D"/>
        </w:rPr>
        <w:t>o</w:t>
      </w:r>
      <w:r>
        <w:rPr>
          <w:rFonts w:ascii="Arial" w:cs="Arial" w:eastAsia="Arial" w:hAnsi="Arial"/>
          <w:sz w:val="15"/>
          <w:szCs w:val="15"/>
          <w:color w:val="34343D"/>
        </w:rPr>
        <w:t xml:space="preserve"> me </w:t>
      </w:r>
      <w:r>
        <w:rPr>
          <w:rFonts w:ascii="Arial" w:cs="Arial" w:eastAsia="Arial" w:hAnsi="Arial"/>
          <w:sz w:val="15"/>
          <w:szCs w:val="15"/>
          <w:color w:val="42444D"/>
        </w:rPr>
        <w:t>in con</w:t>
      </w:r>
      <w:r>
        <w:rPr>
          <w:rFonts w:ascii="Arial" w:cs="Arial" w:eastAsia="Arial" w:hAnsi="Arial"/>
          <w:sz w:val="15"/>
          <w:szCs w:val="15"/>
          <w:color w:val="23232A"/>
        </w:rPr>
        <w:t>n</w:t>
      </w:r>
      <w:r>
        <w:rPr>
          <w:rFonts w:ascii="Arial" w:cs="Arial" w:eastAsia="Arial" w:hAnsi="Arial"/>
          <w:sz w:val="15"/>
          <w:szCs w:val="15"/>
          <w:color w:val="42444D"/>
        </w:rPr>
        <w:t>ec</w:t>
      </w:r>
      <w:r>
        <w:rPr>
          <w:rFonts w:ascii="Arial" w:cs="Arial" w:eastAsia="Arial" w:hAnsi="Arial"/>
          <w:sz w:val="15"/>
          <w:szCs w:val="15"/>
          <w:color w:val="23232A"/>
        </w:rPr>
        <w:t>ti</w:t>
      </w:r>
      <w:r>
        <w:rPr>
          <w:rFonts w:ascii="Arial" w:cs="Arial" w:eastAsia="Arial" w:hAnsi="Arial"/>
          <w:sz w:val="15"/>
          <w:szCs w:val="15"/>
          <w:color w:val="42444D"/>
        </w:rPr>
        <w:t>on</w:t>
      </w:r>
      <w:r>
        <w:rPr>
          <w:rFonts w:ascii="Arial" w:cs="Arial" w:eastAsia="Arial" w:hAnsi="Arial"/>
          <w:sz w:val="15"/>
          <w:szCs w:val="15"/>
          <w:color w:val="34343D"/>
        </w:rPr>
        <w:t xml:space="preserve"> with this </w:t>
      </w:r>
      <w:r>
        <w:rPr>
          <w:rFonts w:ascii="Arial" w:cs="Arial" w:eastAsia="Arial" w:hAnsi="Arial"/>
          <w:sz w:val="15"/>
          <w:szCs w:val="15"/>
          <w:color w:val="42444D"/>
        </w:rPr>
        <w:t>sign-on</w:t>
      </w:r>
      <w:r>
        <w:rPr>
          <w:rFonts w:ascii="Arial" w:cs="Arial" w:eastAsia="Arial" w:hAnsi="Arial"/>
          <w:sz w:val="15"/>
          <w:szCs w:val="15"/>
          <w:color w:val="34343D"/>
        </w:rPr>
        <w:t xml:space="preserve"> </w:t>
      </w:r>
      <w:r>
        <w:rPr>
          <w:rFonts w:ascii="Arial" w:cs="Arial" w:eastAsia="Arial" w:hAnsi="Arial"/>
          <w:sz w:val="15"/>
          <w:szCs w:val="15"/>
          <w:color w:val="23232A"/>
        </w:rPr>
        <w:t>b</w:t>
      </w:r>
      <w:r>
        <w:rPr>
          <w:rFonts w:ascii="Arial" w:cs="Arial" w:eastAsia="Arial" w:hAnsi="Arial"/>
          <w:sz w:val="15"/>
          <w:szCs w:val="15"/>
          <w:color w:val="42444D"/>
        </w:rPr>
        <w:t>o</w:t>
      </w:r>
      <w:r>
        <w:rPr>
          <w:rFonts w:ascii="Arial" w:cs="Arial" w:eastAsia="Arial" w:hAnsi="Arial"/>
          <w:sz w:val="15"/>
          <w:szCs w:val="15"/>
          <w:color w:val="23232A"/>
        </w:rPr>
        <w:t>nu</w:t>
      </w:r>
      <w:r>
        <w:rPr>
          <w:rFonts w:ascii="Arial" w:cs="Arial" w:eastAsia="Arial" w:hAnsi="Arial"/>
          <w:sz w:val="15"/>
          <w:szCs w:val="15"/>
          <w:color w:val="42444D"/>
        </w:rPr>
        <w:t>s.</w:t>
      </w:r>
    </w:p>
    <w:p>
      <w:pPr>
        <w:spacing w:after="0" w:line="163" w:lineRule="exact"/>
        <w:rPr>
          <w:sz w:val="20"/>
          <w:szCs w:val="20"/>
          <w:color w:val="auto"/>
        </w:rPr>
      </w:pPr>
    </w:p>
    <w:p>
      <w:pPr>
        <w:jc w:val="both"/>
        <w:ind w:left="180"/>
        <w:spacing w:after="0" w:line="270" w:lineRule="auto"/>
        <w:rPr>
          <w:sz w:val="20"/>
          <w:szCs w:val="20"/>
          <w:color w:val="auto"/>
        </w:rPr>
      </w:pPr>
      <w:r>
        <w:rPr>
          <w:rFonts w:ascii="Arial" w:cs="Arial" w:eastAsia="Arial" w:hAnsi="Arial"/>
          <w:sz w:val="15"/>
          <w:szCs w:val="15"/>
          <w:b w:val="1"/>
          <w:bCs w:val="1"/>
          <w:color w:val="23232A"/>
        </w:rPr>
        <w:t>Nothing in this Agreement sh</w:t>
      </w:r>
      <w:r>
        <w:rPr>
          <w:rFonts w:ascii="Arial" w:cs="Arial" w:eastAsia="Arial" w:hAnsi="Arial"/>
          <w:sz w:val="15"/>
          <w:szCs w:val="15"/>
          <w:b w:val="1"/>
          <w:bCs w:val="1"/>
          <w:color w:val="42444D"/>
        </w:rPr>
        <w:t>a</w:t>
      </w:r>
      <w:r>
        <w:rPr>
          <w:rFonts w:ascii="Arial" w:cs="Arial" w:eastAsia="Arial" w:hAnsi="Arial"/>
          <w:sz w:val="15"/>
          <w:szCs w:val="15"/>
          <w:b w:val="1"/>
          <w:bCs w:val="1"/>
          <w:color w:val="23232A"/>
        </w:rPr>
        <w:t xml:space="preserve">ll alter the </w:t>
      </w:r>
      <w:r>
        <w:rPr>
          <w:rFonts w:ascii="Arial" w:cs="Arial" w:eastAsia="Arial" w:hAnsi="Arial"/>
          <w:sz w:val="15"/>
          <w:szCs w:val="15"/>
          <w:b w:val="1"/>
          <w:bCs w:val="1"/>
          <w:color w:val="34343D"/>
        </w:rPr>
        <w:t>at-will employment</w:t>
      </w:r>
      <w:r>
        <w:rPr>
          <w:rFonts w:ascii="Arial" w:cs="Arial" w:eastAsia="Arial" w:hAnsi="Arial"/>
          <w:sz w:val="15"/>
          <w:szCs w:val="15"/>
          <w:b w:val="1"/>
          <w:bCs w:val="1"/>
          <w:color w:val="23232A"/>
        </w:rPr>
        <w:t xml:space="preserve"> relationship between Biogen and m</w:t>
      </w:r>
      <w:r>
        <w:rPr>
          <w:rFonts w:ascii="Arial" w:cs="Arial" w:eastAsia="Arial" w:hAnsi="Arial"/>
          <w:sz w:val="15"/>
          <w:szCs w:val="15"/>
          <w:b w:val="1"/>
          <w:bCs w:val="1"/>
          <w:color w:val="42444D"/>
        </w:rPr>
        <w:t>e</w:t>
      </w:r>
      <w:r>
        <w:rPr>
          <w:rFonts w:ascii="Arial" w:cs="Arial" w:eastAsia="Arial" w:hAnsi="Arial"/>
          <w:sz w:val="15"/>
          <w:szCs w:val="15"/>
          <w:b w:val="1"/>
          <w:bCs w:val="1"/>
          <w:color w:val="23232A"/>
        </w:rPr>
        <w:t xml:space="preserve"> (</w:t>
      </w:r>
      <w:r>
        <w:rPr>
          <w:rFonts w:ascii="Arial" w:cs="Arial" w:eastAsia="Arial" w:hAnsi="Arial"/>
          <w:sz w:val="15"/>
          <w:szCs w:val="15"/>
          <w:b w:val="1"/>
          <w:bCs w:val="1"/>
          <w:color w:val="42444D"/>
        </w:rPr>
        <w:t>e</w:t>
      </w:r>
      <w:r>
        <w:rPr>
          <w:rFonts w:ascii="Arial" w:cs="Arial" w:eastAsia="Arial" w:hAnsi="Arial"/>
          <w:sz w:val="15"/>
          <w:szCs w:val="15"/>
          <w:b w:val="1"/>
          <w:bCs w:val="1"/>
          <w:color w:val="23232A"/>
        </w:rPr>
        <w:t>.g</w:t>
      </w:r>
      <w:r>
        <w:rPr>
          <w:rFonts w:ascii="Arial" w:cs="Arial" w:eastAsia="Arial" w:hAnsi="Arial"/>
          <w:sz w:val="15"/>
          <w:szCs w:val="15"/>
          <w:b w:val="1"/>
          <w:bCs w:val="1"/>
          <w:color w:val="42444D"/>
        </w:rPr>
        <w:t>.,</w:t>
      </w:r>
      <w:r>
        <w:rPr>
          <w:rFonts w:ascii="Arial" w:cs="Arial" w:eastAsia="Arial" w:hAnsi="Arial"/>
          <w:sz w:val="15"/>
          <w:szCs w:val="15"/>
          <w:b w:val="1"/>
          <w:bCs w:val="1"/>
          <w:color w:val="23232A"/>
        </w:rPr>
        <w:t xml:space="preserve"> Biogen </w:t>
      </w:r>
      <w:r>
        <w:rPr>
          <w:rFonts w:ascii="Arial" w:cs="Arial" w:eastAsia="Arial" w:hAnsi="Arial"/>
          <w:sz w:val="15"/>
          <w:szCs w:val="15"/>
          <w:b w:val="1"/>
          <w:bCs w:val="1"/>
          <w:color w:val="34343D"/>
        </w:rPr>
        <w:t>and I can</w:t>
      </w:r>
      <w:r>
        <w:rPr>
          <w:rFonts w:ascii="Arial" w:cs="Arial" w:eastAsia="Arial" w:hAnsi="Arial"/>
          <w:sz w:val="15"/>
          <w:szCs w:val="15"/>
          <w:b w:val="1"/>
          <w:bCs w:val="1"/>
          <w:color w:val="23232A"/>
        </w:rPr>
        <w:t xml:space="preserve"> </w:t>
      </w:r>
      <w:r>
        <w:rPr>
          <w:rFonts w:ascii="Arial" w:cs="Arial" w:eastAsia="Arial" w:hAnsi="Arial"/>
          <w:sz w:val="15"/>
          <w:szCs w:val="15"/>
          <w:b w:val="1"/>
          <w:bCs w:val="1"/>
          <w:color w:val="42444D"/>
        </w:rPr>
        <w:t>end</w:t>
      </w:r>
      <w:r>
        <w:rPr>
          <w:rFonts w:ascii="Arial" w:cs="Arial" w:eastAsia="Arial" w:hAnsi="Arial"/>
          <w:sz w:val="15"/>
          <w:szCs w:val="15"/>
          <w:b w:val="1"/>
          <w:bCs w:val="1"/>
          <w:color w:val="23232A"/>
        </w:rPr>
        <w:t xml:space="preserve"> the </w:t>
      </w:r>
      <w:r>
        <w:rPr>
          <w:rFonts w:ascii="Arial" w:cs="Arial" w:eastAsia="Arial" w:hAnsi="Arial"/>
          <w:sz w:val="15"/>
          <w:szCs w:val="15"/>
          <w:b w:val="1"/>
          <w:bCs w:val="1"/>
          <w:color w:val="34343D"/>
        </w:rPr>
        <w:t xml:space="preserve">employment </w:t>
      </w:r>
      <w:r>
        <w:rPr>
          <w:rFonts w:ascii="Arial" w:cs="Arial" w:eastAsia="Arial" w:hAnsi="Arial"/>
          <w:sz w:val="15"/>
          <w:szCs w:val="15"/>
          <w:b w:val="1"/>
          <w:bCs w:val="1"/>
          <w:color w:val="23232A"/>
        </w:rPr>
        <w:t>relationship at any time with or</w:t>
      </w:r>
      <w:r>
        <w:rPr>
          <w:rFonts w:ascii="Arial" w:cs="Arial" w:eastAsia="Arial" w:hAnsi="Arial"/>
          <w:sz w:val="15"/>
          <w:szCs w:val="15"/>
          <w:b w:val="1"/>
          <w:bCs w:val="1"/>
          <w:color w:val="34343D"/>
        </w:rPr>
        <w:t xml:space="preserve"> without </w:t>
      </w:r>
      <w:r>
        <w:rPr>
          <w:rFonts w:ascii="Arial" w:cs="Arial" w:eastAsia="Arial" w:hAnsi="Arial"/>
          <w:sz w:val="15"/>
          <w:szCs w:val="15"/>
          <w:b w:val="1"/>
          <w:bCs w:val="1"/>
          <w:color w:val="23232A"/>
        </w:rPr>
        <w:t>cause)</w:t>
      </w:r>
      <w:r>
        <w:rPr>
          <w:rFonts w:ascii="Arial" w:cs="Arial" w:eastAsia="Arial" w:hAnsi="Arial"/>
          <w:sz w:val="15"/>
          <w:szCs w:val="15"/>
          <w:b w:val="1"/>
          <w:bCs w:val="1"/>
          <w:color w:val="42444D"/>
        </w:rPr>
        <w:t>.</w:t>
      </w:r>
      <w:r>
        <w:rPr>
          <w:rFonts w:ascii="Arial" w:cs="Arial" w:eastAsia="Arial" w:hAnsi="Arial"/>
          <w:sz w:val="15"/>
          <w:szCs w:val="15"/>
          <w:b w:val="1"/>
          <w:bCs w:val="1"/>
          <w:color w:val="34343D"/>
        </w:rPr>
        <w:t xml:space="preserve"> </w:t>
      </w:r>
      <w:r>
        <w:rPr>
          <w:rFonts w:ascii="Arial" w:cs="Arial" w:eastAsia="Arial" w:hAnsi="Arial"/>
          <w:sz w:val="15"/>
          <w:szCs w:val="15"/>
          <w:b w:val="1"/>
          <w:bCs w:val="1"/>
          <w:color w:val="23232A"/>
        </w:rPr>
        <w:t>Therefore</w:t>
      </w:r>
      <w:r>
        <w:rPr>
          <w:rFonts w:ascii="Arial" w:cs="Arial" w:eastAsia="Arial" w:hAnsi="Arial"/>
          <w:sz w:val="15"/>
          <w:szCs w:val="15"/>
          <w:b w:val="1"/>
          <w:bCs w:val="1"/>
          <w:color w:val="42444D"/>
        </w:rPr>
        <w:t>,</w:t>
      </w:r>
      <w:r>
        <w:rPr>
          <w:rFonts w:ascii="Arial" w:cs="Arial" w:eastAsia="Arial" w:hAnsi="Arial"/>
          <w:sz w:val="15"/>
          <w:szCs w:val="15"/>
          <w:b w:val="1"/>
          <w:bCs w:val="1"/>
          <w:color w:val="34343D"/>
        </w:rPr>
        <w:t xml:space="preserve"> </w:t>
      </w:r>
      <w:r>
        <w:rPr>
          <w:rFonts w:ascii="Arial" w:cs="Arial" w:eastAsia="Arial" w:hAnsi="Arial"/>
          <w:sz w:val="15"/>
          <w:szCs w:val="15"/>
          <w:b w:val="1"/>
          <w:bCs w:val="1"/>
          <w:color w:val="23232A"/>
        </w:rPr>
        <w:t>I under</w:t>
      </w:r>
      <w:r>
        <w:rPr>
          <w:rFonts w:ascii="Arial" w:cs="Arial" w:eastAsia="Arial" w:hAnsi="Arial"/>
          <w:sz w:val="15"/>
          <w:szCs w:val="15"/>
          <w:b w:val="1"/>
          <w:bCs w:val="1"/>
          <w:color w:val="42444D"/>
        </w:rPr>
        <w:t>sta</w:t>
      </w:r>
      <w:r>
        <w:rPr>
          <w:rFonts w:ascii="Arial" w:cs="Arial" w:eastAsia="Arial" w:hAnsi="Arial"/>
          <w:sz w:val="15"/>
          <w:szCs w:val="15"/>
          <w:b w:val="1"/>
          <w:bCs w:val="1"/>
          <w:color w:val="23232A"/>
        </w:rPr>
        <w:t>nd that nothing in this Agreement guarantees that the</w:t>
      </w:r>
      <w:r>
        <w:rPr>
          <w:rFonts w:ascii="Arial" w:cs="Arial" w:eastAsia="Arial" w:hAnsi="Arial"/>
          <w:sz w:val="15"/>
          <w:szCs w:val="15"/>
          <w:b w:val="1"/>
          <w:bCs w:val="1"/>
          <w:color w:val="34343D"/>
        </w:rPr>
        <w:t xml:space="preserve"> </w:t>
      </w:r>
      <w:r>
        <w:rPr>
          <w:rFonts w:ascii="Arial" w:cs="Arial" w:eastAsia="Arial" w:hAnsi="Arial"/>
          <w:sz w:val="15"/>
          <w:szCs w:val="15"/>
          <w:b w:val="1"/>
          <w:bCs w:val="1"/>
          <w:color w:val="23232A"/>
        </w:rPr>
        <w:t xml:space="preserve">Company will employ me for </w:t>
      </w:r>
      <w:r>
        <w:rPr>
          <w:rFonts w:ascii="Arial" w:cs="Arial" w:eastAsia="Arial" w:hAnsi="Arial"/>
          <w:sz w:val="15"/>
          <w:szCs w:val="15"/>
          <w:b w:val="1"/>
          <w:bCs w:val="1"/>
          <w:color w:val="34343D"/>
        </w:rPr>
        <w:t>any</w:t>
      </w:r>
      <w:r>
        <w:rPr>
          <w:rFonts w:ascii="Arial" w:cs="Arial" w:eastAsia="Arial" w:hAnsi="Arial"/>
          <w:sz w:val="15"/>
          <w:szCs w:val="15"/>
          <w:b w:val="1"/>
          <w:bCs w:val="1"/>
          <w:color w:val="23232A"/>
        </w:rPr>
        <w:t xml:space="preserve"> specific period of time.</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5"/>
          <w:szCs w:val="15"/>
          <w:color w:val="34343D"/>
        </w:rPr>
        <w:t xml:space="preserve">My </w:t>
      </w:r>
      <w:r>
        <w:rPr>
          <w:rFonts w:ascii="Arial" w:cs="Arial" w:eastAsia="Arial" w:hAnsi="Arial"/>
          <w:sz w:val="15"/>
          <w:szCs w:val="15"/>
          <w:color w:val="42444D"/>
        </w:rPr>
        <w:t>sig</w:t>
      </w:r>
      <w:r>
        <w:rPr>
          <w:rFonts w:ascii="Arial" w:cs="Arial" w:eastAsia="Arial" w:hAnsi="Arial"/>
          <w:sz w:val="15"/>
          <w:szCs w:val="15"/>
          <w:color w:val="23232A"/>
        </w:rPr>
        <w:t>natur</w:t>
      </w:r>
      <w:r>
        <w:rPr>
          <w:rFonts w:ascii="Arial" w:cs="Arial" w:eastAsia="Arial" w:hAnsi="Arial"/>
          <w:sz w:val="15"/>
          <w:szCs w:val="15"/>
          <w:color w:val="42444D"/>
        </w:rPr>
        <w:t>e</w:t>
      </w:r>
      <w:r>
        <w:rPr>
          <w:rFonts w:ascii="Arial" w:cs="Arial" w:eastAsia="Arial" w:hAnsi="Arial"/>
          <w:sz w:val="15"/>
          <w:szCs w:val="15"/>
          <w:color w:val="34343D"/>
        </w:rPr>
        <w:t xml:space="preserve"> belo</w:t>
      </w:r>
      <w:r>
        <w:rPr>
          <w:rFonts w:ascii="Arial" w:cs="Arial" w:eastAsia="Arial" w:hAnsi="Arial"/>
          <w:sz w:val="15"/>
          <w:szCs w:val="15"/>
          <w:color w:val="595B62"/>
        </w:rPr>
        <w:t>w ac</w:t>
      </w:r>
      <w:r>
        <w:rPr>
          <w:rFonts w:ascii="Arial" w:cs="Arial" w:eastAsia="Arial" w:hAnsi="Arial"/>
          <w:sz w:val="15"/>
          <w:szCs w:val="15"/>
          <w:color w:val="23232A"/>
        </w:rPr>
        <w:t>kn</w:t>
      </w:r>
      <w:r>
        <w:rPr>
          <w:rFonts w:ascii="Arial" w:cs="Arial" w:eastAsia="Arial" w:hAnsi="Arial"/>
          <w:sz w:val="15"/>
          <w:szCs w:val="15"/>
          <w:color w:val="42444D"/>
        </w:rPr>
        <w:t>owledges</w:t>
      </w:r>
      <w:r>
        <w:rPr>
          <w:rFonts w:ascii="Arial" w:cs="Arial" w:eastAsia="Arial" w:hAnsi="Arial"/>
          <w:sz w:val="15"/>
          <w:szCs w:val="15"/>
          <w:color w:val="34343D"/>
        </w:rPr>
        <w:t xml:space="preserve"> </w:t>
      </w:r>
      <w:r>
        <w:rPr>
          <w:rFonts w:ascii="Arial" w:cs="Arial" w:eastAsia="Arial" w:hAnsi="Arial"/>
          <w:sz w:val="15"/>
          <w:szCs w:val="15"/>
          <w:color w:val="23232A"/>
        </w:rPr>
        <w:t>th</w:t>
      </w:r>
      <w:r>
        <w:rPr>
          <w:rFonts w:ascii="Arial" w:cs="Arial" w:eastAsia="Arial" w:hAnsi="Arial"/>
          <w:sz w:val="15"/>
          <w:szCs w:val="15"/>
          <w:color w:val="42444D"/>
        </w:rPr>
        <w:t>a</w:t>
      </w:r>
      <w:r>
        <w:rPr>
          <w:rFonts w:ascii="Arial" w:cs="Arial" w:eastAsia="Arial" w:hAnsi="Arial"/>
          <w:sz w:val="15"/>
          <w:szCs w:val="15"/>
          <w:color w:val="23232A"/>
        </w:rPr>
        <w:t>t I hav</w:t>
      </w:r>
      <w:r>
        <w:rPr>
          <w:rFonts w:ascii="Arial" w:cs="Arial" w:eastAsia="Arial" w:hAnsi="Arial"/>
          <w:sz w:val="15"/>
          <w:szCs w:val="15"/>
          <w:color w:val="42444D"/>
        </w:rPr>
        <w:t>e read and</w:t>
      </w:r>
      <w:r>
        <w:rPr>
          <w:rFonts w:ascii="Arial" w:cs="Arial" w:eastAsia="Arial" w:hAnsi="Arial"/>
          <w:sz w:val="15"/>
          <w:szCs w:val="15"/>
          <w:color w:val="34343D"/>
        </w:rPr>
        <w:t xml:space="preserve"> </w:t>
      </w:r>
      <w:r>
        <w:rPr>
          <w:rFonts w:ascii="Arial" w:cs="Arial" w:eastAsia="Arial" w:hAnsi="Arial"/>
          <w:sz w:val="15"/>
          <w:szCs w:val="15"/>
          <w:color w:val="23232A"/>
        </w:rPr>
        <w:t>und</w:t>
      </w:r>
      <w:r>
        <w:rPr>
          <w:rFonts w:ascii="Arial" w:cs="Arial" w:eastAsia="Arial" w:hAnsi="Arial"/>
          <w:sz w:val="15"/>
          <w:szCs w:val="15"/>
          <w:color w:val="42444D"/>
        </w:rPr>
        <w:t>ersta</w:t>
      </w:r>
      <w:r>
        <w:rPr>
          <w:rFonts w:ascii="Arial" w:cs="Arial" w:eastAsia="Arial" w:hAnsi="Arial"/>
          <w:sz w:val="15"/>
          <w:szCs w:val="15"/>
          <w:color w:val="23232A"/>
        </w:rPr>
        <w:t>nd this</w:t>
      </w:r>
      <w:r>
        <w:rPr>
          <w:rFonts w:ascii="Arial" w:cs="Arial" w:eastAsia="Arial" w:hAnsi="Arial"/>
          <w:sz w:val="15"/>
          <w:szCs w:val="15"/>
          <w:color w:val="34343D"/>
        </w:rPr>
        <w:t xml:space="preserve"> Agreement </w:t>
      </w:r>
      <w:r>
        <w:rPr>
          <w:rFonts w:ascii="Arial" w:cs="Arial" w:eastAsia="Arial" w:hAnsi="Arial"/>
          <w:sz w:val="15"/>
          <w:szCs w:val="15"/>
          <w:color w:val="42444D"/>
        </w:rPr>
        <w:t>and</w:t>
      </w:r>
      <w:r>
        <w:rPr>
          <w:rFonts w:ascii="Arial" w:cs="Arial" w:eastAsia="Arial" w:hAnsi="Arial"/>
          <w:sz w:val="15"/>
          <w:szCs w:val="15"/>
          <w:color w:val="34343D"/>
        </w:rPr>
        <w:t xml:space="preserve"> agree </w:t>
      </w:r>
      <w:r>
        <w:rPr>
          <w:rFonts w:ascii="Arial" w:cs="Arial" w:eastAsia="Arial" w:hAnsi="Arial"/>
          <w:sz w:val="15"/>
          <w:szCs w:val="15"/>
          <w:color w:val="23232A"/>
        </w:rPr>
        <w:t>t</w:t>
      </w:r>
      <w:r>
        <w:rPr>
          <w:rFonts w:ascii="Arial" w:cs="Arial" w:eastAsia="Arial" w:hAnsi="Arial"/>
          <w:sz w:val="15"/>
          <w:szCs w:val="15"/>
          <w:color w:val="42444D"/>
        </w:rPr>
        <w:t>o</w:t>
      </w:r>
      <w:r>
        <w:rPr>
          <w:rFonts w:ascii="Arial" w:cs="Arial" w:eastAsia="Arial" w:hAnsi="Arial"/>
          <w:sz w:val="15"/>
          <w:szCs w:val="15"/>
          <w:color w:val="34343D"/>
        </w:rPr>
        <w:t xml:space="preserve"> be bound by its </w:t>
      </w:r>
      <w:r>
        <w:rPr>
          <w:rFonts w:ascii="Arial" w:cs="Arial" w:eastAsia="Arial" w:hAnsi="Arial"/>
          <w:sz w:val="15"/>
          <w:szCs w:val="15"/>
          <w:color w:val="23232A"/>
        </w:rPr>
        <w:t>t</w:t>
      </w:r>
      <w:r>
        <w:rPr>
          <w:rFonts w:ascii="Arial" w:cs="Arial" w:eastAsia="Arial" w:hAnsi="Arial"/>
          <w:sz w:val="15"/>
          <w:szCs w:val="15"/>
          <w:color w:val="42444D"/>
        </w:rPr>
        <w:t>erms.</w:t>
      </w:r>
    </w:p>
    <w:p>
      <w:pPr>
        <w:spacing w:after="0" w:line="165"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15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Michael Ehlers</w:t>
            </w:r>
          </w:p>
        </w:tc>
        <w:tc>
          <w:tcPr>
            <w:tcW w:w="152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rPr>
              <w:t>Michael Ehlers</w:t>
            </w: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4/25/16</w:t>
            </w:r>
          </w:p>
        </w:tc>
        <w:tc>
          <w:tcPr>
            <w:tcW w:w="580" w:type="dxa"/>
            <w:vAlign w:val="bottom"/>
          </w:tcPr>
          <w:p>
            <w:pPr>
              <w:spacing w:after="0"/>
              <w:rPr>
                <w:sz w:val="15"/>
                <w:szCs w:val="15"/>
                <w:color w:val="auto"/>
              </w:rPr>
            </w:pPr>
          </w:p>
        </w:tc>
      </w:tr>
      <w:tr>
        <w:trPr>
          <w:trHeight w:val="192"/>
        </w:trPr>
        <w:tc>
          <w:tcPr>
            <w:tcW w:w="1560" w:type="dxa"/>
            <w:vAlign w:val="bottom"/>
          </w:tcPr>
          <w:p>
            <w:pPr>
              <w:spacing w:after="0"/>
              <w:rPr>
                <w:sz w:val="20"/>
                <w:szCs w:val="20"/>
                <w:color w:val="auto"/>
              </w:rPr>
            </w:pPr>
            <w:r>
              <w:rPr>
                <w:rFonts w:ascii="Arial" w:cs="Arial" w:eastAsia="Arial" w:hAnsi="Arial"/>
                <w:sz w:val="15"/>
                <w:szCs w:val="15"/>
                <w:color w:val="auto"/>
              </w:rPr>
              <w:t>Employee Signature</w:t>
            </w:r>
          </w:p>
        </w:tc>
        <w:tc>
          <w:tcPr>
            <w:tcW w:w="2540" w:type="dxa"/>
            <w:vAlign w:val="bottom"/>
            <w:gridSpan w:val="2"/>
          </w:tcPr>
          <w:p>
            <w:pPr>
              <w:jc w:val="right"/>
              <w:ind w:right="3"/>
              <w:spacing w:after="0"/>
              <w:rPr>
                <w:sz w:val="20"/>
                <w:szCs w:val="20"/>
                <w:color w:val="auto"/>
              </w:rPr>
            </w:pPr>
            <w:r>
              <w:rPr>
                <w:rFonts w:ascii="Arial" w:cs="Arial" w:eastAsia="Arial" w:hAnsi="Arial"/>
                <w:sz w:val="15"/>
                <w:szCs w:val="15"/>
                <w:color w:val="auto"/>
              </w:rPr>
              <w:t>Employee Name (Please Print)</w:t>
            </w:r>
          </w:p>
        </w:tc>
        <w:tc>
          <w:tcPr>
            <w:tcW w:w="580" w:type="dxa"/>
            <w:vAlign w:val="bottom"/>
          </w:tcPr>
          <w:p>
            <w:pPr>
              <w:ind w:left="260"/>
              <w:spacing w:after="0"/>
              <w:rPr>
                <w:sz w:val="20"/>
                <w:szCs w:val="20"/>
                <w:color w:val="auto"/>
              </w:rPr>
            </w:pPr>
            <w:r>
              <w:rPr>
                <w:rFonts w:ascii="Arial" w:cs="Arial" w:eastAsia="Arial" w:hAnsi="Arial"/>
                <w:sz w:val="15"/>
                <w:szCs w:val="15"/>
                <w:color w:val="auto"/>
                <w:w w:val="94"/>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020"/>
        <w:spacing w:after="0"/>
        <w:rPr>
          <w:sz w:val="20"/>
          <w:szCs w:val="20"/>
          <w:color w:val="auto"/>
        </w:rPr>
      </w:pPr>
      <w:r>
        <w:rPr>
          <w:rFonts w:ascii="Arial" w:cs="Arial" w:eastAsia="Arial" w:hAnsi="Arial"/>
          <w:sz w:val="12"/>
          <w:szCs w:val="12"/>
          <w:color w:val="3B5B80"/>
        </w:rPr>
        <w:t>225 B</w:t>
      </w:r>
      <w:r>
        <w:rPr>
          <w:rFonts w:ascii="Arial" w:cs="Arial" w:eastAsia="Arial" w:hAnsi="Arial"/>
          <w:sz w:val="12"/>
          <w:szCs w:val="12"/>
          <w:color w:val="7285A3"/>
        </w:rPr>
        <w:t>i</w:t>
      </w:r>
      <w:r>
        <w:rPr>
          <w:rFonts w:ascii="Arial" w:cs="Arial" w:eastAsia="Arial" w:hAnsi="Arial"/>
          <w:sz w:val="12"/>
          <w:szCs w:val="12"/>
          <w:color w:val="3B5B80"/>
        </w:rPr>
        <w:t>nney Street</w:t>
      </w:r>
      <w:r>
        <w:rPr>
          <w:rFonts w:ascii="Arial" w:cs="Arial" w:eastAsia="Arial" w:hAnsi="Arial"/>
          <w:sz w:val="12"/>
          <w:szCs w:val="12"/>
          <w:color w:val="4D565B"/>
        </w:rPr>
        <w:t>,</w:t>
      </w:r>
      <w:r>
        <w:rPr>
          <w:rFonts w:ascii="Arial" w:cs="Arial" w:eastAsia="Arial" w:hAnsi="Arial"/>
          <w:sz w:val="12"/>
          <w:szCs w:val="12"/>
          <w:color w:val="3B5B80"/>
        </w:rPr>
        <w:t xml:space="preserve"> Cam</w:t>
      </w:r>
      <w:r>
        <w:rPr>
          <w:rFonts w:ascii="Arial" w:cs="Arial" w:eastAsia="Arial" w:hAnsi="Arial"/>
          <w:sz w:val="12"/>
          <w:szCs w:val="12"/>
          <w:color w:val="2F67A1"/>
        </w:rPr>
        <w:t>b</w:t>
      </w:r>
      <w:r>
        <w:rPr>
          <w:rFonts w:ascii="Arial" w:cs="Arial" w:eastAsia="Arial" w:hAnsi="Arial"/>
          <w:sz w:val="12"/>
          <w:szCs w:val="12"/>
          <w:color w:val="567C99"/>
        </w:rPr>
        <w:t>ridge</w:t>
      </w:r>
      <w:r>
        <w:rPr>
          <w:rFonts w:ascii="Arial" w:cs="Arial" w:eastAsia="Arial" w:hAnsi="Arial"/>
          <w:sz w:val="12"/>
          <w:szCs w:val="12"/>
          <w:color w:val="6E7277"/>
        </w:rPr>
        <w:t>,</w:t>
      </w:r>
      <w:r>
        <w:rPr>
          <w:rFonts w:ascii="Arial" w:cs="Arial" w:eastAsia="Arial" w:hAnsi="Arial"/>
          <w:sz w:val="12"/>
          <w:szCs w:val="12"/>
          <w:color w:val="3B5B80"/>
        </w:rPr>
        <w:t xml:space="preserve"> MA 02142 Phone 781</w:t>
      </w:r>
      <w:r>
        <w:rPr>
          <w:rFonts w:ascii="Arial" w:cs="Arial" w:eastAsia="Arial" w:hAnsi="Arial"/>
          <w:sz w:val="12"/>
          <w:szCs w:val="12"/>
          <w:color w:val="4D565B"/>
        </w:rPr>
        <w:t>-</w:t>
      </w:r>
      <w:r>
        <w:rPr>
          <w:rFonts w:ascii="Arial" w:cs="Arial" w:eastAsia="Arial" w:hAnsi="Arial"/>
          <w:sz w:val="12"/>
          <w:szCs w:val="12"/>
          <w:color w:val="3B5B80"/>
        </w:rPr>
        <w:t>464</w:t>
      </w:r>
      <w:r>
        <w:rPr>
          <w:rFonts w:ascii="Arial" w:cs="Arial" w:eastAsia="Arial" w:hAnsi="Arial"/>
          <w:sz w:val="12"/>
          <w:szCs w:val="12"/>
          <w:color w:val="4D565B"/>
        </w:rPr>
        <w:t>-</w:t>
      </w:r>
      <w:r>
        <w:rPr>
          <w:rFonts w:ascii="Arial" w:cs="Arial" w:eastAsia="Arial" w:hAnsi="Arial"/>
          <w:sz w:val="12"/>
          <w:szCs w:val="12"/>
          <w:color w:val="3B5B80"/>
        </w:rPr>
        <w:t xml:space="preserve">2000 </w:t>
      </w:r>
      <w:r>
        <w:rPr>
          <w:rFonts w:ascii="Arial" w:cs="Arial" w:eastAsia="Arial" w:hAnsi="Arial"/>
          <w:sz w:val="12"/>
          <w:szCs w:val="12"/>
          <w:color w:val="4B6991"/>
        </w:rPr>
        <w:t>www</w:t>
      </w:r>
      <w:r>
        <w:rPr>
          <w:rFonts w:ascii="Arial" w:cs="Arial" w:eastAsia="Arial" w:hAnsi="Arial"/>
          <w:sz w:val="12"/>
          <w:szCs w:val="12"/>
          <w:color w:val="7285A3"/>
        </w:rPr>
        <w:t>.</w:t>
      </w:r>
      <w:r>
        <w:rPr>
          <w:rFonts w:ascii="Arial" w:cs="Arial" w:eastAsia="Arial" w:hAnsi="Arial"/>
          <w:sz w:val="12"/>
          <w:szCs w:val="12"/>
          <w:color w:val="3B5B80"/>
        </w:rPr>
        <w:t>biogen</w:t>
      </w:r>
      <w:r>
        <w:rPr>
          <w:rFonts w:ascii="Arial" w:cs="Arial" w:eastAsia="Arial" w:hAnsi="Arial"/>
          <w:sz w:val="12"/>
          <w:szCs w:val="12"/>
          <w:color w:val="4D565B"/>
        </w:rPr>
        <w:t>.</w:t>
      </w:r>
      <w:r>
        <w:rPr>
          <w:rFonts w:ascii="Arial" w:cs="Arial" w:eastAsia="Arial" w:hAnsi="Arial"/>
          <w:sz w:val="12"/>
          <w:szCs w:val="12"/>
          <w:color w:val="3B5B80"/>
        </w:rPr>
        <w:t>com</w:t>
      </w:r>
    </w:p>
    <w:p>
      <w:pPr>
        <w:sectPr>
          <w:pgSz w:w="11900" w:h="16838" w:orient="portrait"/>
          <w:cols w:equalWidth="0" w:num="1">
            <w:col w:w="10220"/>
          </w:cols>
          <w:pgMar w:left="1440" w:top="584" w:right="239" w:bottom="1440" w:gutter="0" w:footer="0" w:header="0"/>
        </w:sectPr>
      </w:pPr>
    </w:p>
    <w:bookmarkStart w:id="201" w:name="page202"/>
    <w:bookmarkEnd w:id="201"/>
    <w:p>
      <w:pPr>
        <w:spacing w:after="0" w:line="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1032510</wp:posOffset>
            </wp:positionH>
            <wp:positionV relativeFrom="page">
              <wp:posOffset>398145</wp:posOffset>
            </wp:positionV>
            <wp:extent cx="1406525" cy="4635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4">
                      <a:clrChange>
                        <a:clrFrom>
                          <a:srgbClr val="FFFFFF"/>
                        </a:clrFrom>
                        <a:clrTo>
                          <a:srgbClr val="FFFFFF">
                            <a:alpha val="0"/>
                          </a:srgbClr>
                        </a:clrTo>
                      </a:clrChange>
                      <a:extLst>
                        <a:ext uri="{28A0092B-C50C-407E-A947-70E740481C1C}"/>
                      </a:extLst>
                    </a:blip>
                    <a:srcRect/>
                    <a:stretch>
                      <a:fillRect/>
                    </a:stretch>
                  </pic:blipFill>
                  <pic:spPr bwMode="auto">
                    <a:xfrm>
                      <a:off x="0" y="0"/>
                      <a:ext cx="1406525" cy="4635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5"/>
          <w:szCs w:val="15"/>
          <w:color w:val="3D3F48"/>
        </w:rPr>
        <w:t>April 25</w:t>
      </w:r>
      <w:r>
        <w:rPr>
          <w:rFonts w:ascii="Arial" w:cs="Arial" w:eastAsia="Arial" w:hAnsi="Arial"/>
          <w:sz w:val="15"/>
          <w:szCs w:val="15"/>
          <w:color w:val="757980"/>
        </w:rPr>
        <w:t>,</w:t>
      </w:r>
      <w:r>
        <w:rPr>
          <w:rFonts w:ascii="Arial" w:cs="Arial" w:eastAsia="Arial" w:hAnsi="Arial"/>
          <w:sz w:val="15"/>
          <w:szCs w:val="15"/>
          <w:color w:val="3D3F48"/>
        </w:rPr>
        <w:t xml:space="preserve"> </w:t>
      </w:r>
      <w:r>
        <w:rPr>
          <w:rFonts w:ascii="Arial" w:cs="Arial" w:eastAsia="Arial" w:hAnsi="Arial"/>
          <w:sz w:val="15"/>
          <w:szCs w:val="15"/>
          <w:color w:val="575960"/>
        </w:rPr>
        <w:t>2</w:t>
      </w:r>
      <w:r>
        <w:rPr>
          <w:rFonts w:ascii="Arial" w:cs="Arial" w:eastAsia="Arial" w:hAnsi="Arial"/>
          <w:sz w:val="15"/>
          <w:szCs w:val="15"/>
          <w:color w:val="3D3F48"/>
        </w:rPr>
        <w:t>016</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Mike Ehlers</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5"/>
          <w:szCs w:val="15"/>
          <w:color w:val="auto"/>
        </w:rPr>
        <w:t>[address]</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5"/>
          <w:szCs w:val="15"/>
          <w:color w:val="auto"/>
        </w:rPr>
        <w:t>[address]</w:t>
      </w:r>
    </w:p>
    <w:p>
      <w:pPr>
        <w:spacing w:after="0" w:line="365" w:lineRule="exact"/>
        <w:rPr>
          <w:sz w:val="20"/>
          <w:szCs w:val="20"/>
          <w:color w:val="auto"/>
        </w:rPr>
      </w:pPr>
    </w:p>
    <w:p>
      <w:pPr>
        <w:ind w:left="180"/>
        <w:spacing w:after="0"/>
        <w:rPr>
          <w:sz w:val="20"/>
          <w:szCs w:val="20"/>
          <w:color w:val="auto"/>
        </w:rPr>
      </w:pPr>
      <w:r>
        <w:rPr>
          <w:rFonts w:ascii="Arial" w:cs="Arial" w:eastAsia="Arial" w:hAnsi="Arial"/>
          <w:sz w:val="15"/>
          <w:szCs w:val="15"/>
          <w:color w:val="2A2A31"/>
        </w:rPr>
        <w:t>Dear Mike</w:t>
      </w:r>
      <w:r>
        <w:rPr>
          <w:rFonts w:ascii="Arial" w:cs="Arial" w:eastAsia="Arial" w:hAnsi="Arial"/>
          <w:sz w:val="15"/>
          <w:szCs w:val="15"/>
          <w:color w:val="8E8E9A"/>
        </w:rPr>
        <w:t>:</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5"/>
          <w:szCs w:val="15"/>
          <w:color w:val="3D3F48"/>
        </w:rPr>
        <w:t>Th</w:t>
      </w:r>
      <w:r>
        <w:rPr>
          <w:rFonts w:ascii="Arial" w:cs="Arial" w:eastAsia="Arial" w:hAnsi="Arial"/>
          <w:sz w:val="15"/>
          <w:szCs w:val="15"/>
          <w:color w:val="575960"/>
        </w:rPr>
        <w:t>i</w:t>
      </w:r>
      <w:r>
        <w:rPr>
          <w:rFonts w:ascii="Arial" w:cs="Arial" w:eastAsia="Arial" w:hAnsi="Arial"/>
          <w:sz w:val="15"/>
          <w:szCs w:val="15"/>
          <w:color w:val="3D3F48"/>
        </w:rPr>
        <w:t>s lette</w:t>
      </w:r>
      <w:r>
        <w:rPr>
          <w:rFonts w:ascii="Arial" w:cs="Arial" w:eastAsia="Arial" w:hAnsi="Arial"/>
          <w:sz w:val="15"/>
          <w:szCs w:val="15"/>
          <w:color w:val="575960"/>
        </w:rPr>
        <w:t>r</w:t>
      </w:r>
      <w:r>
        <w:rPr>
          <w:rFonts w:ascii="Arial" w:cs="Arial" w:eastAsia="Arial" w:hAnsi="Arial"/>
          <w:sz w:val="15"/>
          <w:szCs w:val="15"/>
          <w:color w:val="3D3F48"/>
        </w:rPr>
        <w:t xml:space="preserve"> hereby confirms </w:t>
      </w:r>
      <w:r>
        <w:rPr>
          <w:rFonts w:ascii="Arial" w:cs="Arial" w:eastAsia="Arial" w:hAnsi="Arial"/>
          <w:sz w:val="15"/>
          <w:szCs w:val="15"/>
          <w:color w:val="2A2A31"/>
        </w:rPr>
        <w:t>Biogen's</w:t>
      </w:r>
      <w:r>
        <w:rPr>
          <w:rFonts w:ascii="Arial" w:cs="Arial" w:eastAsia="Arial" w:hAnsi="Arial"/>
          <w:sz w:val="15"/>
          <w:szCs w:val="15"/>
          <w:color w:val="3D3F48"/>
        </w:rPr>
        <w:t xml:space="preserve"> agre</w:t>
      </w:r>
      <w:r>
        <w:rPr>
          <w:rFonts w:ascii="Arial" w:cs="Arial" w:eastAsia="Arial" w:hAnsi="Arial"/>
          <w:sz w:val="15"/>
          <w:szCs w:val="15"/>
          <w:color w:val="575960"/>
        </w:rPr>
        <w:t>e</w:t>
      </w:r>
      <w:r>
        <w:rPr>
          <w:rFonts w:ascii="Arial" w:cs="Arial" w:eastAsia="Arial" w:hAnsi="Arial"/>
          <w:sz w:val="15"/>
          <w:szCs w:val="15"/>
          <w:color w:val="3D3F48"/>
        </w:rPr>
        <w:t xml:space="preserve">ment </w:t>
      </w:r>
      <w:r>
        <w:rPr>
          <w:rFonts w:ascii="Arial" w:cs="Arial" w:eastAsia="Arial" w:hAnsi="Arial"/>
          <w:sz w:val="15"/>
          <w:szCs w:val="15"/>
          <w:color w:val="2A2A31"/>
        </w:rPr>
        <w:t>that in the</w:t>
      </w:r>
      <w:r>
        <w:rPr>
          <w:rFonts w:ascii="Arial" w:cs="Arial" w:eastAsia="Arial" w:hAnsi="Arial"/>
          <w:sz w:val="15"/>
          <w:szCs w:val="15"/>
          <w:color w:val="3D3F48"/>
        </w:rPr>
        <w:t xml:space="preserve"> </w:t>
      </w:r>
      <w:r>
        <w:rPr>
          <w:rFonts w:ascii="Arial" w:cs="Arial" w:eastAsia="Arial" w:hAnsi="Arial"/>
          <w:sz w:val="15"/>
          <w:szCs w:val="15"/>
          <w:color w:val="575960"/>
        </w:rPr>
        <w:t>e</w:t>
      </w:r>
      <w:r>
        <w:rPr>
          <w:rFonts w:ascii="Arial" w:cs="Arial" w:eastAsia="Arial" w:hAnsi="Arial"/>
          <w:sz w:val="15"/>
          <w:szCs w:val="15"/>
          <w:color w:val="3D3F48"/>
        </w:rPr>
        <w:t xml:space="preserve">vent </w:t>
      </w:r>
      <w:r>
        <w:rPr>
          <w:rFonts w:ascii="Arial" w:cs="Arial" w:eastAsia="Arial" w:hAnsi="Arial"/>
          <w:sz w:val="15"/>
          <w:szCs w:val="15"/>
          <w:color w:val="2A2A31"/>
        </w:rPr>
        <w:t>it is determined that Biogen</w:t>
      </w:r>
      <w:r>
        <w:rPr>
          <w:rFonts w:ascii="Arial" w:cs="Arial" w:eastAsia="Arial" w:hAnsi="Arial"/>
          <w:sz w:val="15"/>
          <w:szCs w:val="15"/>
          <w:color w:val="3D3F48"/>
        </w:rPr>
        <w:t xml:space="preserve"> </w:t>
      </w:r>
      <w:r>
        <w:rPr>
          <w:rFonts w:ascii="Arial" w:cs="Arial" w:eastAsia="Arial" w:hAnsi="Arial"/>
          <w:sz w:val="15"/>
          <w:szCs w:val="15"/>
          <w:color w:val="575960"/>
        </w:rPr>
        <w:t>is</w:t>
      </w:r>
      <w:r>
        <w:rPr>
          <w:rFonts w:ascii="Arial" w:cs="Arial" w:eastAsia="Arial" w:hAnsi="Arial"/>
          <w:sz w:val="15"/>
          <w:szCs w:val="15"/>
          <w:color w:val="3D3F48"/>
        </w:rPr>
        <w:t xml:space="preserve"> a company </w:t>
      </w:r>
      <w:r>
        <w:rPr>
          <w:rFonts w:ascii="Arial" w:cs="Arial" w:eastAsia="Arial" w:hAnsi="Arial"/>
          <w:sz w:val="15"/>
          <w:szCs w:val="15"/>
          <w:color w:val="2A2A31"/>
        </w:rPr>
        <w:t>that i</w:t>
      </w:r>
      <w:r>
        <w:rPr>
          <w:rFonts w:ascii="Arial" w:cs="Arial" w:eastAsia="Arial" w:hAnsi="Arial"/>
          <w:sz w:val="15"/>
          <w:szCs w:val="15"/>
          <w:color w:val="575960"/>
        </w:rPr>
        <w:t>s</w:t>
      </w:r>
      <w:r>
        <w:rPr>
          <w:rFonts w:ascii="Arial" w:cs="Arial" w:eastAsia="Arial" w:hAnsi="Arial"/>
          <w:sz w:val="15"/>
          <w:szCs w:val="15"/>
          <w:color w:val="3D3F48"/>
        </w:rPr>
        <w:t xml:space="preserve"> </w:t>
      </w:r>
      <w:r>
        <w:rPr>
          <w:rFonts w:ascii="Arial" w:cs="Arial" w:eastAsia="Arial" w:hAnsi="Arial"/>
          <w:sz w:val="15"/>
          <w:szCs w:val="15"/>
          <w:color w:val="2A2A31"/>
        </w:rPr>
        <w:t>in</w:t>
      </w:r>
      <w:r>
        <w:rPr>
          <w:rFonts w:ascii="Arial" w:cs="Arial" w:eastAsia="Arial" w:hAnsi="Arial"/>
          <w:sz w:val="15"/>
          <w:szCs w:val="15"/>
          <w:color w:val="3D3F48"/>
        </w:rPr>
        <w:t xml:space="preserve"> </w:t>
      </w:r>
      <w:r>
        <w:rPr>
          <w:rFonts w:ascii="Arial" w:cs="Arial" w:eastAsia="Arial" w:hAnsi="Arial"/>
          <w:sz w:val="15"/>
          <w:szCs w:val="15"/>
          <w:color w:val="575960"/>
        </w:rPr>
        <w:t>c</w:t>
      </w:r>
      <w:r>
        <w:rPr>
          <w:rFonts w:ascii="Arial" w:cs="Arial" w:eastAsia="Arial" w:hAnsi="Arial"/>
          <w:sz w:val="15"/>
          <w:szCs w:val="15"/>
          <w:color w:val="3D3F48"/>
        </w:rPr>
        <w:t>ompetit</w:t>
      </w:r>
      <w:r>
        <w:rPr>
          <w:rFonts w:ascii="Arial" w:cs="Arial" w:eastAsia="Arial" w:hAnsi="Arial"/>
          <w:sz w:val="15"/>
          <w:szCs w:val="15"/>
          <w:color w:val="757980"/>
        </w:rPr>
        <w:t>i</w:t>
      </w:r>
      <w:r>
        <w:rPr>
          <w:rFonts w:ascii="Arial" w:cs="Arial" w:eastAsia="Arial" w:hAnsi="Arial"/>
          <w:sz w:val="15"/>
          <w:szCs w:val="15"/>
          <w:color w:val="3D3F48"/>
        </w:rPr>
        <w:t xml:space="preserve">on with </w:t>
      </w:r>
      <w:r>
        <w:rPr>
          <w:rFonts w:ascii="Arial" w:cs="Arial" w:eastAsia="Arial" w:hAnsi="Arial"/>
          <w:sz w:val="15"/>
          <w:szCs w:val="15"/>
          <w:color w:val="2A2A31"/>
        </w:rPr>
        <w:t>Pfiz</w:t>
      </w:r>
      <w:r>
        <w:rPr>
          <w:rFonts w:ascii="Arial" w:cs="Arial" w:eastAsia="Arial" w:hAnsi="Arial"/>
          <w:sz w:val="15"/>
          <w:szCs w:val="15"/>
          <w:color w:val="575960"/>
        </w:rPr>
        <w:t>e</w:t>
      </w:r>
      <w:r>
        <w:rPr>
          <w:rFonts w:ascii="Arial" w:cs="Arial" w:eastAsia="Arial" w:hAnsi="Arial"/>
          <w:sz w:val="15"/>
          <w:szCs w:val="15"/>
          <w:color w:val="2A2A31"/>
        </w:rPr>
        <w:t>r</w:t>
      </w:r>
      <w:r>
        <w:rPr>
          <w:rFonts w:ascii="Arial" w:cs="Arial" w:eastAsia="Arial" w:hAnsi="Arial"/>
          <w:sz w:val="15"/>
          <w:szCs w:val="15"/>
          <w:color w:val="3D3F48"/>
        </w:rPr>
        <w:t xml:space="preserve"> and as a</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5"/>
          <w:szCs w:val="15"/>
          <w:color w:val="2A2A31"/>
        </w:rPr>
        <w:t>r</w:t>
      </w:r>
      <w:r>
        <w:rPr>
          <w:rFonts w:ascii="Arial" w:cs="Arial" w:eastAsia="Arial" w:hAnsi="Arial"/>
          <w:sz w:val="15"/>
          <w:szCs w:val="15"/>
          <w:color w:val="575960"/>
        </w:rPr>
        <w:t>es</w:t>
      </w:r>
      <w:r>
        <w:rPr>
          <w:rFonts w:ascii="Arial" w:cs="Arial" w:eastAsia="Arial" w:hAnsi="Arial"/>
          <w:sz w:val="15"/>
          <w:szCs w:val="15"/>
          <w:color w:val="2A2A31"/>
        </w:rPr>
        <w:t xml:space="preserve">ult the Pfizer </w:t>
      </w:r>
      <w:r>
        <w:rPr>
          <w:rFonts w:ascii="Arial" w:cs="Arial" w:eastAsia="Arial" w:hAnsi="Arial"/>
          <w:sz w:val="15"/>
          <w:szCs w:val="15"/>
          <w:color w:val="3D3F48"/>
        </w:rPr>
        <w:t>Compensation Committee</w:t>
      </w:r>
      <w:r>
        <w:rPr>
          <w:rFonts w:ascii="Arial" w:cs="Arial" w:eastAsia="Arial" w:hAnsi="Arial"/>
          <w:sz w:val="15"/>
          <w:szCs w:val="15"/>
          <w:color w:val="757980"/>
        </w:rPr>
        <w:t>.</w:t>
      </w:r>
      <w:r>
        <w:rPr>
          <w:rFonts w:ascii="Arial" w:cs="Arial" w:eastAsia="Arial" w:hAnsi="Arial"/>
          <w:sz w:val="15"/>
          <w:szCs w:val="15"/>
          <w:color w:val="2A2A31"/>
        </w:rPr>
        <w:t xml:space="preserve"> pursuant to </w:t>
      </w:r>
      <w:r>
        <w:rPr>
          <w:rFonts w:ascii="Arial" w:cs="Arial" w:eastAsia="Arial" w:hAnsi="Arial"/>
          <w:sz w:val="15"/>
          <w:szCs w:val="15"/>
          <w:color w:val="3D3F48"/>
        </w:rPr>
        <w:t>its</w:t>
      </w:r>
      <w:r>
        <w:rPr>
          <w:rFonts w:ascii="Arial" w:cs="Arial" w:eastAsia="Arial" w:hAnsi="Arial"/>
          <w:sz w:val="15"/>
          <w:szCs w:val="15"/>
          <w:color w:val="2A2A31"/>
        </w:rPr>
        <w:t xml:space="preserve"> rights </w:t>
      </w:r>
      <w:r>
        <w:rPr>
          <w:rFonts w:ascii="Arial" w:cs="Arial" w:eastAsia="Arial" w:hAnsi="Arial"/>
          <w:sz w:val="15"/>
          <w:szCs w:val="15"/>
          <w:color w:val="3D3F48"/>
        </w:rPr>
        <w:t>under the Executiv</w:t>
      </w:r>
      <w:r>
        <w:rPr>
          <w:rFonts w:ascii="Arial" w:cs="Arial" w:eastAsia="Arial" w:hAnsi="Arial"/>
          <w:sz w:val="15"/>
          <w:szCs w:val="15"/>
          <w:color w:val="575960"/>
        </w:rPr>
        <w:t>e</w:t>
      </w:r>
      <w:r>
        <w:rPr>
          <w:rFonts w:ascii="Arial" w:cs="Arial" w:eastAsia="Arial" w:hAnsi="Arial"/>
          <w:sz w:val="15"/>
          <w:szCs w:val="15"/>
          <w:color w:val="2A2A31"/>
        </w:rPr>
        <w:t xml:space="preserve"> </w:t>
      </w:r>
      <w:r>
        <w:rPr>
          <w:rFonts w:ascii="Arial" w:cs="Arial" w:eastAsia="Arial" w:hAnsi="Arial"/>
          <w:sz w:val="15"/>
          <w:szCs w:val="15"/>
          <w:color w:val="3D3F48"/>
        </w:rPr>
        <w:t>Long-Term</w:t>
      </w:r>
      <w:r>
        <w:rPr>
          <w:rFonts w:ascii="Arial" w:cs="Arial" w:eastAsia="Arial" w:hAnsi="Arial"/>
          <w:sz w:val="15"/>
          <w:szCs w:val="15"/>
          <w:color w:val="2A2A31"/>
        </w:rPr>
        <w:t xml:space="preserve"> In</w:t>
      </w:r>
      <w:r>
        <w:rPr>
          <w:rFonts w:ascii="Arial" w:cs="Arial" w:eastAsia="Arial" w:hAnsi="Arial"/>
          <w:sz w:val="15"/>
          <w:szCs w:val="15"/>
          <w:color w:val="575960"/>
        </w:rPr>
        <w:t>c</w:t>
      </w:r>
      <w:r>
        <w:rPr>
          <w:rFonts w:ascii="Arial" w:cs="Arial" w:eastAsia="Arial" w:hAnsi="Arial"/>
          <w:sz w:val="15"/>
          <w:szCs w:val="15"/>
          <w:color w:val="3D3F48"/>
        </w:rPr>
        <w:t>entive</w:t>
      </w:r>
      <w:r>
        <w:rPr>
          <w:rFonts w:ascii="Arial" w:cs="Arial" w:eastAsia="Arial" w:hAnsi="Arial"/>
          <w:sz w:val="15"/>
          <w:szCs w:val="15"/>
          <w:color w:val="2A2A31"/>
        </w:rPr>
        <w:t xml:space="preserve"> Program Po</w:t>
      </w:r>
      <w:r>
        <w:rPr>
          <w:rFonts w:ascii="Arial" w:cs="Arial" w:eastAsia="Arial" w:hAnsi="Arial"/>
          <w:sz w:val="15"/>
          <w:szCs w:val="15"/>
          <w:color w:val="575960"/>
        </w:rPr>
        <w:t>i</w:t>
      </w:r>
      <w:r>
        <w:rPr>
          <w:rFonts w:ascii="Arial" w:cs="Arial" w:eastAsia="Arial" w:hAnsi="Arial"/>
          <w:sz w:val="15"/>
          <w:szCs w:val="15"/>
          <w:color w:val="3D3F48"/>
        </w:rPr>
        <w:t>nts</w:t>
      </w:r>
      <w:r>
        <w:rPr>
          <w:rFonts w:ascii="Arial" w:cs="Arial" w:eastAsia="Arial" w:hAnsi="Arial"/>
          <w:sz w:val="15"/>
          <w:szCs w:val="15"/>
          <w:color w:val="2A2A31"/>
        </w:rPr>
        <w:t xml:space="preserve"> of </w:t>
      </w:r>
      <w:r>
        <w:rPr>
          <w:rFonts w:ascii="Arial" w:cs="Arial" w:eastAsia="Arial" w:hAnsi="Arial"/>
          <w:sz w:val="15"/>
          <w:szCs w:val="15"/>
          <w:color w:val="575960"/>
        </w:rPr>
        <w:t>I</w:t>
      </w:r>
      <w:r>
        <w:rPr>
          <w:rFonts w:ascii="Arial" w:cs="Arial" w:eastAsia="Arial" w:hAnsi="Arial"/>
          <w:sz w:val="15"/>
          <w:szCs w:val="15"/>
          <w:color w:val="2A2A31"/>
        </w:rPr>
        <w:t xml:space="preserve">nterest </w:t>
      </w:r>
      <w:r>
        <w:rPr>
          <w:rFonts w:ascii="Arial" w:cs="Arial" w:eastAsia="Arial" w:hAnsi="Arial"/>
          <w:sz w:val="15"/>
          <w:szCs w:val="15"/>
          <w:color w:val="3D3F48"/>
        </w:rPr>
        <w:t>(Part 6,</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5"/>
          <w:szCs w:val="15"/>
          <w:color w:val="3D3F48"/>
        </w:rPr>
        <w:t>Section 36)</w:t>
      </w:r>
      <w:r>
        <w:rPr>
          <w:rFonts w:ascii="Arial" w:cs="Arial" w:eastAsia="Arial" w:hAnsi="Arial"/>
          <w:sz w:val="15"/>
          <w:szCs w:val="15"/>
          <w:color w:val="757980"/>
        </w:rPr>
        <w:t>,</w:t>
      </w:r>
      <w:r>
        <w:rPr>
          <w:rFonts w:ascii="Arial" w:cs="Arial" w:eastAsia="Arial" w:hAnsi="Arial"/>
          <w:sz w:val="15"/>
          <w:szCs w:val="15"/>
          <w:color w:val="3D3F48"/>
        </w:rPr>
        <w:t xml:space="preserve"> </w:t>
      </w:r>
      <w:r>
        <w:rPr>
          <w:rFonts w:ascii="Arial" w:cs="Arial" w:eastAsia="Arial" w:hAnsi="Arial"/>
          <w:sz w:val="15"/>
          <w:szCs w:val="15"/>
          <w:color w:val="2A2A31"/>
        </w:rPr>
        <w:t>terminates</w:t>
      </w:r>
      <w:r>
        <w:rPr>
          <w:rFonts w:ascii="Arial" w:cs="Arial" w:eastAsia="Arial" w:hAnsi="Arial"/>
          <w:sz w:val="15"/>
          <w:szCs w:val="15"/>
          <w:color w:val="3D3F48"/>
        </w:rPr>
        <w:t xml:space="preserve"> all or a </w:t>
      </w:r>
      <w:r>
        <w:rPr>
          <w:rFonts w:ascii="Arial" w:cs="Arial" w:eastAsia="Arial" w:hAnsi="Arial"/>
          <w:sz w:val="15"/>
          <w:szCs w:val="15"/>
          <w:color w:val="2A2A31"/>
        </w:rPr>
        <w:t>portion</w:t>
      </w:r>
      <w:r>
        <w:rPr>
          <w:rFonts w:ascii="Arial" w:cs="Arial" w:eastAsia="Arial" w:hAnsi="Arial"/>
          <w:sz w:val="15"/>
          <w:szCs w:val="15"/>
          <w:color w:val="3D3F48"/>
        </w:rPr>
        <w:t xml:space="preserve"> of </w:t>
      </w:r>
      <w:r>
        <w:rPr>
          <w:rFonts w:ascii="Arial" w:cs="Arial" w:eastAsia="Arial" w:hAnsi="Arial"/>
          <w:sz w:val="15"/>
          <w:szCs w:val="15"/>
          <w:color w:val="2A2A31"/>
        </w:rPr>
        <w:t>your</w:t>
      </w:r>
      <w:r>
        <w:rPr>
          <w:rFonts w:ascii="Arial" w:cs="Arial" w:eastAsia="Arial" w:hAnsi="Arial"/>
          <w:sz w:val="15"/>
          <w:szCs w:val="15"/>
          <w:color w:val="3D3F48"/>
        </w:rPr>
        <w:t xml:space="preserve"> outstanding and </w:t>
      </w:r>
      <w:r>
        <w:rPr>
          <w:rFonts w:ascii="Arial" w:cs="Arial" w:eastAsia="Arial" w:hAnsi="Arial"/>
          <w:sz w:val="15"/>
          <w:szCs w:val="15"/>
          <w:color w:val="2A2A31"/>
        </w:rPr>
        <w:t>vested TSRUs, PPSs</w:t>
      </w:r>
      <w:r>
        <w:rPr>
          <w:rFonts w:ascii="Arial" w:cs="Arial" w:eastAsia="Arial" w:hAnsi="Arial"/>
          <w:sz w:val="15"/>
          <w:szCs w:val="15"/>
          <w:color w:val="3D3F48"/>
        </w:rPr>
        <w:t xml:space="preserve"> and RSUs </w:t>
      </w:r>
      <w:r>
        <w:rPr>
          <w:rFonts w:ascii="Arial" w:cs="Arial" w:eastAsia="Arial" w:hAnsi="Arial"/>
          <w:sz w:val="15"/>
          <w:szCs w:val="15"/>
          <w:color w:val="2A2A31"/>
        </w:rPr>
        <w:t>that hav</w:t>
      </w:r>
      <w:r>
        <w:rPr>
          <w:rFonts w:ascii="Arial" w:cs="Arial" w:eastAsia="Arial" w:hAnsi="Arial"/>
          <w:sz w:val="15"/>
          <w:szCs w:val="15"/>
          <w:color w:val="575960"/>
        </w:rPr>
        <w:t>e</w:t>
      </w:r>
      <w:r>
        <w:rPr>
          <w:rFonts w:ascii="Arial" w:cs="Arial" w:eastAsia="Arial" w:hAnsi="Arial"/>
          <w:sz w:val="15"/>
          <w:szCs w:val="15"/>
          <w:color w:val="3D3F48"/>
        </w:rPr>
        <w:t xml:space="preserve"> </w:t>
      </w:r>
      <w:r>
        <w:rPr>
          <w:rFonts w:ascii="Arial" w:cs="Arial" w:eastAsia="Arial" w:hAnsi="Arial"/>
          <w:sz w:val="15"/>
          <w:szCs w:val="15"/>
          <w:color w:val="2A2A31"/>
        </w:rPr>
        <w:t>not</w:t>
      </w:r>
      <w:r>
        <w:rPr>
          <w:rFonts w:ascii="Arial" w:cs="Arial" w:eastAsia="Arial" w:hAnsi="Arial"/>
          <w:sz w:val="15"/>
          <w:szCs w:val="15"/>
          <w:color w:val="3D3F48"/>
        </w:rPr>
        <w:t xml:space="preserve"> yet been </w:t>
      </w:r>
      <w:r>
        <w:rPr>
          <w:rFonts w:ascii="Arial" w:cs="Arial" w:eastAsia="Arial" w:hAnsi="Arial"/>
          <w:sz w:val="15"/>
          <w:szCs w:val="15"/>
          <w:color w:val="2A2A31"/>
        </w:rPr>
        <w:t>paid or</w:t>
      </w:r>
      <w:r>
        <w:rPr>
          <w:rFonts w:ascii="Arial" w:cs="Arial" w:eastAsia="Arial" w:hAnsi="Arial"/>
          <w:sz w:val="15"/>
          <w:szCs w:val="15"/>
          <w:color w:val="3D3F48"/>
        </w:rPr>
        <w:t xml:space="preserve"> settled </w:t>
      </w:r>
      <w:r>
        <w:rPr>
          <w:rFonts w:ascii="Arial" w:cs="Arial" w:eastAsia="Arial" w:hAnsi="Arial"/>
          <w:sz w:val="15"/>
          <w:szCs w:val="15"/>
          <w:color w:val="2A2A31"/>
        </w:rPr>
        <w:t>in Pfizer</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5"/>
          <w:szCs w:val="15"/>
          <w:color w:val="3D3F48"/>
        </w:rPr>
        <w:t xml:space="preserve">common </w:t>
      </w:r>
      <w:r>
        <w:rPr>
          <w:rFonts w:ascii="Arial" w:cs="Arial" w:eastAsia="Arial" w:hAnsi="Arial"/>
          <w:sz w:val="15"/>
          <w:szCs w:val="15"/>
          <w:color w:val="2A2A31"/>
        </w:rPr>
        <w:t>stock (the</w:t>
      </w:r>
      <w:r>
        <w:rPr>
          <w:rFonts w:ascii="Arial" w:cs="Arial" w:eastAsia="Arial" w:hAnsi="Arial"/>
          <w:sz w:val="15"/>
          <w:szCs w:val="15"/>
          <w:color w:val="3D3F48"/>
        </w:rPr>
        <w:t xml:space="preserve"> </w:t>
      </w:r>
      <w:r>
        <w:rPr>
          <w:rFonts w:ascii="Arial" w:cs="Arial" w:eastAsia="Arial" w:hAnsi="Arial"/>
          <w:sz w:val="15"/>
          <w:szCs w:val="15"/>
          <w:color w:val="7090A1"/>
        </w:rPr>
        <w:t>"</w:t>
      </w:r>
      <w:r>
        <w:rPr>
          <w:rFonts w:ascii="Arial" w:cs="Arial" w:eastAsia="Arial" w:hAnsi="Arial"/>
          <w:sz w:val="15"/>
          <w:szCs w:val="15"/>
          <w:color w:val="2A2A31"/>
        </w:rPr>
        <w:t>Terminated Awards</w:t>
      </w:r>
      <w:r>
        <w:rPr>
          <w:rFonts w:ascii="Arial" w:cs="Arial" w:eastAsia="Arial" w:hAnsi="Arial"/>
          <w:sz w:val="15"/>
          <w:szCs w:val="15"/>
          <w:color w:val="575960"/>
        </w:rPr>
        <w:t>"</w:t>
      </w:r>
      <w:r>
        <w:rPr>
          <w:rFonts w:ascii="Arial" w:cs="Arial" w:eastAsia="Arial" w:hAnsi="Arial"/>
          <w:sz w:val="15"/>
          <w:szCs w:val="15"/>
          <w:color w:val="3D3F48"/>
        </w:rPr>
        <w:t xml:space="preserve">) </w:t>
      </w:r>
      <w:r>
        <w:rPr>
          <w:rFonts w:ascii="Arial" w:cs="Arial" w:eastAsia="Arial" w:hAnsi="Arial"/>
          <w:sz w:val="15"/>
          <w:szCs w:val="15"/>
          <w:color w:val="2A2A31"/>
        </w:rPr>
        <w:t>and/or requires</w:t>
      </w:r>
      <w:r>
        <w:rPr>
          <w:rFonts w:ascii="Arial" w:cs="Arial" w:eastAsia="Arial" w:hAnsi="Arial"/>
          <w:sz w:val="15"/>
          <w:szCs w:val="15"/>
          <w:color w:val="3D3F48"/>
        </w:rPr>
        <w:t xml:space="preserve"> you </w:t>
      </w:r>
      <w:r>
        <w:rPr>
          <w:rFonts w:ascii="Arial" w:cs="Arial" w:eastAsia="Arial" w:hAnsi="Arial"/>
          <w:sz w:val="15"/>
          <w:szCs w:val="15"/>
          <w:color w:val="2A2A31"/>
        </w:rPr>
        <w:t>to return to Pfizer all</w:t>
      </w:r>
      <w:r>
        <w:rPr>
          <w:rFonts w:ascii="Arial" w:cs="Arial" w:eastAsia="Arial" w:hAnsi="Arial"/>
          <w:sz w:val="15"/>
          <w:szCs w:val="15"/>
          <w:color w:val="3D3F48"/>
        </w:rPr>
        <w:t xml:space="preserve"> or </w:t>
      </w:r>
      <w:r>
        <w:rPr>
          <w:rFonts w:ascii="Arial" w:cs="Arial" w:eastAsia="Arial" w:hAnsi="Arial"/>
          <w:sz w:val="15"/>
          <w:szCs w:val="15"/>
          <w:color w:val="2A2A31"/>
        </w:rPr>
        <w:t>a portion</w:t>
      </w:r>
      <w:r>
        <w:rPr>
          <w:rFonts w:ascii="Arial" w:cs="Arial" w:eastAsia="Arial" w:hAnsi="Arial"/>
          <w:sz w:val="15"/>
          <w:szCs w:val="15"/>
          <w:color w:val="3D3F48"/>
        </w:rPr>
        <w:t xml:space="preserve"> of any shares</w:t>
      </w:r>
      <w:r>
        <w:rPr>
          <w:rFonts w:ascii="Arial" w:cs="Arial" w:eastAsia="Arial" w:hAnsi="Arial"/>
          <w:sz w:val="15"/>
          <w:szCs w:val="15"/>
          <w:color w:val="757980"/>
        </w:rPr>
        <w:t>,</w:t>
      </w:r>
      <w:r>
        <w:rPr>
          <w:rFonts w:ascii="Arial" w:cs="Arial" w:eastAsia="Arial" w:hAnsi="Arial"/>
          <w:sz w:val="15"/>
          <w:szCs w:val="15"/>
          <w:color w:val="3D3F48"/>
        </w:rPr>
        <w:t xml:space="preserve"> cash </w:t>
      </w:r>
      <w:r>
        <w:rPr>
          <w:rFonts w:ascii="Arial" w:cs="Arial" w:eastAsia="Arial" w:hAnsi="Arial"/>
          <w:sz w:val="15"/>
          <w:szCs w:val="15"/>
          <w:color w:val="2A2A31"/>
        </w:rPr>
        <w:t>paid to or gain</w:t>
      </w:r>
      <w:r>
        <w:rPr>
          <w:rFonts w:ascii="Arial" w:cs="Arial" w:eastAsia="Arial" w:hAnsi="Arial"/>
          <w:sz w:val="15"/>
          <w:szCs w:val="15"/>
          <w:color w:val="3D3F48"/>
        </w:rPr>
        <w:t xml:space="preserve"> realized by </w:t>
      </w:r>
      <w:r>
        <w:rPr>
          <w:rFonts w:ascii="Arial" w:cs="Arial" w:eastAsia="Arial" w:hAnsi="Arial"/>
          <w:sz w:val="15"/>
          <w:szCs w:val="15"/>
          <w:color w:val="2A2A31"/>
        </w:rPr>
        <w:t>you</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5"/>
          <w:szCs w:val="15"/>
          <w:color w:val="3D3F48"/>
        </w:rPr>
        <w:t xml:space="preserve">with </w:t>
      </w:r>
      <w:r>
        <w:rPr>
          <w:rFonts w:ascii="Arial" w:cs="Arial" w:eastAsia="Arial" w:hAnsi="Arial"/>
          <w:sz w:val="15"/>
          <w:szCs w:val="15"/>
          <w:color w:val="2A2A31"/>
        </w:rPr>
        <w:t>respe</w:t>
      </w:r>
      <w:r>
        <w:rPr>
          <w:rFonts w:ascii="Arial" w:cs="Arial" w:eastAsia="Arial" w:hAnsi="Arial"/>
          <w:sz w:val="15"/>
          <w:szCs w:val="15"/>
          <w:color w:val="575960"/>
        </w:rPr>
        <w:t>c</w:t>
      </w:r>
      <w:r>
        <w:rPr>
          <w:rFonts w:ascii="Arial" w:cs="Arial" w:eastAsia="Arial" w:hAnsi="Arial"/>
          <w:sz w:val="15"/>
          <w:szCs w:val="15"/>
          <w:color w:val="2A2A31"/>
        </w:rPr>
        <w:t>t to the grant</w:t>
      </w:r>
      <w:r>
        <w:rPr>
          <w:rFonts w:ascii="Arial" w:cs="Arial" w:eastAsia="Arial" w:hAnsi="Arial"/>
          <w:sz w:val="15"/>
          <w:szCs w:val="15"/>
          <w:color w:val="3D3F48"/>
        </w:rPr>
        <w:t xml:space="preserve"> of </w:t>
      </w:r>
      <w:r>
        <w:rPr>
          <w:rFonts w:ascii="Arial" w:cs="Arial" w:eastAsia="Arial" w:hAnsi="Arial"/>
          <w:sz w:val="15"/>
          <w:szCs w:val="15"/>
          <w:color w:val="2A2A31"/>
        </w:rPr>
        <w:t>TSRUs</w:t>
      </w:r>
      <w:r>
        <w:rPr>
          <w:rFonts w:ascii="Arial" w:cs="Arial" w:eastAsia="Arial" w:hAnsi="Arial"/>
          <w:sz w:val="15"/>
          <w:szCs w:val="15"/>
          <w:color w:val="575960"/>
        </w:rPr>
        <w:t>,</w:t>
      </w:r>
      <w:r>
        <w:rPr>
          <w:rFonts w:ascii="Arial" w:cs="Arial" w:eastAsia="Arial" w:hAnsi="Arial"/>
          <w:sz w:val="15"/>
          <w:szCs w:val="15"/>
          <w:color w:val="3D3F48"/>
        </w:rPr>
        <w:t xml:space="preserve"> </w:t>
      </w:r>
      <w:r>
        <w:rPr>
          <w:rFonts w:ascii="Arial" w:cs="Arial" w:eastAsia="Arial" w:hAnsi="Arial"/>
          <w:sz w:val="15"/>
          <w:szCs w:val="15"/>
          <w:color w:val="2A2A31"/>
        </w:rPr>
        <w:t>PPSs</w:t>
      </w:r>
      <w:r>
        <w:rPr>
          <w:rFonts w:ascii="Arial" w:cs="Arial" w:eastAsia="Arial" w:hAnsi="Arial"/>
          <w:sz w:val="15"/>
          <w:szCs w:val="15"/>
          <w:color w:val="3D3F48"/>
        </w:rPr>
        <w:t xml:space="preserve"> or RSUs for </w:t>
      </w:r>
      <w:r>
        <w:rPr>
          <w:rFonts w:ascii="Arial" w:cs="Arial" w:eastAsia="Arial" w:hAnsi="Arial"/>
          <w:sz w:val="15"/>
          <w:szCs w:val="15"/>
          <w:color w:val="2A2A31"/>
        </w:rPr>
        <w:t>the</w:t>
      </w:r>
      <w:r>
        <w:rPr>
          <w:rFonts w:ascii="Arial" w:cs="Arial" w:eastAsia="Arial" w:hAnsi="Arial"/>
          <w:sz w:val="15"/>
          <w:szCs w:val="15"/>
          <w:color w:val="3D3F48"/>
        </w:rPr>
        <w:t xml:space="preserve"> one </w:t>
      </w:r>
      <w:r>
        <w:rPr>
          <w:rFonts w:ascii="Arial" w:cs="Arial" w:eastAsia="Arial" w:hAnsi="Arial"/>
          <w:sz w:val="15"/>
          <w:szCs w:val="15"/>
          <w:color w:val="2A2A31"/>
        </w:rPr>
        <w:t>year period</w:t>
      </w:r>
      <w:r>
        <w:rPr>
          <w:rFonts w:ascii="Arial" w:cs="Arial" w:eastAsia="Arial" w:hAnsi="Arial"/>
          <w:sz w:val="15"/>
          <w:szCs w:val="15"/>
          <w:color w:val="3D3F48"/>
        </w:rPr>
        <w:t xml:space="preserve"> descr</w:t>
      </w:r>
      <w:r>
        <w:rPr>
          <w:rFonts w:ascii="Arial" w:cs="Arial" w:eastAsia="Arial" w:hAnsi="Arial"/>
          <w:sz w:val="15"/>
          <w:szCs w:val="15"/>
          <w:color w:val="575960"/>
        </w:rPr>
        <w:t>i</w:t>
      </w:r>
      <w:r>
        <w:rPr>
          <w:rFonts w:ascii="Arial" w:cs="Arial" w:eastAsia="Arial" w:hAnsi="Arial"/>
          <w:sz w:val="15"/>
          <w:szCs w:val="15"/>
          <w:color w:val="3D3F48"/>
        </w:rPr>
        <w:t xml:space="preserve">bed </w:t>
      </w:r>
      <w:r>
        <w:rPr>
          <w:rFonts w:ascii="Arial" w:cs="Arial" w:eastAsia="Arial" w:hAnsi="Arial"/>
          <w:sz w:val="15"/>
          <w:szCs w:val="15"/>
          <w:color w:val="2A2A31"/>
        </w:rPr>
        <w:t>in Part</w:t>
      </w:r>
      <w:r>
        <w:rPr>
          <w:rFonts w:ascii="Arial" w:cs="Arial" w:eastAsia="Arial" w:hAnsi="Arial"/>
          <w:sz w:val="15"/>
          <w:szCs w:val="15"/>
          <w:color w:val="3D3F48"/>
        </w:rPr>
        <w:t xml:space="preserve"> 6, </w:t>
      </w:r>
      <w:r>
        <w:rPr>
          <w:rFonts w:ascii="Arial" w:cs="Arial" w:eastAsia="Arial" w:hAnsi="Arial"/>
          <w:sz w:val="15"/>
          <w:szCs w:val="15"/>
          <w:color w:val="2A2A31"/>
        </w:rPr>
        <w:t>Section</w:t>
      </w:r>
      <w:r>
        <w:rPr>
          <w:rFonts w:ascii="Arial" w:cs="Arial" w:eastAsia="Arial" w:hAnsi="Arial"/>
          <w:sz w:val="15"/>
          <w:szCs w:val="15"/>
          <w:color w:val="3D3F48"/>
        </w:rPr>
        <w:t xml:space="preserve"> 36, </w:t>
      </w:r>
      <w:r>
        <w:rPr>
          <w:rFonts w:ascii="Arial" w:cs="Arial" w:eastAsia="Arial" w:hAnsi="Arial"/>
          <w:sz w:val="15"/>
          <w:szCs w:val="15"/>
          <w:color w:val="2A2A31"/>
        </w:rPr>
        <w:t>the</w:t>
      </w:r>
      <w:r>
        <w:rPr>
          <w:rFonts w:ascii="Arial" w:cs="Arial" w:eastAsia="Arial" w:hAnsi="Arial"/>
          <w:sz w:val="15"/>
          <w:szCs w:val="15"/>
          <w:color w:val="3D3F48"/>
        </w:rPr>
        <w:t xml:space="preserve"> Company will pay </w:t>
      </w:r>
      <w:r>
        <w:rPr>
          <w:rFonts w:ascii="Arial" w:cs="Arial" w:eastAsia="Arial" w:hAnsi="Arial"/>
          <w:sz w:val="15"/>
          <w:szCs w:val="15"/>
          <w:color w:val="2A2A31"/>
        </w:rPr>
        <w:t>you</w:t>
      </w:r>
      <w:r>
        <w:rPr>
          <w:rFonts w:ascii="Arial" w:cs="Arial" w:eastAsia="Arial" w:hAnsi="Arial"/>
          <w:sz w:val="15"/>
          <w:szCs w:val="15"/>
          <w:color w:val="3D3F48"/>
        </w:rPr>
        <w:t xml:space="preserve"> the value of</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5"/>
          <w:szCs w:val="15"/>
          <w:color w:val="2A2A31"/>
        </w:rPr>
        <w:t>the Term</w:t>
      </w:r>
      <w:r>
        <w:rPr>
          <w:rFonts w:ascii="Arial" w:cs="Arial" w:eastAsia="Arial" w:hAnsi="Arial"/>
          <w:sz w:val="15"/>
          <w:szCs w:val="15"/>
          <w:color w:val="575960"/>
        </w:rPr>
        <w:t>i</w:t>
      </w:r>
      <w:r>
        <w:rPr>
          <w:rFonts w:ascii="Arial" w:cs="Arial" w:eastAsia="Arial" w:hAnsi="Arial"/>
          <w:sz w:val="15"/>
          <w:szCs w:val="15"/>
          <w:color w:val="2A2A31"/>
        </w:rPr>
        <w:t xml:space="preserve">nated Awards </w:t>
      </w:r>
      <w:r>
        <w:rPr>
          <w:rFonts w:ascii="Arial" w:cs="Arial" w:eastAsia="Arial" w:hAnsi="Arial"/>
          <w:sz w:val="15"/>
          <w:szCs w:val="15"/>
          <w:color w:val="3D3F48"/>
        </w:rPr>
        <w:t>and re</w:t>
      </w:r>
      <w:r>
        <w:rPr>
          <w:rFonts w:ascii="Arial" w:cs="Arial" w:eastAsia="Arial" w:hAnsi="Arial"/>
          <w:sz w:val="15"/>
          <w:szCs w:val="15"/>
          <w:color w:val="575960"/>
        </w:rPr>
        <w:t>i</w:t>
      </w:r>
      <w:r>
        <w:rPr>
          <w:rFonts w:ascii="Arial" w:cs="Arial" w:eastAsia="Arial" w:hAnsi="Arial"/>
          <w:sz w:val="15"/>
          <w:szCs w:val="15"/>
          <w:color w:val="2A2A31"/>
        </w:rPr>
        <w:t>mb</w:t>
      </w:r>
      <w:r>
        <w:rPr>
          <w:rFonts w:ascii="Arial" w:cs="Arial" w:eastAsia="Arial" w:hAnsi="Arial"/>
          <w:sz w:val="15"/>
          <w:szCs w:val="15"/>
          <w:color w:val="575960"/>
        </w:rPr>
        <w:t>u</w:t>
      </w:r>
      <w:r>
        <w:rPr>
          <w:rFonts w:ascii="Arial" w:cs="Arial" w:eastAsia="Arial" w:hAnsi="Arial"/>
          <w:sz w:val="15"/>
          <w:szCs w:val="15"/>
          <w:color w:val="3D3F48"/>
        </w:rPr>
        <w:t>rse you</w:t>
      </w:r>
      <w:r>
        <w:rPr>
          <w:rFonts w:ascii="Arial" w:cs="Arial" w:eastAsia="Arial" w:hAnsi="Arial"/>
          <w:sz w:val="15"/>
          <w:szCs w:val="15"/>
          <w:color w:val="2A2A31"/>
        </w:rPr>
        <w:t xml:space="preserve"> for </w:t>
      </w:r>
      <w:r>
        <w:rPr>
          <w:rFonts w:ascii="Arial" w:cs="Arial" w:eastAsia="Arial" w:hAnsi="Arial"/>
          <w:sz w:val="15"/>
          <w:szCs w:val="15"/>
          <w:color w:val="3D3F48"/>
        </w:rPr>
        <w:t>the</w:t>
      </w:r>
      <w:r>
        <w:rPr>
          <w:rFonts w:ascii="Arial" w:cs="Arial" w:eastAsia="Arial" w:hAnsi="Arial"/>
          <w:sz w:val="15"/>
          <w:szCs w:val="15"/>
          <w:color w:val="2A2A31"/>
        </w:rPr>
        <w:t xml:space="preserve"> value </w:t>
      </w:r>
      <w:r>
        <w:rPr>
          <w:rFonts w:ascii="Arial" w:cs="Arial" w:eastAsia="Arial" w:hAnsi="Arial"/>
          <w:sz w:val="15"/>
          <w:szCs w:val="15"/>
          <w:color w:val="3D3F48"/>
        </w:rPr>
        <w:t>of</w:t>
      </w:r>
      <w:r>
        <w:rPr>
          <w:rFonts w:ascii="Arial" w:cs="Arial" w:eastAsia="Arial" w:hAnsi="Arial"/>
          <w:sz w:val="15"/>
          <w:szCs w:val="15"/>
          <w:color w:val="2A2A31"/>
        </w:rPr>
        <w:t xml:space="preserve"> the </w:t>
      </w:r>
      <w:r>
        <w:rPr>
          <w:rFonts w:ascii="Arial" w:cs="Arial" w:eastAsia="Arial" w:hAnsi="Arial"/>
          <w:sz w:val="15"/>
          <w:szCs w:val="15"/>
          <w:color w:val="3D3F48"/>
        </w:rPr>
        <w:t>shares or cash</w:t>
      </w:r>
      <w:r>
        <w:rPr>
          <w:rFonts w:ascii="Arial" w:cs="Arial" w:eastAsia="Arial" w:hAnsi="Arial"/>
          <w:sz w:val="15"/>
          <w:szCs w:val="15"/>
          <w:color w:val="2A2A31"/>
        </w:rPr>
        <w:t xml:space="preserve"> you </w:t>
      </w:r>
      <w:r>
        <w:rPr>
          <w:rFonts w:ascii="Arial" w:cs="Arial" w:eastAsia="Arial" w:hAnsi="Arial"/>
          <w:sz w:val="15"/>
          <w:szCs w:val="15"/>
          <w:color w:val="3D3F48"/>
        </w:rPr>
        <w:t>are required</w:t>
      </w:r>
      <w:r>
        <w:rPr>
          <w:rFonts w:ascii="Arial" w:cs="Arial" w:eastAsia="Arial" w:hAnsi="Arial"/>
          <w:sz w:val="15"/>
          <w:szCs w:val="15"/>
          <w:color w:val="2A2A31"/>
        </w:rPr>
        <w:t xml:space="preserve"> to </w:t>
      </w:r>
      <w:r>
        <w:rPr>
          <w:rFonts w:ascii="Arial" w:cs="Arial" w:eastAsia="Arial" w:hAnsi="Arial"/>
          <w:sz w:val="15"/>
          <w:szCs w:val="15"/>
          <w:color w:val="3D3F48"/>
        </w:rPr>
        <w:t>return and</w:t>
      </w:r>
      <w:r>
        <w:rPr>
          <w:rFonts w:ascii="Arial" w:cs="Arial" w:eastAsia="Arial" w:hAnsi="Arial"/>
          <w:sz w:val="15"/>
          <w:szCs w:val="15"/>
          <w:color w:val="2A2A31"/>
        </w:rPr>
        <w:t xml:space="preserve"> have returned </w:t>
      </w:r>
      <w:r>
        <w:rPr>
          <w:rFonts w:ascii="Arial" w:cs="Arial" w:eastAsia="Arial" w:hAnsi="Arial"/>
          <w:sz w:val="15"/>
          <w:szCs w:val="15"/>
          <w:color w:val="3D3F48"/>
        </w:rPr>
        <w:t>to</w:t>
      </w:r>
      <w:r>
        <w:rPr>
          <w:rFonts w:ascii="Arial" w:cs="Arial" w:eastAsia="Arial" w:hAnsi="Arial"/>
          <w:sz w:val="15"/>
          <w:szCs w:val="15"/>
          <w:color w:val="2A2A31"/>
        </w:rPr>
        <w:t xml:space="preserve"> Pfizer</w:t>
      </w:r>
      <w:r>
        <w:rPr>
          <w:rFonts w:ascii="Arial" w:cs="Arial" w:eastAsia="Arial" w:hAnsi="Arial"/>
          <w:sz w:val="15"/>
          <w:szCs w:val="15"/>
          <w:color w:val="575960"/>
        </w:rPr>
        <w:t>.</w:t>
      </w:r>
      <w:r>
        <w:rPr>
          <w:rFonts w:ascii="Arial" w:cs="Arial" w:eastAsia="Arial" w:hAnsi="Arial"/>
          <w:sz w:val="15"/>
          <w:szCs w:val="15"/>
          <w:color w:val="2A2A31"/>
        </w:rPr>
        <w:t xml:space="preserve"> B</w:t>
      </w:r>
      <w:r>
        <w:rPr>
          <w:rFonts w:ascii="Arial" w:cs="Arial" w:eastAsia="Arial" w:hAnsi="Arial"/>
          <w:sz w:val="15"/>
          <w:szCs w:val="15"/>
          <w:color w:val="575960"/>
        </w:rPr>
        <w:t>i</w:t>
      </w:r>
      <w:r>
        <w:rPr>
          <w:rFonts w:ascii="Arial" w:cs="Arial" w:eastAsia="Arial" w:hAnsi="Arial"/>
          <w:sz w:val="15"/>
          <w:szCs w:val="15"/>
          <w:color w:val="3D3F48"/>
        </w:rPr>
        <w:t>ogen and</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5"/>
          <w:szCs w:val="15"/>
          <w:color w:val="2A2A31"/>
        </w:rPr>
        <w:t xml:space="preserve">you </w:t>
      </w:r>
      <w:r>
        <w:rPr>
          <w:rFonts w:ascii="Arial" w:cs="Arial" w:eastAsia="Arial" w:hAnsi="Arial"/>
          <w:sz w:val="15"/>
          <w:szCs w:val="15"/>
          <w:color w:val="3D3F48"/>
        </w:rPr>
        <w:t>acknowledge</w:t>
      </w:r>
      <w:r>
        <w:rPr>
          <w:rFonts w:ascii="Arial" w:cs="Arial" w:eastAsia="Arial" w:hAnsi="Arial"/>
          <w:sz w:val="15"/>
          <w:szCs w:val="15"/>
          <w:color w:val="2A2A31"/>
        </w:rPr>
        <w:t xml:space="preserve"> that the value </w:t>
      </w:r>
      <w:r>
        <w:rPr>
          <w:rFonts w:ascii="Arial" w:cs="Arial" w:eastAsia="Arial" w:hAnsi="Arial"/>
          <w:sz w:val="15"/>
          <w:szCs w:val="15"/>
          <w:color w:val="3D3F48"/>
        </w:rPr>
        <w:t>of</w:t>
      </w:r>
      <w:r>
        <w:rPr>
          <w:rFonts w:ascii="Arial" w:cs="Arial" w:eastAsia="Arial" w:hAnsi="Arial"/>
          <w:sz w:val="15"/>
          <w:szCs w:val="15"/>
          <w:color w:val="2A2A31"/>
        </w:rPr>
        <w:t xml:space="preserve"> this </w:t>
      </w:r>
      <w:r>
        <w:rPr>
          <w:rFonts w:ascii="Arial" w:cs="Arial" w:eastAsia="Arial" w:hAnsi="Arial"/>
          <w:sz w:val="15"/>
          <w:szCs w:val="15"/>
          <w:color w:val="3D3F48"/>
        </w:rPr>
        <w:t>reimb</w:t>
      </w:r>
      <w:r>
        <w:rPr>
          <w:rFonts w:ascii="Arial" w:cs="Arial" w:eastAsia="Arial" w:hAnsi="Arial"/>
          <w:sz w:val="15"/>
          <w:szCs w:val="15"/>
          <w:color w:val="575960"/>
        </w:rPr>
        <w:t>u</w:t>
      </w:r>
      <w:r>
        <w:rPr>
          <w:rFonts w:ascii="Arial" w:cs="Arial" w:eastAsia="Arial" w:hAnsi="Arial"/>
          <w:sz w:val="15"/>
          <w:szCs w:val="15"/>
          <w:color w:val="3D3F48"/>
        </w:rPr>
        <w:t>rsement</w:t>
      </w:r>
      <w:r>
        <w:rPr>
          <w:rFonts w:ascii="Arial" w:cs="Arial" w:eastAsia="Arial" w:hAnsi="Arial"/>
          <w:sz w:val="15"/>
          <w:szCs w:val="15"/>
          <w:color w:val="2A2A31"/>
        </w:rPr>
        <w:t xml:space="preserve"> obl</w:t>
      </w:r>
      <w:r>
        <w:rPr>
          <w:rFonts w:ascii="Arial" w:cs="Arial" w:eastAsia="Arial" w:hAnsi="Arial"/>
          <w:sz w:val="15"/>
          <w:szCs w:val="15"/>
          <w:color w:val="575960"/>
        </w:rPr>
        <w:t>i</w:t>
      </w:r>
      <w:r>
        <w:rPr>
          <w:rFonts w:ascii="Arial" w:cs="Arial" w:eastAsia="Arial" w:hAnsi="Arial"/>
          <w:sz w:val="15"/>
          <w:szCs w:val="15"/>
          <w:color w:val="3D3F48"/>
        </w:rPr>
        <w:t>gation is expected</w:t>
      </w:r>
      <w:r>
        <w:rPr>
          <w:rFonts w:ascii="Arial" w:cs="Arial" w:eastAsia="Arial" w:hAnsi="Arial"/>
          <w:sz w:val="15"/>
          <w:szCs w:val="15"/>
          <w:color w:val="2A2A31"/>
        </w:rPr>
        <w:t xml:space="preserve"> to </w:t>
      </w:r>
      <w:r>
        <w:rPr>
          <w:rFonts w:ascii="Arial" w:cs="Arial" w:eastAsia="Arial" w:hAnsi="Arial"/>
          <w:sz w:val="15"/>
          <w:szCs w:val="15"/>
          <w:color w:val="3D3F48"/>
        </w:rPr>
        <w:t>be no</w:t>
      </w:r>
      <w:r>
        <w:rPr>
          <w:rFonts w:ascii="Arial" w:cs="Arial" w:eastAsia="Arial" w:hAnsi="Arial"/>
          <w:sz w:val="15"/>
          <w:szCs w:val="15"/>
          <w:color w:val="2A2A31"/>
        </w:rPr>
        <w:t xml:space="preserve"> more than </w:t>
      </w:r>
      <w:r>
        <w:rPr>
          <w:rFonts w:ascii="Arial" w:cs="Arial" w:eastAsia="Arial" w:hAnsi="Arial"/>
          <w:sz w:val="15"/>
          <w:szCs w:val="15"/>
          <w:color w:val="3D3F48"/>
        </w:rPr>
        <w:t>$1,80</w:t>
      </w:r>
      <w:r>
        <w:rPr>
          <w:rFonts w:ascii="Arial" w:cs="Arial" w:eastAsia="Arial" w:hAnsi="Arial"/>
          <w:sz w:val="15"/>
          <w:szCs w:val="15"/>
          <w:color w:val="575960"/>
        </w:rPr>
        <w:t>0</w:t>
      </w:r>
      <w:r>
        <w:rPr>
          <w:rFonts w:ascii="Arial" w:cs="Arial" w:eastAsia="Arial" w:hAnsi="Arial"/>
          <w:sz w:val="15"/>
          <w:szCs w:val="15"/>
          <w:color w:val="3D3F48"/>
        </w:rPr>
        <w:t>,000</w:t>
      </w:r>
      <w:r>
        <w:rPr>
          <w:rFonts w:ascii="Arial" w:cs="Arial" w:eastAsia="Arial" w:hAnsi="Arial"/>
          <w:sz w:val="15"/>
          <w:szCs w:val="15"/>
          <w:color w:val="2A2A31"/>
        </w:rPr>
        <w:t xml:space="preserve"> with </w:t>
      </w:r>
      <w:r>
        <w:rPr>
          <w:rFonts w:ascii="Arial" w:cs="Arial" w:eastAsia="Arial" w:hAnsi="Arial"/>
          <w:sz w:val="15"/>
          <w:szCs w:val="15"/>
          <w:color w:val="3D3F48"/>
        </w:rPr>
        <w:t>some consideration</w:t>
      </w:r>
      <w:r>
        <w:rPr>
          <w:rFonts w:ascii="Arial" w:cs="Arial" w:eastAsia="Arial" w:hAnsi="Arial"/>
          <w:sz w:val="15"/>
          <w:szCs w:val="15"/>
          <w:color w:val="2A2A31"/>
        </w:rPr>
        <w:t xml:space="preserve"> for</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5"/>
          <w:szCs w:val="15"/>
          <w:color w:val="2A2A31"/>
        </w:rPr>
        <w:t>rea</w:t>
      </w:r>
      <w:r>
        <w:rPr>
          <w:rFonts w:ascii="Arial" w:cs="Arial" w:eastAsia="Arial" w:hAnsi="Arial"/>
          <w:sz w:val="15"/>
          <w:szCs w:val="15"/>
          <w:color w:val="575960"/>
        </w:rPr>
        <w:t>s</w:t>
      </w:r>
      <w:r>
        <w:rPr>
          <w:rFonts w:ascii="Arial" w:cs="Arial" w:eastAsia="Arial" w:hAnsi="Arial"/>
          <w:sz w:val="15"/>
          <w:szCs w:val="15"/>
          <w:color w:val="3D3F48"/>
        </w:rPr>
        <w:t>ona</w:t>
      </w:r>
      <w:r>
        <w:rPr>
          <w:rFonts w:ascii="Arial" w:cs="Arial" w:eastAsia="Arial" w:hAnsi="Arial"/>
          <w:sz w:val="15"/>
          <w:szCs w:val="15"/>
          <w:color w:val="575960"/>
        </w:rPr>
        <w:t>b</w:t>
      </w:r>
      <w:r>
        <w:rPr>
          <w:rFonts w:ascii="Arial" w:cs="Arial" w:eastAsia="Arial" w:hAnsi="Arial"/>
          <w:sz w:val="15"/>
          <w:szCs w:val="15"/>
          <w:color w:val="3D3F48"/>
        </w:rPr>
        <w:t>l</w:t>
      </w:r>
      <w:r>
        <w:rPr>
          <w:rFonts w:ascii="Arial" w:cs="Arial" w:eastAsia="Arial" w:hAnsi="Arial"/>
          <w:sz w:val="15"/>
          <w:szCs w:val="15"/>
          <w:color w:val="575960"/>
        </w:rPr>
        <w:t>e</w:t>
      </w:r>
      <w:r>
        <w:rPr>
          <w:rFonts w:ascii="Arial" w:cs="Arial" w:eastAsia="Arial" w:hAnsi="Arial"/>
          <w:sz w:val="15"/>
          <w:szCs w:val="15"/>
          <w:color w:val="2A2A31"/>
        </w:rPr>
        <w:t xml:space="preserve"> market fluctuations The foregoing obligation </w:t>
      </w:r>
      <w:r>
        <w:rPr>
          <w:rFonts w:ascii="Arial" w:cs="Arial" w:eastAsia="Arial" w:hAnsi="Arial"/>
          <w:sz w:val="15"/>
          <w:szCs w:val="15"/>
          <w:color w:val="3D3F48"/>
        </w:rPr>
        <w:t>of</w:t>
      </w:r>
      <w:r>
        <w:rPr>
          <w:rFonts w:ascii="Arial" w:cs="Arial" w:eastAsia="Arial" w:hAnsi="Arial"/>
          <w:sz w:val="15"/>
          <w:szCs w:val="15"/>
          <w:color w:val="2A2A31"/>
        </w:rPr>
        <w:t xml:space="preserve"> Biogen is </w:t>
      </w:r>
      <w:r>
        <w:rPr>
          <w:rFonts w:ascii="Arial" w:cs="Arial" w:eastAsia="Arial" w:hAnsi="Arial"/>
          <w:sz w:val="15"/>
          <w:szCs w:val="15"/>
          <w:color w:val="3D3F48"/>
        </w:rPr>
        <w:t>conditioned</w:t>
      </w:r>
      <w:r>
        <w:rPr>
          <w:rFonts w:ascii="Arial" w:cs="Arial" w:eastAsia="Arial" w:hAnsi="Arial"/>
          <w:sz w:val="15"/>
          <w:szCs w:val="15"/>
          <w:color w:val="2A2A31"/>
        </w:rPr>
        <w:t xml:space="preserve"> upon </w:t>
      </w:r>
      <w:r>
        <w:rPr>
          <w:rFonts w:ascii="Arial" w:cs="Arial" w:eastAsia="Arial" w:hAnsi="Arial"/>
          <w:sz w:val="15"/>
          <w:szCs w:val="15"/>
          <w:color w:val="3D3F48"/>
        </w:rPr>
        <w:t>your (1</w:t>
      </w:r>
      <w:r>
        <w:rPr>
          <w:rFonts w:ascii="Arial" w:cs="Arial" w:eastAsia="Arial" w:hAnsi="Arial"/>
          <w:sz w:val="15"/>
          <w:szCs w:val="15"/>
          <w:color w:val="575960"/>
        </w:rPr>
        <w:t>)</w:t>
      </w:r>
      <w:r>
        <w:rPr>
          <w:rFonts w:ascii="Arial" w:cs="Arial" w:eastAsia="Arial" w:hAnsi="Arial"/>
          <w:sz w:val="15"/>
          <w:szCs w:val="15"/>
          <w:color w:val="2A2A31"/>
        </w:rPr>
        <w:t xml:space="preserve"> </w:t>
      </w:r>
      <w:r>
        <w:rPr>
          <w:rFonts w:ascii="Arial" w:cs="Arial" w:eastAsia="Arial" w:hAnsi="Arial"/>
          <w:sz w:val="15"/>
          <w:szCs w:val="15"/>
          <w:color w:val="3D3F48"/>
        </w:rPr>
        <w:t>pr</w:t>
      </w:r>
      <w:r>
        <w:rPr>
          <w:rFonts w:ascii="Arial" w:cs="Arial" w:eastAsia="Arial" w:hAnsi="Arial"/>
          <w:sz w:val="15"/>
          <w:szCs w:val="15"/>
          <w:color w:val="575960"/>
        </w:rPr>
        <w:t>o</w:t>
      </w:r>
      <w:r>
        <w:rPr>
          <w:rFonts w:ascii="Arial" w:cs="Arial" w:eastAsia="Arial" w:hAnsi="Arial"/>
          <w:sz w:val="15"/>
          <w:szCs w:val="15"/>
          <w:color w:val="3D3F48"/>
        </w:rPr>
        <w:t>mptly</w:t>
      </w:r>
      <w:r>
        <w:rPr>
          <w:rFonts w:ascii="Arial" w:cs="Arial" w:eastAsia="Arial" w:hAnsi="Arial"/>
          <w:sz w:val="15"/>
          <w:szCs w:val="15"/>
          <w:color w:val="2A2A31"/>
        </w:rPr>
        <w:t xml:space="preserve"> </w:t>
      </w:r>
      <w:r>
        <w:rPr>
          <w:rFonts w:ascii="Arial" w:cs="Arial" w:eastAsia="Arial" w:hAnsi="Arial"/>
          <w:sz w:val="15"/>
          <w:szCs w:val="15"/>
          <w:color w:val="575960"/>
        </w:rPr>
        <w:t>i</w:t>
      </w:r>
      <w:r>
        <w:rPr>
          <w:rFonts w:ascii="Arial" w:cs="Arial" w:eastAsia="Arial" w:hAnsi="Arial"/>
          <w:sz w:val="15"/>
          <w:szCs w:val="15"/>
          <w:color w:val="3D3F48"/>
        </w:rPr>
        <w:t>nforming</w:t>
      </w:r>
      <w:r>
        <w:rPr>
          <w:rFonts w:ascii="Arial" w:cs="Arial" w:eastAsia="Arial" w:hAnsi="Arial"/>
          <w:sz w:val="15"/>
          <w:szCs w:val="15"/>
          <w:color w:val="2A2A31"/>
        </w:rPr>
        <w:t xml:space="preserve"> the EVP</w:t>
      </w:r>
      <w:r>
        <w:rPr>
          <w:rFonts w:ascii="Arial" w:cs="Arial" w:eastAsia="Arial" w:hAnsi="Arial"/>
          <w:sz w:val="15"/>
          <w:szCs w:val="15"/>
          <w:color w:val="757980"/>
        </w:rPr>
        <w:t>,</w:t>
      </w:r>
      <w:r>
        <w:rPr>
          <w:rFonts w:ascii="Arial" w:cs="Arial" w:eastAsia="Arial" w:hAnsi="Arial"/>
          <w:sz w:val="15"/>
          <w:szCs w:val="15"/>
          <w:color w:val="2A2A31"/>
        </w:rPr>
        <w:t xml:space="preserve"> HR </w:t>
      </w:r>
      <w:r>
        <w:rPr>
          <w:rFonts w:ascii="Arial" w:cs="Arial" w:eastAsia="Arial" w:hAnsi="Arial"/>
          <w:sz w:val="15"/>
          <w:szCs w:val="15"/>
          <w:color w:val="3D3F48"/>
        </w:rPr>
        <w:t>and</w:t>
      </w:r>
      <w:r>
        <w:rPr>
          <w:rFonts w:ascii="Arial" w:cs="Arial" w:eastAsia="Arial" w:hAnsi="Arial"/>
          <w:sz w:val="15"/>
          <w:szCs w:val="15"/>
          <w:color w:val="2A2A31"/>
        </w:rPr>
        <w:t xml:space="preserve"> the </w:t>
      </w:r>
      <w:r>
        <w:rPr>
          <w:rFonts w:ascii="Arial" w:cs="Arial" w:eastAsia="Arial" w:hAnsi="Arial"/>
          <w:sz w:val="15"/>
          <w:szCs w:val="15"/>
          <w:color w:val="3D3F48"/>
        </w:rPr>
        <w:t>Biogen</w:t>
      </w:r>
      <w:r>
        <w:rPr>
          <w:rFonts w:ascii="Arial" w:cs="Arial" w:eastAsia="Arial" w:hAnsi="Arial"/>
          <w:sz w:val="15"/>
          <w:szCs w:val="15"/>
          <w:color w:val="2A2A31"/>
        </w:rPr>
        <w:t xml:space="preserve"> VP,</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5"/>
          <w:szCs w:val="15"/>
          <w:color w:val="2A2A31"/>
        </w:rPr>
        <w:t>Peopl</w:t>
      </w:r>
      <w:r>
        <w:rPr>
          <w:rFonts w:ascii="Arial" w:cs="Arial" w:eastAsia="Arial" w:hAnsi="Arial"/>
          <w:sz w:val="15"/>
          <w:szCs w:val="15"/>
          <w:color w:val="575960"/>
        </w:rPr>
        <w:t>e</w:t>
      </w:r>
      <w:r>
        <w:rPr>
          <w:rFonts w:ascii="Arial" w:cs="Arial" w:eastAsia="Arial" w:hAnsi="Arial"/>
          <w:sz w:val="15"/>
          <w:szCs w:val="15"/>
          <w:color w:val="2A2A31"/>
        </w:rPr>
        <w:t xml:space="preserve"> Rewards </w:t>
      </w:r>
      <w:r>
        <w:rPr>
          <w:rFonts w:ascii="Arial" w:cs="Arial" w:eastAsia="Arial" w:hAnsi="Arial"/>
          <w:sz w:val="15"/>
          <w:szCs w:val="15"/>
          <w:color w:val="3D3F48"/>
        </w:rPr>
        <w:t>of any</w:t>
      </w:r>
      <w:r>
        <w:rPr>
          <w:rFonts w:ascii="Arial" w:cs="Arial" w:eastAsia="Arial" w:hAnsi="Arial"/>
          <w:sz w:val="15"/>
          <w:szCs w:val="15"/>
          <w:color w:val="2A2A31"/>
        </w:rPr>
        <w:t xml:space="preserve"> </w:t>
      </w:r>
      <w:r>
        <w:rPr>
          <w:rFonts w:ascii="Arial" w:cs="Arial" w:eastAsia="Arial" w:hAnsi="Arial"/>
          <w:sz w:val="15"/>
          <w:szCs w:val="15"/>
          <w:color w:val="575960"/>
        </w:rPr>
        <w:t>c</w:t>
      </w:r>
      <w:r>
        <w:rPr>
          <w:rFonts w:ascii="Arial" w:cs="Arial" w:eastAsia="Arial" w:hAnsi="Arial"/>
          <w:sz w:val="15"/>
          <w:szCs w:val="15"/>
          <w:color w:val="2A2A31"/>
        </w:rPr>
        <w:t>ontact or noti</w:t>
      </w:r>
      <w:r>
        <w:rPr>
          <w:rFonts w:ascii="Arial" w:cs="Arial" w:eastAsia="Arial" w:hAnsi="Arial"/>
          <w:sz w:val="15"/>
          <w:szCs w:val="15"/>
          <w:color w:val="575960"/>
        </w:rPr>
        <w:t>ce</w:t>
      </w:r>
      <w:r>
        <w:rPr>
          <w:rFonts w:ascii="Arial" w:cs="Arial" w:eastAsia="Arial" w:hAnsi="Arial"/>
          <w:sz w:val="15"/>
          <w:szCs w:val="15"/>
          <w:color w:val="2A2A31"/>
        </w:rPr>
        <w:t xml:space="preserve"> </w:t>
      </w:r>
      <w:r>
        <w:rPr>
          <w:rFonts w:ascii="Arial" w:cs="Arial" w:eastAsia="Arial" w:hAnsi="Arial"/>
          <w:sz w:val="15"/>
          <w:szCs w:val="15"/>
          <w:color w:val="3D3F48"/>
        </w:rPr>
        <w:t>you</w:t>
      </w:r>
      <w:r>
        <w:rPr>
          <w:rFonts w:ascii="Arial" w:cs="Arial" w:eastAsia="Arial" w:hAnsi="Arial"/>
          <w:sz w:val="15"/>
          <w:szCs w:val="15"/>
          <w:color w:val="2A2A31"/>
        </w:rPr>
        <w:t xml:space="preserve"> </w:t>
      </w:r>
      <w:r>
        <w:rPr>
          <w:rFonts w:ascii="Arial" w:cs="Arial" w:eastAsia="Arial" w:hAnsi="Arial"/>
          <w:sz w:val="15"/>
          <w:szCs w:val="15"/>
          <w:color w:val="575960"/>
        </w:rPr>
        <w:t>rece</w:t>
      </w:r>
      <w:r>
        <w:rPr>
          <w:rFonts w:ascii="Arial" w:cs="Arial" w:eastAsia="Arial" w:hAnsi="Arial"/>
          <w:sz w:val="15"/>
          <w:szCs w:val="15"/>
          <w:color w:val="2A2A31"/>
        </w:rPr>
        <w:t>iv</w:t>
      </w:r>
      <w:r>
        <w:rPr>
          <w:rFonts w:ascii="Arial" w:cs="Arial" w:eastAsia="Arial" w:hAnsi="Arial"/>
          <w:sz w:val="15"/>
          <w:szCs w:val="15"/>
          <w:color w:val="575960"/>
        </w:rPr>
        <w:t>e from</w:t>
      </w:r>
      <w:r>
        <w:rPr>
          <w:rFonts w:ascii="Arial" w:cs="Arial" w:eastAsia="Arial" w:hAnsi="Arial"/>
          <w:sz w:val="15"/>
          <w:szCs w:val="15"/>
          <w:color w:val="2A2A31"/>
        </w:rPr>
        <w:t xml:space="preserve"> Pfizer regarding </w:t>
      </w:r>
      <w:r>
        <w:rPr>
          <w:rFonts w:ascii="Arial" w:cs="Arial" w:eastAsia="Arial" w:hAnsi="Arial"/>
          <w:sz w:val="15"/>
          <w:szCs w:val="15"/>
          <w:color w:val="3D3F48"/>
        </w:rPr>
        <w:t>its rights under</w:t>
      </w:r>
      <w:r>
        <w:rPr>
          <w:rFonts w:ascii="Arial" w:cs="Arial" w:eastAsia="Arial" w:hAnsi="Arial"/>
          <w:sz w:val="15"/>
          <w:szCs w:val="15"/>
          <w:color w:val="2A2A31"/>
        </w:rPr>
        <w:t xml:space="preserve"> Part </w:t>
      </w:r>
      <w:r>
        <w:rPr>
          <w:rFonts w:ascii="Arial" w:cs="Arial" w:eastAsia="Arial" w:hAnsi="Arial"/>
          <w:sz w:val="15"/>
          <w:szCs w:val="15"/>
          <w:color w:val="3D3F48"/>
        </w:rPr>
        <w:t>6, Section 36 (2)</w:t>
      </w:r>
      <w:r>
        <w:rPr>
          <w:rFonts w:ascii="Arial" w:cs="Arial" w:eastAsia="Arial" w:hAnsi="Arial"/>
          <w:sz w:val="15"/>
          <w:szCs w:val="15"/>
          <w:color w:val="2A2A31"/>
        </w:rPr>
        <w:t xml:space="preserve"> fir</w:t>
      </w:r>
      <w:r>
        <w:rPr>
          <w:rFonts w:ascii="Arial" w:cs="Arial" w:eastAsia="Arial" w:hAnsi="Arial"/>
          <w:sz w:val="15"/>
          <w:szCs w:val="15"/>
          <w:color w:val="575960"/>
        </w:rPr>
        <w:t>s</w:t>
      </w:r>
      <w:r>
        <w:rPr>
          <w:rFonts w:ascii="Arial" w:cs="Arial" w:eastAsia="Arial" w:hAnsi="Arial"/>
          <w:sz w:val="15"/>
          <w:szCs w:val="15"/>
          <w:color w:val="2A2A31"/>
        </w:rPr>
        <w:t>t questioning Pfiz</w:t>
      </w:r>
      <w:r>
        <w:rPr>
          <w:rFonts w:ascii="Arial" w:cs="Arial" w:eastAsia="Arial" w:hAnsi="Arial"/>
          <w:sz w:val="15"/>
          <w:szCs w:val="15"/>
          <w:color w:val="757980"/>
        </w:rPr>
        <w:t>er</w:t>
      </w:r>
      <w:r>
        <w:rPr>
          <w:rFonts w:ascii="Arial" w:cs="Arial" w:eastAsia="Arial" w:hAnsi="Arial"/>
          <w:sz w:val="15"/>
          <w:szCs w:val="15"/>
          <w:color w:val="2A2A31"/>
        </w:rPr>
        <w:t xml:space="preserve"> </w:t>
      </w:r>
      <w:r>
        <w:rPr>
          <w:rFonts w:ascii="Arial" w:cs="Arial" w:eastAsia="Arial" w:hAnsi="Arial"/>
          <w:sz w:val="15"/>
          <w:szCs w:val="15"/>
          <w:color w:val="3D3F48"/>
        </w:rPr>
        <w:t>on</w:t>
      </w:r>
      <w:r>
        <w:rPr>
          <w:rFonts w:ascii="Arial" w:cs="Arial" w:eastAsia="Arial" w:hAnsi="Arial"/>
          <w:sz w:val="15"/>
          <w:szCs w:val="15"/>
          <w:color w:val="2A2A31"/>
        </w:rPr>
        <w:t xml:space="preserve"> the</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5"/>
          <w:szCs w:val="15"/>
          <w:color w:val="3D3F48"/>
        </w:rPr>
        <w:t>a</w:t>
      </w:r>
      <w:r>
        <w:rPr>
          <w:rFonts w:ascii="Arial" w:cs="Arial" w:eastAsia="Arial" w:hAnsi="Arial"/>
          <w:sz w:val="15"/>
          <w:szCs w:val="15"/>
          <w:color w:val="575960"/>
        </w:rPr>
        <w:t>ppl</w:t>
      </w:r>
      <w:r>
        <w:rPr>
          <w:rFonts w:ascii="Arial" w:cs="Arial" w:eastAsia="Arial" w:hAnsi="Arial"/>
          <w:sz w:val="15"/>
          <w:szCs w:val="15"/>
          <w:color w:val="2A2A31"/>
        </w:rPr>
        <w:t>icability</w:t>
      </w:r>
      <w:r>
        <w:rPr>
          <w:rFonts w:ascii="Arial" w:cs="Arial" w:eastAsia="Arial" w:hAnsi="Arial"/>
          <w:sz w:val="15"/>
          <w:szCs w:val="15"/>
          <w:color w:val="3D3F48"/>
        </w:rPr>
        <w:t xml:space="preserve"> of </w:t>
      </w:r>
      <w:r>
        <w:rPr>
          <w:rFonts w:ascii="Arial" w:cs="Arial" w:eastAsia="Arial" w:hAnsi="Arial"/>
          <w:sz w:val="15"/>
          <w:szCs w:val="15"/>
          <w:color w:val="2A2A31"/>
        </w:rPr>
        <w:t>Part 6</w:t>
      </w:r>
      <w:r>
        <w:rPr>
          <w:rFonts w:ascii="Arial" w:cs="Arial" w:eastAsia="Arial" w:hAnsi="Arial"/>
          <w:sz w:val="15"/>
          <w:szCs w:val="15"/>
          <w:color w:val="757980"/>
        </w:rPr>
        <w:t>,</w:t>
      </w:r>
      <w:r>
        <w:rPr>
          <w:rFonts w:ascii="Arial" w:cs="Arial" w:eastAsia="Arial" w:hAnsi="Arial"/>
          <w:sz w:val="15"/>
          <w:szCs w:val="15"/>
          <w:color w:val="3D3F48"/>
        </w:rPr>
        <w:t xml:space="preserve"> Section 36</w:t>
      </w:r>
      <w:r>
        <w:rPr>
          <w:rFonts w:ascii="Arial" w:cs="Arial" w:eastAsia="Arial" w:hAnsi="Arial"/>
          <w:sz w:val="15"/>
          <w:szCs w:val="15"/>
          <w:color w:val="757980"/>
        </w:rPr>
        <w:t>,</w:t>
      </w:r>
      <w:r>
        <w:rPr>
          <w:rFonts w:ascii="Arial" w:cs="Arial" w:eastAsia="Arial" w:hAnsi="Arial"/>
          <w:sz w:val="15"/>
          <w:szCs w:val="15"/>
          <w:color w:val="3D3F48"/>
        </w:rPr>
        <w:t xml:space="preserve"> </w:t>
      </w:r>
      <w:r>
        <w:rPr>
          <w:rFonts w:ascii="Arial" w:cs="Arial" w:eastAsia="Arial" w:hAnsi="Arial"/>
          <w:sz w:val="15"/>
          <w:szCs w:val="15"/>
          <w:color w:val="2A2A31"/>
        </w:rPr>
        <w:t>including requesting Pfizer</w:t>
      </w:r>
      <w:r>
        <w:rPr>
          <w:rFonts w:ascii="Arial" w:cs="Arial" w:eastAsia="Arial" w:hAnsi="Arial"/>
          <w:sz w:val="15"/>
          <w:szCs w:val="15"/>
          <w:color w:val="3D3F48"/>
        </w:rPr>
        <w:t xml:space="preserve"> to provide </w:t>
      </w:r>
      <w:r>
        <w:rPr>
          <w:rFonts w:ascii="Arial" w:cs="Arial" w:eastAsia="Arial" w:hAnsi="Arial"/>
          <w:sz w:val="15"/>
          <w:szCs w:val="15"/>
          <w:color w:val="2A2A31"/>
        </w:rPr>
        <w:t>written</w:t>
      </w:r>
      <w:r>
        <w:rPr>
          <w:rFonts w:ascii="Arial" w:cs="Arial" w:eastAsia="Arial" w:hAnsi="Arial"/>
          <w:sz w:val="15"/>
          <w:szCs w:val="15"/>
          <w:color w:val="3D3F48"/>
        </w:rPr>
        <w:t xml:space="preserve"> expla</w:t>
      </w:r>
      <w:r>
        <w:rPr>
          <w:rFonts w:ascii="Arial" w:cs="Arial" w:eastAsia="Arial" w:hAnsi="Arial"/>
          <w:sz w:val="15"/>
          <w:szCs w:val="15"/>
          <w:color w:val="575960"/>
        </w:rPr>
        <w:t>n</w:t>
      </w:r>
      <w:r>
        <w:rPr>
          <w:rFonts w:ascii="Arial" w:cs="Arial" w:eastAsia="Arial" w:hAnsi="Arial"/>
          <w:sz w:val="15"/>
          <w:szCs w:val="15"/>
          <w:color w:val="3D3F48"/>
        </w:rPr>
        <w:t xml:space="preserve">ation of </w:t>
      </w:r>
      <w:r>
        <w:rPr>
          <w:rFonts w:ascii="Arial" w:cs="Arial" w:eastAsia="Arial" w:hAnsi="Arial"/>
          <w:sz w:val="15"/>
          <w:szCs w:val="15"/>
          <w:color w:val="2A2A31"/>
        </w:rPr>
        <w:t>how the provision has been breached</w:t>
      </w:r>
      <w:r>
        <w:rPr>
          <w:rFonts w:ascii="Arial" w:cs="Arial" w:eastAsia="Arial" w:hAnsi="Arial"/>
          <w:sz w:val="15"/>
          <w:szCs w:val="15"/>
          <w:color w:val="575960"/>
        </w:rPr>
        <w:t>, a</w:t>
      </w:r>
      <w:r>
        <w:rPr>
          <w:rFonts w:ascii="Arial" w:cs="Arial" w:eastAsia="Arial" w:hAnsi="Arial"/>
          <w:sz w:val="15"/>
          <w:szCs w:val="15"/>
          <w:color w:val="2A2A31"/>
        </w:rPr>
        <w:t>nd</w:t>
      </w:r>
      <w:r>
        <w:rPr>
          <w:rFonts w:ascii="Arial" w:cs="Arial" w:eastAsia="Arial" w:hAnsi="Arial"/>
          <w:sz w:val="15"/>
          <w:szCs w:val="15"/>
          <w:color w:val="3D3F48"/>
        </w:rPr>
        <w:t xml:space="preserve"> (3</w:t>
      </w:r>
      <w:r>
        <w:rPr>
          <w:rFonts w:ascii="Arial" w:cs="Arial" w:eastAsia="Arial" w:hAnsi="Arial"/>
          <w:sz w:val="15"/>
          <w:szCs w:val="15"/>
          <w:color w:val="575960"/>
        </w:rPr>
        <w:t>)</w:t>
      </w:r>
      <w:r>
        <w:rPr>
          <w:rFonts w:ascii="Arial" w:cs="Arial" w:eastAsia="Arial" w:hAnsi="Arial"/>
          <w:sz w:val="15"/>
          <w:szCs w:val="15"/>
          <w:color w:val="3D3F48"/>
        </w:rPr>
        <w:t xml:space="preserve"> not</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5"/>
          <w:szCs w:val="15"/>
          <w:color w:val="3D3F48"/>
        </w:rPr>
        <w:t xml:space="preserve">agreeing or </w:t>
      </w:r>
      <w:r>
        <w:rPr>
          <w:rFonts w:ascii="Arial" w:cs="Arial" w:eastAsia="Arial" w:hAnsi="Arial"/>
          <w:sz w:val="15"/>
          <w:szCs w:val="15"/>
          <w:color w:val="2A2A31"/>
        </w:rPr>
        <w:t>conceding with Pfizer</w:t>
      </w:r>
      <w:r>
        <w:rPr>
          <w:rFonts w:ascii="Arial" w:cs="Arial" w:eastAsia="Arial" w:hAnsi="Arial"/>
          <w:sz w:val="15"/>
          <w:szCs w:val="15"/>
          <w:color w:val="3D3F48"/>
        </w:rPr>
        <w:t xml:space="preserve"> as to </w:t>
      </w:r>
      <w:r>
        <w:rPr>
          <w:rFonts w:ascii="Arial" w:cs="Arial" w:eastAsia="Arial" w:hAnsi="Arial"/>
          <w:sz w:val="15"/>
          <w:szCs w:val="15"/>
          <w:color w:val="2A2A31"/>
        </w:rPr>
        <w:t>the</w:t>
      </w:r>
      <w:r>
        <w:rPr>
          <w:rFonts w:ascii="Arial" w:cs="Arial" w:eastAsia="Arial" w:hAnsi="Arial"/>
          <w:sz w:val="15"/>
          <w:szCs w:val="15"/>
          <w:color w:val="3D3F48"/>
        </w:rPr>
        <w:t xml:space="preserve"> applicability of </w:t>
      </w:r>
      <w:r>
        <w:rPr>
          <w:rFonts w:ascii="Arial" w:cs="Arial" w:eastAsia="Arial" w:hAnsi="Arial"/>
          <w:sz w:val="15"/>
          <w:szCs w:val="15"/>
          <w:color w:val="2A2A31"/>
        </w:rPr>
        <w:t>Part</w:t>
      </w:r>
      <w:r>
        <w:rPr>
          <w:rFonts w:ascii="Arial" w:cs="Arial" w:eastAsia="Arial" w:hAnsi="Arial"/>
          <w:sz w:val="15"/>
          <w:szCs w:val="15"/>
          <w:color w:val="3D3F48"/>
        </w:rPr>
        <w:t xml:space="preserve"> 6, </w:t>
      </w:r>
      <w:r>
        <w:rPr>
          <w:rFonts w:ascii="Arial" w:cs="Arial" w:eastAsia="Arial" w:hAnsi="Arial"/>
          <w:sz w:val="15"/>
          <w:szCs w:val="15"/>
          <w:color w:val="2A2A31"/>
        </w:rPr>
        <w:t>Section</w:t>
      </w:r>
      <w:r>
        <w:rPr>
          <w:rFonts w:ascii="Arial" w:cs="Arial" w:eastAsia="Arial" w:hAnsi="Arial"/>
          <w:sz w:val="15"/>
          <w:szCs w:val="15"/>
          <w:color w:val="3D3F48"/>
        </w:rPr>
        <w:t xml:space="preserve"> 36 to </w:t>
      </w:r>
      <w:r>
        <w:rPr>
          <w:rFonts w:ascii="Arial" w:cs="Arial" w:eastAsia="Arial" w:hAnsi="Arial"/>
          <w:sz w:val="15"/>
          <w:szCs w:val="15"/>
          <w:color w:val="2A2A31"/>
        </w:rPr>
        <w:t>Biogen</w:t>
      </w:r>
      <w:r>
        <w:rPr>
          <w:rFonts w:ascii="Arial" w:cs="Arial" w:eastAsia="Arial" w:hAnsi="Arial"/>
          <w:sz w:val="15"/>
          <w:szCs w:val="15"/>
          <w:color w:val="575960"/>
        </w:rPr>
        <w:t>'</w:t>
      </w:r>
      <w:r>
        <w:rPr>
          <w:rFonts w:ascii="Arial" w:cs="Arial" w:eastAsia="Arial" w:hAnsi="Arial"/>
          <w:sz w:val="15"/>
          <w:szCs w:val="15"/>
          <w:color w:val="3D3F48"/>
        </w:rPr>
        <w:t xml:space="preserve">s employment of you </w:t>
      </w:r>
      <w:r>
        <w:rPr>
          <w:rFonts w:ascii="Arial" w:cs="Arial" w:eastAsia="Arial" w:hAnsi="Arial"/>
          <w:sz w:val="15"/>
          <w:szCs w:val="15"/>
          <w:color w:val="2A2A31"/>
        </w:rPr>
        <w:t>without prior</w:t>
      </w:r>
      <w:r>
        <w:rPr>
          <w:rFonts w:ascii="Arial" w:cs="Arial" w:eastAsia="Arial" w:hAnsi="Arial"/>
          <w:sz w:val="15"/>
          <w:szCs w:val="15"/>
          <w:color w:val="3D3F48"/>
        </w:rPr>
        <w:t xml:space="preserve"> consultation with </w:t>
      </w:r>
      <w:r>
        <w:rPr>
          <w:rFonts w:ascii="Arial" w:cs="Arial" w:eastAsia="Arial" w:hAnsi="Arial"/>
          <w:sz w:val="15"/>
          <w:szCs w:val="15"/>
          <w:color w:val="2A2A31"/>
        </w:rPr>
        <w:t>and</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5"/>
          <w:szCs w:val="15"/>
          <w:color w:val="3D3F48"/>
        </w:rPr>
        <w:t>wr</w:t>
      </w:r>
      <w:r>
        <w:rPr>
          <w:rFonts w:ascii="Arial" w:cs="Arial" w:eastAsia="Arial" w:hAnsi="Arial"/>
          <w:sz w:val="15"/>
          <w:szCs w:val="15"/>
          <w:color w:val="575960"/>
        </w:rPr>
        <w:t>i</w:t>
      </w:r>
      <w:r>
        <w:rPr>
          <w:rFonts w:ascii="Arial" w:cs="Arial" w:eastAsia="Arial" w:hAnsi="Arial"/>
          <w:sz w:val="15"/>
          <w:szCs w:val="15"/>
          <w:color w:val="2A2A31"/>
        </w:rPr>
        <w:t>tten approval</w:t>
      </w:r>
      <w:r>
        <w:rPr>
          <w:rFonts w:ascii="Arial" w:cs="Arial" w:eastAsia="Arial" w:hAnsi="Arial"/>
          <w:sz w:val="15"/>
          <w:szCs w:val="15"/>
          <w:color w:val="3D3F48"/>
        </w:rPr>
        <w:t xml:space="preserve"> of </w:t>
      </w:r>
      <w:r>
        <w:rPr>
          <w:rFonts w:ascii="Arial" w:cs="Arial" w:eastAsia="Arial" w:hAnsi="Arial"/>
          <w:sz w:val="15"/>
          <w:szCs w:val="15"/>
          <w:color w:val="2A2A31"/>
        </w:rPr>
        <w:t>Biogen, which approval</w:t>
      </w:r>
      <w:r>
        <w:rPr>
          <w:rFonts w:ascii="Arial" w:cs="Arial" w:eastAsia="Arial" w:hAnsi="Arial"/>
          <w:sz w:val="15"/>
          <w:szCs w:val="15"/>
          <w:color w:val="3D3F48"/>
        </w:rPr>
        <w:t xml:space="preserve"> will </w:t>
      </w:r>
      <w:r>
        <w:rPr>
          <w:rFonts w:ascii="Arial" w:cs="Arial" w:eastAsia="Arial" w:hAnsi="Arial"/>
          <w:sz w:val="15"/>
          <w:szCs w:val="15"/>
          <w:color w:val="2A2A31"/>
        </w:rPr>
        <w:t>not</w:t>
      </w:r>
      <w:r>
        <w:rPr>
          <w:rFonts w:ascii="Arial" w:cs="Arial" w:eastAsia="Arial" w:hAnsi="Arial"/>
          <w:sz w:val="15"/>
          <w:szCs w:val="15"/>
          <w:color w:val="3D3F48"/>
        </w:rPr>
        <w:t xml:space="preserve"> be unreasonably delayed or withh</w:t>
      </w:r>
      <w:r>
        <w:rPr>
          <w:rFonts w:ascii="Arial" w:cs="Arial" w:eastAsia="Arial" w:hAnsi="Arial"/>
          <w:sz w:val="15"/>
          <w:szCs w:val="15"/>
          <w:color w:val="575960"/>
        </w:rPr>
        <w:t>e</w:t>
      </w:r>
      <w:r>
        <w:rPr>
          <w:rFonts w:ascii="Arial" w:cs="Arial" w:eastAsia="Arial" w:hAnsi="Arial"/>
          <w:sz w:val="15"/>
          <w:szCs w:val="15"/>
          <w:color w:val="2A2A31"/>
        </w:rPr>
        <w:t>l</w:t>
      </w:r>
      <w:r>
        <w:rPr>
          <w:rFonts w:ascii="Arial" w:cs="Arial" w:eastAsia="Arial" w:hAnsi="Arial"/>
          <w:sz w:val="15"/>
          <w:szCs w:val="15"/>
          <w:color w:val="575960"/>
        </w:rPr>
        <w:t>d</w:t>
      </w:r>
      <w:r>
        <w:rPr>
          <w:rFonts w:ascii="Arial" w:cs="Arial" w:eastAsia="Arial" w:hAnsi="Arial"/>
          <w:sz w:val="15"/>
          <w:szCs w:val="15"/>
          <w:color w:val="9E9EA0"/>
        </w:rPr>
        <w:t>.</w:t>
      </w:r>
      <w:r>
        <w:rPr>
          <w:rFonts w:ascii="Arial" w:cs="Arial" w:eastAsia="Arial" w:hAnsi="Arial"/>
          <w:sz w:val="15"/>
          <w:szCs w:val="15"/>
          <w:color w:val="3D3F48"/>
        </w:rPr>
        <w:t xml:space="preserve"> </w:t>
      </w:r>
      <w:r>
        <w:rPr>
          <w:rFonts w:ascii="Arial" w:cs="Arial" w:eastAsia="Arial" w:hAnsi="Arial"/>
          <w:sz w:val="15"/>
          <w:szCs w:val="15"/>
          <w:color w:val="575960"/>
        </w:rPr>
        <w:t>F</w:t>
      </w:r>
      <w:r>
        <w:rPr>
          <w:rFonts w:ascii="Arial" w:cs="Arial" w:eastAsia="Arial" w:hAnsi="Arial"/>
          <w:sz w:val="15"/>
          <w:szCs w:val="15"/>
          <w:color w:val="3D3F48"/>
        </w:rPr>
        <w:t xml:space="preserve">urther </w:t>
      </w:r>
      <w:r>
        <w:rPr>
          <w:rFonts w:ascii="Arial" w:cs="Arial" w:eastAsia="Arial" w:hAnsi="Arial"/>
          <w:sz w:val="15"/>
          <w:szCs w:val="15"/>
          <w:color w:val="2A2A31"/>
        </w:rPr>
        <w:t>this</w:t>
      </w:r>
      <w:r>
        <w:rPr>
          <w:rFonts w:ascii="Arial" w:cs="Arial" w:eastAsia="Arial" w:hAnsi="Arial"/>
          <w:sz w:val="15"/>
          <w:szCs w:val="15"/>
          <w:color w:val="3D3F48"/>
        </w:rPr>
        <w:t xml:space="preserve"> agreement is </w:t>
      </w:r>
      <w:r>
        <w:rPr>
          <w:rFonts w:ascii="Arial" w:cs="Arial" w:eastAsia="Arial" w:hAnsi="Arial"/>
          <w:sz w:val="15"/>
          <w:szCs w:val="15"/>
          <w:color w:val="2A2A31"/>
        </w:rPr>
        <w:t>not intended to</w:t>
      </w:r>
      <w:r>
        <w:rPr>
          <w:rFonts w:ascii="Arial" w:cs="Arial" w:eastAsia="Arial" w:hAnsi="Arial"/>
          <w:sz w:val="15"/>
          <w:szCs w:val="15"/>
          <w:color w:val="3D3F48"/>
        </w:rPr>
        <w:t xml:space="preserve"> and does </w:t>
      </w:r>
      <w:r>
        <w:rPr>
          <w:rFonts w:ascii="Arial" w:cs="Arial" w:eastAsia="Arial" w:hAnsi="Arial"/>
          <w:sz w:val="15"/>
          <w:szCs w:val="15"/>
          <w:color w:val="2A2A31"/>
        </w:rPr>
        <w:t>not</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5"/>
          <w:szCs w:val="15"/>
          <w:color w:val="3D3F48"/>
        </w:rPr>
        <w:t xml:space="preserve">imply that Biogen agrees </w:t>
      </w:r>
      <w:r>
        <w:rPr>
          <w:rFonts w:ascii="Arial" w:cs="Arial" w:eastAsia="Arial" w:hAnsi="Arial"/>
          <w:sz w:val="15"/>
          <w:szCs w:val="15"/>
          <w:color w:val="2A2A31"/>
        </w:rPr>
        <w:t>or believ</w:t>
      </w:r>
      <w:r>
        <w:rPr>
          <w:rFonts w:ascii="Arial" w:cs="Arial" w:eastAsia="Arial" w:hAnsi="Arial"/>
          <w:sz w:val="15"/>
          <w:szCs w:val="15"/>
          <w:color w:val="575960"/>
        </w:rPr>
        <w:t>es</w:t>
      </w:r>
      <w:r>
        <w:rPr>
          <w:rFonts w:ascii="Arial" w:cs="Arial" w:eastAsia="Arial" w:hAnsi="Arial"/>
          <w:sz w:val="15"/>
          <w:szCs w:val="15"/>
          <w:color w:val="3D3F48"/>
        </w:rPr>
        <w:t xml:space="preserve"> </w:t>
      </w:r>
      <w:r>
        <w:rPr>
          <w:rFonts w:ascii="Arial" w:cs="Arial" w:eastAsia="Arial" w:hAnsi="Arial"/>
          <w:sz w:val="15"/>
          <w:szCs w:val="15"/>
          <w:color w:val="2A2A31"/>
        </w:rPr>
        <w:t>t</w:t>
      </w:r>
      <w:r>
        <w:rPr>
          <w:rFonts w:ascii="Arial" w:cs="Arial" w:eastAsia="Arial" w:hAnsi="Arial"/>
          <w:sz w:val="15"/>
          <w:szCs w:val="15"/>
          <w:color w:val="575960"/>
        </w:rPr>
        <w:t>ha</w:t>
      </w:r>
      <w:r>
        <w:rPr>
          <w:rFonts w:ascii="Arial" w:cs="Arial" w:eastAsia="Arial" w:hAnsi="Arial"/>
          <w:sz w:val="15"/>
          <w:szCs w:val="15"/>
          <w:color w:val="3D3F48"/>
        </w:rPr>
        <w:t xml:space="preserve">t </w:t>
      </w:r>
      <w:r>
        <w:rPr>
          <w:rFonts w:ascii="Arial" w:cs="Arial" w:eastAsia="Arial" w:hAnsi="Arial"/>
          <w:sz w:val="15"/>
          <w:szCs w:val="15"/>
          <w:color w:val="2A2A31"/>
        </w:rPr>
        <w:t>Part</w:t>
      </w:r>
      <w:r>
        <w:rPr>
          <w:rFonts w:ascii="Arial" w:cs="Arial" w:eastAsia="Arial" w:hAnsi="Arial"/>
          <w:sz w:val="15"/>
          <w:szCs w:val="15"/>
          <w:color w:val="3D3F48"/>
        </w:rPr>
        <w:t xml:space="preserve"> 6</w:t>
      </w:r>
      <w:r>
        <w:rPr>
          <w:rFonts w:ascii="Arial" w:cs="Arial" w:eastAsia="Arial" w:hAnsi="Arial"/>
          <w:sz w:val="15"/>
          <w:szCs w:val="15"/>
          <w:color w:val="8E8E9A"/>
        </w:rPr>
        <w:t>,</w:t>
      </w:r>
      <w:r>
        <w:rPr>
          <w:rFonts w:ascii="Arial" w:cs="Arial" w:eastAsia="Arial" w:hAnsi="Arial"/>
          <w:sz w:val="15"/>
          <w:szCs w:val="15"/>
          <w:color w:val="3D3F48"/>
        </w:rPr>
        <w:t xml:space="preserve"> Se</w:t>
      </w:r>
      <w:r>
        <w:rPr>
          <w:rFonts w:ascii="Arial" w:cs="Arial" w:eastAsia="Arial" w:hAnsi="Arial"/>
          <w:sz w:val="15"/>
          <w:szCs w:val="15"/>
          <w:color w:val="575960"/>
        </w:rPr>
        <w:t>c</w:t>
      </w:r>
      <w:r>
        <w:rPr>
          <w:rFonts w:ascii="Arial" w:cs="Arial" w:eastAsia="Arial" w:hAnsi="Arial"/>
          <w:sz w:val="15"/>
          <w:szCs w:val="15"/>
          <w:color w:val="3D3F48"/>
        </w:rPr>
        <w:t xml:space="preserve">tion 36 </w:t>
      </w:r>
      <w:r>
        <w:rPr>
          <w:rFonts w:ascii="Arial" w:cs="Arial" w:eastAsia="Arial" w:hAnsi="Arial"/>
          <w:sz w:val="15"/>
          <w:szCs w:val="15"/>
          <w:color w:val="2A2A31"/>
        </w:rPr>
        <w:t>is</w:t>
      </w:r>
      <w:r>
        <w:rPr>
          <w:rFonts w:ascii="Arial" w:cs="Arial" w:eastAsia="Arial" w:hAnsi="Arial"/>
          <w:sz w:val="15"/>
          <w:szCs w:val="15"/>
          <w:color w:val="3D3F48"/>
        </w:rPr>
        <w:t xml:space="preserve"> enforceable or </w:t>
      </w:r>
      <w:r>
        <w:rPr>
          <w:rFonts w:ascii="Arial" w:cs="Arial" w:eastAsia="Arial" w:hAnsi="Arial"/>
          <w:sz w:val="15"/>
          <w:szCs w:val="15"/>
          <w:color w:val="2A2A31"/>
        </w:rPr>
        <w:t>reasonable or that Biogen</w:t>
      </w:r>
      <w:r>
        <w:rPr>
          <w:rFonts w:ascii="Arial" w:cs="Arial" w:eastAsia="Arial" w:hAnsi="Arial"/>
          <w:sz w:val="15"/>
          <w:szCs w:val="15"/>
          <w:color w:val="3D3F48"/>
        </w:rPr>
        <w:t xml:space="preserve"> </w:t>
      </w:r>
      <w:r>
        <w:rPr>
          <w:rFonts w:ascii="Arial" w:cs="Arial" w:eastAsia="Arial" w:hAnsi="Arial"/>
          <w:sz w:val="15"/>
          <w:szCs w:val="15"/>
          <w:color w:val="575960"/>
        </w:rPr>
        <w:t>is</w:t>
      </w:r>
      <w:r>
        <w:rPr>
          <w:rFonts w:ascii="Arial" w:cs="Arial" w:eastAsia="Arial" w:hAnsi="Arial"/>
          <w:sz w:val="15"/>
          <w:szCs w:val="15"/>
          <w:color w:val="3D3F48"/>
        </w:rPr>
        <w:t xml:space="preserve"> a c</w:t>
      </w:r>
      <w:r>
        <w:rPr>
          <w:rFonts w:ascii="Arial" w:cs="Arial" w:eastAsia="Arial" w:hAnsi="Arial"/>
          <w:sz w:val="15"/>
          <w:szCs w:val="15"/>
          <w:color w:val="575960"/>
        </w:rPr>
        <w:t>o</w:t>
      </w:r>
      <w:r>
        <w:rPr>
          <w:rFonts w:ascii="Arial" w:cs="Arial" w:eastAsia="Arial" w:hAnsi="Arial"/>
          <w:sz w:val="15"/>
          <w:szCs w:val="15"/>
          <w:color w:val="3D3F48"/>
        </w:rPr>
        <w:t>mpany or em</w:t>
      </w:r>
      <w:r>
        <w:rPr>
          <w:rFonts w:ascii="Arial" w:cs="Arial" w:eastAsia="Arial" w:hAnsi="Arial"/>
          <w:sz w:val="15"/>
          <w:szCs w:val="15"/>
          <w:color w:val="575960"/>
        </w:rPr>
        <w:t>p</w:t>
      </w:r>
      <w:r>
        <w:rPr>
          <w:rFonts w:ascii="Arial" w:cs="Arial" w:eastAsia="Arial" w:hAnsi="Arial"/>
          <w:sz w:val="15"/>
          <w:szCs w:val="15"/>
          <w:color w:val="2A2A31"/>
        </w:rPr>
        <w:t>loyer in</w:t>
      </w:r>
      <w:r>
        <w:rPr>
          <w:rFonts w:ascii="Arial" w:cs="Arial" w:eastAsia="Arial" w:hAnsi="Arial"/>
          <w:sz w:val="15"/>
          <w:szCs w:val="15"/>
          <w:color w:val="3D3F48"/>
        </w:rPr>
        <w:t xml:space="preserve"> </w:t>
      </w:r>
      <w:r>
        <w:rPr>
          <w:rFonts w:ascii="Arial" w:cs="Arial" w:eastAsia="Arial" w:hAnsi="Arial"/>
          <w:sz w:val="15"/>
          <w:szCs w:val="15"/>
          <w:color w:val="757980"/>
        </w:rPr>
        <w:t>c</w:t>
      </w:r>
      <w:r>
        <w:rPr>
          <w:rFonts w:ascii="Arial" w:cs="Arial" w:eastAsia="Arial" w:hAnsi="Arial"/>
          <w:sz w:val="15"/>
          <w:szCs w:val="15"/>
          <w:color w:val="3D3F48"/>
        </w:rPr>
        <w:t>ompetition</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5"/>
          <w:szCs w:val="15"/>
          <w:color w:val="3D3F48"/>
        </w:rPr>
        <w:t>with Pfiz</w:t>
      </w:r>
      <w:r>
        <w:rPr>
          <w:rFonts w:ascii="Arial" w:cs="Arial" w:eastAsia="Arial" w:hAnsi="Arial"/>
          <w:sz w:val="15"/>
          <w:szCs w:val="15"/>
          <w:color w:val="575960"/>
        </w:rPr>
        <w:t>e</w:t>
      </w:r>
      <w:r>
        <w:rPr>
          <w:rFonts w:ascii="Arial" w:cs="Arial" w:eastAsia="Arial" w:hAnsi="Arial"/>
          <w:sz w:val="15"/>
          <w:szCs w:val="15"/>
          <w:color w:val="2A2A31"/>
        </w:rPr>
        <w:t>r for any purpose</w:t>
      </w:r>
      <w:r>
        <w:rPr>
          <w:rFonts w:ascii="Arial" w:cs="Arial" w:eastAsia="Arial" w:hAnsi="Arial"/>
          <w:sz w:val="15"/>
          <w:szCs w:val="15"/>
          <w:color w:val="757980"/>
        </w:rPr>
        <w:t>.</w:t>
      </w:r>
      <w:r>
        <w:rPr>
          <w:rFonts w:ascii="Arial" w:cs="Arial" w:eastAsia="Arial" w:hAnsi="Arial"/>
          <w:sz w:val="15"/>
          <w:szCs w:val="15"/>
          <w:color w:val="3D3F48"/>
        </w:rPr>
        <w:t xml:space="preserve"> </w:t>
      </w:r>
      <w:r>
        <w:rPr>
          <w:rFonts w:ascii="Arial" w:cs="Arial" w:eastAsia="Arial" w:hAnsi="Arial"/>
          <w:sz w:val="15"/>
          <w:szCs w:val="15"/>
          <w:color w:val="2A2A31"/>
        </w:rPr>
        <w:t>The foregoing</w:t>
      </w:r>
      <w:r>
        <w:rPr>
          <w:rFonts w:ascii="Arial" w:cs="Arial" w:eastAsia="Arial" w:hAnsi="Arial"/>
          <w:sz w:val="15"/>
          <w:szCs w:val="15"/>
          <w:color w:val="3D3F48"/>
        </w:rPr>
        <w:t xml:space="preserve"> does not affect the at-will statu</w:t>
      </w:r>
      <w:r>
        <w:rPr>
          <w:rFonts w:ascii="Arial" w:cs="Arial" w:eastAsia="Arial" w:hAnsi="Arial"/>
          <w:sz w:val="15"/>
          <w:szCs w:val="15"/>
          <w:color w:val="575960"/>
        </w:rPr>
        <w:t>s</w:t>
      </w:r>
      <w:r>
        <w:rPr>
          <w:rFonts w:ascii="Arial" w:cs="Arial" w:eastAsia="Arial" w:hAnsi="Arial"/>
          <w:sz w:val="15"/>
          <w:szCs w:val="15"/>
          <w:color w:val="3D3F48"/>
        </w:rPr>
        <w:t xml:space="preserve"> </w:t>
      </w:r>
      <w:r>
        <w:rPr>
          <w:rFonts w:ascii="Arial" w:cs="Arial" w:eastAsia="Arial" w:hAnsi="Arial"/>
          <w:sz w:val="15"/>
          <w:szCs w:val="15"/>
          <w:color w:val="2A2A31"/>
        </w:rPr>
        <w:t>of your</w:t>
      </w:r>
      <w:r>
        <w:rPr>
          <w:rFonts w:ascii="Arial" w:cs="Arial" w:eastAsia="Arial" w:hAnsi="Arial"/>
          <w:sz w:val="15"/>
          <w:szCs w:val="15"/>
          <w:color w:val="3D3F48"/>
        </w:rPr>
        <w:t xml:space="preserve"> employment</w:t>
      </w:r>
      <w:r>
        <w:rPr>
          <w:rFonts w:ascii="Arial" w:cs="Arial" w:eastAsia="Arial" w:hAnsi="Arial"/>
          <w:sz w:val="15"/>
          <w:szCs w:val="15"/>
          <w:color w:val="575960"/>
        </w:rPr>
        <w:t>;</w:t>
      </w:r>
      <w:r>
        <w:rPr>
          <w:rFonts w:ascii="Arial" w:cs="Arial" w:eastAsia="Arial" w:hAnsi="Arial"/>
          <w:sz w:val="15"/>
          <w:szCs w:val="15"/>
          <w:color w:val="3D3F48"/>
        </w:rPr>
        <w:t xml:space="preserve"> provided, </w:t>
      </w:r>
      <w:r>
        <w:rPr>
          <w:rFonts w:ascii="Arial" w:cs="Arial" w:eastAsia="Arial" w:hAnsi="Arial"/>
          <w:sz w:val="15"/>
          <w:szCs w:val="15"/>
          <w:color w:val="2A2A31"/>
        </w:rPr>
        <w:t>that, if</w:t>
      </w:r>
      <w:r>
        <w:rPr>
          <w:rFonts w:ascii="Arial" w:cs="Arial" w:eastAsia="Arial" w:hAnsi="Arial"/>
          <w:sz w:val="15"/>
          <w:szCs w:val="15"/>
          <w:color w:val="3D3F48"/>
        </w:rPr>
        <w:t xml:space="preserve"> your emp</w:t>
      </w:r>
      <w:r>
        <w:rPr>
          <w:rFonts w:ascii="Arial" w:cs="Arial" w:eastAsia="Arial" w:hAnsi="Arial"/>
          <w:sz w:val="15"/>
          <w:szCs w:val="15"/>
          <w:color w:val="575960"/>
        </w:rPr>
        <w:t>l</w:t>
      </w:r>
      <w:r>
        <w:rPr>
          <w:rFonts w:ascii="Arial" w:cs="Arial" w:eastAsia="Arial" w:hAnsi="Arial"/>
          <w:sz w:val="15"/>
          <w:szCs w:val="15"/>
          <w:color w:val="2A2A31"/>
        </w:rPr>
        <w:t>oyment is terminated</w:t>
      </w:r>
      <w:r>
        <w:rPr>
          <w:rFonts w:ascii="Arial" w:cs="Arial" w:eastAsia="Arial" w:hAnsi="Arial"/>
          <w:sz w:val="15"/>
          <w:szCs w:val="15"/>
          <w:color w:val="3D3F48"/>
        </w:rPr>
        <w:t xml:space="preserve"> as</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5"/>
          <w:szCs w:val="15"/>
          <w:color w:val="575960"/>
        </w:rPr>
        <w:t xml:space="preserve">a </w:t>
      </w:r>
      <w:r>
        <w:rPr>
          <w:rFonts w:ascii="Arial" w:cs="Arial" w:eastAsia="Arial" w:hAnsi="Arial"/>
          <w:sz w:val="15"/>
          <w:szCs w:val="15"/>
          <w:color w:val="2A2A31"/>
        </w:rPr>
        <w:t>result</w:t>
      </w:r>
      <w:r>
        <w:rPr>
          <w:rFonts w:ascii="Arial" w:cs="Arial" w:eastAsia="Arial" w:hAnsi="Arial"/>
          <w:sz w:val="15"/>
          <w:szCs w:val="15"/>
          <w:color w:val="575960"/>
        </w:rPr>
        <w:t xml:space="preserve"> </w:t>
      </w:r>
      <w:r>
        <w:rPr>
          <w:rFonts w:ascii="Arial" w:cs="Arial" w:eastAsia="Arial" w:hAnsi="Arial"/>
          <w:sz w:val="15"/>
          <w:szCs w:val="15"/>
          <w:color w:val="3D3F48"/>
        </w:rPr>
        <w:t>of your death or Di</w:t>
      </w:r>
      <w:r>
        <w:rPr>
          <w:rFonts w:ascii="Arial" w:cs="Arial" w:eastAsia="Arial" w:hAnsi="Arial"/>
          <w:sz w:val="15"/>
          <w:szCs w:val="15"/>
          <w:color w:val="575960"/>
        </w:rPr>
        <w:t>s</w:t>
      </w:r>
      <w:r>
        <w:rPr>
          <w:rFonts w:ascii="Arial" w:cs="Arial" w:eastAsia="Arial" w:hAnsi="Arial"/>
          <w:sz w:val="15"/>
          <w:szCs w:val="15"/>
          <w:color w:val="2A2A31"/>
        </w:rPr>
        <w:t>ability</w:t>
      </w:r>
      <w:r>
        <w:rPr>
          <w:rFonts w:ascii="Arial" w:cs="Arial" w:eastAsia="Arial" w:hAnsi="Arial"/>
          <w:sz w:val="15"/>
          <w:szCs w:val="15"/>
          <w:color w:val="575960"/>
        </w:rPr>
        <w:t xml:space="preserve">, </w:t>
      </w:r>
      <w:r>
        <w:rPr>
          <w:rFonts w:ascii="Arial" w:cs="Arial" w:eastAsia="Arial" w:hAnsi="Arial"/>
          <w:sz w:val="15"/>
          <w:szCs w:val="15"/>
          <w:color w:val="3D3F48"/>
        </w:rPr>
        <w:t>or by</w:t>
      </w:r>
      <w:r>
        <w:rPr>
          <w:rFonts w:ascii="Arial" w:cs="Arial" w:eastAsia="Arial" w:hAnsi="Arial"/>
          <w:sz w:val="15"/>
          <w:szCs w:val="15"/>
          <w:color w:val="575960"/>
        </w:rPr>
        <w:t xml:space="preserve"> </w:t>
      </w:r>
      <w:r>
        <w:rPr>
          <w:rFonts w:ascii="Arial" w:cs="Arial" w:eastAsia="Arial" w:hAnsi="Arial"/>
          <w:sz w:val="15"/>
          <w:szCs w:val="15"/>
          <w:color w:val="2A2A31"/>
        </w:rPr>
        <w:t>Biogen</w:t>
      </w:r>
      <w:r>
        <w:rPr>
          <w:rFonts w:ascii="Arial" w:cs="Arial" w:eastAsia="Arial" w:hAnsi="Arial"/>
          <w:sz w:val="15"/>
          <w:szCs w:val="15"/>
          <w:color w:val="575960"/>
        </w:rPr>
        <w:t xml:space="preserve"> </w:t>
      </w:r>
      <w:r>
        <w:rPr>
          <w:rFonts w:ascii="Arial" w:cs="Arial" w:eastAsia="Arial" w:hAnsi="Arial"/>
          <w:sz w:val="15"/>
          <w:szCs w:val="15"/>
          <w:color w:val="3D3F48"/>
        </w:rPr>
        <w:t>without Cause or following</w:t>
      </w:r>
      <w:r>
        <w:rPr>
          <w:rFonts w:ascii="Arial" w:cs="Arial" w:eastAsia="Arial" w:hAnsi="Arial"/>
          <w:sz w:val="15"/>
          <w:szCs w:val="15"/>
          <w:color w:val="575960"/>
        </w:rPr>
        <w:t xml:space="preserve"> a </w:t>
      </w:r>
      <w:r>
        <w:rPr>
          <w:rFonts w:ascii="Arial" w:cs="Arial" w:eastAsia="Arial" w:hAnsi="Arial"/>
          <w:sz w:val="15"/>
          <w:szCs w:val="15"/>
          <w:color w:val="3D3F48"/>
        </w:rPr>
        <w:t>CEO</w:t>
      </w:r>
      <w:r>
        <w:rPr>
          <w:rFonts w:ascii="Arial" w:cs="Arial" w:eastAsia="Arial" w:hAnsi="Arial"/>
          <w:sz w:val="15"/>
          <w:szCs w:val="15"/>
          <w:color w:val="575960"/>
        </w:rPr>
        <w:t xml:space="preserve"> </w:t>
      </w:r>
      <w:r>
        <w:rPr>
          <w:rFonts w:ascii="Arial" w:cs="Arial" w:eastAsia="Arial" w:hAnsi="Arial"/>
          <w:sz w:val="15"/>
          <w:szCs w:val="15"/>
          <w:color w:val="2A2A31"/>
        </w:rPr>
        <w:t>Employment</w:t>
      </w:r>
      <w:r>
        <w:rPr>
          <w:rFonts w:ascii="Arial" w:cs="Arial" w:eastAsia="Arial" w:hAnsi="Arial"/>
          <w:sz w:val="15"/>
          <w:szCs w:val="15"/>
          <w:color w:val="575960"/>
        </w:rPr>
        <w:t xml:space="preserve"> </w:t>
      </w:r>
      <w:r>
        <w:rPr>
          <w:rFonts w:ascii="Arial" w:cs="Arial" w:eastAsia="Arial" w:hAnsi="Arial"/>
          <w:sz w:val="15"/>
          <w:szCs w:val="15"/>
          <w:color w:val="3D3F48"/>
        </w:rPr>
        <w:t>Event,</w:t>
      </w:r>
      <w:r>
        <w:rPr>
          <w:rFonts w:ascii="Arial" w:cs="Arial" w:eastAsia="Arial" w:hAnsi="Arial"/>
          <w:sz w:val="15"/>
          <w:szCs w:val="15"/>
          <w:color w:val="575960"/>
        </w:rPr>
        <w:t xml:space="preserve"> </w:t>
      </w:r>
      <w:r>
        <w:rPr>
          <w:rFonts w:ascii="Arial" w:cs="Arial" w:eastAsia="Arial" w:hAnsi="Arial"/>
          <w:sz w:val="15"/>
          <w:szCs w:val="15"/>
          <w:color w:val="2A2A31"/>
        </w:rPr>
        <w:t>Biogen</w:t>
      </w:r>
      <w:r>
        <w:rPr>
          <w:rFonts w:ascii="Arial" w:cs="Arial" w:eastAsia="Arial" w:hAnsi="Arial"/>
          <w:sz w:val="15"/>
          <w:szCs w:val="15"/>
          <w:color w:val="575960"/>
        </w:rPr>
        <w:t xml:space="preserve"> </w:t>
      </w:r>
      <w:r>
        <w:rPr>
          <w:rFonts w:ascii="Arial" w:cs="Arial" w:eastAsia="Arial" w:hAnsi="Arial"/>
          <w:sz w:val="15"/>
          <w:szCs w:val="15"/>
          <w:color w:val="3D3F48"/>
        </w:rPr>
        <w:t>sh</w:t>
      </w:r>
      <w:r>
        <w:rPr>
          <w:rFonts w:ascii="Arial" w:cs="Arial" w:eastAsia="Arial" w:hAnsi="Arial"/>
          <w:sz w:val="15"/>
          <w:szCs w:val="15"/>
          <w:color w:val="575960"/>
        </w:rPr>
        <w:t>a</w:t>
      </w:r>
      <w:r>
        <w:rPr>
          <w:rFonts w:ascii="Arial" w:cs="Arial" w:eastAsia="Arial" w:hAnsi="Arial"/>
          <w:sz w:val="15"/>
          <w:szCs w:val="15"/>
          <w:color w:val="2A2A31"/>
        </w:rPr>
        <w:t>ll</w:t>
      </w:r>
      <w:r>
        <w:rPr>
          <w:rFonts w:ascii="Arial" w:cs="Arial" w:eastAsia="Arial" w:hAnsi="Arial"/>
          <w:sz w:val="15"/>
          <w:szCs w:val="15"/>
          <w:color w:val="575960"/>
        </w:rPr>
        <w:t xml:space="preserve"> c</w:t>
      </w:r>
      <w:r>
        <w:rPr>
          <w:rFonts w:ascii="Arial" w:cs="Arial" w:eastAsia="Arial" w:hAnsi="Arial"/>
          <w:sz w:val="15"/>
          <w:szCs w:val="15"/>
          <w:color w:val="3D3F48"/>
        </w:rPr>
        <w:t>ontinue</w:t>
      </w:r>
      <w:r>
        <w:rPr>
          <w:rFonts w:ascii="Arial" w:cs="Arial" w:eastAsia="Arial" w:hAnsi="Arial"/>
          <w:sz w:val="15"/>
          <w:szCs w:val="15"/>
          <w:color w:val="575960"/>
        </w:rPr>
        <w:t xml:space="preserve"> </w:t>
      </w:r>
      <w:r>
        <w:rPr>
          <w:rFonts w:ascii="Arial" w:cs="Arial" w:eastAsia="Arial" w:hAnsi="Arial"/>
          <w:sz w:val="15"/>
          <w:szCs w:val="15"/>
          <w:color w:val="2A2A31"/>
        </w:rPr>
        <w:t>to owe</w:t>
      </w:r>
      <w:r>
        <w:rPr>
          <w:rFonts w:ascii="Arial" w:cs="Arial" w:eastAsia="Arial" w:hAnsi="Arial"/>
          <w:sz w:val="15"/>
          <w:szCs w:val="15"/>
          <w:color w:val="575960"/>
        </w:rPr>
        <w:t xml:space="preserve"> </w:t>
      </w:r>
      <w:r>
        <w:rPr>
          <w:rFonts w:ascii="Arial" w:cs="Arial" w:eastAsia="Arial" w:hAnsi="Arial"/>
          <w:sz w:val="15"/>
          <w:szCs w:val="15"/>
          <w:color w:val="3D3F48"/>
        </w:rPr>
        <w:t>you</w:t>
      </w:r>
      <w:r>
        <w:rPr>
          <w:rFonts w:ascii="Arial" w:cs="Arial" w:eastAsia="Arial" w:hAnsi="Arial"/>
          <w:sz w:val="15"/>
          <w:szCs w:val="15"/>
          <w:color w:val="575960"/>
        </w:rPr>
        <w:t xml:space="preserve"> </w:t>
      </w:r>
      <w:r>
        <w:rPr>
          <w:rFonts w:ascii="Arial" w:cs="Arial" w:eastAsia="Arial" w:hAnsi="Arial"/>
          <w:sz w:val="15"/>
          <w:szCs w:val="15"/>
          <w:color w:val="2A2A31"/>
        </w:rPr>
        <w:t>any</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5"/>
          <w:szCs w:val="15"/>
          <w:color w:val="3D3F48"/>
        </w:rPr>
        <w:t xml:space="preserve">amounts </w:t>
      </w:r>
      <w:r>
        <w:rPr>
          <w:rFonts w:ascii="Arial" w:cs="Arial" w:eastAsia="Arial" w:hAnsi="Arial"/>
          <w:sz w:val="15"/>
          <w:szCs w:val="15"/>
          <w:color w:val="2A2A31"/>
        </w:rPr>
        <w:t>due under this letter</w:t>
      </w:r>
      <w:r>
        <w:rPr>
          <w:rFonts w:ascii="Arial" w:cs="Arial" w:eastAsia="Arial" w:hAnsi="Arial"/>
          <w:sz w:val="15"/>
          <w:szCs w:val="15"/>
          <w:color w:val="575960"/>
        </w:rPr>
        <w:t>.</w:t>
      </w:r>
      <w:r>
        <w:rPr>
          <w:rFonts w:ascii="Arial" w:cs="Arial" w:eastAsia="Arial" w:hAnsi="Arial"/>
          <w:sz w:val="15"/>
          <w:szCs w:val="15"/>
          <w:color w:val="3D3F48"/>
        </w:rPr>
        <w:t xml:space="preserve"> Any such paym</w:t>
      </w:r>
      <w:r>
        <w:rPr>
          <w:rFonts w:ascii="Arial" w:cs="Arial" w:eastAsia="Arial" w:hAnsi="Arial"/>
          <w:sz w:val="15"/>
          <w:szCs w:val="15"/>
          <w:color w:val="575960"/>
        </w:rPr>
        <w:t>e</w:t>
      </w:r>
      <w:r>
        <w:rPr>
          <w:rFonts w:ascii="Arial" w:cs="Arial" w:eastAsia="Arial" w:hAnsi="Arial"/>
          <w:sz w:val="15"/>
          <w:szCs w:val="15"/>
          <w:color w:val="3D3F48"/>
        </w:rPr>
        <w:t>nts shall be m</w:t>
      </w:r>
      <w:r>
        <w:rPr>
          <w:rFonts w:ascii="Arial" w:cs="Arial" w:eastAsia="Arial" w:hAnsi="Arial"/>
          <w:sz w:val="15"/>
          <w:szCs w:val="15"/>
          <w:color w:val="575960"/>
        </w:rPr>
        <w:t>a</w:t>
      </w:r>
      <w:r>
        <w:rPr>
          <w:rFonts w:ascii="Arial" w:cs="Arial" w:eastAsia="Arial" w:hAnsi="Arial"/>
          <w:sz w:val="15"/>
          <w:szCs w:val="15"/>
          <w:color w:val="3D3F48"/>
        </w:rPr>
        <w:t xml:space="preserve">de </w:t>
      </w:r>
      <w:r>
        <w:rPr>
          <w:rFonts w:ascii="Arial" w:cs="Arial" w:eastAsia="Arial" w:hAnsi="Arial"/>
          <w:sz w:val="15"/>
          <w:szCs w:val="15"/>
          <w:color w:val="2A2A31"/>
        </w:rPr>
        <w:t>by</w:t>
      </w:r>
      <w:r>
        <w:rPr>
          <w:rFonts w:ascii="Arial" w:cs="Arial" w:eastAsia="Arial" w:hAnsi="Arial"/>
          <w:sz w:val="15"/>
          <w:szCs w:val="15"/>
          <w:color w:val="3D3F48"/>
        </w:rPr>
        <w:t xml:space="preserve"> </w:t>
      </w:r>
      <w:r>
        <w:rPr>
          <w:rFonts w:ascii="Arial" w:cs="Arial" w:eastAsia="Arial" w:hAnsi="Arial"/>
          <w:sz w:val="15"/>
          <w:szCs w:val="15"/>
          <w:color w:val="575960"/>
        </w:rPr>
        <w:t>Bio</w:t>
      </w:r>
      <w:r>
        <w:rPr>
          <w:rFonts w:ascii="Arial" w:cs="Arial" w:eastAsia="Arial" w:hAnsi="Arial"/>
          <w:sz w:val="15"/>
          <w:szCs w:val="15"/>
          <w:color w:val="3D3F48"/>
        </w:rPr>
        <w:t xml:space="preserve">gen promptly </w:t>
      </w:r>
      <w:r>
        <w:rPr>
          <w:rFonts w:ascii="Arial" w:cs="Arial" w:eastAsia="Arial" w:hAnsi="Arial"/>
          <w:sz w:val="15"/>
          <w:szCs w:val="15"/>
          <w:color w:val="2A2A31"/>
        </w:rPr>
        <w:t>after</w:t>
      </w:r>
      <w:r>
        <w:rPr>
          <w:rFonts w:ascii="Arial" w:cs="Arial" w:eastAsia="Arial" w:hAnsi="Arial"/>
          <w:sz w:val="15"/>
          <w:szCs w:val="15"/>
          <w:color w:val="3D3F48"/>
        </w:rPr>
        <w:t xml:space="preserve"> any </w:t>
      </w:r>
      <w:r>
        <w:rPr>
          <w:rFonts w:ascii="Arial" w:cs="Arial" w:eastAsia="Arial" w:hAnsi="Arial"/>
          <w:sz w:val="15"/>
          <w:szCs w:val="15"/>
          <w:color w:val="2A2A31"/>
        </w:rPr>
        <w:t>Pfizer awards become</w:t>
      </w:r>
      <w:r>
        <w:rPr>
          <w:rFonts w:ascii="Arial" w:cs="Arial" w:eastAsia="Arial" w:hAnsi="Arial"/>
          <w:sz w:val="15"/>
          <w:szCs w:val="15"/>
          <w:color w:val="3D3F48"/>
        </w:rPr>
        <w:t xml:space="preserve"> Termina</w:t>
      </w:r>
      <w:r>
        <w:rPr>
          <w:rFonts w:ascii="Arial" w:cs="Arial" w:eastAsia="Arial" w:hAnsi="Arial"/>
          <w:sz w:val="15"/>
          <w:szCs w:val="15"/>
          <w:color w:val="575960"/>
        </w:rPr>
        <w:t>t</w:t>
      </w:r>
      <w:r>
        <w:rPr>
          <w:rFonts w:ascii="Arial" w:cs="Arial" w:eastAsia="Arial" w:hAnsi="Arial"/>
          <w:sz w:val="15"/>
          <w:szCs w:val="15"/>
          <w:color w:val="3D3F48"/>
        </w:rPr>
        <w:t>ed Awards and/o</w:t>
      </w:r>
      <w:r>
        <w:rPr>
          <w:rFonts w:ascii="Arial" w:cs="Arial" w:eastAsia="Arial" w:hAnsi="Arial"/>
          <w:sz w:val="15"/>
          <w:szCs w:val="15"/>
          <w:color w:val="575960"/>
        </w:rPr>
        <w:t>r</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5"/>
          <w:szCs w:val="15"/>
          <w:color w:val="3D3F48"/>
        </w:rPr>
        <w:t xml:space="preserve">any shares or </w:t>
      </w:r>
      <w:r>
        <w:rPr>
          <w:rFonts w:ascii="Arial" w:cs="Arial" w:eastAsia="Arial" w:hAnsi="Arial"/>
          <w:sz w:val="15"/>
          <w:szCs w:val="15"/>
          <w:color w:val="757980"/>
        </w:rPr>
        <w:t>c</w:t>
      </w:r>
      <w:r>
        <w:rPr>
          <w:rFonts w:ascii="Arial" w:cs="Arial" w:eastAsia="Arial" w:hAnsi="Arial"/>
          <w:sz w:val="15"/>
          <w:szCs w:val="15"/>
          <w:color w:val="575960"/>
        </w:rPr>
        <w:t>as</w:t>
      </w:r>
      <w:r>
        <w:rPr>
          <w:rFonts w:ascii="Arial" w:cs="Arial" w:eastAsia="Arial" w:hAnsi="Arial"/>
          <w:sz w:val="15"/>
          <w:szCs w:val="15"/>
          <w:color w:val="2A2A31"/>
        </w:rPr>
        <w:t>h</w:t>
      </w:r>
      <w:r>
        <w:rPr>
          <w:rFonts w:ascii="Arial" w:cs="Arial" w:eastAsia="Arial" w:hAnsi="Arial"/>
          <w:sz w:val="15"/>
          <w:szCs w:val="15"/>
          <w:color w:val="3D3F48"/>
        </w:rPr>
        <w:t xml:space="preserve"> are returned t</w:t>
      </w:r>
      <w:r>
        <w:rPr>
          <w:rFonts w:ascii="Arial" w:cs="Arial" w:eastAsia="Arial" w:hAnsi="Arial"/>
          <w:sz w:val="15"/>
          <w:szCs w:val="15"/>
          <w:color w:val="575960"/>
        </w:rPr>
        <w:t>o</w:t>
      </w:r>
      <w:r>
        <w:rPr>
          <w:rFonts w:ascii="Arial" w:cs="Arial" w:eastAsia="Arial" w:hAnsi="Arial"/>
          <w:sz w:val="15"/>
          <w:szCs w:val="15"/>
          <w:color w:val="3D3F48"/>
        </w:rPr>
        <w:t xml:space="preserve"> Pfizer by you</w:t>
      </w:r>
      <w:r>
        <w:rPr>
          <w:rFonts w:ascii="Arial" w:cs="Arial" w:eastAsia="Arial" w:hAnsi="Arial"/>
          <w:sz w:val="15"/>
          <w:szCs w:val="15"/>
          <w:color w:val="575960"/>
        </w:rPr>
        <w:t>.</w:t>
      </w:r>
      <w:r>
        <w:rPr>
          <w:rFonts w:ascii="Arial" w:cs="Arial" w:eastAsia="Arial" w:hAnsi="Arial"/>
          <w:sz w:val="15"/>
          <w:szCs w:val="15"/>
          <w:color w:val="3D3F48"/>
        </w:rPr>
        <w:t xml:space="preserve"> </w:t>
      </w:r>
      <w:r>
        <w:rPr>
          <w:rFonts w:ascii="Arial" w:cs="Arial" w:eastAsia="Arial" w:hAnsi="Arial"/>
          <w:sz w:val="15"/>
          <w:szCs w:val="15"/>
          <w:color w:val="2A2A31"/>
        </w:rPr>
        <w:t>If</w:t>
      </w:r>
      <w:r>
        <w:rPr>
          <w:rFonts w:ascii="Arial" w:cs="Arial" w:eastAsia="Arial" w:hAnsi="Arial"/>
          <w:sz w:val="15"/>
          <w:szCs w:val="15"/>
          <w:color w:val="575960"/>
        </w:rPr>
        <w:t>,</w:t>
      </w:r>
      <w:r>
        <w:rPr>
          <w:rFonts w:ascii="Arial" w:cs="Arial" w:eastAsia="Arial" w:hAnsi="Arial"/>
          <w:sz w:val="15"/>
          <w:szCs w:val="15"/>
          <w:color w:val="3D3F48"/>
        </w:rPr>
        <w:t xml:space="preserve"> after consultat</w:t>
      </w:r>
      <w:r>
        <w:rPr>
          <w:rFonts w:ascii="Arial" w:cs="Arial" w:eastAsia="Arial" w:hAnsi="Arial"/>
          <w:sz w:val="15"/>
          <w:szCs w:val="15"/>
          <w:color w:val="575960"/>
        </w:rPr>
        <w:t>i</w:t>
      </w:r>
      <w:r>
        <w:rPr>
          <w:rFonts w:ascii="Arial" w:cs="Arial" w:eastAsia="Arial" w:hAnsi="Arial"/>
          <w:sz w:val="15"/>
          <w:szCs w:val="15"/>
          <w:color w:val="3D3F48"/>
        </w:rPr>
        <w:t xml:space="preserve">on with Biogen, it </w:t>
      </w:r>
      <w:r>
        <w:rPr>
          <w:rFonts w:ascii="Arial" w:cs="Arial" w:eastAsia="Arial" w:hAnsi="Arial"/>
          <w:sz w:val="15"/>
          <w:szCs w:val="15"/>
          <w:color w:val="2A2A31"/>
        </w:rPr>
        <w:t>is</w:t>
      </w:r>
      <w:r>
        <w:rPr>
          <w:rFonts w:ascii="Arial" w:cs="Arial" w:eastAsia="Arial" w:hAnsi="Arial"/>
          <w:sz w:val="15"/>
          <w:szCs w:val="15"/>
          <w:color w:val="3D3F48"/>
        </w:rPr>
        <w:t xml:space="preserve"> </w:t>
      </w:r>
      <w:r>
        <w:rPr>
          <w:rFonts w:ascii="Arial" w:cs="Arial" w:eastAsia="Arial" w:hAnsi="Arial"/>
          <w:sz w:val="15"/>
          <w:szCs w:val="15"/>
          <w:color w:val="575960"/>
        </w:rPr>
        <w:t>a</w:t>
      </w:r>
      <w:r>
        <w:rPr>
          <w:rFonts w:ascii="Arial" w:cs="Arial" w:eastAsia="Arial" w:hAnsi="Arial"/>
          <w:sz w:val="15"/>
          <w:szCs w:val="15"/>
          <w:color w:val="3D3F48"/>
        </w:rPr>
        <w:t>g</w:t>
      </w:r>
      <w:r>
        <w:rPr>
          <w:rFonts w:ascii="Arial" w:cs="Arial" w:eastAsia="Arial" w:hAnsi="Arial"/>
          <w:sz w:val="15"/>
          <w:szCs w:val="15"/>
          <w:color w:val="575960"/>
        </w:rPr>
        <w:t>r</w:t>
      </w:r>
      <w:r>
        <w:rPr>
          <w:rFonts w:ascii="Arial" w:cs="Arial" w:eastAsia="Arial" w:hAnsi="Arial"/>
          <w:sz w:val="15"/>
          <w:szCs w:val="15"/>
          <w:color w:val="3D3F48"/>
        </w:rPr>
        <w:t xml:space="preserve">eed </w:t>
      </w:r>
      <w:r>
        <w:rPr>
          <w:rFonts w:ascii="Arial" w:cs="Arial" w:eastAsia="Arial" w:hAnsi="Arial"/>
          <w:sz w:val="15"/>
          <w:szCs w:val="15"/>
          <w:color w:val="2A2A31"/>
        </w:rPr>
        <w:t>that</w:t>
      </w:r>
      <w:r>
        <w:rPr>
          <w:rFonts w:ascii="Arial" w:cs="Arial" w:eastAsia="Arial" w:hAnsi="Arial"/>
          <w:sz w:val="15"/>
          <w:szCs w:val="15"/>
          <w:color w:val="3D3F48"/>
        </w:rPr>
        <w:t xml:space="preserve"> you should d</w:t>
      </w:r>
      <w:r>
        <w:rPr>
          <w:rFonts w:ascii="Arial" w:cs="Arial" w:eastAsia="Arial" w:hAnsi="Arial"/>
          <w:sz w:val="15"/>
          <w:szCs w:val="15"/>
          <w:color w:val="575960"/>
        </w:rPr>
        <w:t>i</w:t>
      </w:r>
      <w:r>
        <w:rPr>
          <w:rFonts w:ascii="Arial" w:cs="Arial" w:eastAsia="Arial" w:hAnsi="Arial"/>
          <w:sz w:val="15"/>
          <w:szCs w:val="15"/>
          <w:color w:val="3D3F48"/>
        </w:rPr>
        <w:t xml:space="preserve">spute a </w:t>
      </w:r>
      <w:r>
        <w:rPr>
          <w:rFonts w:ascii="Arial" w:cs="Arial" w:eastAsia="Arial" w:hAnsi="Arial"/>
          <w:sz w:val="15"/>
          <w:szCs w:val="15"/>
          <w:color w:val="2A2A31"/>
        </w:rPr>
        <w:t>determination</w:t>
      </w:r>
      <w:r>
        <w:rPr>
          <w:rFonts w:ascii="Arial" w:cs="Arial" w:eastAsia="Arial" w:hAnsi="Arial"/>
          <w:sz w:val="15"/>
          <w:szCs w:val="15"/>
          <w:color w:val="3D3F48"/>
        </w:rPr>
        <w:t xml:space="preserve"> by Pfi</w:t>
      </w:r>
      <w:r>
        <w:rPr>
          <w:rFonts w:ascii="Arial" w:cs="Arial" w:eastAsia="Arial" w:hAnsi="Arial"/>
          <w:sz w:val="15"/>
          <w:szCs w:val="15"/>
          <w:color w:val="575960"/>
        </w:rPr>
        <w:t>z</w:t>
      </w:r>
      <w:r>
        <w:rPr>
          <w:rFonts w:ascii="Arial" w:cs="Arial" w:eastAsia="Arial" w:hAnsi="Arial"/>
          <w:sz w:val="15"/>
          <w:szCs w:val="15"/>
          <w:color w:val="3D3F48"/>
        </w:rPr>
        <w:t>er as</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5"/>
          <w:szCs w:val="15"/>
          <w:color w:val="2A2A31"/>
        </w:rPr>
        <w:t xml:space="preserve">to the </w:t>
      </w:r>
      <w:r>
        <w:rPr>
          <w:rFonts w:ascii="Arial" w:cs="Arial" w:eastAsia="Arial" w:hAnsi="Arial"/>
          <w:sz w:val="15"/>
          <w:szCs w:val="15"/>
          <w:color w:val="3D3F48"/>
        </w:rPr>
        <w:t>appli</w:t>
      </w:r>
      <w:r>
        <w:rPr>
          <w:rFonts w:ascii="Arial" w:cs="Arial" w:eastAsia="Arial" w:hAnsi="Arial"/>
          <w:sz w:val="15"/>
          <w:szCs w:val="15"/>
          <w:color w:val="575960"/>
        </w:rPr>
        <w:t>c</w:t>
      </w:r>
      <w:r>
        <w:rPr>
          <w:rFonts w:ascii="Arial" w:cs="Arial" w:eastAsia="Arial" w:hAnsi="Arial"/>
          <w:sz w:val="15"/>
          <w:szCs w:val="15"/>
          <w:color w:val="3D3F48"/>
        </w:rPr>
        <w:t>ability of</w:t>
      </w:r>
      <w:r>
        <w:rPr>
          <w:rFonts w:ascii="Arial" w:cs="Arial" w:eastAsia="Arial" w:hAnsi="Arial"/>
          <w:sz w:val="15"/>
          <w:szCs w:val="15"/>
          <w:color w:val="2A2A31"/>
        </w:rPr>
        <w:t xml:space="preserve"> Part </w:t>
      </w:r>
      <w:r>
        <w:rPr>
          <w:rFonts w:ascii="Arial" w:cs="Arial" w:eastAsia="Arial" w:hAnsi="Arial"/>
          <w:sz w:val="15"/>
          <w:szCs w:val="15"/>
          <w:color w:val="3D3F48"/>
        </w:rPr>
        <w:t>6</w:t>
      </w:r>
      <w:r>
        <w:rPr>
          <w:rFonts w:ascii="Arial" w:cs="Arial" w:eastAsia="Arial" w:hAnsi="Arial"/>
          <w:sz w:val="15"/>
          <w:szCs w:val="15"/>
          <w:color w:val="575960"/>
        </w:rPr>
        <w:t>,</w:t>
      </w:r>
      <w:r>
        <w:rPr>
          <w:rFonts w:ascii="Arial" w:cs="Arial" w:eastAsia="Arial" w:hAnsi="Arial"/>
          <w:sz w:val="15"/>
          <w:szCs w:val="15"/>
          <w:color w:val="2A2A31"/>
        </w:rPr>
        <w:t xml:space="preserve"> </w:t>
      </w:r>
      <w:r>
        <w:rPr>
          <w:rFonts w:ascii="Arial" w:cs="Arial" w:eastAsia="Arial" w:hAnsi="Arial"/>
          <w:sz w:val="15"/>
          <w:szCs w:val="15"/>
          <w:color w:val="3D3F48"/>
        </w:rPr>
        <w:t>Section 3</w:t>
      </w:r>
      <w:r>
        <w:rPr>
          <w:rFonts w:ascii="Arial" w:cs="Arial" w:eastAsia="Arial" w:hAnsi="Arial"/>
          <w:sz w:val="15"/>
          <w:szCs w:val="15"/>
          <w:color w:val="575960"/>
        </w:rPr>
        <w:t>6,</w:t>
      </w:r>
      <w:r>
        <w:rPr>
          <w:rFonts w:ascii="Arial" w:cs="Arial" w:eastAsia="Arial" w:hAnsi="Arial"/>
          <w:sz w:val="15"/>
          <w:szCs w:val="15"/>
          <w:color w:val="2A2A31"/>
        </w:rPr>
        <w:t xml:space="preserve"> th</w:t>
      </w:r>
      <w:r>
        <w:rPr>
          <w:rFonts w:ascii="Arial" w:cs="Arial" w:eastAsia="Arial" w:hAnsi="Arial"/>
          <w:sz w:val="15"/>
          <w:szCs w:val="15"/>
          <w:color w:val="575960"/>
        </w:rPr>
        <w:t>e</w:t>
      </w:r>
      <w:r>
        <w:rPr>
          <w:rFonts w:ascii="Arial" w:cs="Arial" w:eastAsia="Arial" w:hAnsi="Arial"/>
          <w:sz w:val="15"/>
          <w:szCs w:val="15"/>
          <w:color w:val="3D3F48"/>
        </w:rPr>
        <w:t>n</w:t>
      </w:r>
      <w:r>
        <w:rPr>
          <w:rFonts w:ascii="Arial" w:cs="Arial" w:eastAsia="Arial" w:hAnsi="Arial"/>
          <w:sz w:val="15"/>
          <w:szCs w:val="15"/>
          <w:color w:val="2A2A31"/>
        </w:rPr>
        <w:t xml:space="preserve"> B</w:t>
      </w:r>
      <w:r>
        <w:rPr>
          <w:rFonts w:ascii="Arial" w:cs="Arial" w:eastAsia="Arial" w:hAnsi="Arial"/>
          <w:sz w:val="15"/>
          <w:szCs w:val="15"/>
          <w:color w:val="575960"/>
        </w:rPr>
        <w:t>io</w:t>
      </w:r>
      <w:r>
        <w:rPr>
          <w:rFonts w:ascii="Arial" w:cs="Arial" w:eastAsia="Arial" w:hAnsi="Arial"/>
          <w:sz w:val="15"/>
          <w:szCs w:val="15"/>
          <w:color w:val="3D3F48"/>
        </w:rPr>
        <w:t>g</w:t>
      </w:r>
      <w:r>
        <w:rPr>
          <w:rFonts w:ascii="Arial" w:cs="Arial" w:eastAsia="Arial" w:hAnsi="Arial"/>
          <w:sz w:val="15"/>
          <w:szCs w:val="15"/>
          <w:color w:val="575960"/>
        </w:rPr>
        <w:t>e</w:t>
      </w:r>
      <w:r>
        <w:rPr>
          <w:rFonts w:ascii="Arial" w:cs="Arial" w:eastAsia="Arial" w:hAnsi="Arial"/>
          <w:sz w:val="15"/>
          <w:szCs w:val="15"/>
          <w:color w:val="3D3F48"/>
        </w:rPr>
        <w:t>n shall</w:t>
      </w:r>
      <w:r>
        <w:rPr>
          <w:rFonts w:ascii="Arial" w:cs="Arial" w:eastAsia="Arial" w:hAnsi="Arial"/>
          <w:sz w:val="15"/>
          <w:szCs w:val="15"/>
          <w:color w:val="2A2A31"/>
        </w:rPr>
        <w:t xml:space="preserve"> </w:t>
      </w:r>
      <w:r>
        <w:rPr>
          <w:rFonts w:ascii="Arial" w:cs="Arial" w:eastAsia="Arial" w:hAnsi="Arial"/>
          <w:sz w:val="15"/>
          <w:szCs w:val="15"/>
          <w:color w:val="575960"/>
        </w:rPr>
        <w:t>pay</w:t>
      </w:r>
      <w:r>
        <w:rPr>
          <w:rFonts w:ascii="Arial" w:cs="Arial" w:eastAsia="Arial" w:hAnsi="Arial"/>
          <w:sz w:val="15"/>
          <w:szCs w:val="15"/>
          <w:color w:val="2A2A31"/>
        </w:rPr>
        <w:t xml:space="preserve"> </w:t>
      </w:r>
      <w:r>
        <w:rPr>
          <w:rFonts w:ascii="Arial" w:cs="Arial" w:eastAsia="Arial" w:hAnsi="Arial"/>
          <w:sz w:val="15"/>
          <w:szCs w:val="15"/>
          <w:color w:val="3D3F48"/>
        </w:rPr>
        <w:t>for or</w:t>
      </w:r>
      <w:r>
        <w:rPr>
          <w:rFonts w:ascii="Arial" w:cs="Arial" w:eastAsia="Arial" w:hAnsi="Arial"/>
          <w:sz w:val="15"/>
          <w:szCs w:val="15"/>
          <w:color w:val="2A2A31"/>
        </w:rPr>
        <w:t xml:space="preserve"> r</w:t>
      </w:r>
      <w:r>
        <w:rPr>
          <w:rFonts w:ascii="Arial" w:cs="Arial" w:eastAsia="Arial" w:hAnsi="Arial"/>
          <w:sz w:val="15"/>
          <w:szCs w:val="15"/>
          <w:color w:val="575960"/>
        </w:rPr>
        <w:t>e</w:t>
      </w:r>
      <w:r>
        <w:rPr>
          <w:rFonts w:ascii="Arial" w:cs="Arial" w:eastAsia="Arial" w:hAnsi="Arial"/>
          <w:sz w:val="15"/>
          <w:szCs w:val="15"/>
          <w:color w:val="3D3F48"/>
        </w:rPr>
        <w:t>imburse</w:t>
      </w:r>
      <w:r>
        <w:rPr>
          <w:rFonts w:ascii="Arial" w:cs="Arial" w:eastAsia="Arial" w:hAnsi="Arial"/>
          <w:sz w:val="15"/>
          <w:szCs w:val="15"/>
          <w:color w:val="2A2A31"/>
        </w:rPr>
        <w:t xml:space="preserve"> you for reasonable </w:t>
      </w:r>
      <w:r>
        <w:rPr>
          <w:rFonts w:ascii="Arial" w:cs="Arial" w:eastAsia="Arial" w:hAnsi="Arial"/>
          <w:sz w:val="15"/>
          <w:szCs w:val="15"/>
          <w:color w:val="3D3F48"/>
        </w:rPr>
        <w:t>attorneys'</w:t>
      </w:r>
      <w:r>
        <w:rPr>
          <w:rFonts w:ascii="Arial" w:cs="Arial" w:eastAsia="Arial" w:hAnsi="Arial"/>
          <w:sz w:val="15"/>
          <w:szCs w:val="15"/>
          <w:color w:val="2A2A31"/>
        </w:rPr>
        <w:t xml:space="preserve"> fees </w:t>
      </w:r>
      <w:r>
        <w:rPr>
          <w:rFonts w:ascii="Arial" w:cs="Arial" w:eastAsia="Arial" w:hAnsi="Arial"/>
          <w:sz w:val="15"/>
          <w:szCs w:val="15"/>
          <w:color w:val="3D3F48"/>
        </w:rPr>
        <w:t>and other</w:t>
      </w:r>
      <w:r>
        <w:rPr>
          <w:rFonts w:ascii="Arial" w:cs="Arial" w:eastAsia="Arial" w:hAnsi="Arial"/>
          <w:sz w:val="15"/>
          <w:szCs w:val="15"/>
          <w:color w:val="2A2A31"/>
        </w:rPr>
        <w:t xml:space="preserve"> reasonabl</w:t>
      </w:r>
      <w:r>
        <w:rPr>
          <w:rFonts w:ascii="Arial" w:cs="Arial" w:eastAsia="Arial" w:hAnsi="Arial"/>
          <w:sz w:val="15"/>
          <w:szCs w:val="15"/>
          <w:color w:val="575960"/>
        </w:rPr>
        <w:t>e</w:t>
      </w:r>
      <w:r>
        <w:rPr>
          <w:rFonts w:ascii="Arial" w:cs="Arial" w:eastAsia="Arial" w:hAnsi="Arial"/>
          <w:sz w:val="15"/>
          <w:szCs w:val="15"/>
          <w:color w:val="2A2A31"/>
        </w:rPr>
        <w:t xml:space="preserve"> legal </w:t>
      </w:r>
      <w:r>
        <w:rPr>
          <w:rFonts w:ascii="Arial" w:cs="Arial" w:eastAsia="Arial" w:hAnsi="Arial"/>
          <w:sz w:val="15"/>
          <w:szCs w:val="15"/>
          <w:color w:val="3D3F48"/>
        </w:rPr>
        <w:t>costs</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5"/>
          <w:szCs w:val="15"/>
          <w:color w:val="575960"/>
        </w:rPr>
        <w:t>i</w:t>
      </w:r>
      <w:r>
        <w:rPr>
          <w:rFonts w:ascii="Arial" w:cs="Arial" w:eastAsia="Arial" w:hAnsi="Arial"/>
          <w:sz w:val="15"/>
          <w:szCs w:val="15"/>
          <w:color w:val="3D3F48"/>
        </w:rPr>
        <w:t>n</w:t>
      </w:r>
      <w:r>
        <w:rPr>
          <w:rFonts w:ascii="Arial" w:cs="Arial" w:eastAsia="Arial" w:hAnsi="Arial"/>
          <w:sz w:val="15"/>
          <w:szCs w:val="15"/>
          <w:color w:val="575960"/>
        </w:rPr>
        <w:t>c</w:t>
      </w:r>
      <w:r>
        <w:rPr>
          <w:rFonts w:ascii="Arial" w:cs="Arial" w:eastAsia="Arial" w:hAnsi="Arial"/>
          <w:sz w:val="15"/>
          <w:szCs w:val="15"/>
          <w:color w:val="3D3F48"/>
        </w:rPr>
        <w:t>urr</w:t>
      </w:r>
      <w:r>
        <w:rPr>
          <w:rFonts w:ascii="Arial" w:cs="Arial" w:eastAsia="Arial" w:hAnsi="Arial"/>
          <w:sz w:val="15"/>
          <w:szCs w:val="15"/>
          <w:color w:val="575960"/>
        </w:rPr>
        <w:t>e</w:t>
      </w:r>
      <w:r>
        <w:rPr>
          <w:rFonts w:ascii="Arial" w:cs="Arial" w:eastAsia="Arial" w:hAnsi="Arial"/>
          <w:sz w:val="15"/>
          <w:szCs w:val="15"/>
          <w:color w:val="3D3F48"/>
        </w:rPr>
        <w:t>d</w:t>
      </w:r>
      <w:r>
        <w:rPr>
          <w:rFonts w:ascii="Arial" w:cs="Arial" w:eastAsia="Arial" w:hAnsi="Arial"/>
          <w:sz w:val="15"/>
          <w:szCs w:val="15"/>
          <w:color w:val="575960"/>
        </w:rPr>
        <w:t xml:space="preserve"> </w:t>
      </w:r>
      <w:r>
        <w:rPr>
          <w:rFonts w:ascii="Arial" w:cs="Arial" w:eastAsia="Arial" w:hAnsi="Arial"/>
          <w:sz w:val="15"/>
          <w:szCs w:val="15"/>
          <w:color w:val="2A2A31"/>
        </w:rPr>
        <w:t>to d</w:t>
      </w:r>
      <w:r>
        <w:rPr>
          <w:rFonts w:ascii="Arial" w:cs="Arial" w:eastAsia="Arial" w:hAnsi="Arial"/>
          <w:sz w:val="15"/>
          <w:szCs w:val="15"/>
          <w:color w:val="575960"/>
        </w:rPr>
        <w:t>i</w:t>
      </w:r>
      <w:r>
        <w:rPr>
          <w:rFonts w:ascii="Arial" w:cs="Arial" w:eastAsia="Arial" w:hAnsi="Arial"/>
          <w:sz w:val="15"/>
          <w:szCs w:val="15"/>
          <w:color w:val="3D3F48"/>
        </w:rPr>
        <w:t>spute such determination</w:t>
      </w:r>
      <w:r>
        <w:rPr>
          <w:rFonts w:ascii="Arial" w:cs="Arial" w:eastAsia="Arial" w:hAnsi="Arial"/>
          <w:sz w:val="15"/>
          <w:szCs w:val="15"/>
          <w:color w:val="575960"/>
        </w:rPr>
        <w:t xml:space="preserve">. </w:t>
      </w:r>
      <w:r>
        <w:rPr>
          <w:rFonts w:ascii="Arial" w:cs="Arial" w:eastAsia="Arial" w:hAnsi="Arial"/>
          <w:sz w:val="15"/>
          <w:szCs w:val="15"/>
          <w:color w:val="2A2A31"/>
        </w:rPr>
        <w:t>Notwithstanding anything</w:t>
      </w:r>
      <w:r>
        <w:rPr>
          <w:rFonts w:ascii="Arial" w:cs="Arial" w:eastAsia="Arial" w:hAnsi="Arial"/>
          <w:sz w:val="15"/>
          <w:szCs w:val="15"/>
          <w:color w:val="575960"/>
        </w:rPr>
        <w:t xml:space="preserve"> </w:t>
      </w:r>
      <w:r>
        <w:rPr>
          <w:rFonts w:ascii="Arial" w:cs="Arial" w:eastAsia="Arial" w:hAnsi="Arial"/>
          <w:sz w:val="15"/>
          <w:szCs w:val="15"/>
          <w:color w:val="3D3F48"/>
        </w:rPr>
        <w:t>in</w:t>
      </w:r>
      <w:r>
        <w:rPr>
          <w:rFonts w:ascii="Arial" w:cs="Arial" w:eastAsia="Arial" w:hAnsi="Arial"/>
          <w:sz w:val="15"/>
          <w:szCs w:val="15"/>
          <w:color w:val="575960"/>
        </w:rPr>
        <w:t xml:space="preserve"> </w:t>
      </w:r>
      <w:r>
        <w:rPr>
          <w:rFonts w:ascii="Arial" w:cs="Arial" w:eastAsia="Arial" w:hAnsi="Arial"/>
          <w:sz w:val="15"/>
          <w:szCs w:val="15"/>
          <w:color w:val="2A2A31"/>
        </w:rPr>
        <w:t>the immediately</w:t>
      </w:r>
      <w:r>
        <w:rPr>
          <w:rFonts w:ascii="Arial" w:cs="Arial" w:eastAsia="Arial" w:hAnsi="Arial"/>
          <w:sz w:val="15"/>
          <w:szCs w:val="15"/>
          <w:color w:val="575960"/>
        </w:rPr>
        <w:t xml:space="preserve"> </w:t>
      </w:r>
      <w:r>
        <w:rPr>
          <w:rFonts w:ascii="Arial" w:cs="Arial" w:eastAsia="Arial" w:hAnsi="Arial"/>
          <w:sz w:val="15"/>
          <w:szCs w:val="15"/>
          <w:color w:val="3D3F48"/>
        </w:rPr>
        <w:t>pre</w:t>
      </w:r>
      <w:r>
        <w:rPr>
          <w:rFonts w:ascii="Arial" w:cs="Arial" w:eastAsia="Arial" w:hAnsi="Arial"/>
          <w:sz w:val="15"/>
          <w:szCs w:val="15"/>
          <w:color w:val="575960"/>
        </w:rPr>
        <w:t>c</w:t>
      </w:r>
      <w:r>
        <w:rPr>
          <w:rFonts w:ascii="Arial" w:cs="Arial" w:eastAsia="Arial" w:hAnsi="Arial"/>
          <w:sz w:val="15"/>
          <w:szCs w:val="15"/>
          <w:color w:val="3D3F48"/>
        </w:rPr>
        <w:t>ed</w:t>
      </w:r>
      <w:r>
        <w:rPr>
          <w:rFonts w:ascii="Arial" w:cs="Arial" w:eastAsia="Arial" w:hAnsi="Arial"/>
          <w:sz w:val="15"/>
          <w:szCs w:val="15"/>
          <w:color w:val="575960"/>
        </w:rPr>
        <w:t>i</w:t>
      </w:r>
      <w:r>
        <w:rPr>
          <w:rFonts w:ascii="Arial" w:cs="Arial" w:eastAsia="Arial" w:hAnsi="Arial"/>
          <w:sz w:val="15"/>
          <w:szCs w:val="15"/>
          <w:color w:val="3D3F48"/>
        </w:rPr>
        <w:t>ng</w:t>
      </w:r>
      <w:r>
        <w:rPr>
          <w:rFonts w:ascii="Arial" w:cs="Arial" w:eastAsia="Arial" w:hAnsi="Arial"/>
          <w:sz w:val="15"/>
          <w:szCs w:val="15"/>
          <w:color w:val="575960"/>
        </w:rPr>
        <w:t xml:space="preserve"> </w:t>
      </w:r>
      <w:r>
        <w:rPr>
          <w:rFonts w:ascii="Arial" w:cs="Arial" w:eastAsia="Arial" w:hAnsi="Arial"/>
          <w:sz w:val="15"/>
          <w:szCs w:val="15"/>
          <w:color w:val="2A2A31"/>
        </w:rPr>
        <w:t>sent</w:t>
      </w:r>
      <w:r>
        <w:rPr>
          <w:rFonts w:ascii="Arial" w:cs="Arial" w:eastAsia="Arial" w:hAnsi="Arial"/>
          <w:sz w:val="15"/>
          <w:szCs w:val="15"/>
          <w:color w:val="757980"/>
        </w:rPr>
        <w:t>e</w:t>
      </w:r>
      <w:r>
        <w:rPr>
          <w:rFonts w:ascii="Arial" w:cs="Arial" w:eastAsia="Arial" w:hAnsi="Arial"/>
          <w:sz w:val="15"/>
          <w:szCs w:val="15"/>
          <w:color w:val="3D3F48"/>
        </w:rPr>
        <w:t>nce</w:t>
      </w:r>
      <w:r>
        <w:rPr>
          <w:rFonts w:ascii="Arial" w:cs="Arial" w:eastAsia="Arial" w:hAnsi="Arial"/>
          <w:sz w:val="15"/>
          <w:szCs w:val="15"/>
          <w:color w:val="575960"/>
        </w:rPr>
        <w:t xml:space="preserve"> </w:t>
      </w:r>
      <w:r>
        <w:rPr>
          <w:rFonts w:ascii="Arial" w:cs="Arial" w:eastAsia="Arial" w:hAnsi="Arial"/>
          <w:sz w:val="15"/>
          <w:szCs w:val="15"/>
          <w:color w:val="2A2A31"/>
        </w:rPr>
        <w:t>to the</w:t>
      </w:r>
      <w:r>
        <w:rPr>
          <w:rFonts w:ascii="Arial" w:cs="Arial" w:eastAsia="Arial" w:hAnsi="Arial"/>
          <w:sz w:val="15"/>
          <w:szCs w:val="15"/>
          <w:color w:val="575960"/>
        </w:rPr>
        <w:t xml:space="preserve"> </w:t>
      </w:r>
      <w:r>
        <w:rPr>
          <w:rFonts w:ascii="Arial" w:cs="Arial" w:eastAsia="Arial" w:hAnsi="Arial"/>
          <w:sz w:val="15"/>
          <w:szCs w:val="15"/>
          <w:color w:val="3D3F48"/>
        </w:rPr>
        <w:t>contrary,</w:t>
      </w:r>
      <w:r>
        <w:rPr>
          <w:rFonts w:ascii="Arial" w:cs="Arial" w:eastAsia="Arial" w:hAnsi="Arial"/>
          <w:sz w:val="15"/>
          <w:szCs w:val="15"/>
          <w:color w:val="575960"/>
        </w:rPr>
        <w:t xml:space="preserve"> </w:t>
      </w:r>
      <w:r>
        <w:rPr>
          <w:rFonts w:ascii="Arial" w:cs="Arial" w:eastAsia="Arial" w:hAnsi="Arial"/>
          <w:sz w:val="15"/>
          <w:szCs w:val="15"/>
          <w:color w:val="2A2A31"/>
        </w:rPr>
        <w:t>Biog</w:t>
      </w:r>
      <w:r>
        <w:rPr>
          <w:rFonts w:ascii="Arial" w:cs="Arial" w:eastAsia="Arial" w:hAnsi="Arial"/>
          <w:sz w:val="15"/>
          <w:szCs w:val="15"/>
          <w:color w:val="575960"/>
        </w:rPr>
        <w:t>e</w:t>
      </w:r>
      <w:r>
        <w:rPr>
          <w:rFonts w:ascii="Arial" w:cs="Arial" w:eastAsia="Arial" w:hAnsi="Arial"/>
          <w:sz w:val="15"/>
          <w:szCs w:val="15"/>
          <w:color w:val="3D3F48"/>
        </w:rPr>
        <w:t>n</w:t>
      </w:r>
      <w:r>
        <w:rPr>
          <w:rFonts w:ascii="Arial" w:cs="Arial" w:eastAsia="Arial" w:hAnsi="Arial"/>
          <w:sz w:val="15"/>
          <w:szCs w:val="15"/>
          <w:color w:val="575960"/>
        </w:rPr>
        <w:t>'</w:t>
      </w:r>
      <w:r>
        <w:rPr>
          <w:rFonts w:ascii="Arial" w:cs="Arial" w:eastAsia="Arial" w:hAnsi="Arial"/>
          <w:sz w:val="15"/>
          <w:szCs w:val="15"/>
          <w:color w:val="2A2A31"/>
        </w:rPr>
        <w:t>s</w:t>
      </w:r>
      <w:r>
        <w:rPr>
          <w:rFonts w:ascii="Arial" w:cs="Arial" w:eastAsia="Arial" w:hAnsi="Arial"/>
          <w:sz w:val="15"/>
          <w:szCs w:val="15"/>
          <w:color w:val="575960"/>
        </w:rPr>
        <w:t xml:space="preserve"> </w:t>
      </w:r>
      <w:r>
        <w:rPr>
          <w:rFonts w:ascii="Arial" w:cs="Arial" w:eastAsia="Arial" w:hAnsi="Arial"/>
          <w:sz w:val="15"/>
          <w:szCs w:val="15"/>
          <w:color w:val="3D3F48"/>
        </w:rPr>
        <w:t>obligations</w:t>
      </w:r>
      <w:r>
        <w:rPr>
          <w:rFonts w:ascii="Arial" w:cs="Arial" w:eastAsia="Arial" w:hAnsi="Arial"/>
          <w:sz w:val="15"/>
          <w:szCs w:val="15"/>
          <w:color w:val="575960"/>
        </w:rPr>
        <w:t xml:space="preserve"> </w:t>
      </w:r>
      <w:r>
        <w:rPr>
          <w:rFonts w:ascii="Arial" w:cs="Arial" w:eastAsia="Arial" w:hAnsi="Arial"/>
          <w:sz w:val="15"/>
          <w:szCs w:val="15"/>
          <w:color w:val="2A2A31"/>
        </w:rPr>
        <w:t>to</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5"/>
          <w:szCs w:val="15"/>
          <w:color w:val="2A2A31"/>
        </w:rPr>
        <w:t xml:space="preserve">bear the fees </w:t>
      </w:r>
      <w:r>
        <w:rPr>
          <w:rFonts w:ascii="Arial" w:cs="Arial" w:eastAsia="Arial" w:hAnsi="Arial"/>
          <w:sz w:val="15"/>
          <w:szCs w:val="15"/>
          <w:color w:val="3D3F48"/>
        </w:rPr>
        <w:t>and</w:t>
      </w:r>
      <w:r>
        <w:rPr>
          <w:rFonts w:ascii="Arial" w:cs="Arial" w:eastAsia="Arial" w:hAnsi="Arial"/>
          <w:sz w:val="15"/>
          <w:szCs w:val="15"/>
          <w:color w:val="2A2A31"/>
        </w:rPr>
        <w:t xml:space="preserve"> costs of disputing th</w:t>
      </w:r>
      <w:r>
        <w:rPr>
          <w:rFonts w:ascii="Arial" w:cs="Arial" w:eastAsia="Arial" w:hAnsi="Arial"/>
          <w:sz w:val="15"/>
          <w:szCs w:val="15"/>
          <w:color w:val="757980"/>
        </w:rPr>
        <w:t>e</w:t>
      </w:r>
      <w:r>
        <w:rPr>
          <w:rFonts w:ascii="Arial" w:cs="Arial" w:eastAsia="Arial" w:hAnsi="Arial"/>
          <w:sz w:val="15"/>
          <w:szCs w:val="15"/>
          <w:color w:val="2A2A31"/>
        </w:rPr>
        <w:t xml:space="preserve"> </w:t>
      </w:r>
      <w:r>
        <w:rPr>
          <w:rFonts w:ascii="Arial" w:cs="Arial" w:eastAsia="Arial" w:hAnsi="Arial"/>
          <w:sz w:val="15"/>
          <w:szCs w:val="15"/>
          <w:color w:val="3D3F48"/>
        </w:rPr>
        <w:t>det</w:t>
      </w:r>
      <w:r>
        <w:rPr>
          <w:rFonts w:ascii="Arial" w:cs="Arial" w:eastAsia="Arial" w:hAnsi="Arial"/>
          <w:sz w:val="15"/>
          <w:szCs w:val="15"/>
          <w:color w:val="575960"/>
        </w:rPr>
        <w:t>e</w:t>
      </w:r>
      <w:r>
        <w:rPr>
          <w:rFonts w:ascii="Arial" w:cs="Arial" w:eastAsia="Arial" w:hAnsi="Arial"/>
          <w:sz w:val="15"/>
          <w:szCs w:val="15"/>
          <w:color w:val="2A2A31"/>
        </w:rPr>
        <w:t xml:space="preserve">rmination </w:t>
      </w:r>
      <w:r>
        <w:rPr>
          <w:rFonts w:ascii="Arial" w:cs="Arial" w:eastAsia="Arial" w:hAnsi="Arial"/>
          <w:sz w:val="15"/>
          <w:szCs w:val="15"/>
          <w:color w:val="3D3F48"/>
        </w:rPr>
        <w:t>depend upon</w:t>
      </w:r>
      <w:r>
        <w:rPr>
          <w:rFonts w:ascii="Arial" w:cs="Arial" w:eastAsia="Arial" w:hAnsi="Arial"/>
          <w:sz w:val="15"/>
          <w:szCs w:val="15"/>
          <w:color w:val="9E9EA0"/>
        </w:rPr>
        <w:t>:</w:t>
      </w:r>
      <w:r>
        <w:rPr>
          <w:rFonts w:ascii="Arial" w:cs="Arial" w:eastAsia="Arial" w:hAnsi="Arial"/>
          <w:sz w:val="15"/>
          <w:szCs w:val="15"/>
          <w:color w:val="2A2A31"/>
        </w:rPr>
        <w:t xml:space="preserve"> </w:t>
      </w:r>
      <w:r>
        <w:rPr>
          <w:rFonts w:ascii="Arial" w:cs="Arial" w:eastAsia="Arial" w:hAnsi="Arial"/>
          <w:sz w:val="15"/>
          <w:szCs w:val="15"/>
          <w:color w:val="3D3F48"/>
        </w:rPr>
        <w:t>(a) your providing written notice</w:t>
      </w:r>
      <w:r>
        <w:rPr>
          <w:rFonts w:ascii="Arial" w:cs="Arial" w:eastAsia="Arial" w:hAnsi="Arial"/>
          <w:sz w:val="15"/>
          <w:szCs w:val="15"/>
          <w:color w:val="2A2A31"/>
        </w:rPr>
        <w:t xml:space="preserve"> to Biogen </w:t>
      </w:r>
      <w:r>
        <w:rPr>
          <w:rFonts w:ascii="Arial" w:cs="Arial" w:eastAsia="Arial" w:hAnsi="Arial"/>
          <w:sz w:val="15"/>
          <w:szCs w:val="15"/>
          <w:color w:val="3D3F48"/>
        </w:rPr>
        <w:t>within 30</w:t>
      </w:r>
      <w:r>
        <w:rPr>
          <w:rFonts w:ascii="Arial" w:cs="Arial" w:eastAsia="Arial" w:hAnsi="Arial"/>
          <w:sz w:val="15"/>
          <w:szCs w:val="15"/>
          <w:color w:val="2A2A31"/>
        </w:rPr>
        <w:t xml:space="preserve"> days </w:t>
      </w:r>
      <w:r>
        <w:rPr>
          <w:rFonts w:ascii="Arial" w:cs="Arial" w:eastAsia="Arial" w:hAnsi="Arial"/>
          <w:sz w:val="15"/>
          <w:szCs w:val="15"/>
          <w:color w:val="3D3F48"/>
        </w:rPr>
        <w:t>of P</w:t>
      </w:r>
      <w:r>
        <w:rPr>
          <w:rFonts w:ascii="Arial" w:cs="Arial" w:eastAsia="Arial" w:hAnsi="Arial"/>
          <w:sz w:val="15"/>
          <w:szCs w:val="15"/>
          <w:color w:val="233B4F"/>
        </w:rPr>
        <w:t>f</w:t>
      </w:r>
      <w:r>
        <w:rPr>
          <w:rFonts w:ascii="Arial" w:cs="Arial" w:eastAsia="Arial" w:hAnsi="Arial"/>
          <w:sz w:val="15"/>
          <w:szCs w:val="15"/>
          <w:color w:val="2A2A31"/>
        </w:rPr>
        <w:t>i</w:t>
      </w:r>
      <w:r>
        <w:rPr>
          <w:rFonts w:ascii="Arial" w:cs="Arial" w:eastAsia="Arial" w:hAnsi="Arial"/>
          <w:sz w:val="15"/>
          <w:szCs w:val="15"/>
          <w:color w:val="575960"/>
        </w:rPr>
        <w:t>ze</w:t>
      </w:r>
      <w:r>
        <w:rPr>
          <w:rFonts w:ascii="Arial" w:cs="Arial" w:eastAsia="Arial" w:hAnsi="Arial"/>
          <w:sz w:val="15"/>
          <w:szCs w:val="15"/>
          <w:color w:val="3D3F48"/>
        </w:rPr>
        <w:t>r</w:t>
      </w:r>
      <w:r>
        <w:rPr>
          <w:rFonts w:ascii="Arial" w:cs="Arial" w:eastAsia="Arial" w:hAnsi="Arial"/>
          <w:sz w:val="15"/>
          <w:szCs w:val="15"/>
          <w:color w:val="2A2A31"/>
        </w:rPr>
        <w:t xml:space="preserve"> inf</w:t>
      </w:r>
      <w:r>
        <w:rPr>
          <w:rFonts w:ascii="Arial" w:cs="Arial" w:eastAsia="Arial" w:hAnsi="Arial"/>
          <w:sz w:val="15"/>
          <w:szCs w:val="15"/>
          <w:color w:val="575960"/>
        </w:rPr>
        <w:t>o</w:t>
      </w:r>
      <w:r>
        <w:rPr>
          <w:rFonts w:ascii="Arial" w:cs="Arial" w:eastAsia="Arial" w:hAnsi="Arial"/>
          <w:sz w:val="15"/>
          <w:szCs w:val="15"/>
          <w:color w:val="757980"/>
        </w:rPr>
        <w:t>r</w:t>
      </w:r>
      <w:r>
        <w:rPr>
          <w:rFonts w:ascii="Arial" w:cs="Arial" w:eastAsia="Arial" w:hAnsi="Arial"/>
          <w:sz w:val="15"/>
          <w:szCs w:val="15"/>
          <w:color w:val="575960"/>
        </w:rPr>
        <w:t>m</w:t>
      </w:r>
      <w:r>
        <w:rPr>
          <w:rFonts w:ascii="Arial" w:cs="Arial" w:eastAsia="Arial" w:hAnsi="Arial"/>
          <w:sz w:val="15"/>
          <w:szCs w:val="15"/>
          <w:color w:val="3D3F48"/>
        </w:rPr>
        <w:t>i</w:t>
      </w:r>
      <w:r>
        <w:rPr>
          <w:rFonts w:ascii="Arial" w:cs="Arial" w:eastAsia="Arial" w:hAnsi="Arial"/>
          <w:sz w:val="15"/>
          <w:szCs w:val="15"/>
          <w:color w:val="575960"/>
        </w:rPr>
        <w:t>n</w:t>
      </w:r>
      <w:r>
        <w:rPr>
          <w:rFonts w:ascii="Arial" w:cs="Arial" w:eastAsia="Arial" w:hAnsi="Arial"/>
          <w:sz w:val="15"/>
          <w:szCs w:val="15"/>
          <w:color w:val="3D3F48"/>
        </w:rPr>
        <w:t>g</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5"/>
          <w:szCs w:val="15"/>
          <w:color w:val="3D3F48"/>
        </w:rPr>
        <w:t>you of an ad</w:t>
      </w:r>
      <w:r>
        <w:rPr>
          <w:rFonts w:ascii="Arial" w:cs="Arial" w:eastAsia="Arial" w:hAnsi="Arial"/>
          <w:sz w:val="15"/>
          <w:szCs w:val="15"/>
          <w:color w:val="575960"/>
        </w:rPr>
        <w:t>v</w:t>
      </w:r>
      <w:r>
        <w:rPr>
          <w:rFonts w:ascii="Arial" w:cs="Arial" w:eastAsia="Arial" w:hAnsi="Arial"/>
          <w:sz w:val="15"/>
          <w:szCs w:val="15"/>
          <w:color w:val="3D3F48"/>
        </w:rPr>
        <w:t xml:space="preserve">erse </w:t>
      </w:r>
      <w:r>
        <w:rPr>
          <w:rFonts w:ascii="Arial" w:cs="Arial" w:eastAsia="Arial" w:hAnsi="Arial"/>
          <w:sz w:val="15"/>
          <w:szCs w:val="15"/>
          <w:color w:val="2A2A31"/>
        </w:rPr>
        <w:t>determination</w:t>
      </w:r>
      <w:r>
        <w:rPr>
          <w:rFonts w:ascii="Arial" w:cs="Arial" w:eastAsia="Arial" w:hAnsi="Arial"/>
          <w:sz w:val="15"/>
          <w:szCs w:val="15"/>
          <w:color w:val="3D3F48"/>
        </w:rPr>
        <w:t xml:space="preserve"> pursuant </w:t>
      </w:r>
      <w:r>
        <w:rPr>
          <w:rFonts w:ascii="Arial" w:cs="Arial" w:eastAsia="Arial" w:hAnsi="Arial"/>
          <w:sz w:val="15"/>
          <w:szCs w:val="15"/>
          <w:color w:val="2A2A31"/>
        </w:rPr>
        <w:t>to Part</w:t>
      </w:r>
      <w:r>
        <w:rPr>
          <w:rFonts w:ascii="Arial" w:cs="Arial" w:eastAsia="Arial" w:hAnsi="Arial"/>
          <w:sz w:val="15"/>
          <w:szCs w:val="15"/>
          <w:color w:val="3D3F48"/>
        </w:rPr>
        <w:t xml:space="preserve"> 6</w:t>
      </w:r>
      <w:r>
        <w:rPr>
          <w:rFonts w:ascii="Arial" w:cs="Arial" w:eastAsia="Arial" w:hAnsi="Arial"/>
          <w:sz w:val="15"/>
          <w:szCs w:val="15"/>
          <w:color w:val="575960"/>
        </w:rPr>
        <w:t>,</w:t>
      </w:r>
      <w:r>
        <w:rPr>
          <w:rFonts w:ascii="Arial" w:cs="Arial" w:eastAsia="Arial" w:hAnsi="Arial"/>
          <w:sz w:val="15"/>
          <w:szCs w:val="15"/>
          <w:color w:val="3D3F48"/>
        </w:rPr>
        <w:t xml:space="preserve"> Section 36</w:t>
      </w:r>
      <w:r>
        <w:rPr>
          <w:rFonts w:ascii="Arial" w:cs="Arial" w:eastAsia="Arial" w:hAnsi="Arial"/>
          <w:sz w:val="15"/>
          <w:szCs w:val="15"/>
          <w:color w:val="757980"/>
        </w:rPr>
        <w:t>;</w:t>
      </w:r>
      <w:r>
        <w:rPr>
          <w:rFonts w:ascii="Arial" w:cs="Arial" w:eastAsia="Arial" w:hAnsi="Arial"/>
          <w:sz w:val="15"/>
          <w:szCs w:val="15"/>
          <w:color w:val="3D3F48"/>
        </w:rPr>
        <w:t xml:space="preserve"> </w:t>
      </w:r>
      <w:r>
        <w:rPr>
          <w:rFonts w:ascii="Arial" w:cs="Arial" w:eastAsia="Arial" w:hAnsi="Arial"/>
          <w:sz w:val="15"/>
          <w:szCs w:val="15"/>
          <w:color w:val="575960"/>
        </w:rPr>
        <w:t>(</w:t>
      </w:r>
      <w:r>
        <w:rPr>
          <w:rFonts w:ascii="Arial" w:cs="Arial" w:eastAsia="Arial" w:hAnsi="Arial"/>
          <w:sz w:val="15"/>
          <w:szCs w:val="15"/>
          <w:color w:val="3D3F48"/>
        </w:rPr>
        <w:t xml:space="preserve">b) </w:t>
      </w:r>
      <w:r>
        <w:rPr>
          <w:rFonts w:ascii="Arial" w:cs="Arial" w:eastAsia="Arial" w:hAnsi="Arial"/>
          <w:sz w:val="15"/>
          <w:szCs w:val="15"/>
          <w:color w:val="2A2A31"/>
        </w:rPr>
        <w:t>Biogen</w:t>
      </w:r>
      <w:r>
        <w:rPr>
          <w:rFonts w:ascii="Arial" w:cs="Arial" w:eastAsia="Arial" w:hAnsi="Arial"/>
          <w:sz w:val="15"/>
          <w:szCs w:val="15"/>
          <w:color w:val="575960"/>
        </w:rPr>
        <w:t>'</w:t>
      </w:r>
      <w:r>
        <w:rPr>
          <w:rFonts w:ascii="Arial" w:cs="Arial" w:eastAsia="Arial" w:hAnsi="Arial"/>
          <w:sz w:val="15"/>
          <w:szCs w:val="15"/>
          <w:color w:val="3D3F48"/>
        </w:rPr>
        <w:t>s ri</w:t>
      </w:r>
      <w:r>
        <w:rPr>
          <w:rFonts w:ascii="Arial" w:cs="Arial" w:eastAsia="Arial" w:hAnsi="Arial"/>
          <w:sz w:val="15"/>
          <w:szCs w:val="15"/>
          <w:color w:val="575960"/>
        </w:rPr>
        <w:t>g</w:t>
      </w:r>
      <w:r>
        <w:rPr>
          <w:rFonts w:ascii="Arial" w:cs="Arial" w:eastAsia="Arial" w:hAnsi="Arial"/>
          <w:sz w:val="15"/>
          <w:szCs w:val="15"/>
          <w:color w:val="3D3F48"/>
        </w:rPr>
        <w:t xml:space="preserve">ht </w:t>
      </w:r>
      <w:r>
        <w:rPr>
          <w:rFonts w:ascii="Arial" w:cs="Arial" w:eastAsia="Arial" w:hAnsi="Arial"/>
          <w:sz w:val="15"/>
          <w:szCs w:val="15"/>
          <w:color w:val="2A2A31"/>
        </w:rPr>
        <w:t>to</w:t>
      </w:r>
      <w:r>
        <w:rPr>
          <w:rFonts w:ascii="Arial" w:cs="Arial" w:eastAsia="Arial" w:hAnsi="Arial"/>
          <w:sz w:val="15"/>
          <w:szCs w:val="15"/>
          <w:color w:val="3D3F48"/>
        </w:rPr>
        <w:t xml:space="preserve"> s</w:t>
      </w:r>
      <w:r>
        <w:rPr>
          <w:rFonts w:ascii="Arial" w:cs="Arial" w:eastAsia="Arial" w:hAnsi="Arial"/>
          <w:sz w:val="15"/>
          <w:szCs w:val="15"/>
          <w:color w:val="575960"/>
        </w:rPr>
        <w:t>e</w:t>
      </w:r>
      <w:r>
        <w:rPr>
          <w:rFonts w:ascii="Arial" w:cs="Arial" w:eastAsia="Arial" w:hAnsi="Arial"/>
          <w:sz w:val="15"/>
          <w:szCs w:val="15"/>
          <w:color w:val="2A2A31"/>
        </w:rPr>
        <w:t>l</w:t>
      </w:r>
      <w:r>
        <w:rPr>
          <w:rFonts w:ascii="Arial" w:cs="Arial" w:eastAsia="Arial" w:hAnsi="Arial"/>
          <w:sz w:val="15"/>
          <w:szCs w:val="15"/>
          <w:color w:val="575960"/>
        </w:rPr>
        <w:t>ec</w:t>
      </w:r>
      <w:r>
        <w:rPr>
          <w:rFonts w:ascii="Arial" w:cs="Arial" w:eastAsia="Arial" w:hAnsi="Arial"/>
          <w:sz w:val="15"/>
          <w:szCs w:val="15"/>
          <w:color w:val="3D3F48"/>
        </w:rPr>
        <w:t xml:space="preserve">t and </w:t>
      </w:r>
      <w:r>
        <w:rPr>
          <w:rFonts w:ascii="Arial" w:cs="Arial" w:eastAsia="Arial" w:hAnsi="Arial"/>
          <w:sz w:val="15"/>
          <w:szCs w:val="15"/>
          <w:color w:val="2A2A31"/>
        </w:rPr>
        <w:t>reta</w:t>
      </w:r>
      <w:r>
        <w:rPr>
          <w:rFonts w:ascii="Arial" w:cs="Arial" w:eastAsia="Arial" w:hAnsi="Arial"/>
          <w:sz w:val="15"/>
          <w:szCs w:val="15"/>
          <w:color w:val="575960"/>
        </w:rPr>
        <w:t>i</w:t>
      </w:r>
      <w:r>
        <w:rPr>
          <w:rFonts w:ascii="Arial" w:cs="Arial" w:eastAsia="Arial" w:hAnsi="Arial"/>
          <w:sz w:val="15"/>
          <w:szCs w:val="15"/>
          <w:color w:val="3D3F48"/>
        </w:rPr>
        <w:t xml:space="preserve">n </w:t>
      </w:r>
      <w:r>
        <w:rPr>
          <w:rFonts w:ascii="Arial" w:cs="Arial" w:eastAsia="Arial" w:hAnsi="Arial"/>
          <w:sz w:val="15"/>
          <w:szCs w:val="15"/>
          <w:color w:val="2A2A31"/>
        </w:rPr>
        <w:t>approp</w:t>
      </w:r>
      <w:r>
        <w:rPr>
          <w:rFonts w:ascii="Arial" w:cs="Arial" w:eastAsia="Arial" w:hAnsi="Arial"/>
          <w:sz w:val="15"/>
          <w:szCs w:val="15"/>
          <w:color w:val="575960"/>
        </w:rPr>
        <w:t>r</w:t>
      </w:r>
      <w:r>
        <w:rPr>
          <w:rFonts w:ascii="Arial" w:cs="Arial" w:eastAsia="Arial" w:hAnsi="Arial"/>
          <w:sz w:val="15"/>
          <w:szCs w:val="15"/>
          <w:color w:val="3D3F48"/>
        </w:rPr>
        <w:t xml:space="preserve">iate </w:t>
      </w:r>
      <w:r>
        <w:rPr>
          <w:rFonts w:ascii="Arial" w:cs="Arial" w:eastAsia="Arial" w:hAnsi="Arial"/>
          <w:sz w:val="15"/>
          <w:szCs w:val="15"/>
          <w:color w:val="575960"/>
        </w:rPr>
        <w:t>c</w:t>
      </w:r>
      <w:r>
        <w:rPr>
          <w:rFonts w:ascii="Arial" w:cs="Arial" w:eastAsia="Arial" w:hAnsi="Arial"/>
          <w:sz w:val="15"/>
          <w:szCs w:val="15"/>
          <w:color w:val="3D3F48"/>
        </w:rPr>
        <w:t>ounsel</w:t>
      </w:r>
      <w:r>
        <w:rPr>
          <w:rFonts w:ascii="Arial" w:cs="Arial" w:eastAsia="Arial" w:hAnsi="Arial"/>
          <w:sz w:val="15"/>
          <w:szCs w:val="15"/>
          <w:color w:val="575960"/>
        </w:rPr>
        <w:t>,</w:t>
      </w:r>
      <w:r>
        <w:rPr>
          <w:rFonts w:ascii="Arial" w:cs="Arial" w:eastAsia="Arial" w:hAnsi="Arial"/>
          <w:sz w:val="15"/>
          <w:szCs w:val="15"/>
          <w:color w:val="3D3F48"/>
        </w:rPr>
        <w:t xml:space="preserve"> </w:t>
      </w:r>
      <w:r>
        <w:rPr>
          <w:rFonts w:ascii="Arial" w:cs="Arial" w:eastAsia="Arial" w:hAnsi="Arial"/>
          <w:sz w:val="15"/>
          <w:szCs w:val="15"/>
          <w:color w:val="2A2A31"/>
        </w:rPr>
        <w:t>following</w:t>
      </w:r>
      <w:r>
        <w:rPr>
          <w:rFonts w:ascii="Arial" w:cs="Arial" w:eastAsia="Arial" w:hAnsi="Arial"/>
          <w:sz w:val="15"/>
          <w:szCs w:val="15"/>
          <w:color w:val="3D3F48"/>
        </w:rPr>
        <w:t xml:space="preserve"> consultatio</w:t>
      </w:r>
      <w:r>
        <w:rPr>
          <w:rFonts w:ascii="Arial" w:cs="Arial" w:eastAsia="Arial" w:hAnsi="Arial"/>
          <w:sz w:val="15"/>
          <w:szCs w:val="15"/>
          <w:color w:val="575960"/>
        </w:rPr>
        <w:t>n</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5"/>
          <w:szCs w:val="15"/>
          <w:color w:val="3D3F48"/>
        </w:rPr>
        <w:t xml:space="preserve">with </w:t>
      </w:r>
      <w:r>
        <w:rPr>
          <w:rFonts w:ascii="Arial" w:cs="Arial" w:eastAsia="Arial" w:hAnsi="Arial"/>
          <w:sz w:val="15"/>
          <w:szCs w:val="15"/>
          <w:color w:val="2A2A31"/>
        </w:rPr>
        <w:t>you</w:t>
      </w:r>
      <w:r>
        <w:rPr>
          <w:rFonts w:ascii="Arial" w:cs="Arial" w:eastAsia="Arial" w:hAnsi="Arial"/>
          <w:sz w:val="15"/>
          <w:szCs w:val="15"/>
          <w:color w:val="575960"/>
        </w:rPr>
        <w:t>;</w:t>
      </w:r>
      <w:r>
        <w:rPr>
          <w:rFonts w:ascii="Arial" w:cs="Arial" w:eastAsia="Arial" w:hAnsi="Arial"/>
          <w:sz w:val="15"/>
          <w:szCs w:val="15"/>
          <w:color w:val="3D3F48"/>
        </w:rPr>
        <w:t xml:space="preserve"> (c) Biogen retain</w:t>
      </w:r>
      <w:r>
        <w:rPr>
          <w:rFonts w:ascii="Arial" w:cs="Arial" w:eastAsia="Arial" w:hAnsi="Arial"/>
          <w:sz w:val="15"/>
          <w:szCs w:val="15"/>
          <w:color w:val="575960"/>
        </w:rPr>
        <w:t>i</w:t>
      </w:r>
      <w:r>
        <w:rPr>
          <w:rFonts w:ascii="Arial" w:cs="Arial" w:eastAsia="Arial" w:hAnsi="Arial"/>
          <w:sz w:val="15"/>
          <w:szCs w:val="15"/>
          <w:color w:val="3D3F48"/>
        </w:rPr>
        <w:t xml:space="preserve">ng </w:t>
      </w:r>
      <w:r>
        <w:rPr>
          <w:rFonts w:ascii="Arial" w:cs="Arial" w:eastAsia="Arial" w:hAnsi="Arial"/>
          <w:sz w:val="15"/>
          <w:szCs w:val="15"/>
          <w:color w:val="2A2A31"/>
        </w:rPr>
        <w:t>th</w:t>
      </w:r>
      <w:r>
        <w:rPr>
          <w:rFonts w:ascii="Arial" w:cs="Arial" w:eastAsia="Arial" w:hAnsi="Arial"/>
          <w:sz w:val="15"/>
          <w:szCs w:val="15"/>
          <w:color w:val="575960"/>
        </w:rPr>
        <w:t>e</w:t>
      </w:r>
      <w:r>
        <w:rPr>
          <w:rFonts w:ascii="Arial" w:cs="Arial" w:eastAsia="Arial" w:hAnsi="Arial"/>
          <w:sz w:val="15"/>
          <w:szCs w:val="15"/>
          <w:color w:val="3D3F48"/>
        </w:rPr>
        <w:t xml:space="preserve"> </w:t>
      </w:r>
      <w:r>
        <w:rPr>
          <w:rFonts w:ascii="Arial" w:cs="Arial" w:eastAsia="Arial" w:hAnsi="Arial"/>
          <w:sz w:val="15"/>
          <w:szCs w:val="15"/>
          <w:color w:val="2A2A31"/>
        </w:rPr>
        <w:t>right to</w:t>
      </w:r>
      <w:r>
        <w:rPr>
          <w:rFonts w:ascii="Arial" w:cs="Arial" w:eastAsia="Arial" w:hAnsi="Arial"/>
          <w:sz w:val="15"/>
          <w:szCs w:val="15"/>
          <w:color w:val="3D3F48"/>
        </w:rPr>
        <w:t xml:space="preserve"> contro</w:t>
      </w:r>
      <w:r>
        <w:rPr>
          <w:rFonts w:ascii="Arial" w:cs="Arial" w:eastAsia="Arial" w:hAnsi="Arial"/>
          <w:sz w:val="15"/>
          <w:szCs w:val="15"/>
          <w:color w:val="575960"/>
        </w:rPr>
        <w:t>l</w:t>
      </w:r>
      <w:r>
        <w:rPr>
          <w:rFonts w:ascii="Arial" w:cs="Arial" w:eastAsia="Arial" w:hAnsi="Arial"/>
          <w:sz w:val="15"/>
          <w:szCs w:val="15"/>
          <w:color w:val="3D3F48"/>
        </w:rPr>
        <w:t xml:space="preserve"> th</w:t>
      </w:r>
      <w:r>
        <w:rPr>
          <w:rFonts w:ascii="Arial" w:cs="Arial" w:eastAsia="Arial" w:hAnsi="Arial"/>
          <w:sz w:val="15"/>
          <w:szCs w:val="15"/>
          <w:color w:val="575960"/>
        </w:rPr>
        <w:t>e</w:t>
      </w:r>
      <w:r>
        <w:rPr>
          <w:rFonts w:ascii="Arial" w:cs="Arial" w:eastAsia="Arial" w:hAnsi="Arial"/>
          <w:sz w:val="15"/>
          <w:szCs w:val="15"/>
          <w:color w:val="3D3F48"/>
        </w:rPr>
        <w:t xml:space="preserve"> defense/prose</w:t>
      </w:r>
      <w:r>
        <w:rPr>
          <w:rFonts w:ascii="Arial" w:cs="Arial" w:eastAsia="Arial" w:hAnsi="Arial"/>
          <w:sz w:val="15"/>
          <w:szCs w:val="15"/>
          <w:color w:val="575960"/>
        </w:rPr>
        <w:t>c</w:t>
      </w:r>
      <w:r>
        <w:rPr>
          <w:rFonts w:ascii="Arial" w:cs="Arial" w:eastAsia="Arial" w:hAnsi="Arial"/>
          <w:sz w:val="15"/>
          <w:szCs w:val="15"/>
          <w:color w:val="2A2A31"/>
        </w:rPr>
        <w:t>ution</w:t>
      </w:r>
      <w:r>
        <w:rPr>
          <w:rFonts w:ascii="Arial" w:cs="Arial" w:eastAsia="Arial" w:hAnsi="Arial"/>
          <w:sz w:val="15"/>
          <w:szCs w:val="15"/>
          <w:color w:val="3D3F48"/>
        </w:rPr>
        <w:t xml:space="preserve"> of any </w:t>
      </w:r>
      <w:r>
        <w:rPr>
          <w:rFonts w:ascii="Arial" w:cs="Arial" w:eastAsia="Arial" w:hAnsi="Arial"/>
          <w:sz w:val="15"/>
          <w:szCs w:val="15"/>
          <w:color w:val="2A2A31"/>
        </w:rPr>
        <w:t>legal</w:t>
      </w:r>
      <w:r>
        <w:rPr>
          <w:rFonts w:ascii="Arial" w:cs="Arial" w:eastAsia="Arial" w:hAnsi="Arial"/>
          <w:sz w:val="15"/>
          <w:szCs w:val="15"/>
          <w:color w:val="3D3F48"/>
        </w:rPr>
        <w:t xml:space="preserve"> action and </w:t>
      </w:r>
      <w:r>
        <w:rPr>
          <w:rFonts w:ascii="Arial" w:cs="Arial" w:eastAsia="Arial" w:hAnsi="Arial"/>
          <w:sz w:val="15"/>
          <w:szCs w:val="15"/>
          <w:color w:val="2A2A31"/>
        </w:rPr>
        <w:t>to</w:t>
      </w:r>
      <w:r>
        <w:rPr>
          <w:rFonts w:ascii="Arial" w:cs="Arial" w:eastAsia="Arial" w:hAnsi="Arial"/>
          <w:sz w:val="15"/>
          <w:szCs w:val="15"/>
          <w:color w:val="3D3F48"/>
        </w:rPr>
        <w:t xml:space="preserve"> approve any comprom</w:t>
      </w:r>
      <w:r>
        <w:rPr>
          <w:rFonts w:ascii="Arial" w:cs="Arial" w:eastAsia="Arial" w:hAnsi="Arial"/>
          <w:sz w:val="15"/>
          <w:szCs w:val="15"/>
          <w:color w:val="575960"/>
        </w:rPr>
        <w:t>is</w:t>
      </w:r>
      <w:r>
        <w:rPr>
          <w:rFonts w:ascii="Arial" w:cs="Arial" w:eastAsia="Arial" w:hAnsi="Arial"/>
          <w:sz w:val="15"/>
          <w:szCs w:val="15"/>
          <w:color w:val="3D3F48"/>
        </w:rPr>
        <w:t>e</w:t>
      </w:r>
      <w:r>
        <w:rPr>
          <w:rFonts w:ascii="Arial" w:cs="Arial" w:eastAsia="Arial" w:hAnsi="Arial"/>
          <w:sz w:val="15"/>
          <w:szCs w:val="15"/>
          <w:color w:val="575960"/>
        </w:rPr>
        <w:t>,</w:t>
      </w:r>
      <w:r>
        <w:rPr>
          <w:rFonts w:ascii="Arial" w:cs="Arial" w:eastAsia="Arial" w:hAnsi="Arial"/>
          <w:sz w:val="15"/>
          <w:szCs w:val="15"/>
          <w:color w:val="3D3F48"/>
        </w:rPr>
        <w:t xml:space="preserve"> settlement or</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5"/>
          <w:szCs w:val="15"/>
          <w:color w:val="3D3F48"/>
        </w:rPr>
        <w:t xml:space="preserve">resolution of </w:t>
      </w:r>
      <w:r>
        <w:rPr>
          <w:rFonts w:ascii="Arial" w:cs="Arial" w:eastAsia="Arial" w:hAnsi="Arial"/>
          <w:sz w:val="15"/>
          <w:szCs w:val="15"/>
          <w:color w:val="2A2A31"/>
        </w:rPr>
        <w:t>the</w:t>
      </w:r>
      <w:r>
        <w:rPr>
          <w:rFonts w:ascii="Arial" w:cs="Arial" w:eastAsia="Arial" w:hAnsi="Arial"/>
          <w:sz w:val="15"/>
          <w:szCs w:val="15"/>
          <w:color w:val="3D3F48"/>
        </w:rPr>
        <w:t xml:space="preserve"> determin</w:t>
      </w:r>
      <w:r>
        <w:rPr>
          <w:rFonts w:ascii="Arial" w:cs="Arial" w:eastAsia="Arial" w:hAnsi="Arial"/>
          <w:sz w:val="15"/>
          <w:szCs w:val="15"/>
          <w:color w:val="575960"/>
        </w:rPr>
        <w:t>a</w:t>
      </w:r>
      <w:r>
        <w:rPr>
          <w:rFonts w:ascii="Arial" w:cs="Arial" w:eastAsia="Arial" w:hAnsi="Arial"/>
          <w:sz w:val="15"/>
          <w:szCs w:val="15"/>
          <w:color w:val="2A2A31"/>
        </w:rPr>
        <w:t>ti</w:t>
      </w:r>
      <w:r>
        <w:rPr>
          <w:rFonts w:ascii="Arial" w:cs="Arial" w:eastAsia="Arial" w:hAnsi="Arial"/>
          <w:sz w:val="15"/>
          <w:szCs w:val="15"/>
          <w:color w:val="575960"/>
        </w:rPr>
        <w:t>o</w:t>
      </w:r>
      <w:r>
        <w:rPr>
          <w:rFonts w:ascii="Arial" w:cs="Arial" w:eastAsia="Arial" w:hAnsi="Arial"/>
          <w:sz w:val="15"/>
          <w:szCs w:val="15"/>
          <w:color w:val="3D3F48"/>
        </w:rPr>
        <w:t>n</w:t>
      </w:r>
      <w:r>
        <w:rPr>
          <w:rFonts w:ascii="Arial" w:cs="Arial" w:eastAsia="Arial" w:hAnsi="Arial"/>
          <w:sz w:val="15"/>
          <w:szCs w:val="15"/>
          <w:color w:val="575960"/>
        </w:rPr>
        <w:t>; a</w:t>
      </w:r>
      <w:r>
        <w:rPr>
          <w:rFonts w:ascii="Arial" w:cs="Arial" w:eastAsia="Arial" w:hAnsi="Arial"/>
          <w:sz w:val="15"/>
          <w:szCs w:val="15"/>
          <w:color w:val="3D3F48"/>
        </w:rPr>
        <w:t>nd (d) such reasonabl</w:t>
      </w:r>
      <w:r>
        <w:rPr>
          <w:rFonts w:ascii="Arial" w:cs="Arial" w:eastAsia="Arial" w:hAnsi="Arial"/>
          <w:sz w:val="15"/>
          <w:szCs w:val="15"/>
          <w:color w:val="575960"/>
        </w:rPr>
        <w:t>e</w:t>
      </w:r>
      <w:r>
        <w:rPr>
          <w:rFonts w:ascii="Arial" w:cs="Arial" w:eastAsia="Arial" w:hAnsi="Arial"/>
          <w:sz w:val="15"/>
          <w:szCs w:val="15"/>
          <w:color w:val="3D3F48"/>
        </w:rPr>
        <w:t xml:space="preserve"> cooperation </w:t>
      </w:r>
      <w:r>
        <w:rPr>
          <w:rFonts w:ascii="Arial" w:cs="Arial" w:eastAsia="Arial" w:hAnsi="Arial"/>
          <w:sz w:val="15"/>
          <w:szCs w:val="15"/>
          <w:color w:val="2A2A31"/>
        </w:rPr>
        <w:t>by</w:t>
      </w:r>
      <w:r>
        <w:rPr>
          <w:rFonts w:ascii="Arial" w:cs="Arial" w:eastAsia="Arial" w:hAnsi="Arial"/>
          <w:sz w:val="15"/>
          <w:szCs w:val="15"/>
          <w:color w:val="3D3F48"/>
        </w:rPr>
        <w:t xml:space="preserve"> you in </w:t>
      </w:r>
      <w:r>
        <w:rPr>
          <w:rFonts w:ascii="Arial" w:cs="Arial" w:eastAsia="Arial" w:hAnsi="Arial"/>
          <w:sz w:val="15"/>
          <w:szCs w:val="15"/>
          <w:color w:val="575960"/>
        </w:rPr>
        <w:t>a</w:t>
      </w:r>
      <w:r>
        <w:rPr>
          <w:rFonts w:ascii="Arial" w:cs="Arial" w:eastAsia="Arial" w:hAnsi="Arial"/>
          <w:sz w:val="15"/>
          <w:szCs w:val="15"/>
          <w:color w:val="2A2A31"/>
        </w:rPr>
        <w:t>ny leg</w:t>
      </w:r>
      <w:r>
        <w:rPr>
          <w:rFonts w:ascii="Arial" w:cs="Arial" w:eastAsia="Arial" w:hAnsi="Arial"/>
          <w:sz w:val="15"/>
          <w:szCs w:val="15"/>
          <w:color w:val="575960"/>
        </w:rPr>
        <w:t>a</w:t>
      </w:r>
      <w:r>
        <w:rPr>
          <w:rFonts w:ascii="Arial" w:cs="Arial" w:eastAsia="Arial" w:hAnsi="Arial"/>
          <w:sz w:val="15"/>
          <w:szCs w:val="15"/>
          <w:color w:val="2A2A31"/>
        </w:rPr>
        <w:t>l</w:t>
      </w:r>
      <w:r>
        <w:rPr>
          <w:rFonts w:ascii="Arial" w:cs="Arial" w:eastAsia="Arial" w:hAnsi="Arial"/>
          <w:sz w:val="15"/>
          <w:szCs w:val="15"/>
          <w:color w:val="3D3F48"/>
        </w:rPr>
        <w:t xml:space="preserve"> proceedings </w:t>
      </w:r>
      <w:r>
        <w:rPr>
          <w:rFonts w:ascii="Arial" w:cs="Arial" w:eastAsia="Arial" w:hAnsi="Arial"/>
          <w:sz w:val="15"/>
          <w:szCs w:val="15"/>
          <w:color w:val="2A2A31"/>
        </w:rPr>
        <w:t>to dispute the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020"/>
        <w:spacing w:after="0"/>
        <w:rPr>
          <w:sz w:val="20"/>
          <w:szCs w:val="20"/>
          <w:color w:val="auto"/>
        </w:rPr>
      </w:pPr>
      <w:r>
        <w:rPr>
          <w:rFonts w:ascii="Arial" w:cs="Arial" w:eastAsia="Arial" w:hAnsi="Arial"/>
          <w:sz w:val="12"/>
          <w:szCs w:val="12"/>
          <w:color w:val="3B5B80"/>
        </w:rPr>
        <w:t>225 B</w:t>
      </w:r>
      <w:r>
        <w:rPr>
          <w:rFonts w:ascii="Arial" w:cs="Arial" w:eastAsia="Arial" w:hAnsi="Arial"/>
          <w:sz w:val="12"/>
          <w:szCs w:val="12"/>
          <w:color w:val="7285A3"/>
        </w:rPr>
        <w:t>i</w:t>
      </w:r>
      <w:r>
        <w:rPr>
          <w:rFonts w:ascii="Arial" w:cs="Arial" w:eastAsia="Arial" w:hAnsi="Arial"/>
          <w:sz w:val="12"/>
          <w:szCs w:val="12"/>
          <w:color w:val="3B5B80"/>
        </w:rPr>
        <w:t>nney Street</w:t>
      </w:r>
      <w:r>
        <w:rPr>
          <w:rFonts w:ascii="Arial" w:cs="Arial" w:eastAsia="Arial" w:hAnsi="Arial"/>
          <w:sz w:val="12"/>
          <w:szCs w:val="12"/>
          <w:color w:val="4D565B"/>
        </w:rPr>
        <w:t>,</w:t>
      </w:r>
      <w:r>
        <w:rPr>
          <w:rFonts w:ascii="Arial" w:cs="Arial" w:eastAsia="Arial" w:hAnsi="Arial"/>
          <w:sz w:val="12"/>
          <w:szCs w:val="12"/>
          <w:color w:val="3B5B80"/>
        </w:rPr>
        <w:t xml:space="preserve"> Cam</w:t>
      </w:r>
      <w:r>
        <w:rPr>
          <w:rFonts w:ascii="Arial" w:cs="Arial" w:eastAsia="Arial" w:hAnsi="Arial"/>
          <w:sz w:val="12"/>
          <w:szCs w:val="12"/>
          <w:color w:val="2F67A1"/>
        </w:rPr>
        <w:t>b</w:t>
      </w:r>
      <w:r>
        <w:rPr>
          <w:rFonts w:ascii="Arial" w:cs="Arial" w:eastAsia="Arial" w:hAnsi="Arial"/>
          <w:sz w:val="12"/>
          <w:szCs w:val="12"/>
          <w:color w:val="567C99"/>
        </w:rPr>
        <w:t>ridge</w:t>
      </w:r>
      <w:r>
        <w:rPr>
          <w:rFonts w:ascii="Arial" w:cs="Arial" w:eastAsia="Arial" w:hAnsi="Arial"/>
          <w:sz w:val="12"/>
          <w:szCs w:val="12"/>
          <w:color w:val="6E7277"/>
        </w:rPr>
        <w:t>,</w:t>
      </w:r>
      <w:r>
        <w:rPr>
          <w:rFonts w:ascii="Arial" w:cs="Arial" w:eastAsia="Arial" w:hAnsi="Arial"/>
          <w:sz w:val="12"/>
          <w:szCs w:val="12"/>
          <w:color w:val="3B5B80"/>
        </w:rPr>
        <w:t xml:space="preserve"> MA 02142 Phone 781</w:t>
      </w:r>
      <w:r>
        <w:rPr>
          <w:rFonts w:ascii="Arial" w:cs="Arial" w:eastAsia="Arial" w:hAnsi="Arial"/>
          <w:sz w:val="12"/>
          <w:szCs w:val="12"/>
          <w:color w:val="4D565B"/>
        </w:rPr>
        <w:t>-</w:t>
      </w:r>
      <w:r>
        <w:rPr>
          <w:rFonts w:ascii="Arial" w:cs="Arial" w:eastAsia="Arial" w:hAnsi="Arial"/>
          <w:sz w:val="12"/>
          <w:szCs w:val="12"/>
          <w:color w:val="3B5B80"/>
        </w:rPr>
        <w:t>464</w:t>
      </w:r>
      <w:r>
        <w:rPr>
          <w:rFonts w:ascii="Arial" w:cs="Arial" w:eastAsia="Arial" w:hAnsi="Arial"/>
          <w:sz w:val="12"/>
          <w:szCs w:val="12"/>
          <w:color w:val="4D565B"/>
        </w:rPr>
        <w:t>-</w:t>
      </w:r>
      <w:r>
        <w:rPr>
          <w:rFonts w:ascii="Arial" w:cs="Arial" w:eastAsia="Arial" w:hAnsi="Arial"/>
          <w:sz w:val="12"/>
          <w:szCs w:val="12"/>
          <w:color w:val="3B5B80"/>
        </w:rPr>
        <w:t xml:space="preserve">2000 </w:t>
      </w:r>
      <w:r>
        <w:rPr>
          <w:rFonts w:ascii="Arial" w:cs="Arial" w:eastAsia="Arial" w:hAnsi="Arial"/>
          <w:sz w:val="12"/>
          <w:szCs w:val="12"/>
          <w:color w:val="4B6991"/>
        </w:rPr>
        <w:t>www</w:t>
      </w:r>
      <w:r>
        <w:rPr>
          <w:rFonts w:ascii="Arial" w:cs="Arial" w:eastAsia="Arial" w:hAnsi="Arial"/>
          <w:sz w:val="12"/>
          <w:szCs w:val="12"/>
          <w:color w:val="7285A3"/>
        </w:rPr>
        <w:t>.</w:t>
      </w:r>
      <w:r>
        <w:rPr>
          <w:rFonts w:ascii="Arial" w:cs="Arial" w:eastAsia="Arial" w:hAnsi="Arial"/>
          <w:sz w:val="12"/>
          <w:szCs w:val="12"/>
          <w:color w:val="3B5B80"/>
        </w:rPr>
        <w:t>biogen</w:t>
      </w:r>
      <w:r>
        <w:rPr>
          <w:rFonts w:ascii="Arial" w:cs="Arial" w:eastAsia="Arial" w:hAnsi="Arial"/>
          <w:sz w:val="12"/>
          <w:szCs w:val="12"/>
          <w:color w:val="4D565B"/>
        </w:rPr>
        <w:t>.</w:t>
      </w:r>
      <w:r>
        <w:rPr>
          <w:rFonts w:ascii="Arial" w:cs="Arial" w:eastAsia="Arial" w:hAnsi="Arial"/>
          <w:sz w:val="12"/>
          <w:szCs w:val="12"/>
          <w:color w:val="3B5B80"/>
        </w:rPr>
        <w:t>com</w:t>
      </w:r>
    </w:p>
    <w:p>
      <w:pPr>
        <w:sectPr>
          <w:pgSz w:w="11900" w:h="16838" w:orient="portrait"/>
          <w:cols w:equalWidth="0" w:num="1">
            <w:col w:w="10220"/>
          </w:cols>
          <w:pgMar w:left="1440" w:top="1440" w:right="239" w:bottom="1440" w:gutter="0" w:footer="0" w:header="0"/>
        </w:sectPr>
      </w:pPr>
    </w:p>
    <w:bookmarkStart w:id="202" w:name="page203"/>
    <w:bookmarkEnd w:id="202"/>
    <w:p>
      <w:pPr>
        <w:ind w:left="180"/>
        <w:spacing w:after="0"/>
        <w:rPr>
          <w:sz w:val="20"/>
          <w:szCs w:val="20"/>
          <w:color w:val="auto"/>
        </w:rPr>
      </w:pPr>
      <w:r>
        <w:rPr>
          <w:rFonts w:ascii="Arial" w:cs="Arial" w:eastAsia="Arial" w:hAnsi="Arial"/>
          <w:sz w:val="15"/>
          <w:szCs w:val="15"/>
          <w:color w:val="41444B"/>
        </w:rPr>
        <w:t>Pl</w:t>
      </w:r>
      <w:r>
        <w:rPr>
          <w:rFonts w:ascii="Arial" w:cs="Arial" w:eastAsia="Arial" w:hAnsi="Arial"/>
          <w:sz w:val="15"/>
          <w:szCs w:val="15"/>
          <w:color w:val="545B6D"/>
        </w:rPr>
        <w:t>e</w:t>
      </w:r>
      <w:r>
        <w:rPr>
          <w:rFonts w:ascii="Arial" w:cs="Arial" w:eastAsia="Arial" w:hAnsi="Arial"/>
          <w:sz w:val="15"/>
          <w:szCs w:val="15"/>
          <w:color w:val="41444B"/>
        </w:rPr>
        <w:t>ase acknow</w:t>
      </w:r>
      <w:r>
        <w:rPr>
          <w:rFonts w:ascii="Arial" w:cs="Arial" w:eastAsia="Arial" w:hAnsi="Arial"/>
          <w:sz w:val="15"/>
          <w:szCs w:val="15"/>
          <w:color w:val="1F1F26"/>
        </w:rPr>
        <w:t>l</w:t>
      </w:r>
      <w:r>
        <w:rPr>
          <w:rFonts w:ascii="Arial" w:cs="Arial" w:eastAsia="Arial" w:hAnsi="Arial"/>
          <w:sz w:val="15"/>
          <w:szCs w:val="15"/>
          <w:color w:val="41444B"/>
        </w:rPr>
        <w:t xml:space="preserve">edge your </w:t>
      </w:r>
      <w:r>
        <w:rPr>
          <w:rFonts w:ascii="Arial" w:cs="Arial" w:eastAsia="Arial" w:hAnsi="Arial"/>
          <w:sz w:val="15"/>
          <w:szCs w:val="15"/>
          <w:color w:val="545B6D"/>
        </w:rPr>
        <w:t>a</w:t>
      </w:r>
      <w:r>
        <w:rPr>
          <w:rFonts w:ascii="Arial" w:cs="Arial" w:eastAsia="Arial" w:hAnsi="Arial"/>
          <w:sz w:val="15"/>
          <w:szCs w:val="15"/>
          <w:color w:val="41444B"/>
        </w:rPr>
        <w:t xml:space="preserve">greement </w:t>
      </w:r>
      <w:r>
        <w:rPr>
          <w:rFonts w:ascii="Arial" w:cs="Arial" w:eastAsia="Arial" w:hAnsi="Arial"/>
          <w:sz w:val="15"/>
          <w:szCs w:val="15"/>
          <w:color w:val="2F2F36"/>
        </w:rPr>
        <w:t>to</w:t>
      </w:r>
      <w:r>
        <w:rPr>
          <w:rFonts w:ascii="Arial" w:cs="Arial" w:eastAsia="Arial" w:hAnsi="Arial"/>
          <w:sz w:val="15"/>
          <w:szCs w:val="15"/>
          <w:color w:val="41444B"/>
        </w:rPr>
        <w:t xml:space="preserve"> the foregoi</w:t>
      </w:r>
      <w:r>
        <w:rPr>
          <w:rFonts w:ascii="Arial" w:cs="Arial" w:eastAsia="Arial" w:hAnsi="Arial"/>
          <w:sz w:val="15"/>
          <w:szCs w:val="15"/>
          <w:color w:val="1F1F26"/>
        </w:rPr>
        <w:t>n</w:t>
      </w:r>
      <w:r>
        <w:rPr>
          <w:rFonts w:ascii="Arial" w:cs="Arial" w:eastAsia="Arial" w:hAnsi="Arial"/>
          <w:sz w:val="15"/>
          <w:szCs w:val="15"/>
          <w:color w:val="41444B"/>
        </w:rPr>
        <w:t xml:space="preserve">g </w:t>
      </w:r>
      <w:r>
        <w:rPr>
          <w:rFonts w:ascii="Arial" w:cs="Arial" w:eastAsia="Arial" w:hAnsi="Arial"/>
          <w:sz w:val="15"/>
          <w:szCs w:val="15"/>
          <w:color w:val="2F2F36"/>
        </w:rPr>
        <w:t>by</w:t>
      </w:r>
      <w:r>
        <w:rPr>
          <w:rFonts w:ascii="Arial" w:cs="Arial" w:eastAsia="Arial" w:hAnsi="Arial"/>
          <w:sz w:val="15"/>
          <w:szCs w:val="15"/>
          <w:color w:val="41444B"/>
        </w:rPr>
        <w:t xml:space="preserve"> sign</w:t>
      </w:r>
      <w:r>
        <w:rPr>
          <w:rFonts w:ascii="Arial" w:cs="Arial" w:eastAsia="Arial" w:hAnsi="Arial"/>
          <w:sz w:val="15"/>
          <w:szCs w:val="15"/>
          <w:color w:val="1F1F26"/>
        </w:rPr>
        <w:t>in</w:t>
      </w:r>
      <w:r>
        <w:rPr>
          <w:rFonts w:ascii="Arial" w:cs="Arial" w:eastAsia="Arial" w:hAnsi="Arial"/>
          <w:sz w:val="15"/>
          <w:szCs w:val="15"/>
          <w:color w:val="41444B"/>
        </w:rPr>
        <w:t xml:space="preserve">g and </w:t>
      </w:r>
      <w:r>
        <w:rPr>
          <w:rFonts w:ascii="Arial" w:cs="Arial" w:eastAsia="Arial" w:hAnsi="Arial"/>
          <w:sz w:val="15"/>
          <w:szCs w:val="15"/>
          <w:color w:val="2F2F36"/>
        </w:rPr>
        <w:t>dating</w:t>
      </w:r>
      <w:r>
        <w:rPr>
          <w:rFonts w:ascii="Arial" w:cs="Arial" w:eastAsia="Arial" w:hAnsi="Arial"/>
          <w:sz w:val="15"/>
          <w:szCs w:val="15"/>
          <w:color w:val="41444B"/>
        </w:rPr>
        <w:t xml:space="preserve"> below</w:t>
      </w:r>
      <w:r>
        <w:rPr>
          <w:rFonts w:ascii="Arial" w:cs="Arial" w:eastAsia="Arial" w:hAnsi="Arial"/>
          <w:sz w:val="15"/>
          <w:szCs w:val="15"/>
          <w:color w:val="747775"/>
        </w:rPr>
        <w:t>.</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5"/>
          <w:szCs w:val="15"/>
          <w:color w:val="41444B"/>
        </w:rPr>
        <w:t>Bes</w:t>
      </w:r>
      <w:r>
        <w:rPr>
          <w:rFonts w:ascii="Arial" w:cs="Arial" w:eastAsia="Arial" w:hAnsi="Arial"/>
          <w:sz w:val="15"/>
          <w:szCs w:val="15"/>
          <w:color w:val="1F1F26"/>
        </w:rPr>
        <w:t>t</w:t>
      </w:r>
      <w:r>
        <w:rPr>
          <w:rFonts w:ascii="Arial" w:cs="Arial" w:eastAsia="Arial" w:hAnsi="Arial"/>
          <w:sz w:val="15"/>
          <w:szCs w:val="15"/>
          <w:color w:val="41444B"/>
        </w:rPr>
        <w:t xml:space="preserve"> Regards</w:t>
      </w:r>
      <w:r>
        <w:rPr>
          <w:rFonts w:ascii="Arial" w:cs="Arial" w:eastAsia="Arial" w:hAnsi="Arial"/>
          <w:sz w:val="15"/>
          <w:szCs w:val="15"/>
          <w:color w:val="545B6D"/>
        </w:rPr>
        <w: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80"/>
        <w:spacing w:after="0"/>
        <w:rPr>
          <w:sz w:val="20"/>
          <w:szCs w:val="20"/>
          <w:color w:val="auto"/>
        </w:rPr>
      </w:pPr>
      <w:r>
        <w:rPr>
          <w:rFonts w:ascii="Arial" w:cs="Arial" w:eastAsia="Arial" w:hAnsi="Arial"/>
          <w:sz w:val="15"/>
          <w:szCs w:val="15"/>
          <w:color w:val="1F1F26"/>
        </w:rPr>
        <w:t>K</w:t>
      </w:r>
      <w:r>
        <w:rPr>
          <w:rFonts w:ascii="Arial" w:cs="Arial" w:eastAsia="Arial" w:hAnsi="Arial"/>
          <w:sz w:val="15"/>
          <w:szCs w:val="15"/>
          <w:color w:val="545B6D"/>
        </w:rPr>
        <w:t>e</w:t>
      </w:r>
      <w:r>
        <w:rPr>
          <w:rFonts w:ascii="Arial" w:cs="Arial" w:eastAsia="Arial" w:hAnsi="Arial"/>
          <w:sz w:val="15"/>
          <w:szCs w:val="15"/>
          <w:color w:val="2F2F36"/>
        </w:rPr>
        <w:t>n D</w:t>
      </w:r>
      <w:r>
        <w:rPr>
          <w:rFonts w:ascii="Arial" w:cs="Arial" w:eastAsia="Arial" w:hAnsi="Arial"/>
          <w:sz w:val="15"/>
          <w:szCs w:val="15"/>
          <w:color w:val="545B6D"/>
        </w:rPr>
        <w:t>I</w:t>
      </w:r>
      <w:r>
        <w:rPr>
          <w:rFonts w:ascii="Arial" w:cs="Arial" w:eastAsia="Arial" w:hAnsi="Arial"/>
          <w:sz w:val="15"/>
          <w:szCs w:val="15"/>
          <w:color w:val="2F2F36"/>
        </w:rPr>
        <w:t>Pietro</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5"/>
          <w:szCs w:val="15"/>
          <w:color w:val="41444B"/>
        </w:rPr>
        <w:t>EVP</w:t>
      </w:r>
      <w:r>
        <w:rPr>
          <w:rFonts w:ascii="Arial" w:cs="Arial" w:eastAsia="Arial" w:hAnsi="Arial"/>
          <w:sz w:val="15"/>
          <w:szCs w:val="15"/>
          <w:color w:val="545B6D"/>
        </w:rPr>
        <w:t>,</w:t>
      </w:r>
      <w:r>
        <w:rPr>
          <w:rFonts w:ascii="Arial" w:cs="Arial" w:eastAsia="Arial" w:hAnsi="Arial"/>
          <w:sz w:val="15"/>
          <w:szCs w:val="15"/>
          <w:color w:val="41444B"/>
        </w:rPr>
        <w:t xml:space="preserve"> </w:t>
      </w:r>
      <w:r>
        <w:rPr>
          <w:rFonts w:ascii="Arial" w:cs="Arial" w:eastAsia="Arial" w:hAnsi="Arial"/>
          <w:sz w:val="15"/>
          <w:szCs w:val="15"/>
          <w:color w:val="1F1F26"/>
        </w:rPr>
        <w:t>Hum</w:t>
      </w:r>
      <w:r>
        <w:rPr>
          <w:rFonts w:ascii="Arial" w:cs="Arial" w:eastAsia="Arial" w:hAnsi="Arial"/>
          <w:sz w:val="15"/>
          <w:szCs w:val="15"/>
          <w:color w:val="41444B"/>
        </w:rPr>
        <w:t>an Resource</w:t>
      </w:r>
      <w:r>
        <w:rPr>
          <w:rFonts w:ascii="Arial" w:cs="Arial" w:eastAsia="Arial" w:hAnsi="Arial"/>
          <w:sz w:val="15"/>
          <w:szCs w:val="15"/>
          <w:color w:val="545B6D"/>
        </w:rPr>
        <w:t>s</w:t>
      </w:r>
    </w:p>
    <w:p>
      <w:pPr>
        <w:spacing w:after="0" w:line="373" w:lineRule="exact"/>
        <w:rPr>
          <w:sz w:val="20"/>
          <w:szCs w:val="20"/>
          <w:color w:val="auto"/>
        </w:rPr>
      </w:pPr>
    </w:p>
    <w:tbl>
      <w:tblPr>
        <w:tblLayout w:type="fixed"/>
        <w:tblInd w:w="180" w:type="dxa"/>
        <w:tblCellMar>
          <w:top w:w="0" w:type="dxa"/>
          <w:left w:w="0" w:type="dxa"/>
          <w:bottom w:w="0" w:type="dxa"/>
          <w:right w:w="0" w:type="dxa"/>
        </w:tblCellMar>
      </w:tblPr>
      <w:tr>
        <w:trPr>
          <w:trHeight w:val="203"/>
        </w:trPr>
        <w:tc>
          <w:tcPr>
            <w:tcW w:w="2480" w:type="dxa"/>
            <w:vAlign w:val="bottom"/>
            <w:gridSpan w:val="3"/>
          </w:tcPr>
          <w:p>
            <w:pPr>
              <w:spacing w:after="0"/>
              <w:rPr>
                <w:sz w:val="20"/>
                <w:szCs w:val="20"/>
                <w:color w:val="auto"/>
              </w:rPr>
            </w:pPr>
            <w:r>
              <w:rPr>
                <w:rFonts w:ascii="Arial" w:cs="Arial" w:eastAsia="Arial" w:hAnsi="Arial"/>
                <w:sz w:val="15"/>
                <w:szCs w:val="15"/>
                <w:b w:val="1"/>
                <w:bCs w:val="1"/>
                <w:color w:val="1F1F26"/>
              </w:rPr>
              <w:t xml:space="preserve">Acknowledged </w:t>
            </w:r>
            <w:r>
              <w:rPr>
                <w:rFonts w:ascii="Arial" w:cs="Arial" w:eastAsia="Arial" w:hAnsi="Arial"/>
                <w:sz w:val="15"/>
                <w:szCs w:val="15"/>
                <w:b w:val="1"/>
                <w:bCs w:val="1"/>
                <w:color w:val="2F2F36"/>
              </w:rPr>
              <w:t>and</w:t>
            </w:r>
            <w:r>
              <w:rPr>
                <w:rFonts w:ascii="Arial" w:cs="Arial" w:eastAsia="Arial" w:hAnsi="Arial"/>
                <w:sz w:val="15"/>
                <w:szCs w:val="15"/>
                <w:b w:val="1"/>
                <w:bCs w:val="1"/>
                <w:color w:val="1F1F26"/>
              </w:rPr>
              <w:t xml:space="preserve"> Agre</w:t>
            </w:r>
            <w:r>
              <w:rPr>
                <w:rFonts w:ascii="Arial" w:cs="Arial" w:eastAsia="Arial" w:hAnsi="Arial"/>
                <w:sz w:val="15"/>
                <w:szCs w:val="15"/>
                <w:b w:val="1"/>
                <w:bCs w:val="1"/>
                <w:color w:val="41444B"/>
              </w:rPr>
              <w:t>e</w:t>
            </w:r>
            <w:r>
              <w:rPr>
                <w:rFonts w:ascii="Arial" w:cs="Arial" w:eastAsia="Arial" w:hAnsi="Arial"/>
                <w:sz w:val="15"/>
                <w:szCs w:val="15"/>
                <w:b w:val="1"/>
                <w:bCs w:val="1"/>
                <w:color w:val="1F1F26"/>
              </w:rPr>
              <w:t>d</w:t>
            </w:r>
            <w:r>
              <w:rPr>
                <w:rFonts w:ascii="Arial" w:cs="Arial" w:eastAsia="Arial" w:hAnsi="Arial"/>
                <w:sz w:val="15"/>
                <w:szCs w:val="15"/>
                <w:b w:val="1"/>
                <w:bCs w:val="1"/>
                <w:color w:val="41444B"/>
              </w:rPr>
              <w:t>:</w:t>
            </w: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77"/>
        </w:trPr>
        <w:tc>
          <w:tcPr>
            <w:tcW w:w="1320" w:type="dxa"/>
            <w:vAlign w:val="bottom"/>
            <w:tcBorders>
              <w:bottom w:val="single" w:sz="8" w:color="41444B"/>
            </w:tcBorders>
          </w:tcPr>
          <w:p>
            <w:pPr>
              <w:spacing w:after="0"/>
              <w:rPr>
                <w:sz w:val="20"/>
                <w:szCs w:val="20"/>
                <w:color w:val="auto"/>
              </w:rPr>
            </w:pPr>
            <w:r>
              <w:rPr>
                <w:rFonts w:ascii="Arial" w:cs="Arial" w:eastAsia="Arial" w:hAnsi="Arial"/>
                <w:sz w:val="15"/>
                <w:szCs w:val="15"/>
                <w:b w:val="1"/>
                <w:bCs w:val="1"/>
                <w:color w:val="41444B"/>
              </w:rPr>
              <w:t>/s/ Michael Ehlers</w:t>
            </w:r>
          </w:p>
        </w:tc>
        <w:tc>
          <w:tcPr>
            <w:tcW w:w="480" w:type="dxa"/>
            <w:vAlign w:val="bottom"/>
            <w:tcBorders>
              <w:bottom w:val="single" w:sz="8" w:color="41444B"/>
            </w:tcBorders>
          </w:tcPr>
          <w:p>
            <w:pPr>
              <w:spacing w:after="0"/>
              <w:rPr>
                <w:sz w:val="24"/>
                <w:szCs w:val="24"/>
                <w:color w:val="auto"/>
              </w:rPr>
            </w:pPr>
          </w:p>
        </w:tc>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Michael Ehlers</w:t>
            </w:r>
          </w:p>
        </w:tc>
        <w:tc>
          <w:tcPr>
            <w:tcW w:w="94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4/25/16</w:t>
            </w:r>
          </w:p>
        </w:tc>
      </w:tr>
      <w:tr>
        <w:trPr>
          <w:trHeight w:val="218"/>
        </w:trPr>
        <w:tc>
          <w:tcPr>
            <w:tcW w:w="1320" w:type="dxa"/>
            <w:vAlign w:val="bottom"/>
          </w:tcPr>
          <w:p>
            <w:pPr>
              <w:spacing w:after="0"/>
              <w:rPr>
                <w:sz w:val="20"/>
                <w:szCs w:val="20"/>
                <w:color w:val="auto"/>
              </w:rPr>
            </w:pPr>
            <w:r>
              <w:rPr>
                <w:rFonts w:ascii="Arial" w:cs="Arial" w:eastAsia="Arial" w:hAnsi="Arial"/>
                <w:sz w:val="15"/>
                <w:szCs w:val="15"/>
                <w:color w:val="auto"/>
              </w:rPr>
              <w:t>Signature</w:t>
            </w:r>
          </w:p>
        </w:tc>
        <w:tc>
          <w:tcPr>
            <w:tcW w:w="1160" w:type="dxa"/>
            <w:vAlign w:val="bottom"/>
            <w:gridSpan w:val="2"/>
          </w:tcPr>
          <w:p>
            <w:pPr>
              <w:ind w:left="20"/>
              <w:spacing w:after="0"/>
              <w:rPr>
                <w:sz w:val="20"/>
                <w:szCs w:val="20"/>
                <w:color w:val="auto"/>
              </w:rPr>
            </w:pPr>
            <w:r>
              <w:rPr>
                <w:rFonts w:ascii="Arial" w:cs="Arial" w:eastAsia="Arial" w:hAnsi="Arial"/>
                <w:sz w:val="15"/>
                <w:szCs w:val="15"/>
                <w:color w:val="auto"/>
              </w:rPr>
              <w:t>Name (Print)</w:t>
            </w:r>
          </w:p>
        </w:tc>
        <w:tc>
          <w:tcPr>
            <w:tcW w:w="1540" w:type="dxa"/>
            <w:vAlign w:val="bottom"/>
            <w:gridSpan w:val="2"/>
          </w:tcPr>
          <w:p>
            <w:pPr>
              <w:jc w:val="right"/>
              <w:ind w:right="183"/>
              <w:spacing w:after="0"/>
              <w:rPr>
                <w:sz w:val="20"/>
                <w:szCs w:val="20"/>
                <w:color w:val="auto"/>
              </w:rPr>
            </w:pPr>
            <w:r>
              <w:rPr>
                <w:rFonts w:ascii="Arial" w:cs="Arial" w:eastAsia="Arial" w:hAnsi="Arial"/>
                <w:sz w:val="15"/>
                <w:szCs w:val="15"/>
                <w:color w:val="auto"/>
              </w:rPr>
              <w:t>Signature 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020"/>
        <w:spacing w:after="0"/>
        <w:rPr>
          <w:sz w:val="20"/>
          <w:szCs w:val="20"/>
          <w:color w:val="auto"/>
        </w:rPr>
      </w:pPr>
      <w:r>
        <w:rPr>
          <w:rFonts w:ascii="Arial" w:cs="Arial" w:eastAsia="Arial" w:hAnsi="Arial"/>
          <w:sz w:val="12"/>
          <w:szCs w:val="12"/>
          <w:color w:val="3B5B80"/>
        </w:rPr>
        <w:t>225 B</w:t>
      </w:r>
      <w:r>
        <w:rPr>
          <w:rFonts w:ascii="Arial" w:cs="Arial" w:eastAsia="Arial" w:hAnsi="Arial"/>
          <w:sz w:val="12"/>
          <w:szCs w:val="12"/>
          <w:color w:val="7285A3"/>
        </w:rPr>
        <w:t>i</w:t>
      </w:r>
      <w:r>
        <w:rPr>
          <w:rFonts w:ascii="Arial" w:cs="Arial" w:eastAsia="Arial" w:hAnsi="Arial"/>
          <w:sz w:val="12"/>
          <w:szCs w:val="12"/>
          <w:color w:val="3B5B80"/>
        </w:rPr>
        <w:t>nney Street</w:t>
      </w:r>
      <w:r>
        <w:rPr>
          <w:rFonts w:ascii="Arial" w:cs="Arial" w:eastAsia="Arial" w:hAnsi="Arial"/>
          <w:sz w:val="12"/>
          <w:szCs w:val="12"/>
          <w:color w:val="4D565B"/>
        </w:rPr>
        <w:t>,</w:t>
      </w:r>
      <w:r>
        <w:rPr>
          <w:rFonts w:ascii="Arial" w:cs="Arial" w:eastAsia="Arial" w:hAnsi="Arial"/>
          <w:sz w:val="12"/>
          <w:szCs w:val="12"/>
          <w:color w:val="3B5B80"/>
        </w:rPr>
        <w:t xml:space="preserve"> Cam</w:t>
      </w:r>
      <w:r>
        <w:rPr>
          <w:rFonts w:ascii="Arial" w:cs="Arial" w:eastAsia="Arial" w:hAnsi="Arial"/>
          <w:sz w:val="12"/>
          <w:szCs w:val="12"/>
          <w:color w:val="2F67A1"/>
        </w:rPr>
        <w:t>b</w:t>
      </w:r>
      <w:r>
        <w:rPr>
          <w:rFonts w:ascii="Arial" w:cs="Arial" w:eastAsia="Arial" w:hAnsi="Arial"/>
          <w:sz w:val="12"/>
          <w:szCs w:val="12"/>
          <w:color w:val="567C99"/>
        </w:rPr>
        <w:t>ridge</w:t>
      </w:r>
      <w:r>
        <w:rPr>
          <w:rFonts w:ascii="Arial" w:cs="Arial" w:eastAsia="Arial" w:hAnsi="Arial"/>
          <w:sz w:val="12"/>
          <w:szCs w:val="12"/>
          <w:color w:val="6E7277"/>
        </w:rPr>
        <w:t>,</w:t>
      </w:r>
      <w:r>
        <w:rPr>
          <w:rFonts w:ascii="Arial" w:cs="Arial" w:eastAsia="Arial" w:hAnsi="Arial"/>
          <w:sz w:val="12"/>
          <w:szCs w:val="12"/>
          <w:color w:val="3B5B80"/>
        </w:rPr>
        <w:t xml:space="preserve"> MA 02142 Phone 781</w:t>
      </w:r>
      <w:r>
        <w:rPr>
          <w:rFonts w:ascii="Arial" w:cs="Arial" w:eastAsia="Arial" w:hAnsi="Arial"/>
          <w:sz w:val="12"/>
          <w:szCs w:val="12"/>
          <w:color w:val="4D565B"/>
        </w:rPr>
        <w:t>-</w:t>
      </w:r>
      <w:r>
        <w:rPr>
          <w:rFonts w:ascii="Arial" w:cs="Arial" w:eastAsia="Arial" w:hAnsi="Arial"/>
          <w:sz w:val="12"/>
          <w:szCs w:val="12"/>
          <w:color w:val="3B5B80"/>
        </w:rPr>
        <w:t>464</w:t>
      </w:r>
      <w:r>
        <w:rPr>
          <w:rFonts w:ascii="Arial" w:cs="Arial" w:eastAsia="Arial" w:hAnsi="Arial"/>
          <w:sz w:val="12"/>
          <w:szCs w:val="12"/>
          <w:color w:val="4D565B"/>
        </w:rPr>
        <w:t>-</w:t>
      </w:r>
      <w:r>
        <w:rPr>
          <w:rFonts w:ascii="Arial" w:cs="Arial" w:eastAsia="Arial" w:hAnsi="Arial"/>
          <w:sz w:val="12"/>
          <w:szCs w:val="12"/>
          <w:color w:val="3B5B80"/>
        </w:rPr>
        <w:t xml:space="preserve">2000 </w:t>
      </w:r>
      <w:r>
        <w:rPr>
          <w:rFonts w:ascii="Arial" w:cs="Arial" w:eastAsia="Arial" w:hAnsi="Arial"/>
          <w:sz w:val="12"/>
          <w:szCs w:val="12"/>
          <w:color w:val="4B6991"/>
        </w:rPr>
        <w:t>www</w:t>
      </w:r>
      <w:r>
        <w:rPr>
          <w:rFonts w:ascii="Arial" w:cs="Arial" w:eastAsia="Arial" w:hAnsi="Arial"/>
          <w:sz w:val="12"/>
          <w:szCs w:val="12"/>
          <w:color w:val="7285A3"/>
        </w:rPr>
        <w:t>.</w:t>
      </w:r>
      <w:r>
        <w:rPr>
          <w:rFonts w:ascii="Arial" w:cs="Arial" w:eastAsia="Arial" w:hAnsi="Arial"/>
          <w:sz w:val="12"/>
          <w:szCs w:val="12"/>
          <w:color w:val="3B5B80"/>
        </w:rPr>
        <w:t>biogen</w:t>
      </w:r>
      <w:r>
        <w:rPr>
          <w:rFonts w:ascii="Arial" w:cs="Arial" w:eastAsia="Arial" w:hAnsi="Arial"/>
          <w:sz w:val="12"/>
          <w:szCs w:val="12"/>
          <w:color w:val="4D565B"/>
        </w:rPr>
        <w:t>.</w:t>
      </w:r>
      <w:r>
        <w:rPr>
          <w:rFonts w:ascii="Arial" w:cs="Arial" w:eastAsia="Arial" w:hAnsi="Arial"/>
          <w:sz w:val="12"/>
          <w:szCs w:val="12"/>
          <w:color w:val="3B5B80"/>
        </w:rPr>
        <w:t>co</w:t>
      </w:r>
    </w:p>
    <w:p>
      <w:pPr>
        <w:sectPr>
          <w:pgSz w:w="11900" w:h="16838" w:orient="portrait"/>
          <w:cols w:equalWidth="0" w:num="1">
            <w:col w:w="9019"/>
          </w:cols>
          <w:pgMar w:left="1440" w:top="602" w:right="1440" w:bottom="1440" w:gutter="0" w:footer="0" w:header="0"/>
        </w:sectPr>
      </w:pPr>
    </w:p>
    <w:bookmarkStart w:id="203" w:name="page204"/>
    <w:bookmarkEnd w:id="203"/>
    <w:p>
      <w:pPr>
        <w:jc w:val="right"/>
        <w:spacing w:after="0"/>
        <w:rPr>
          <w:sz w:val="20"/>
          <w:szCs w:val="20"/>
          <w:color w:val="auto"/>
        </w:rPr>
      </w:pPr>
      <w:r>
        <w:rPr>
          <w:rFonts w:ascii="Arial" w:cs="Arial" w:eastAsia="Arial" w:hAnsi="Arial"/>
          <w:sz w:val="17"/>
          <w:szCs w:val="17"/>
          <w:b w:val="1"/>
          <w:bCs w:val="1"/>
          <w:color w:val="auto"/>
        </w:rPr>
        <w:t>Exhibit 21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BIOGEN INC.</w:t>
      </w:r>
    </w:p>
    <w:p>
      <w:pPr>
        <w:spacing w:after="0" w:line="237"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The following is a list of subsidiaries of Biogen Inc. as of December 31, 2017, omitting some subsidiaries which, considered in the aggregate, would not constitute a significant subsidiary.</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700" w:type="dxa"/>
            <w:vAlign w:val="bottom"/>
          </w:tcPr>
          <w:p>
            <w:pPr>
              <w:ind w:left="20"/>
              <w:spacing w:after="0"/>
              <w:rPr>
                <w:sz w:val="20"/>
                <w:szCs w:val="20"/>
                <w:color w:val="auto"/>
              </w:rPr>
            </w:pPr>
            <w:r>
              <w:rPr>
                <w:rFonts w:ascii="Arial" w:cs="Arial" w:eastAsia="Arial" w:hAnsi="Arial"/>
                <w:sz w:val="17"/>
                <w:szCs w:val="17"/>
                <w:b w:val="1"/>
                <w:bCs w:val="1"/>
                <w:color w:val="auto"/>
              </w:rPr>
              <w:t>STATE OR OTHER JURISDICTION OF INCORPORATION OR</w:t>
            </w:r>
          </w:p>
        </w:tc>
      </w:tr>
      <w:tr>
        <w:trPr>
          <w:trHeight w:val="232"/>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SUBSIDIARY</w:t>
            </w:r>
          </w:p>
        </w:tc>
        <w:tc>
          <w:tcPr>
            <w:tcW w:w="100" w:type="dxa"/>
            <w:vAlign w:val="bottom"/>
          </w:tcPr>
          <w:p>
            <w:pPr>
              <w:spacing w:after="0"/>
              <w:rPr>
                <w:sz w:val="20"/>
                <w:szCs w:val="20"/>
                <w:color w:val="auto"/>
              </w:rPr>
            </w:pP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ORGANIZATION</w:t>
            </w:r>
          </w:p>
        </w:tc>
      </w:tr>
      <w:tr>
        <w:trPr>
          <w:trHeight w:val="229"/>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Foundation Inc.</w:t>
            </w:r>
          </w:p>
        </w:tc>
        <w:tc>
          <w:tcPr>
            <w:tcW w:w="5700" w:type="dxa"/>
            <w:vAlign w:val="bottom"/>
          </w:tcPr>
          <w:p>
            <w:pPr>
              <w:ind w:left="20"/>
              <w:spacing w:after="0"/>
              <w:rPr>
                <w:sz w:val="20"/>
                <w:szCs w:val="20"/>
                <w:color w:val="auto"/>
              </w:rPr>
            </w:pPr>
            <w:r>
              <w:rPr>
                <w:rFonts w:ascii="Arial" w:cs="Arial" w:eastAsia="Arial" w:hAnsi="Arial"/>
                <w:sz w:val="17"/>
                <w:szCs w:val="17"/>
                <w:color w:val="auto"/>
              </w:rPr>
              <w:t>Massachusetts</w:t>
            </w:r>
          </w:p>
        </w:tc>
      </w:tr>
      <w:tr>
        <w:trPr>
          <w:trHeight w:val="243"/>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MA Inc.</w:t>
            </w:r>
          </w:p>
        </w:tc>
        <w:tc>
          <w:tcPr>
            <w:tcW w:w="5700" w:type="dxa"/>
            <w:vAlign w:val="bottom"/>
          </w:tcPr>
          <w:p>
            <w:pPr>
              <w:ind w:left="20"/>
              <w:spacing w:after="0"/>
              <w:rPr>
                <w:sz w:val="20"/>
                <w:szCs w:val="20"/>
                <w:color w:val="auto"/>
              </w:rPr>
            </w:pPr>
            <w:r>
              <w:rPr>
                <w:rFonts w:ascii="Arial" w:cs="Arial" w:eastAsia="Arial" w:hAnsi="Arial"/>
                <w:sz w:val="17"/>
                <w:szCs w:val="17"/>
                <w:color w:val="auto"/>
              </w:rPr>
              <w:t>Massachusetts</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Realty Corporation</w:t>
            </w:r>
          </w:p>
        </w:tc>
        <w:tc>
          <w:tcPr>
            <w:tcW w:w="5700" w:type="dxa"/>
            <w:vAlign w:val="bottom"/>
          </w:tcPr>
          <w:p>
            <w:pPr>
              <w:ind w:left="20"/>
              <w:spacing w:after="0"/>
              <w:rPr>
                <w:sz w:val="20"/>
                <w:szCs w:val="20"/>
                <w:color w:val="auto"/>
              </w:rPr>
            </w:pPr>
            <w:r>
              <w:rPr>
                <w:rFonts w:ascii="Arial" w:cs="Arial" w:eastAsia="Arial" w:hAnsi="Arial"/>
                <w:sz w:val="17"/>
                <w:szCs w:val="17"/>
                <w:color w:val="auto"/>
              </w:rPr>
              <w:t>Massachusetts</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Realty Limited Partnership</w:t>
            </w:r>
          </w:p>
        </w:tc>
        <w:tc>
          <w:tcPr>
            <w:tcW w:w="5700" w:type="dxa"/>
            <w:vAlign w:val="bottom"/>
          </w:tcPr>
          <w:p>
            <w:pPr>
              <w:ind w:left="20"/>
              <w:spacing w:after="0"/>
              <w:rPr>
                <w:sz w:val="20"/>
                <w:szCs w:val="20"/>
                <w:color w:val="auto"/>
              </w:rPr>
            </w:pPr>
            <w:r>
              <w:rPr>
                <w:rFonts w:ascii="Arial" w:cs="Arial" w:eastAsia="Arial" w:hAnsi="Arial"/>
                <w:sz w:val="17"/>
                <w:szCs w:val="17"/>
                <w:color w:val="auto"/>
              </w:rPr>
              <w:t>Massachusetts</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U.S. Corporation</w:t>
            </w:r>
          </w:p>
        </w:tc>
        <w:tc>
          <w:tcPr>
            <w:tcW w:w="5700" w:type="dxa"/>
            <w:vAlign w:val="bottom"/>
          </w:tcPr>
          <w:p>
            <w:pPr>
              <w:ind w:left="20"/>
              <w:spacing w:after="0"/>
              <w:rPr>
                <w:sz w:val="20"/>
                <w:szCs w:val="20"/>
                <w:color w:val="auto"/>
              </w:rPr>
            </w:pPr>
            <w:r>
              <w:rPr>
                <w:rFonts w:ascii="Arial" w:cs="Arial" w:eastAsia="Arial" w:hAnsi="Arial"/>
                <w:sz w:val="17"/>
                <w:szCs w:val="17"/>
                <w:color w:val="auto"/>
              </w:rPr>
              <w:t>Massachusetts</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U.S. Limited Partnership</w:t>
            </w:r>
          </w:p>
        </w:tc>
        <w:tc>
          <w:tcPr>
            <w:tcW w:w="5700" w:type="dxa"/>
            <w:vAlign w:val="bottom"/>
          </w:tcPr>
          <w:p>
            <w:pPr>
              <w:ind w:left="20"/>
              <w:spacing w:after="0"/>
              <w:rPr>
                <w:sz w:val="20"/>
                <w:szCs w:val="20"/>
                <w:color w:val="auto"/>
              </w:rPr>
            </w:pPr>
            <w:r>
              <w:rPr>
                <w:rFonts w:ascii="Arial" w:cs="Arial" w:eastAsia="Arial" w:hAnsi="Arial"/>
                <w:sz w:val="17"/>
                <w:szCs w:val="17"/>
                <w:color w:val="auto"/>
              </w:rPr>
              <w:t>Massachusetts</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(RTP) Realty LLC</w:t>
            </w:r>
          </w:p>
        </w:tc>
        <w:tc>
          <w:tcPr>
            <w:tcW w:w="57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Chesapeake LLC</w:t>
            </w:r>
          </w:p>
        </w:tc>
        <w:tc>
          <w:tcPr>
            <w:tcW w:w="57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Holding I LLC</w:t>
            </w:r>
          </w:p>
        </w:tc>
        <w:tc>
          <w:tcPr>
            <w:tcW w:w="57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Holding II LLC</w:t>
            </w:r>
          </w:p>
        </w:tc>
        <w:tc>
          <w:tcPr>
            <w:tcW w:w="57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Manufacturing Holding LLC</w:t>
            </w:r>
          </w:p>
        </w:tc>
        <w:tc>
          <w:tcPr>
            <w:tcW w:w="57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New Ventures Inc.</w:t>
            </w:r>
          </w:p>
        </w:tc>
        <w:tc>
          <w:tcPr>
            <w:tcW w:w="57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SRO Inc.</w:t>
            </w:r>
          </w:p>
        </w:tc>
        <w:tc>
          <w:tcPr>
            <w:tcW w:w="57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Therapeutics Inc.</w:t>
            </w:r>
          </w:p>
        </w:tc>
        <w:tc>
          <w:tcPr>
            <w:tcW w:w="57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U.S. Pacific LLC</w:t>
            </w:r>
          </w:p>
        </w:tc>
        <w:tc>
          <w:tcPr>
            <w:tcW w:w="57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U.S. West Corporation</w:t>
            </w:r>
          </w:p>
        </w:tc>
        <w:tc>
          <w:tcPr>
            <w:tcW w:w="57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Conforma Therapeutics Corporation</w:t>
            </w:r>
          </w:p>
        </w:tc>
        <w:tc>
          <w:tcPr>
            <w:tcW w:w="57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Stromedix, Inc.</w:t>
            </w:r>
          </w:p>
        </w:tc>
        <w:tc>
          <w:tcPr>
            <w:tcW w:w="57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(Argentina) SRL</w:t>
            </w:r>
          </w:p>
        </w:tc>
        <w:tc>
          <w:tcPr>
            <w:tcW w:w="5700" w:type="dxa"/>
            <w:vAlign w:val="bottom"/>
          </w:tcPr>
          <w:p>
            <w:pPr>
              <w:ind w:left="20"/>
              <w:spacing w:after="0"/>
              <w:rPr>
                <w:sz w:val="20"/>
                <w:szCs w:val="20"/>
                <w:color w:val="auto"/>
              </w:rPr>
            </w:pPr>
            <w:r>
              <w:rPr>
                <w:rFonts w:ascii="Arial" w:cs="Arial" w:eastAsia="Arial" w:hAnsi="Arial"/>
                <w:sz w:val="17"/>
                <w:szCs w:val="17"/>
                <w:color w:val="auto"/>
              </w:rPr>
              <w:t>Argentina</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Australia PTY Ltd</w:t>
            </w:r>
          </w:p>
        </w:tc>
        <w:tc>
          <w:tcPr>
            <w:tcW w:w="5700" w:type="dxa"/>
            <w:vAlign w:val="bottom"/>
          </w:tcPr>
          <w:p>
            <w:pPr>
              <w:ind w:left="20"/>
              <w:spacing w:after="0"/>
              <w:rPr>
                <w:sz w:val="20"/>
                <w:szCs w:val="20"/>
                <w:color w:val="auto"/>
              </w:rPr>
            </w:pPr>
            <w:r>
              <w:rPr>
                <w:rFonts w:ascii="Arial" w:cs="Arial" w:eastAsia="Arial" w:hAnsi="Arial"/>
                <w:sz w:val="17"/>
                <w:szCs w:val="17"/>
                <w:color w:val="auto"/>
              </w:rPr>
              <w:t>Australia</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Austria GmbH</w:t>
            </w:r>
          </w:p>
        </w:tc>
        <w:tc>
          <w:tcPr>
            <w:tcW w:w="5700" w:type="dxa"/>
            <w:vAlign w:val="bottom"/>
          </w:tcPr>
          <w:p>
            <w:pPr>
              <w:ind w:left="20"/>
              <w:spacing w:after="0"/>
              <w:rPr>
                <w:sz w:val="20"/>
                <w:szCs w:val="20"/>
                <w:color w:val="auto"/>
              </w:rPr>
            </w:pPr>
            <w:r>
              <w:rPr>
                <w:rFonts w:ascii="Arial" w:cs="Arial" w:eastAsia="Arial" w:hAnsi="Arial"/>
                <w:sz w:val="17"/>
                <w:szCs w:val="17"/>
                <w:color w:val="auto"/>
              </w:rPr>
              <w:t>Austria</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Belgium N.V./S.A.</w:t>
            </w:r>
          </w:p>
        </w:tc>
        <w:tc>
          <w:tcPr>
            <w:tcW w:w="5700" w:type="dxa"/>
            <w:vAlign w:val="bottom"/>
          </w:tcPr>
          <w:p>
            <w:pPr>
              <w:ind w:left="20"/>
              <w:spacing w:after="0"/>
              <w:rPr>
                <w:sz w:val="20"/>
                <w:szCs w:val="20"/>
                <w:color w:val="auto"/>
              </w:rPr>
            </w:pPr>
            <w:r>
              <w:rPr>
                <w:rFonts w:ascii="Arial" w:cs="Arial" w:eastAsia="Arial" w:hAnsi="Arial"/>
                <w:sz w:val="17"/>
                <w:szCs w:val="17"/>
                <w:color w:val="auto"/>
              </w:rPr>
              <w:t>Belgium</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International Holding Limited</w:t>
            </w:r>
          </w:p>
        </w:tc>
        <w:tc>
          <w:tcPr>
            <w:tcW w:w="5700" w:type="dxa"/>
            <w:vAlign w:val="bottom"/>
          </w:tcPr>
          <w:p>
            <w:pPr>
              <w:ind w:left="20"/>
              <w:spacing w:after="0"/>
              <w:rPr>
                <w:sz w:val="20"/>
                <w:szCs w:val="20"/>
                <w:color w:val="auto"/>
              </w:rPr>
            </w:pPr>
            <w:r>
              <w:rPr>
                <w:rFonts w:ascii="Arial" w:cs="Arial" w:eastAsia="Arial" w:hAnsi="Arial"/>
                <w:sz w:val="17"/>
                <w:szCs w:val="17"/>
                <w:color w:val="auto"/>
              </w:rPr>
              <w:t>Bermuda</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Brasil Produtos Farmaceuticos LTDA</w:t>
            </w:r>
          </w:p>
        </w:tc>
        <w:tc>
          <w:tcPr>
            <w:tcW w:w="5700" w:type="dxa"/>
            <w:vAlign w:val="bottom"/>
          </w:tcPr>
          <w:p>
            <w:pPr>
              <w:ind w:left="20"/>
              <w:spacing w:after="0"/>
              <w:rPr>
                <w:sz w:val="20"/>
                <w:szCs w:val="20"/>
                <w:color w:val="auto"/>
              </w:rPr>
            </w:pPr>
            <w:r>
              <w:rPr>
                <w:rFonts w:ascii="Arial" w:cs="Arial" w:eastAsia="Arial" w:hAnsi="Arial"/>
                <w:sz w:val="17"/>
                <w:szCs w:val="17"/>
                <w:color w:val="auto"/>
              </w:rPr>
              <w:t>Brazil</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Canada Inc.</w:t>
            </w:r>
          </w:p>
        </w:tc>
        <w:tc>
          <w:tcPr>
            <w:tcW w:w="5700" w:type="dxa"/>
            <w:vAlign w:val="bottom"/>
          </w:tcPr>
          <w:p>
            <w:pPr>
              <w:ind w:left="20"/>
              <w:spacing w:after="0"/>
              <w:rPr>
                <w:sz w:val="20"/>
                <w:szCs w:val="20"/>
                <w:color w:val="auto"/>
              </w:rPr>
            </w:pPr>
            <w:r>
              <w:rPr>
                <w:rFonts w:ascii="Arial" w:cs="Arial" w:eastAsia="Arial" w:hAnsi="Arial"/>
                <w:sz w:val="17"/>
                <w:szCs w:val="17"/>
                <w:color w:val="auto"/>
              </w:rPr>
              <w:t>Canada</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Chile Spa</w:t>
            </w:r>
          </w:p>
        </w:tc>
        <w:tc>
          <w:tcPr>
            <w:tcW w:w="5700" w:type="dxa"/>
            <w:vAlign w:val="bottom"/>
          </w:tcPr>
          <w:p>
            <w:pPr>
              <w:ind w:left="20"/>
              <w:spacing w:after="0"/>
              <w:rPr>
                <w:sz w:val="20"/>
                <w:szCs w:val="20"/>
                <w:color w:val="auto"/>
              </w:rPr>
            </w:pPr>
            <w:r>
              <w:rPr>
                <w:rFonts w:ascii="Arial" w:cs="Arial" w:eastAsia="Arial" w:hAnsi="Arial"/>
                <w:sz w:val="17"/>
                <w:szCs w:val="17"/>
                <w:color w:val="auto"/>
              </w:rPr>
              <w:t>Chile</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Idec Pharmaceutical Consultancy (Shanghai) Co., Ltd.</w:t>
            </w:r>
          </w:p>
        </w:tc>
        <w:tc>
          <w:tcPr>
            <w:tcW w:w="5700" w:type="dxa"/>
            <w:vAlign w:val="bottom"/>
          </w:tcPr>
          <w:p>
            <w:pPr>
              <w:ind w:left="20"/>
              <w:spacing w:after="0"/>
              <w:rPr>
                <w:sz w:val="20"/>
                <w:szCs w:val="20"/>
                <w:color w:val="auto"/>
              </w:rPr>
            </w:pPr>
            <w:r>
              <w:rPr>
                <w:rFonts w:ascii="Arial" w:cs="Arial" w:eastAsia="Arial" w:hAnsi="Arial"/>
                <w:sz w:val="17"/>
                <w:szCs w:val="17"/>
                <w:color w:val="auto"/>
              </w:rPr>
              <w:t>China</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Biotechnology (Shanghai) Co., Ltd.</w:t>
            </w:r>
          </w:p>
        </w:tc>
        <w:tc>
          <w:tcPr>
            <w:tcW w:w="5700" w:type="dxa"/>
            <w:vAlign w:val="bottom"/>
          </w:tcPr>
          <w:p>
            <w:pPr>
              <w:ind w:left="20"/>
              <w:spacing w:after="0"/>
              <w:rPr>
                <w:sz w:val="20"/>
                <w:szCs w:val="20"/>
                <w:color w:val="auto"/>
              </w:rPr>
            </w:pPr>
            <w:r>
              <w:rPr>
                <w:rFonts w:ascii="Arial" w:cs="Arial" w:eastAsia="Arial" w:hAnsi="Arial"/>
                <w:sz w:val="17"/>
                <w:szCs w:val="17"/>
                <w:color w:val="auto"/>
              </w:rPr>
              <w:t>China</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(Czech Republic) s.r.o.</w:t>
            </w:r>
          </w:p>
        </w:tc>
        <w:tc>
          <w:tcPr>
            <w:tcW w:w="5700" w:type="dxa"/>
            <w:vAlign w:val="bottom"/>
          </w:tcPr>
          <w:p>
            <w:pPr>
              <w:ind w:left="20"/>
              <w:spacing w:after="0"/>
              <w:rPr>
                <w:sz w:val="20"/>
                <w:szCs w:val="20"/>
                <w:color w:val="auto"/>
              </w:rPr>
            </w:pPr>
            <w:r>
              <w:rPr>
                <w:rFonts w:ascii="Arial" w:cs="Arial" w:eastAsia="Arial" w:hAnsi="Arial"/>
                <w:sz w:val="17"/>
                <w:szCs w:val="17"/>
                <w:color w:val="auto"/>
              </w:rPr>
              <w:t>Czech Republic</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(Denmark) A/S</w:t>
            </w:r>
          </w:p>
        </w:tc>
        <w:tc>
          <w:tcPr>
            <w:tcW w:w="5700" w:type="dxa"/>
            <w:vAlign w:val="bottom"/>
          </w:tcPr>
          <w:p>
            <w:pPr>
              <w:ind w:left="20"/>
              <w:spacing w:after="0"/>
              <w:rPr>
                <w:sz w:val="20"/>
                <w:szCs w:val="20"/>
                <w:color w:val="auto"/>
              </w:rPr>
            </w:pPr>
            <w:r>
              <w:rPr>
                <w:rFonts w:ascii="Arial" w:cs="Arial" w:eastAsia="Arial" w:hAnsi="Arial"/>
                <w:sz w:val="17"/>
                <w:szCs w:val="17"/>
                <w:color w:val="auto"/>
              </w:rPr>
              <w:t>Denmark</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(Denmark) Manufacturing ApS</w:t>
            </w:r>
          </w:p>
        </w:tc>
        <w:tc>
          <w:tcPr>
            <w:tcW w:w="5700" w:type="dxa"/>
            <w:vAlign w:val="bottom"/>
          </w:tcPr>
          <w:p>
            <w:pPr>
              <w:ind w:left="20"/>
              <w:spacing w:after="0"/>
              <w:rPr>
                <w:sz w:val="20"/>
                <w:szCs w:val="20"/>
                <w:color w:val="auto"/>
              </w:rPr>
            </w:pPr>
            <w:r>
              <w:rPr>
                <w:rFonts w:ascii="Arial" w:cs="Arial" w:eastAsia="Arial" w:hAnsi="Arial"/>
                <w:sz w:val="17"/>
                <w:szCs w:val="17"/>
                <w:color w:val="auto"/>
              </w:rPr>
              <w:t>Denmark</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Holding APS</w:t>
            </w:r>
          </w:p>
        </w:tc>
        <w:tc>
          <w:tcPr>
            <w:tcW w:w="5700" w:type="dxa"/>
            <w:vAlign w:val="bottom"/>
          </w:tcPr>
          <w:p>
            <w:pPr>
              <w:ind w:left="20"/>
              <w:spacing w:after="0"/>
              <w:rPr>
                <w:sz w:val="20"/>
                <w:szCs w:val="20"/>
                <w:color w:val="auto"/>
              </w:rPr>
            </w:pPr>
            <w:r>
              <w:rPr>
                <w:rFonts w:ascii="Arial" w:cs="Arial" w:eastAsia="Arial" w:hAnsi="Arial"/>
                <w:sz w:val="17"/>
                <w:szCs w:val="17"/>
                <w:color w:val="auto"/>
              </w:rPr>
              <w:t>Denmark</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(Denmark) New Manufacturing ApS</w:t>
            </w:r>
          </w:p>
        </w:tc>
        <w:tc>
          <w:tcPr>
            <w:tcW w:w="5700" w:type="dxa"/>
            <w:vAlign w:val="bottom"/>
          </w:tcPr>
          <w:p>
            <w:pPr>
              <w:ind w:left="20"/>
              <w:spacing w:after="0"/>
              <w:rPr>
                <w:sz w:val="20"/>
                <w:szCs w:val="20"/>
                <w:color w:val="auto"/>
              </w:rPr>
            </w:pPr>
            <w:r>
              <w:rPr>
                <w:rFonts w:ascii="Arial" w:cs="Arial" w:eastAsia="Arial" w:hAnsi="Arial"/>
                <w:sz w:val="17"/>
                <w:szCs w:val="17"/>
                <w:color w:val="auto"/>
              </w:rPr>
              <w:t>Denmark</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Finland OY</w:t>
            </w:r>
          </w:p>
        </w:tc>
        <w:tc>
          <w:tcPr>
            <w:tcW w:w="5700" w:type="dxa"/>
            <w:vAlign w:val="bottom"/>
          </w:tcPr>
          <w:p>
            <w:pPr>
              <w:ind w:left="20"/>
              <w:spacing w:after="0"/>
              <w:rPr>
                <w:sz w:val="20"/>
                <w:szCs w:val="20"/>
                <w:color w:val="auto"/>
              </w:rPr>
            </w:pPr>
            <w:r>
              <w:rPr>
                <w:rFonts w:ascii="Arial" w:cs="Arial" w:eastAsia="Arial" w:hAnsi="Arial"/>
                <w:sz w:val="17"/>
                <w:szCs w:val="17"/>
                <w:color w:val="auto"/>
              </w:rPr>
              <w:t>Finland</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France S.A.S.</w:t>
            </w:r>
          </w:p>
        </w:tc>
        <w:tc>
          <w:tcPr>
            <w:tcW w:w="5700" w:type="dxa"/>
            <w:vAlign w:val="bottom"/>
          </w:tcPr>
          <w:p>
            <w:pPr>
              <w:ind w:left="20"/>
              <w:spacing w:after="0"/>
              <w:rPr>
                <w:sz w:val="20"/>
                <w:szCs w:val="20"/>
                <w:color w:val="auto"/>
              </w:rPr>
            </w:pPr>
            <w:r>
              <w:rPr>
                <w:rFonts w:ascii="Arial" w:cs="Arial" w:eastAsia="Arial" w:hAnsi="Arial"/>
                <w:sz w:val="17"/>
                <w:szCs w:val="17"/>
                <w:color w:val="auto"/>
              </w:rPr>
              <w:t>France</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GmbH</w:t>
            </w:r>
          </w:p>
        </w:tc>
        <w:tc>
          <w:tcPr>
            <w:tcW w:w="5700" w:type="dxa"/>
            <w:vAlign w:val="bottom"/>
          </w:tcPr>
          <w:p>
            <w:pPr>
              <w:ind w:left="20"/>
              <w:spacing w:after="0"/>
              <w:rPr>
                <w:sz w:val="20"/>
                <w:szCs w:val="20"/>
                <w:color w:val="auto"/>
              </w:rPr>
            </w:pPr>
            <w:r>
              <w:rPr>
                <w:rFonts w:ascii="Arial" w:cs="Arial" w:eastAsia="Arial" w:hAnsi="Arial"/>
                <w:sz w:val="17"/>
                <w:szCs w:val="17"/>
                <w:color w:val="auto"/>
              </w:rPr>
              <w:t>Germany</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Idec (Hong Kong) Limited</w:t>
            </w:r>
          </w:p>
        </w:tc>
        <w:tc>
          <w:tcPr>
            <w:tcW w:w="5700" w:type="dxa"/>
            <w:vAlign w:val="bottom"/>
          </w:tcPr>
          <w:p>
            <w:pPr>
              <w:ind w:left="20"/>
              <w:spacing w:after="0"/>
              <w:rPr>
                <w:sz w:val="20"/>
                <w:szCs w:val="20"/>
                <w:color w:val="auto"/>
              </w:rPr>
            </w:pPr>
            <w:r>
              <w:rPr>
                <w:rFonts w:ascii="Arial" w:cs="Arial" w:eastAsia="Arial" w:hAnsi="Arial"/>
                <w:sz w:val="17"/>
                <w:szCs w:val="17"/>
                <w:color w:val="auto"/>
              </w:rPr>
              <w:t>Hong Kong</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Hungary KFT</w:t>
            </w:r>
          </w:p>
        </w:tc>
        <w:tc>
          <w:tcPr>
            <w:tcW w:w="5700" w:type="dxa"/>
            <w:vAlign w:val="bottom"/>
          </w:tcPr>
          <w:p>
            <w:pPr>
              <w:ind w:left="20"/>
              <w:spacing w:after="0"/>
              <w:rPr>
                <w:sz w:val="20"/>
                <w:szCs w:val="20"/>
                <w:color w:val="auto"/>
              </w:rPr>
            </w:pPr>
            <w:r>
              <w:rPr>
                <w:rFonts w:ascii="Arial" w:cs="Arial" w:eastAsia="Arial" w:hAnsi="Arial"/>
                <w:sz w:val="17"/>
                <w:szCs w:val="17"/>
                <w:color w:val="auto"/>
              </w:rPr>
              <w:t>Hungary</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Idec Biotech India Pvt. Ltd.</w:t>
            </w:r>
          </w:p>
        </w:tc>
        <w:tc>
          <w:tcPr>
            <w:tcW w:w="5700" w:type="dxa"/>
            <w:vAlign w:val="bottom"/>
          </w:tcPr>
          <w:p>
            <w:pPr>
              <w:ind w:left="20"/>
              <w:spacing w:after="0"/>
              <w:rPr>
                <w:sz w:val="20"/>
                <w:szCs w:val="20"/>
                <w:color w:val="auto"/>
              </w:rPr>
            </w:pPr>
            <w:r>
              <w:rPr>
                <w:rFonts w:ascii="Arial" w:cs="Arial" w:eastAsia="Arial" w:hAnsi="Arial"/>
                <w:sz w:val="17"/>
                <w:szCs w:val="17"/>
                <w:color w:val="auto"/>
              </w:rPr>
              <w:t>India</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Idec (Ireland) Ltd.</w:t>
            </w:r>
          </w:p>
        </w:tc>
        <w:tc>
          <w:tcPr>
            <w:tcW w:w="5700" w:type="dxa"/>
            <w:vAlign w:val="bottom"/>
          </w:tcPr>
          <w:p>
            <w:pPr>
              <w:ind w:left="20"/>
              <w:spacing w:after="0"/>
              <w:rPr>
                <w:sz w:val="20"/>
                <w:szCs w:val="20"/>
                <w:color w:val="auto"/>
              </w:rPr>
            </w:pPr>
            <w:r>
              <w:rPr>
                <w:rFonts w:ascii="Arial" w:cs="Arial" w:eastAsia="Arial" w:hAnsi="Arial"/>
                <w:sz w:val="17"/>
                <w:szCs w:val="17"/>
                <w:color w:val="auto"/>
              </w:rPr>
              <w:t>Ireland</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Italia SRL</w:t>
            </w:r>
          </w:p>
        </w:tc>
        <w:tc>
          <w:tcPr>
            <w:tcW w:w="5700" w:type="dxa"/>
            <w:vAlign w:val="bottom"/>
          </w:tcPr>
          <w:p>
            <w:pPr>
              <w:ind w:left="20"/>
              <w:spacing w:after="0"/>
              <w:rPr>
                <w:sz w:val="20"/>
                <w:szCs w:val="20"/>
                <w:color w:val="auto"/>
              </w:rPr>
            </w:pPr>
            <w:r>
              <w:rPr>
                <w:rFonts w:ascii="Arial" w:cs="Arial" w:eastAsia="Arial" w:hAnsi="Arial"/>
                <w:sz w:val="17"/>
                <w:szCs w:val="17"/>
                <w:color w:val="auto"/>
              </w:rPr>
              <w:t>Italy</w:t>
            </w:r>
          </w:p>
        </w:tc>
      </w:tr>
    </w:tbl>
    <w:p>
      <w:pPr>
        <w:sectPr>
          <w:pgSz w:w="11900" w:h="16838" w:orient="portrait"/>
          <w:cols w:equalWidth="0" w:num="1">
            <w:col w:w="11420"/>
          </w:cols>
          <w:pgMar w:left="240" w:top="554" w:right="239" w:bottom="1440" w:gutter="0" w:footer="0" w:header="0"/>
        </w:sectPr>
      </w:pPr>
    </w:p>
    <w:bookmarkStart w:id="204" w:name="page205"/>
    <w:bookmarkEnd w:id="204"/>
    <w:p>
      <w:pPr>
        <w:spacing w:after="0"/>
        <w:rPr>
          <w:sz w:val="20"/>
          <w:szCs w:val="20"/>
          <w:color w:val="auto"/>
        </w:rPr>
      </w:pPr>
      <w:r>
        <w:rPr>
          <w:rFonts w:ascii="Arial" w:cs="Arial" w:eastAsia="Arial" w:hAnsi="Arial"/>
          <w:sz w:val="17"/>
          <w:szCs w:val="17"/>
          <w:color w:val="auto"/>
        </w:rPr>
        <w:t>Biogen Japan Ltd.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Korea</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Luxembourg Holding SARL</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Mexico S. DE R.L. DE C.V.</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NZ Biopharma Ltd.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Norway AS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Poland Sp. z.o.o</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Portugal Sociedade Farmaceutica, Unipessoal, Lda.</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(Singapore) Pte Ltd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Slovakia s.r.o.</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Pharma, farmacevtska in biotehnoloska druzba d.o.o</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Spain, S.L.</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Fundacion Biogen</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Sweden AB</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International GmbH</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International Neuroscience GmbH</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Management Services GmbH</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Swiss Investments GmbH</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Swiss Manufacturing GmbH</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Switzerland AG</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Switzerland Holdings GmbH</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Eidetica Biopharma GmbH</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Taiwan Limited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B.V.</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Netherlands B.V.</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Idec Ltd.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Idec Research Ltd.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Convergence Pharmaceuticals Ltd.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Convergence Pharmaceuticals Holdings Ltd.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Old Convergence Pharmaceuticals Ltd.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Panion Ltd.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Silver Acquisition Co. Ltd.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Idec Uruguay SA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Japan</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Korea</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Luxembourg</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Mexico</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New Zealand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Norway</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Poland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Portugal</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Singapore</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Slovak Republic</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Slovenia</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Spain</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Spain</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Sweden</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Switzerland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Switzerland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Switzerland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Switzerland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Switzerland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Switzerland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Switzerland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Switzerland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Taiwan</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The Netherlands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The Netherlands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Uruguay</w:t>
      </w:r>
    </w:p>
    <w:p>
      <w:pPr>
        <w:sectPr>
          <w:pgSz w:w="11900" w:h="16838" w:orient="portrait"/>
          <w:cols w:equalWidth="0" w:num="2">
            <w:col w:w="5000" w:space="720"/>
            <w:col w:w="4479"/>
          </w:cols>
          <w:pgMar w:left="260" w:top="728" w:right="1440" w:bottom="1440" w:gutter="0" w:footer="0" w:header="0"/>
        </w:sectPr>
      </w:pPr>
    </w:p>
    <w:bookmarkStart w:id="205" w:name="page206"/>
    <w:bookmarkEnd w:id="205"/>
    <w:p>
      <w:pPr>
        <w:jc w:val="right"/>
        <w:spacing w:after="0"/>
        <w:rPr>
          <w:sz w:val="20"/>
          <w:szCs w:val="20"/>
          <w:color w:val="auto"/>
        </w:rPr>
      </w:pPr>
      <w:r>
        <w:rPr>
          <w:rFonts w:ascii="Arial" w:cs="Arial" w:eastAsia="Arial" w:hAnsi="Arial"/>
          <w:sz w:val="17"/>
          <w:szCs w:val="17"/>
          <w:b w:val="1"/>
          <w:bCs w:val="1"/>
          <w:color w:val="auto"/>
        </w:rPr>
        <w:t>Exhibit 23</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CONSENT OF INDEPENDENT REGISTERED PUBLIC ACCOUNTING FIRM</w:t>
      </w:r>
    </w:p>
    <w:p>
      <w:pPr>
        <w:spacing w:after="0" w:line="200" w:lineRule="exact"/>
        <w:rPr>
          <w:sz w:val="20"/>
          <w:szCs w:val="20"/>
          <w:color w:val="auto"/>
        </w:rPr>
      </w:pPr>
    </w:p>
    <w:p>
      <w:pPr>
        <w:spacing w:after="0" w:line="219" w:lineRule="exact"/>
        <w:rPr>
          <w:sz w:val="20"/>
          <w:szCs w:val="20"/>
          <w:color w:val="auto"/>
        </w:rPr>
      </w:pPr>
    </w:p>
    <w:p>
      <w:pPr>
        <w:ind w:right="40"/>
        <w:spacing w:after="0" w:line="205" w:lineRule="exact"/>
        <w:rPr>
          <w:sz w:val="20"/>
          <w:szCs w:val="20"/>
          <w:color w:val="auto"/>
        </w:rPr>
      </w:pPr>
      <w:r>
        <w:rPr>
          <w:rFonts w:ascii="Arial" w:cs="Arial" w:eastAsia="Arial" w:hAnsi="Arial"/>
          <w:sz w:val="17"/>
          <w:szCs w:val="17"/>
          <w:color w:val="auto"/>
        </w:rPr>
        <w:t>We hereby consent to the incorporation by reference in the Registration Statement on Form S-3 (No. 333-206799) and Registration Statements on Form S-8 (Nos. 333-218799, 333-205254, 333-110432, 333-110433, 333-128339, 333-152456, 333-140817 and 333-170133) of Biogen Inc. of our report dated February 1, 2018 relating to the financial statements and the effectiveness of internal control over financial reporting, which appears in this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February 1, 2018</w:t>
      </w:r>
    </w:p>
    <w:p>
      <w:pPr>
        <w:sectPr>
          <w:pgSz w:w="11900" w:h="16838" w:orient="portrait"/>
          <w:cols w:equalWidth="0" w:num="1">
            <w:col w:w="11420"/>
          </w:cols>
          <w:pgMar w:left="240" w:top="554" w:right="2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7"/>
          <w:szCs w:val="17"/>
          <w:b w:val="1"/>
          <w:bCs w:val="1"/>
          <w:color w:val="auto"/>
        </w:rPr>
        <w:t>Exhibit 31.1</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 PURSUANT TO</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color w:val="auto"/>
        </w:rPr>
        <w:t>I, Michel Vounatsos, certify that:</w:t>
      </w:r>
    </w:p>
    <w:p>
      <w:pPr>
        <w:spacing w:after="0" w:line="394" w:lineRule="exact"/>
        <w:rPr>
          <w:sz w:val="20"/>
          <w:szCs w:val="20"/>
          <w:color w:val="auto"/>
        </w:rPr>
      </w:pPr>
    </w:p>
    <w:p>
      <w:pPr>
        <w:ind w:left="620" w:hanging="618"/>
        <w:spacing w:after="0"/>
        <w:tabs>
          <w:tab w:leader="none" w:pos="62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I have reviewed this annual report of Biogen Inc.;</w:t>
      </w:r>
    </w:p>
    <w:p>
      <w:pPr>
        <w:spacing w:after="0" w:line="214" w:lineRule="exact"/>
        <w:rPr>
          <w:rFonts w:ascii="Arial" w:cs="Arial" w:eastAsia="Arial" w:hAnsi="Arial"/>
          <w:sz w:val="17"/>
          <w:szCs w:val="17"/>
          <w:color w:val="auto"/>
        </w:rPr>
      </w:pPr>
    </w:p>
    <w:p>
      <w:pPr>
        <w:jc w:val="both"/>
        <w:ind w:left="620" w:right="60" w:hanging="618"/>
        <w:spacing w:after="0" w:line="257" w:lineRule="auto"/>
        <w:tabs>
          <w:tab w:leader="none" w:pos="62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1" w:lineRule="exact"/>
        <w:rPr>
          <w:rFonts w:ascii="Arial" w:cs="Arial" w:eastAsia="Arial" w:hAnsi="Arial"/>
          <w:sz w:val="17"/>
          <w:szCs w:val="17"/>
          <w:color w:val="auto"/>
        </w:rPr>
      </w:pPr>
    </w:p>
    <w:p>
      <w:pPr>
        <w:ind w:left="620" w:right="180" w:hanging="618"/>
        <w:spacing w:after="0" w:line="262" w:lineRule="auto"/>
        <w:tabs>
          <w:tab w:leader="none" w:pos="62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7" w:lineRule="exact"/>
        <w:rPr>
          <w:rFonts w:ascii="Arial" w:cs="Arial" w:eastAsia="Arial" w:hAnsi="Arial"/>
          <w:sz w:val="17"/>
          <w:szCs w:val="17"/>
          <w:color w:val="auto"/>
        </w:rPr>
      </w:pPr>
    </w:p>
    <w:p>
      <w:pPr>
        <w:jc w:val="both"/>
        <w:ind w:left="620" w:right="80" w:hanging="618"/>
        <w:spacing w:after="0" w:line="251" w:lineRule="auto"/>
        <w:tabs>
          <w:tab w:leader="none" w:pos="62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2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214" w:lineRule="exact"/>
        <w:rPr>
          <w:rFonts w:ascii="Arial" w:cs="Arial" w:eastAsia="Arial" w:hAnsi="Arial"/>
          <w:sz w:val="17"/>
          <w:szCs w:val="17"/>
          <w:color w:val="auto"/>
        </w:rPr>
      </w:pPr>
    </w:p>
    <w:p>
      <w:pPr>
        <w:ind w:left="1240" w:right="200" w:hanging="623"/>
        <w:spacing w:after="0" w:line="257" w:lineRule="auto"/>
        <w:tabs>
          <w:tab w:leader="none" w:pos="1240" w:val="left"/>
        </w:tabs>
        <w:numPr>
          <w:ilvl w:val="1"/>
          <w:numId w:val="16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Arial" w:cs="Arial" w:eastAsia="Arial" w:hAnsi="Arial"/>
          <w:sz w:val="17"/>
          <w:szCs w:val="17"/>
          <w:color w:val="auto"/>
        </w:rPr>
      </w:pPr>
    </w:p>
    <w:p>
      <w:pPr>
        <w:ind w:left="1240" w:right="280" w:hanging="623"/>
        <w:spacing w:after="0" w:line="257" w:lineRule="auto"/>
        <w:tabs>
          <w:tab w:leader="none" w:pos="1240" w:val="left"/>
        </w:tabs>
        <w:numPr>
          <w:ilvl w:val="1"/>
          <w:numId w:val="16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Arial" w:cs="Arial" w:eastAsia="Arial" w:hAnsi="Arial"/>
          <w:sz w:val="17"/>
          <w:szCs w:val="17"/>
          <w:color w:val="auto"/>
        </w:rPr>
      </w:pPr>
    </w:p>
    <w:p>
      <w:pPr>
        <w:ind w:left="1240" w:right="220" w:hanging="623"/>
        <w:spacing w:after="0" w:line="257" w:lineRule="auto"/>
        <w:tabs>
          <w:tab w:leader="none" w:pos="1240" w:val="left"/>
        </w:tabs>
        <w:numPr>
          <w:ilvl w:val="1"/>
          <w:numId w:val="16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Arial" w:cs="Arial" w:eastAsia="Arial" w:hAnsi="Arial"/>
          <w:sz w:val="17"/>
          <w:szCs w:val="17"/>
          <w:color w:val="auto"/>
        </w:rPr>
      </w:pPr>
    </w:p>
    <w:p>
      <w:pPr>
        <w:ind w:left="1240" w:right="100" w:hanging="623"/>
        <w:spacing w:after="0" w:line="257" w:lineRule="auto"/>
        <w:tabs>
          <w:tab w:leader="none" w:pos="1240" w:val="left"/>
        </w:tabs>
        <w:numPr>
          <w:ilvl w:val="1"/>
          <w:numId w:val="16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Arial" w:cs="Arial" w:eastAsia="Arial" w:hAnsi="Arial"/>
          <w:sz w:val="17"/>
          <w:szCs w:val="17"/>
          <w:color w:val="auto"/>
        </w:rPr>
      </w:pPr>
    </w:p>
    <w:p>
      <w:pPr>
        <w:ind w:left="620" w:right="120" w:hanging="618"/>
        <w:spacing w:after="0" w:line="262" w:lineRule="auto"/>
        <w:tabs>
          <w:tab w:leader="none" w:pos="62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7" w:lineRule="exact"/>
        <w:rPr>
          <w:rFonts w:ascii="Arial" w:cs="Arial" w:eastAsia="Arial" w:hAnsi="Arial"/>
          <w:sz w:val="17"/>
          <w:szCs w:val="17"/>
          <w:color w:val="auto"/>
        </w:rPr>
      </w:pPr>
    </w:p>
    <w:p>
      <w:pPr>
        <w:ind w:left="1240" w:right="400" w:hanging="623"/>
        <w:spacing w:after="0" w:line="262" w:lineRule="auto"/>
        <w:tabs>
          <w:tab w:leader="none" w:pos="1240" w:val="left"/>
        </w:tabs>
        <w:numPr>
          <w:ilvl w:val="1"/>
          <w:numId w:val="16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7" w:lineRule="exact"/>
        <w:rPr>
          <w:rFonts w:ascii="Arial" w:cs="Arial" w:eastAsia="Arial" w:hAnsi="Arial"/>
          <w:sz w:val="17"/>
          <w:szCs w:val="17"/>
          <w:color w:val="auto"/>
        </w:rPr>
      </w:pPr>
    </w:p>
    <w:p>
      <w:pPr>
        <w:ind w:left="1240" w:right="20" w:hanging="623"/>
        <w:spacing w:after="0" w:line="262" w:lineRule="auto"/>
        <w:tabs>
          <w:tab w:leader="none" w:pos="1240" w:val="left"/>
        </w:tabs>
        <w:numPr>
          <w:ilvl w:val="1"/>
          <w:numId w:val="16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16" w:lineRule="exact"/>
        <w:rPr>
          <w:sz w:val="20"/>
          <w:szCs w:val="20"/>
          <w:color w:val="auto"/>
        </w:rPr>
      </w:pPr>
    </w:p>
    <w:p>
      <w:pPr>
        <w:ind w:left="20"/>
        <w:spacing w:after="0"/>
        <w:tabs>
          <w:tab w:leader="none" w:pos="8700" w:val="left"/>
        </w:tabs>
        <w:rPr>
          <w:sz w:val="20"/>
          <w:szCs w:val="20"/>
          <w:color w:val="auto"/>
        </w:rPr>
      </w:pPr>
      <w:r>
        <w:rPr>
          <w:rFonts w:ascii="Arial" w:cs="Arial" w:eastAsia="Arial" w:hAnsi="Arial"/>
          <w:sz w:val="17"/>
          <w:szCs w:val="17"/>
          <w:color w:val="auto"/>
        </w:rPr>
        <w:t>Date: February 1, 2018</w:t>
      </w:r>
      <w:r>
        <w:rPr>
          <w:sz w:val="20"/>
          <w:szCs w:val="20"/>
          <w:color w:val="auto"/>
        </w:rPr>
        <w:tab/>
      </w:r>
      <w:r>
        <w:rPr>
          <w:rFonts w:ascii="Arial" w:cs="Arial" w:eastAsia="Arial" w:hAnsi="Arial"/>
          <w:sz w:val="16"/>
          <w:szCs w:val="16"/>
          <w:color w:val="auto"/>
        </w:rPr>
        <w:t>/s/ Michel Vounatsos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5514975</wp:posOffset>
            </wp:positionH>
            <wp:positionV relativeFrom="paragraph">
              <wp:posOffset>14605</wp:posOffset>
            </wp:positionV>
            <wp:extent cx="17405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5">
                      <a:extLst>
                        <a:ext uri="{28A0092B-C50C-407E-A947-70E740481C1C}"/>
                      </a:extLst>
                    </a:blip>
                    <a:srcRect/>
                    <a:stretch>
                      <a:fillRect/>
                    </a:stretch>
                  </pic:blipFill>
                  <pic:spPr bwMode="auto">
                    <a:xfrm>
                      <a:off x="0" y="0"/>
                      <a:ext cx="1740535" cy="8255"/>
                    </a:xfrm>
                    <a:prstGeom prst="rect">
                      <a:avLst/>
                    </a:prstGeom>
                    <a:noFill/>
                  </pic:spPr>
                </pic:pic>
              </a:graphicData>
            </a:graphic>
          </wp:anchor>
        </w:drawing>
      </w:r>
    </w:p>
    <w:p>
      <w:pPr>
        <w:spacing w:after="0" w:line="37" w:lineRule="exact"/>
        <w:rPr>
          <w:sz w:val="20"/>
          <w:szCs w:val="20"/>
          <w:color w:val="auto"/>
        </w:rPr>
      </w:pPr>
    </w:p>
    <w:p>
      <w:pPr>
        <w:ind w:left="8720"/>
        <w:spacing w:after="0"/>
        <w:rPr>
          <w:sz w:val="20"/>
          <w:szCs w:val="20"/>
          <w:color w:val="auto"/>
        </w:rPr>
      </w:pPr>
      <w:r>
        <w:rPr>
          <w:rFonts w:ascii="Arial" w:cs="Arial" w:eastAsia="Arial" w:hAnsi="Arial"/>
          <w:sz w:val="17"/>
          <w:szCs w:val="17"/>
          <w:color w:val="auto"/>
        </w:rPr>
        <w:t>Michel Vounatsos</w:t>
      </w:r>
    </w:p>
    <w:p>
      <w:pPr>
        <w:ind w:left="872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554" w:right="239" w:bottom="1440" w:gutter="0" w:footer="0" w:header="0"/>
        </w:sectPr>
      </w:pPr>
    </w:p>
    <w:bookmarkStart w:id="207" w:name="page208"/>
    <w:bookmarkEnd w:id="207"/>
    <w:p>
      <w:pPr>
        <w:jc w:val="right"/>
        <w:spacing w:after="0"/>
        <w:rPr>
          <w:sz w:val="20"/>
          <w:szCs w:val="20"/>
          <w:color w:val="auto"/>
        </w:rPr>
      </w:pPr>
      <w:r>
        <w:rPr>
          <w:rFonts w:ascii="Arial" w:cs="Arial" w:eastAsia="Arial" w:hAnsi="Arial"/>
          <w:sz w:val="17"/>
          <w:szCs w:val="17"/>
          <w:b w:val="1"/>
          <w:bCs w:val="1"/>
          <w:color w:val="auto"/>
        </w:rPr>
        <w:t>Exhibit 31.2</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FINANCIAL OFFICER PURSUANT TO</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color w:val="auto"/>
        </w:rPr>
        <w:t>I, Jeffrey Capello, certify that:</w:t>
      </w:r>
    </w:p>
    <w:p>
      <w:pPr>
        <w:spacing w:after="0" w:line="189" w:lineRule="exact"/>
        <w:rPr>
          <w:sz w:val="20"/>
          <w:szCs w:val="20"/>
          <w:color w:val="auto"/>
        </w:rPr>
      </w:pPr>
    </w:p>
    <w:p>
      <w:pPr>
        <w:ind w:left="620" w:hanging="618"/>
        <w:spacing w:after="0"/>
        <w:tabs>
          <w:tab w:leader="none" w:pos="62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I have reviewed this annual report of Biogen Inc.;</w:t>
      </w:r>
    </w:p>
    <w:p>
      <w:pPr>
        <w:spacing w:after="0" w:line="214" w:lineRule="exact"/>
        <w:rPr>
          <w:rFonts w:ascii="Arial" w:cs="Arial" w:eastAsia="Arial" w:hAnsi="Arial"/>
          <w:sz w:val="17"/>
          <w:szCs w:val="17"/>
          <w:color w:val="auto"/>
        </w:rPr>
      </w:pPr>
    </w:p>
    <w:p>
      <w:pPr>
        <w:jc w:val="both"/>
        <w:ind w:left="620" w:right="60" w:hanging="618"/>
        <w:spacing w:after="0" w:line="257" w:lineRule="auto"/>
        <w:tabs>
          <w:tab w:leader="none" w:pos="62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1" w:lineRule="exact"/>
        <w:rPr>
          <w:rFonts w:ascii="Arial" w:cs="Arial" w:eastAsia="Arial" w:hAnsi="Arial"/>
          <w:sz w:val="17"/>
          <w:szCs w:val="17"/>
          <w:color w:val="auto"/>
        </w:rPr>
      </w:pPr>
    </w:p>
    <w:p>
      <w:pPr>
        <w:ind w:left="620" w:right="180" w:hanging="618"/>
        <w:spacing w:after="0" w:line="262" w:lineRule="auto"/>
        <w:tabs>
          <w:tab w:leader="none" w:pos="62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7" w:lineRule="exact"/>
        <w:rPr>
          <w:rFonts w:ascii="Arial" w:cs="Arial" w:eastAsia="Arial" w:hAnsi="Arial"/>
          <w:sz w:val="17"/>
          <w:szCs w:val="17"/>
          <w:color w:val="auto"/>
        </w:rPr>
      </w:pPr>
    </w:p>
    <w:p>
      <w:pPr>
        <w:jc w:val="both"/>
        <w:ind w:left="620" w:right="80" w:hanging="618"/>
        <w:spacing w:after="0" w:line="251" w:lineRule="auto"/>
        <w:tabs>
          <w:tab w:leader="none" w:pos="62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2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214" w:lineRule="exact"/>
        <w:rPr>
          <w:rFonts w:ascii="Arial" w:cs="Arial" w:eastAsia="Arial" w:hAnsi="Arial"/>
          <w:sz w:val="17"/>
          <w:szCs w:val="17"/>
          <w:color w:val="auto"/>
        </w:rPr>
      </w:pPr>
    </w:p>
    <w:p>
      <w:pPr>
        <w:ind w:left="1240" w:right="200" w:hanging="623"/>
        <w:spacing w:after="0" w:line="257" w:lineRule="auto"/>
        <w:tabs>
          <w:tab w:leader="none" w:pos="1240" w:val="left"/>
        </w:tabs>
        <w:numPr>
          <w:ilvl w:val="1"/>
          <w:numId w:val="16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Arial" w:cs="Arial" w:eastAsia="Arial" w:hAnsi="Arial"/>
          <w:sz w:val="17"/>
          <w:szCs w:val="17"/>
          <w:color w:val="auto"/>
        </w:rPr>
      </w:pPr>
    </w:p>
    <w:p>
      <w:pPr>
        <w:ind w:left="1240" w:right="280" w:hanging="623"/>
        <w:spacing w:after="0" w:line="257" w:lineRule="auto"/>
        <w:tabs>
          <w:tab w:leader="none" w:pos="1240" w:val="left"/>
        </w:tabs>
        <w:numPr>
          <w:ilvl w:val="1"/>
          <w:numId w:val="16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Arial" w:cs="Arial" w:eastAsia="Arial" w:hAnsi="Arial"/>
          <w:sz w:val="17"/>
          <w:szCs w:val="17"/>
          <w:color w:val="auto"/>
        </w:rPr>
      </w:pPr>
    </w:p>
    <w:p>
      <w:pPr>
        <w:ind w:left="1240" w:right="220" w:hanging="623"/>
        <w:spacing w:after="0" w:line="257" w:lineRule="auto"/>
        <w:tabs>
          <w:tab w:leader="none" w:pos="1240" w:val="left"/>
        </w:tabs>
        <w:numPr>
          <w:ilvl w:val="1"/>
          <w:numId w:val="16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Arial" w:cs="Arial" w:eastAsia="Arial" w:hAnsi="Arial"/>
          <w:sz w:val="17"/>
          <w:szCs w:val="17"/>
          <w:color w:val="auto"/>
        </w:rPr>
      </w:pPr>
    </w:p>
    <w:p>
      <w:pPr>
        <w:ind w:left="1240" w:right="100" w:hanging="623"/>
        <w:spacing w:after="0" w:line="257" w:lineRule="auto"/>
        <w:tabs>
          <w:tab w:leader="none" w:pos="1240" w:val="left"/>
        </w:tabs>
        <w:numPr>
          <w:ilvl w:val="1"/>
          <w:numId w:val="16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Arial" w:cs="Arial" w:eastAsia="Arial" w:hAnsi="Arial"/>
          <w:sz w:val="17"/>
          <w:szCs w:val="17"/>
          <w:color w:val="auto"/>
        </w:rPr>
      </w:pPr>
    </w:p>
    <w:p>
      <w:pPr>
        <w:ind w:left="620" w:right="120" w:hanging="618"/>
        <w:spacing w:after="0" w:line="262" w:lineRule="auto"/>
        <w:tabs>
          <w:tab w:leader="none" w:pos="62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7" w:lineRule="exact"/>
        <w:rPr>
          <w:rFonts w:ascii="Arial" w:cs="Arial" w:eastAsia="Arial" w:hAnsi="Arial"/>
          <w:sz w:val="17"/>
          <w:szCs w:val="17"/>
          <w:color w:val="auto"/>
        </w:rPr>
      </w:pPr>
    </w:p>
    <w:p>
      <w:pPr>
        <w:ind w:left="1240" w:right="400" w:hanging="623"/>
        <w:spacing w:after="0" w:line="262" w:lineRule="auto"/>
        <w:tabs>
          <w:tab w:leader="none" w:pos="1240" w:val="left"/>
        </w:tabs>
        <w:numPr>
          <w:ilvl w:val="1"/>
          <w:numId w:val="16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7" w:lineRule="exact"/>
        <w:rPr>
          <w:rFonts w:ascii="Arial" w:cs="Arial" w:eastAsia="Arial" w:hAnsi="Arial"/>
          <w:sz w:val="17"/>
          <w:szCs w:val="17"/>
          <w:color w:val="auto"/>
        </w:rPr>
      </w:pPr>
    </w:p>
    <w:p>
      <w:pPr>
        <w:ind w:left="1240" w:right="20" w:hanging="623"/>
        <w:spacing w:after="0" w:line="262" w:lineRule="auto"/>
        <w:tabs>
          <w:tab w:leader="none" w:pos="1240" w:val="left"/>
        </w:tabs>
        <w:numPr>
          <w:ilvl w:val="1"/>
          <w:numId w:val="16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42" w:lineRule="exact"/>
        <w:rPr>
          <w:sz w:val="20"/>
          <w:szCs w:val="20"/>
          <w:color w:val="auto"/>
        </w:rPr>
      </w:pPr>
    </w:p>
    <w:p>
      <w:pPr>
        <w:ind w:left="20"/>
        <w:spacing w:after="0"/>
        <w:tabs>
          <w:tab w:leader="none" w:pos="7780" w:val="left"/>
        </w:tabs>
        <w:rPr>
          <w:sz w:val="20"/>
          <w:szCs w:val="20"/>
          <w:color w:val="auto"/>
        </w:rPr>
      </w:pPr>
      <w:r>
        <w:rPr>
          <w:rFonts w:ascii="Arial" w:cs="Arial" w:eastAsia="Arial" w:hAnsi="Arial"/>
          <w:sz w:val="17"/>
          <w:szCs w:val="17"/>
          <w:color w:val="auto"/>
        </w:rPr>
        <w:t>Date: February 1, 2018</w:t>
      </w:r>
      <w:r>
        <w:rPr>
          <w:sz w:val="20"/>
          <w:szCs w:val="20"/>
          <w:color w:val="auto"/>
        </w:rPr>
        <w:tab/>
      </w:r>
      <w:r>
        <w:rPr>
          <w:rFonts w:ascii="Arial" w:cs="Arial" w:eastAsia="Arial" w:hAnsi="Arial"/>
          <w:sz w:val="16"/>
          <w:szCs w:val="16"/>
          <w:color w:val="auto"/>
        </w:rPr>
        <w:t>/s/ Jeffrey Capello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4937760</wp:posOffset>
            </wp:positionH>
            <wp:positionV relativeFrom="paragraph">
              <wp:posOffset>14605</wp:posOffset>
            </wp:positionV>
            <wp:extent cx="231775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6">
                      <a:extLst>
                        <a:ext uri="{28A0092B-C50C-407E-A947-70E740481C1C}"/>
                      </a:extLst>
                    </a:blip>
                    <a:srcRect/>
                    <a:stretch>
                      <a:fillRect/>
                    </a:stretch>
                  </pic:blipFill>
                  <pic:spPr bwMode="auto">
                    <a:xfrm>
                      <a:off x="0" y="0"/>
                      <a:ext cx="2317750" cy="8255"/>
                    </a:xfrm>
                    <a:prstGeom prst="rect">
                      <a:avLst/>
                    </a:prstGeom>
                    <a:noFill/>
                  </pic:spPr>
                </pic:pic>
              </a:graphicData>
            </a:graphic>
          </wp:anchor>
        </w:drawing>
      </w:r>
    </w:p>
    <w:p>
      <w:pPr>
        <w:spacing w:after="0" w:line="41" w:lineRule="exact"/>
        <w:rPr>
          <w:sz w:val="20"/>
          <w:szCs w:val="20"/>
          <w:color w:val="auto"/>
        </w:rPr>
      </w:pPr>
    </w:p>
    <w:p>
      <w:pPr>
        <w:ind w:left="7800"/>
        <w:spacing w:after="0"/>
        <w:rPr>
          <w:sz w:val="20"/>
          <w:szCs w:val="20"/>
          <w:color w:val="auto"/>
        </w:rPr>
      </w:pPr>
      <w:r>
        <w:rPr>
          <w:rFonts w:ascii="Arial" w:cs="Arial" w:eastAsia="Arial" w:hAnsi="Arial"/>
          <w:sz w:val="17"/>
          <w:szCs w:val="17"/>
          <w:color w:val="auto"/>
        </w:rPr>
        <w:t>Jeffrey Capello</w:t>
      </w:r>
    </w:p>
    <w:p>
      <w:pPr>
        <w:spacing w:after="0" w:line="44" w:lineRule="exact"/>
        <w:rPr>
          <w:sz w:val="20"/>
          <w:szCs w:val="20"/>
          <w:color w:val="auto"/>
        </w:rPr>
      </w:pPr>
    </w:p>
    <w:p>
      <w:pPr>
        <w:ind w:left="7800"/>
        <w:spacing w:after="0"/>
        <w:rPr>
          <w:sz w:val="20"/>
          <w:szCs w:val="20"/>
          <w:color w:val="auto"/>
        </w:rPr>
      </w:pPr>
      <w:r>
        <w:rPr>
          <w:rFonts w:ascii="Arial" w:cs="Arial" w:eastAsia="Arial" w:hAnsi="Arial"/>
          <w:sz w:val="17"/>
          <w:szCs w:val="17"/>
          <w:color w:val="auto"/>
        </w:rPr>
        <w:t>Executive Vice President, Finance</w:t>
      </w:r>
    </w:p>
    <w:p>
      <w:pPr>
        <w:ind w:left="7800"/>
        <w:spacing w:after="0" w:line="235" w:lineRule="auto"/>
        <w:rPr>
          <w:sz w:val="20"/>
          <w:szCs w:val="20"/>
          <w:color w:val="auto"/>
        </w:rPr>
      </w:pPr>
      <w:r>
        <w:rPr>
          <w:rFonts w:ascii="Arial" w:cs="Arial" w:eastAsia="Arial" w:hAnsi="Arial"/>
          <w:sz w:val="17"/>
          <w:szCs w:val="17"/>
          <w:color w:val="auto"/>
        </w:rPr>
        <w:t>Chief Financial Officer (principal financial</w:t>
      </w:r>
    </w:p>
    <w:p>
      <w:pPr>
        <w:spacing w:after="0" w:line="1" w:lineRule="exact"/>
        <w:rPr>
          <w:sz w:val="20"/>
          <w:szCs w:val="20"/>
          <w:color w:val="auto"/>
        </w:rPr>
      </w:pPr>
    </w:p>
    <w:p>
      <w:pPr>
        <w:ind w:left="7800"/>
        <w:spacing w:after="0"/>
        <w:rPr>
          <w:sz w:val="20"/>
          <w:szCs w:val="20"/>
          <w:color w:val="auto"/>
        </w:rPr>
      </w:pPr>
      <w:r>
        <w:rPr>
          <w:rFonts w:ascii="Arial" w:cs="Arial" w:eastAsia="Arial" w:hAnsi="Arial"/>
          <w:sz w:val="17"/>
          <w:szCs w:val="17"/>
          <w:color w:val="auto"/>
        </w:rPr>
        <w:t>officer)</w:t>
      </w:r>
    </w:p>
    <w:p>
      <w:pPr>
        <w:sectPr>
          <w:pgSz w:w="11900" w:h="16838" w:orient="portrait"/>
          <w:cols w:equalWidth="0" w:num="1">
            <w:col w:w="11420"/>
          </w:cols>
          <w:pgMar w:left="240" w:top="554" w:right="2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7"/>
          <w:szCs w:val="17"/>
          <w:b w:val="1"/>
          <w:bCs w:val="1"/>
          <w:color w:val="auto"/>
        </w:rPr>
        <w:t>Exhibit 32.1</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906 OF THE SARBANES-OXLEY ACT OF 2002</w:t>
      </w:r>
    </w:p>
    <w:p>
      <w:pPr>
        <w:spacing w:after="0" w:line="164" w:lineRule="exact"/>
        <w:rPr>
          <w:sz w:val="20"/>
          <w:szCs w:val="20"/>
          <w:color w:val="auto"/>
        </w:rPr>
      </w:pPr>
    </w:p>
    <w:p>
      <w:pPr>
        <w:ind w:right="180" w:firstLine="410"/>
        <w:spacing w:after="0" w:line="262"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Biogen Inc., a Delaware corporation (the “Company”), does hereby certify, to such officer’s knowledge, that:</w:t>
      </w:r>
    </w:p>
    <w:p>
      <w:pPr>
        <w:spacing w:after="0" w:line="137" w:lineRule="exact"/>
        <w:rPr>
          <w:sz w:val="20"/>
          <w:szCs w:val="20"/>
          <w:color w:val="auto"/>
        </w:rPr>
      </w:pPr>
    </w:p>
    <w:p>
      <w:pPr>
        <w:ind w:right="140" w:firstLine="410"/>
        <w:spacing w:after="0" w:line="257" w:lineRule="auto"/>
        <w:rPr>
          <w:sz w:val="20"/>
          <w:szCs w:val="20"/>
          <w:color w:val="auto"/>
        </w:rPr>
      </w:pPr>
      <w:r>
        <w:rPr>
          <w:rFonts w:ascii="Arial" w:cs="Arial" w:eastAsia="Arial" w:hAnsi="Arial"/>
          <w:sz w:val="17"/>
          <w:szCs w:val="17"/>
          <w:color w:val="auto"/>
        </w:rPr>
        <w:t>The Annual Report on Form 10-K for the year ended December 31, 2017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320" w:lineRule="exact"/>
        <w:rPr>
          <w:sz w:val="20"/>
          <w:szCs w:val="20"/>
          <w:color w:val="auto"/>
        </w:rPr>
      </w:pPr>
    </w:p>
    <w:p>
      <w:pPr>
        <w:ind w:left="20"/>
        <w:spacing w:after="0"/>
        <w:tabs>
          <w:tab w:leader="none" w:pos="8580" w:val="left"/>
        </w:tabs>
        <w:rPr>
          <w:sz w:val="20"/>
          <w:szCs w:val="20"/>
          <w:color w:val="auto"/>
        </w:rPr>
      </w:pPr>
      <w:r>
        <w:rPr>
          <w:rFonts w:ascii="Arial" w:cs="Arial" w:eastAsia="Arial" w:hAnsi="Arial"/>
          <w:sz w:val="17"/>
          <w:szCs w:val="17"/>
          <w:color w:val="auto"/>
        </w:rPr>
        <w:t>Dated: February 1, 2018</w:t>
      </w:r>
      <w:r>
        <w:rPr>
          <w:sz w:val="20"/>
          <w:szCs w:val="20"/>
          <w:color w:val="auto"/>
        </w:rPr>
        <w:tab/>
      </w:r>
      <w:r>
        <w:rPr>
          <w:rFonts w:ascii="Arial" w:cs="Arial" w:eastAsia="Arial" w:hAnsi="Arial"/>
          <w:sz w:val="16"/>
          <w:szCs w:val="16"/>
          <w:color w:val="auto"/>
        </w:rPr>
        <w:t>/s/ Michel Vounatsos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14605</wp:posOffset>
            </wp:positionV>
            <wp:extent cx="18135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7">
                      <a:extLst>
                        <a:ext uri="{28A0092B-C50C-407E-A947-70E740481C1C}"/>
                      </a:extLst>
                    </a:blip>
                    <a:srcRect/>
                    <a:stretch>
                      <a:fillRect/>
                    </a:stretch>
                  </pic:blipFill>
                  <pic:spPr bwMode="auto">
                    <a:xfrm>
                      <a:off x="0" y="0"/>
                      <a:ext cx="1813560" cy="8255"/>
                    </a:xfrm>
                    <a:prstGeom prst="rect">
                      <a:avLst/>
                    </a:prstGeom>
                    <a:noFill/>
                  </pic:spPr>
                </pic:pic>
              </a:graphicData>
            </a:graphic>
          </wp:anchor>
        </w:drawing>
      </w:r>
    </w:p>
    <w:p>
      <w:pPr>
        <w:spacing w:after="0" w:line="37" w:lineRule="exact"/>
        <w:rPr>
          <w:sz w:val="20"/>
          <w:szCs w:val="20"/>
          <w:color w:val="auto"/>
        </w:rPr>
      </w:pPr>
    </w:p>
    <w:p>
      <w:pPr>
        <w:ind w:left="8600"/>
        <w:spacing w:after="0"/>
        <w:rPr>
          <w:sz w:val="20"/>
          <w:szCs w:val="20"/>
          <w:color w:val="auto"/>
        </w:rPr>
      </w:pPr>
      <w:r>
        <w:rPr>
          <w:rFonts w:ascii="Arial" w:cs="Arial" w:eastAsia="Arial" w:hAnsi="Arial"/>
          <w:sz w:val="17"/>
          <w:szCs w:val="17"/>
          <w:color w:val="auto"/>
        </w:rPr>
        <w:t>Michel Vounatsos</w:t>
      </w:r>
    </w:p>
    <w:p>
      <w:pPr>
        <w:ind w:left="8600"/>
        <w:spacing w:after="0" w:line="235" w:lineRule="auto"/>
        <w:rPr>
          <w:sz w:val="20"/>
          <w:szCs w:val="20"/>
          <w:color w:val="auto"/>
        </w:rPr>
      </w:pPr>
      <w:r>
        <w:rPr>
          <w:rFonts w:ascii="Arial" w:cs="Arial" w:eastAsia="Arial" w:hAnsi="Arial"/>
          <w:sz w:val="17"/>
          <w:szCs w:val="17"/>
          <w:color w:val="auto"/>
        </w:rPr>
        <w:t>Chief Executive Officer</w:t>
      </w:r>
    </w:p>
    <w:p>
      <w:pPr>
        <w:spacing w:after="0" w:line="1" w:lineRule="exact"/>
        <w:rPr>
          <w:sz w:val="20"/>
          <w:szCs w:val="20"/>
          <w:color w:val="auto"/>
        </w:rPr>
      </w:pPr>
    </w:p>
    <w:p>
      <w:pPr>
        <w:ind w:left="8600"/>
        <w:spacing w:after="0"/>
        <w:rPr>
          <w:sz w:val="20"/>
          <w:szCs w:val="20"/>
          <w:color w:val="auto"/>
        </w:rPr>
      </w:pPr>
      <w:r>
        <w:rPr>
          <w:rFonts w:ascii="Arial" w:cs="Arial" w:eastAsia="Arial" w:hAnsi="Arial"/>
          <w:sz w:val="17"/>
          <w:szCs w:val="17"/>
          <w:color w:val="auto"/>
        </w:rPr>
        <w:t>[principal executive officer]</w:t>
      </w:r>
    </w:p>
    <w:p>
      <w:pPr>
        <w:spacing w:after="0" w:line="355" w:lineRule="exact"/>
        <w:rPr>
          <w:sz w:val="20"/>
          <w:szCs w:val="20"/>
          <w:color w:val="auto"/>
        </w:rPr>
      </w:pPr>
    </w:p>
    <w:p>
      <w:pPr>
        <w:ind w:left="20"/>
        <w:spacing w:after="0"/>
        <w:tabs>
          <w:tab w:leader="none" w:pos="8580" w:val="left"/>
        </w:tabs>
        <w:rPr>
          <w:sz w:val="20"/>
          <w:szCs w:val="20"/>
          <w:color w:val="auto"/>
        </w:rPr>
      </w:pPr>
      <w:r>
        <w:rPr>
          <w:rFonts w:ascii="Arial" w:cs="Arial" w:eastAsia="Arial" w:hAnsi="Arial"/>
          <w:sz w:val="17"/>
          <w:szCs w:val="17"/>
          <w:color w:val="auto"/>
        </w:rPr>
        <w:t>Dated: February 1, 2018</w:t>
      </w:r>
      <w:r>
        <w:rPr>
          <w:sz w:val="20"/>
          <w:szCs w:val="20"/>
          <w:color w:val="auto"/>
        </w:rPr>
        <w:tab/>
      </w:r>
      <w:r>
        <w:rPr>
          <w:rFonts w:ascii="Arial" w:cs="Arial" w:eastAsia="Arial" w:hAnsi="Arial"/>
          <w:sz w:val="16"/>
          <w:szCs w:val="16"/>
          <w:color w:val="auto"/>
        </w:rPr>
        <w:t>/s/ Jeffrey Capello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14605</wp:posOffset>
            </wp:positionV>
            <wp:extent cx="18135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8">
                      <a:extLst>
                        <a:ext uri="{28A0092B-C50C-407E-A947-70E740481C1C}"/>
                      </a:extLst>
                    </a:blip>
                    <a:srcRect/>
                    <a:stretch>
                      <a:fillRect/>
                    </a:stretch>
                  </pic:blipFill>
                  <pic:spPr bwMode="auto">
                    <a:xfrm>
                      <a:off x="0" y="0"/>
                      <a:ext cx="1813560" cy="8255"/>
                    </a:xfrm>
                    <a:prstGeom prst="rect">
                      <a:avLst/>
                    </a:prstGeom>
                    <a:noFill/>
                  </pic:spPr>
                </pic:pic>
              </a:graphicData>
            </a:graphic>
          </wp:anchor>
        </w:drawing>
      </w:r>
    </w:p>
    <w:p>
      <w:pPr>
        <w:spacing w:after="0" w:line="37" w:lineRule="exact"/>
        <w:rPr>
          <w:sz w:val="20"/>
          <w:szCs w:val="20"/>
          <w:color w:val="auto"/>
        </w:rPr>
      </w:pPr>
    </w:p>
    <w:p>
      <w:pPr>
        <w:ind w:left="8600"/>
        <w:spacing w:after="0"/>
        <w:rPr>
          <w:sz w:val="20"/>
          <w:szCs w:val="20"/>
          <w:color w:val="auto"/>
        </w:rPr>
      </w:pPr>
      <w:r>
        <w:rPr>
          <w:rFonts w:ascii="Arial" w:cs="Arial" w:eastAsia="Arial" w:hAnsi="Arial"/>
          <w:sz w:val="17"/>
          <w:szCs w:val="17"/>
          <w:color w:val="auto"/>
        </w:rPr>
        <w:t>Jeffrey Capello</w:t>
      </w:r>
    </w:p>
    <w:p>
      <w:pPr>
        <w:ind w:left="8600"/>
        <w:spacing w:after="0" w:line="235" w:lineRule="auto"/>
        <w:rPr>
          <w:sz w:val="20"/>
          <w:szCs w:val="20"/>
          <w:color w:val="auto"/>
        </w:rPr>
      </w:pPr>
      <w:r>
        <w:rPr>
          <w:rFonts w:ascii="Arial" w:cs="Arial" w:eastAsia="Arial" w:hAnsi="Arial"/>
          <w:sz w:val="17"/>
          <w:szCs w:val="17"/>
          <w:color w:val="auto"/>
        </w:rPr>
        <w:t>Executive Vice President, Finance</w:t>
      </w:r>
    </w:p>
    <w:p>
      <w:pPr>
        <w:ind w:left="8600"/>
        <w:spacing w:after="0" w:line="236" w:lineRule="auto"/>
        <w:rPr>
          <w:sz w:val="20"/>
          <w:szCs w:val="20"/>
          <w:color w:val="auto"/>
        </w:rPr>
      </w:pPr>
      <w:r>
        <w:rPr>
          <w:rFonts w:ascii="Arial" w:cs="Arial" w:eastAsia="Arial" w:hAnsi="Arial"/>
          <w:sz w:val="17"/>
          <w:szCs w:val="17"/>
          <w:color w:val="auto"/>
        </w:rPr>
        <w:t>and Chief Financial Officer</w:t>
      </w:r>
    </w:p>
    <w:p>
      <w:pPr>
        <w:spacing w:after="0" w:line="1" w:lineRule="exact"/>
        <w:rPr>
          <w:sz w:val="20"/>
          <w:szCs w:val="20"/>
          <w:color w:val="auto"/>
        </w:rPr>
      </w:pPr>
    </w:p>
    <w:p>
      <w:pPr>
        <w:ind w:left="8600"/>
        <w:spacing w:after="0"/>
        <w:rPr>
          <w:sz w:val="20"/>
          <w:szCs w:val="20"/>
          <w:color w:val="auto"/>
        </w:rPr>
      </w:pPr>
      <w:r>
        <w:rPr>
          <w:rFonts w:ascii="Arial" w:cs="Arial" w:eastAsia="Arial" w:hAnsi="Arial"/>
          <w:sz w:val="17"/>
          <w:szCs w:val="17"/>
          <w:color w:val="auto"/>
        </w:rPr>
        <w:t>[principal financial officer]</w:t>
      </w:r>
    </w:p>
    <w:p>
      <w:pPr>
        <w:spacing w:after="0" w:line="176" w:lineRule="exact"/>
        <w:rPr>
          <w:sz w:val="20"/>
          <w:szCs w:val="20"/>
          <w:color w:val="auto"/>
        </w:rPr>
      </w:pPr>
    </w:p>
    <w:p>
      <w:pPr>
        <w:ind w:right="200" w:firstLine="410"/>
        <w:spacing w:after="0" w:line="262"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5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0B6DF70"/>
    <w:multiLevelType w:val="hybridMultilevel"/>
    <w:lvl w:ilvl="0">
      <w:lvlJc w:val="left"/>
      <w:lvlText w:val="x"/>
      <w:numFmt w:val="bullet"/>
      <w:start w:val="1"/>
    </w:lvl>
  </w:abstractNum>
  <w:abstractNum w:abstractNumId="1">
    <w:nsid w:val="6A5EE64"/>
    <w:multiLevelType w:val="hybridMultilevel"/>
    <w:lvl w:ilvl="0">
      <w:lvlJc w:val="left"/>
      <w:lvlText w:val="o"/>
      <w:numFmt w:val="bullet"/>
      <w:start w:val="1"/>
    </w:lvl>
  </w:abstractNum>
  <w:abstractNum w:abstractNumId="2">
    <w:nsid w:val="14330624"/>
    <w:multiLevelType w:val="hybridMultilevel"/>
    <w:lvl w:ilvl="0">
      <w:lvlJc w:val="left"/>
      <w:lvlText w:val="•"/>
      <w:numFmt w:val="bullet"/>
      <w:start w:val="1"/>
    </w:lvl>
  </w:abstractNum>
  <w:abstractNum w:abstractNumId="3">
    <w:nsid w:val="7FFFCA11"/>
    <w:multiLevelType w:val="hybridMultilevel"/>
    <w:lvl w:ilvl="0">
      <w:lvlJc w:val="left"/>
      <w:lvlText w:val="•"/>
      <w:numFmt w:val="bullet"/>
      <w:start w:val="1"/>
    </w:lvl>
  </w:abstractNum>
  <w:abstractNum w:abstractNumId="4">
    <w:nsid w:val="1A27709E"/>
    <w:multiLevelType w:val="hybridMultilevel"/>
    <w:lvl w:ilvl="0">
      <w:lvlJc w:val="left"/>
      <w:lvlText w:val="•"/>
      <w:numFmt w:val="bullet"/>
      <w:start w:val="1"/>
    </w:lvl>
  </w:abstractNum>
  <w:abstractNum w:abstractNumId="5">
    <w:nsid w:val="71EA1109"/>
    <w:multiLevelType w:val="hybridMultilevel"/>
    <w:lvl w:ilvl="0">
      <w:lvlJc w:val="left"/>
      <w:lvlText w:val="•"/>
      <w:numFmt w:val="bullet"/>
      <w:start w:val="1"/>
    </w:lvl>
  </w:abstractNum>
  <w:abstractNum w:abstractNumId="6">
    <w:nsid w:val="100F59DC"/>
    <w:multiLevelType w:val="hybridMultilevel"/>
    <w:lvl w:ilvl="0">
      <w:lvlJc w:val="left"/>
      <w:lvlText w:val="•"/>
      <w:numFmt w:val="bullet"/>
      <w:start w:val="1"/>
    </w:lvl>
  </w:abstractNum>
  <w:abstractNum w:abstractNumId="7">
    <w:nsid w:val="7FB7E0AA"/>
    <w:multiLevelType w:val="hybridMultilevel"/>
    <w:lvl w:ilvl="0">
      <w:lvlJc w:val="left"/>
      <w:lvlText w:val="•"/>
      <w:numFmt w:val="bullet"/>
      <w:start w:val="1"/>
    </w:lvl>
  </w:abstractNum>
  <w:abstractNum w:abstractNumId="8">
    <w:nsid w:val="6EB5BD4"/>
    <w:multiLevelType w:val="hybridMultilevel"/>
    <w:lvl w:ilvl="0">
      <w:lvlJc w:val="left"/>
      <w:lvlText w:val="•"/>
      <w:numFmt w:val="bullet"/>
      <w:start w:val="1"/>
    </w:lvl>
  </w:abstractNum>
  <w:abstractNum w:abstractNumId="9">
    <w:nsid w:val="6F6DD9AC"/>
    <w:multiLevelType w:val="hybridMultilevel"/>
    <w:lvl w:ilvl="0">
      <w:lvlJc w:val="left"/>
      <w:lvlText w:val="•"/>
      <w:numFmt w:val="bullet"/>
      <w:start w:val="1"/>
    </w:lvl>
  </w:abstractNum>
  <w:abstractNum w:abstractNumId="10">
    <w:nsid w:val="94211F2"/>
    <w:multiLevelType w:val="hybridMultilevel"/>
    <w:lvl w:ilvl="0">
      <w:lvlJc w:val="left"/>
      <w:lvlText w:val="•"/>
      <w:numFmt w:val="bullet"/>
      <w:start w:val="1"/>
    </w:lvl>
  </w:abstractNum>
  <w:abstractNum w:abstractNumId="11">
    <w:nsid w:val="885E1B"/>
    <w:multiLevelType w:val="hybridMultilevel"/>
    <w:lvl w:ilvl="0">
      <w:lvlJc w:val="left"/>
      <w:lvlText w:val="•"/>
      <w:numFmt w:val="bullet"/>
      <w:start w:val="1"/>
    </w:lvl>
  </w:abstractNum>
  <w:abstractNum w:abstractNumId="12">
    <w:nsid w:val="76272110"/>
    <w:multiLevelType w:val="hybridMultilevel"/>
    <w:lvl w:ilvl="0">
      <w:lvlJc w:val="left"/>
      <w:lvlText w:val="•"/>
      <w:numFmt w:val="bullet"/>
      <w:start w:val="1"/>
    </w:lvl>
  </w:abstractNum>
  <w:abstractNum w:abstractNumId="13">
    <w:nsid w:val="4C04A8AF"/>
    <w:multiLevelType w:val="hybridMultilevel"/>
    <w:lvl w:ilvl="0">
      <w:lvlJc w:val="left"/>
      <w:lvlText w:val="•"/>
      <w:numFmt w:val="bullet"/>
      <w:start w:val="1"/>
    </w:lvl>
  </w:abstractNum>
  <w:abstractNum w:abstractNumId="14">
    <w:nsid w:val="1716703B"/>
    <w:multiLevelType w:val="hybridMultilevel"/>
    <w:lvl w:ilvl="0">
      <w:lvlJc w:val="left"/>
      <w:lvlText w:val="•"/>
      <w:numFmt w:val="bullet"/>
      <w:start w:val="1"/>
    </w:lvl>
  </w:abstractNum>
  <w:abstractNum w:abstractNumId="15">
    <w:nsid w:val="14E17E33"/>
    <w:multiLevelType w:val="hybridMultilevel"/>
    <w:lvl w:ilvl="0">
      <w:lvlJc w:val="left"/>
      <w:lvlText w:val="•"/>
      <w:numFmt w:val="bullet"/>
      <w:start w:val="1"/>
    </w:lvl>
  </w:abstractNum>
  <w:abstractNum w:abstractNumId="16">
    <w:nsid w:val="3222E7CD"/>
    <w:multiLevelType w:val="hybridMultilevel"/>
    <w:lvl w:ilvl="0">
      <w:lvlJc w:val="left"/>
      <w:lvlText w:val="•"/>
      <w:numFmt w:val="bullet"/>
      <w:start w:val="1"/>
    </w:lvl>
  </w:abstractNum>
  <w:abstractNum w:abstractNumId="17">
    <w:nsid w:val="74DE0EE3"/>
    <w:multiLevelType w:val="hybridMultilevel"/>
    <w:lvl w:ilvl="0">
      <w:lvlJc w:val="left"/>
      <w:lvlText w:val="•"/>
      <w:numFmt w:val="bullet"/>
      <w:start w:val="1"/>
    </w:lvl>
  </w:abstractNum>
  <w:abstractNum w:abstractNumId="18">
    <w:nsid w:val="68EBC550"/>
    <w:multiLevelType w:val="hybridMultilevel"/>
    <w:lvl w:ilvl="0">
      <w:lvlJc w:val="left"/>
      <w:lvlText w:val="•"/>
      <w:numFmt w:val="bullet"/>
      <w:start w:val="1"/>
    </w:lvl>
  </w:abstractNum>
  <w:abstractNum w:abstractNumId="19">
    <w:nsid w:val="2DF6D648"/>
    <w:multiLevelType w:val="hybridMultilevel"/>
    <w:lvl w:ilvl="0">
      <w:lvlJc w:val="left"/>
      <w:lvlText w:val="•"/>
      <w:numFmt w:val="bullet"/>
      <w:start w:val="1"/>
    </w:lvl>
  </w:abstractNum>
  <w:abstractNum w:abstractNumId="20">
    <w:nsid w:val="46B7D447"/>
    <w:multiLevelType w:val="hybridMultilevel"/>
    <w:lvl w:ilvl="0">
      <w:lvlJc w:val="left"/>
      <w:lvlText w:val="•"/>
      <w:numFmt w:val="bullet"/>
      <w:start w:val="1"/>
    </w:lvl>
  </w:abstractNum>
  <w:abstractNum w:abstractNumId="21">
    <w:nsid w:val="4A2AC315"/>
    <w:multiLevelType w:val="hybridMultilevel"/>
    <w:lvl w:ilvl="0">
      <w:lvlJc w:val="left"/>
      <w:lvlText w:val="•"/>
      <w:numFmt w:val="bullet"/>
      <w:start w:val="1"/>
    </w:lvl>
  </w:abstractNum>
  <w:abstractNum w:abstractNumId="22">
    <w:nsid w:val="39EE015C"/>
    <w:multiLevelType w:val="hybridMultilevel"/>
    <w:lvl w:ilvl="0">
      <w:lvlJc w:val="left"/>
      <w:lvlText w:val="•"/>
      <w:numFmt w:val="bullet"/>
      <w:start w:val="1"/>
    </w:lvl>
  </w:abstractNum>
  <w:abstractNum w:abstractNumId="23">
    <w:nsid w:val="57FC4FBB"/>
    <w:multiLevelType w:val="hybridMultilevel"/>
    <w:lvl w:ilvl="0">
      <w:lvlJc w:val="left"/>
      <w:lvlText w:val="•"/>
      <w:numFmt w:val="bullet"/>
      <w:start w:val="1"/>
    </w:lvl>
  </w:abstractNum>
  <w:abstractNum w:abstractNumId="24">
    <w:nsid w:val="CC1016F"/>
    <w:multiLevelType w:val="hybridMultilevel"/>
    <w:lvl w:ilvl="0">
      <w:lvlJc w:val="left"/>
      <w:lvlText w:val="•"/>
      <w:numFmt w:val="bullet"/>
      <w:start w:val="1"/>
    </w:lvl>
  </w:abstractNum>
  <w:abstractNum w:abstractNumId="25">
    <w:nsid w:val="43F18422"/>
    <w:multiLevelType w:val="hybridMultilevel"/>
    <w:lvl w:ilvl="0">
      <w:lvlJc w:val="left"/>
      <w:lvlText w:val="•"/>
      <w:numFmt w:val="bullet"/>
      <w:start w:val="1"/>
    </w:lvl>
  </w:abstractNum>
  <w:abstractNum w:abstractNumId="26">
    <w:nsid w:val="60EF0119"/>
    <w:multiLevelType w:val="hybridMultilevel"/>
    <w:lvl w:ilvl="0">
      <w:lvlJc w:val="left"/>
      <w:lvlText w:val="•"/>
      <w:numFmt w:val="bullet"/>
      <w:start w:val="1"/>
    </w:lvl>
  </w:abstractNum>
  <w:abstractNum w:abstractNumId="27">
    <w:nsid w:val="26F324BA"/>
    <w:multiLevelType w:val="hybridMultilevel"/>
    <w:lvl w:ilvl="0">
      <w:lvlJc w:val="left"/>
      <w:lvlText w:val="•"/>
      <w:numFmt w:val="bullet"/>
      <w:start w:val="1"/>
    </w:lvl>
  </w:abstractNum>
  <w:abstractNum w:abstractNumId="28">
    <w:nsid w:val="7F01579B"/>
    <w:multiLevelType w:val="hybridMultilevel"/>
    <w:lvl w:ilvl="0">
      <w:lvlJc w:val="left"/>
      <w:lvlText w:val="(%1)"/>
      <w:numFmt w:val="decimal"/>
      <w:start w:val="1"/>
    </w:lvl>
  </w:abstractNum>
  <w:abstractNum w:abstractNumId="29">
    <w:nsid w:val="49DA307D"/>
    <w:multiLevelType w:val="hybridMultilevel"/>
    <w:lvl w:ilvl="0">
      <w:lvlJc w:val="left"/>
      <w:lvlText w:val="(%1)"/>
      <w:numFmt w:val="decimal"/>
      <w:start w:val="2"/>
    </w:lvl>
  </w:abstractNum>
  <w:abstractNum w:abstractNumId="30">
    <w:nsid w:val="7055A5F5"/>
    <w:multiLevelType w:val="hybridMultilevel"/>
    <w:lvl w:ilvl="0">
      <w:lvlJc w:val="left"/>
      <w:lvlText w:val="#"/>
      <w:numFmt w:val="bullet"/>
      <w:start w:val="1"/>
    </w:lvl>
  </w:abstractNum>
  <w:abstractNum w:abstractNumId="31">
    <w:nsid w:val="5FB8370B"/>
    <w:multiLevelType w:val="hybridMultilevel"/>
    <w:lvl w:ilvl="0">
      <w:lvlJc w:val="left"/>
      <w:lvlText w:val="•"/>
      <w:numFmt w:val="bullet"/>
      <w:start w:val="1"/>
    </w:lvl>
  </w:abstractNum>
  <w:abstractNum w:abstractNumId="32">
    <w:nsid w:val="50801EE1"/>
    <w:multiLevelType w:val="hybridMultilevel"/>
    <w:lvl w:ilvl="0">
      <w:lvlJc w:val="left"/>
      <w:lvlText w:val="•"/>
      <w:numFmt w:val="bullet"/>
      <w:start w:val="1"/>
    </w:lvl>
  </w:abstractNum>
  <w:abstractNum w:abstractNumId="33">
    <w:nsid w:val="488AC1A"/>
    <w:multiLevelType w:val="hybridMultilevel"/>
    <w:lvl w:ilvl="0">
      <w:lvlJc w:val="left"/>
      <w:lvlText w:val="•"/>
      <w:numFmt w:val="bullet"/>
      <w:start w:val="1"/>
    </w:lvl>
  </w:abstractNum>
  <w:abstractNum w:abstractNumId="34">
    <w:nsid w:val="5FB8011C"/>
    <w:multiLevelType w:val="hybridMultilevel"/>
    <w:lvl w:ilvl="0">
      <w:lvlJc w:val="left"/>
      <w:lvlText w:val="•"/>
      <w:numFmt w:val="bullet"/>
      <w:start w:val="1"/>
    </w:lvl>
  </w:abstractNum>
  <w:abstractNum w:abstractNumId="35">
    <w:nsid w:val="6AA78F7F"/>
    <w:multiLevelType w:val="hybridMultilevel"/>
    <w:lvl w:ilvl="0">
      <w:lvlJc w:val="left"/>
      <w:lvlText w:val="•"/>
      <w:numFmt w:val="bullet"/>
      <w:start w:val="1"/>
    </w:lvl>
  </w:abstractNum>
  <w:abstractNum w:abstractNumId="36">
    <w:nsid w:val="7672BD23"/>
    <w:multiLevelType w:val="hybridMultilevel"/>
    <w:lvl w:ilvl="0">
      <w:lvlJc w:val="left"/>
      <w:lvlText w:val="l"/>
      <w:numFmt w:val="bullet"/>
      <w:start w:val="1"/>
    </w:lvl>
  </w:abstractNum>
  <w:abstractNum w:abstractNumId="37">
    <w:nsid w:val="6FC75AF8"/>
    <w:multiLevelType w:val="hybridMultilevel"/>
    <w:lvl w:ilvl="0">
      <w:lvlJc w:val="left"/>
      <w:lvlText w:val="l"/>
      <w:numFmt w:val="bullet"/>
      <w:start w:val="1"/>
    </w:lvl>
  </w:abstractNum>
  <w:abstractNum w:abstractNumId="38">
    <w:nsid w:val="6A5F7029"/>
    <w:multiLevelType w:val="hybridMultilevel"/>
    <w:lvl w:ilvl="0">
      <w:lvlJc w:val="left"/>
      <w:lvlText w:val="l"/>
      <w:numFmt w:val="bullet"/>
      <w:start w:val="1"/>
    </w:lvl>
  </w:abstractNum>
  <w:abstractNum w:abstractNumId="39">
    <w:nsid w:val="7D5E18F8"/>
    <w:multiLevelType w:val="hybridMultilevel"/>
    <w:lvl w:ilvl="0">
      <w:lvlJc w:val="left"/>
      <w:lvlText w:val="l"/>
      <w:numFmt w:val="bullet"/>
      <w:start w:val="1"/>
    </w:lvl>
  </w:abstractNum>
  <w:abstractNum w:abstractNumId="40">
    <w:nsid w:val="5F3534A4"/>
    <w:multiLevelType w:val="hybridMultilevel"/>
    <w:lvl w:ilvl="0">
      <w:lvlJc w:val="left"/>
      <w:lvlText w:val="l"/>
      <w:numFmt w:val="bullet"/>
      <w:start w:val="1"/>
    </w:lvl>
  </w:abstractNum>
  <w:abstractNum w:abstractNumId="41">
    <w:nsid w:val="73A1821B"/>
    <w:multiLevelType w:val="hybridMultilevel"/>
    <w:lvl w:ilvl="0">
      <w:lvlJc w:val="left"/>
      <w:lvlText w:val="l"/>
      <w:numFmt w:val="bullet"/>
      <w:start w:val="1"/>
    </w:lvl>
  </w:abstractNum>
  <w:abstractNum w:abstractNumId="42">
    <w:nsid w:val="7DE67713"/>
    <w:multiLevelType w:val="hybridMultilevel"/>
    <w:lvl w:ilvl="0">
      <w:lvlJc w:val="left"/>
      <w:lvlText w:val="l"/>
      <w:numFmt w:val="bullet"/>
      <w:start w:val="1"/>
    </w:lvl>
  </w:abstractNum>
  <w:abstractNum w:abstractNumId="43">
    <w:nsid w:val="555C55B5"/>
    <w:multiLevelType w:val="hybridMultilevel"/>
    <w:lvl w:ilvl="0">
      <w:lvlJc w:val="left"/>
      <w:lvlText w:val="l"/>
      <w:numFmt w:val="bullet"/>
      <w:start w:val="1"/>
    </w:lvl>
  </w:abstractNum>
  <w:abstractNum w:abstractNumId="44">
    <w:nsid w:val="3FA62ACA"/>
    <w:multiLevelType w:val="hybridMultilevel"/>
    <w:lvl w:ilvl="0">
      <w:lvlJc w:val="left"/>
      <w:lvlText w:val="l"/>
      <w:numFmt w:val="bullet"/>
      <w:start w:val="1"/>
    </w:lvl>
  </w:abstractNum>
  <w:abstractNum w:abstractNumId="45">
    <w:nsid w:val="14FCE74E"/>
    <w:multiLevelType w:val="hybridMultilevel"/>
    <w:lvl w:ilvl="0">
      <w:lvlJc w:val="left"/>
      <w:lvlText w:val="•"/>
      <w:numFmt w:val="bullet"/>
      <w:start w:val="1"/>
    </w:lvl>
  </w:abstractNum>
  <w:abstractNum w:abstractNumId="46">
    <w:nsid w:val="6A3DD3E8"/>
    <w:multiLevelType w:val="hybridMultilevel"/>
    <w:lvl w:ilvl="0">
      <w:lvlJc w:val="left"/>
      <w:lvlText w:val="•"/>
      <w:numFmt w:val="bullet"/>
      <w:start w:val="1"/>
    </w:lvl>
  </w:abstractNum>
  <w:abstractNum w:abstractNumId="47">
    <w:nsid w:val="71C91298"/>
    <w:multiLevelType w:val="hybridMultilevel"/>
    <w:lvl w:ilvl="0">
      <w:lvlJc w:val="left"/>
      <w:lvlText w:val="•"/>
      <w:numFmt w:val="bullet"/>
      <w:start w:val="1"/>
    </w:lvl>
  </w:abstractNum>
  <w:abstractNum w:abstractNumId="48">
    <w:nsid w:val="9DAF632"/>
    <w:multiLevelType w:val="hybridMultilevel"/>
    <w:lvl w:ilvl="0">
      <w:lvlJc w:val="left"/>
      <w:lvlText w:val="•"/>
      <w:numFmt w:val="bullet"/>
      <w:start w:val="1"/>
    </w:lvl>
  </w:abstractNum>
  <w:abstractNum w:abstractNumId="49">
    <w:nsid w:val="53299938"/>
    <w:multiLevelType w:val="hybridMultilevel"/>
    <w:lvl w:ilvl="0">
      <w:lvlJc w:val="left"/>
      <w:lvlText w:val="•"/>
      <w:numFmt w:val="bullet"/>
      <w:start w:val="1"/>
    </w:lvl>
  </w:abstractNum>
  <w:abstractNum w:abstractNumId="50">
    <w:nsid w:val="1FBFE8E0"/>
    <w:multiLevelType w:val="hybridMultilevel"/>
    <w:lvl w:ilvl="0">
      <w:lvlJc w:val="left"/>
      <w:lvlText w:val="•"/>
      <w:numFmt w:val="bullet"/>
      <w:start w:val="1"/>
    </w:lvl>
  </w:abstractNum>
  <w:abstractNum w:abstractNumId="51">
    <w:nsid w:val="5092CA79"/>
    <w:multiLevelType w:val="hybridMultilevel"/>
    <w:lvl w:ilvl="0">
      <w:lvlJc w:val="left"/>
      <w:lvlText w:val="•"/>
      <w:numFmt w:val="bullet"/>
      <w:start w:val="1"/>
    </w:lvl>
  </w:abstractNum>
  <w:abstractNum w:abstractNumId="52">
    <w:nsid w:val="1D545C4D"/>
    <w:multiLevelType w:val="hybridMultilevel"/>
    <w:lvl w:ilvl="0">
      <w:lvlJc w:val="left"/>
      <w:lvlText w:val="•"/>
      <w:numFmt w:val="bullet"/>
      <w:start w:val="1"/>
    </w:lvl>
  </w:abstractNum>
  <w:abstractNum w:abstractNumId="53">
    <w:nsid w:val="59ADEA3D"/>
    <w:multiLevelType w:val="hybridMultilevel"/>
    <w:lvl w:ilvl="0">
      <w:lvlJc w:val="left"/>
      <w:lvlText w:val="•"/>
      <w:numFmt w:val="bullet"/>
      <w:start w:val="1"/>
    </w:lvl>
  </w:abstractNum>
  <w:abstractNum w:abstractNumId="54">
    <w:nsid w:val="288F1A34"/>
    <w:multiLevelType w:val="hybridMultilevel"/>
    <w:lvl w:ilvl="0">
      <w:lvlJc w:val="left"/>
      <w:lvlText w:val="•"/>
      <w:numFmt w:val="bullet"/>
      <w:start w:val="1"/>
    </w:lvl>
  </w:abstractNum>
  <w:abstractNum w:abstractNumId="55">
    <w:nsid w:val="2A155DBC"/>
    <w:multiLevelType w:val="hybridMultilevel"/>
    <w:lvl w:ilvl="0">
      <w:lvlJc w:val="left"/>
      <w:lvlText w:val="•"/>
      <w:numFmt w:val="bullet"/>
      <w:start w:val="1"/>
    </w:lvl>
  </w:abstractNum>
  <w:abstractNum w:abstractNumId="56">
    <w:nsid w:val="1D9F6E5F"/>
    <w:multiLevelType w:val="hybridMultilevel"/>
    <w:lvl w:ilvl="0">
      <w:lvlJc w:val="left"/>
      <w:lvlText w:val="•"/>
      <w:numFmt w:val="bullet"/>
      <w:start w:val="1"/>
    </w:lvl>
  </w:abstractNum>
  <w:abstractNum w:abstractNumId="57">
    <w:nsid w:val="97E1B4E"/>
    <w:multiLevelType w:val="hybridMultilevel"/>
    <w:lvl w:ilvl="0">
      <w:lvlJc w:val="left"/>
      <w:lvlText w:val="•"/>
      <w:numFmt w:val="bullet"/>
      <w:start w:val="1"/>
    </w:lvl>
  </w:abstractNum>
  <w:abstractNum w:abstractNumId="58">
    <w:nsid w:val="51088277"/>
    <w:multiLevelType w:val="hybridMultilevel"/>
    <w:lvl w:ilvl="0">
      <w:lvlJc w:val="left"/>
      <w:lvlText w:val="•"/>
      <w:numFmt w:val="bullet"/>
      <w:start w:val="1"/>
    </w:lvl>
  </w:abstractNum>
  <w:abstractNum w:abstractNumId="59">
    <w:nsid w:val="1CA0C5FA"/>
    <w:multiLevelType w:val="hybridMultilevel"/>
    <w:lvl w:ilvl="0">
      <w:lvlJc w:val="left"/>
      <w:lvlText w:val="•"/>
      <w:numFmt w:val="bullet"/>
      <w:start w:val="1"/>
    </w:lvl>
  </w:abstractNum>
  <w:abstractNum w:abstractNumId="60">
    <w:nsid w:val="53584BCB"/>
    <w:multiLevelType w:val="hybridMultilevel"/>
    <w:lvl w:ilvl="0">
      <w:lvlJc w:val="left"/>
      <w:lvlText w:val="•"/>
      <w:numFmt w:val="bullet"/>
      <w:start w:val="1"/>
    </w:lvl>
  </w:abstractNum>
  <w:abstractNum w:abstractNumId="61">
    <w:nsid w:val="415E286C"/>
    <w:multiLevelType w:val="hybridMultilevel"/>
    <w:lvl w:ilvl="0">
      <w:lvlJc w:val="left"/>
      <w:lvlText w:val="•"/>
      <w:numFmt w:val="bullet"/>
      <w:start w:val="1"/>
    </w:lvl>
  </w:abstractNum>
  <w:abstractNum w:abstractNumId="62">
    <w:nsid w:val="7C58FD05"/>
    <w:multiLevelType w:val="hybridMultilevel"/>
    <w:lvl w:ilvl="0">
      <w:lvlJc w:val="left"/>
      <w:lvlText w:val="•"/>
      <w:numFmt w:val="bullet"/>
      <w:start w:val="1"/>
    </w:lvl>
  </w:abstractNum>
  <w:abstractNum w:abstractNumId="63">
    <w:nsid w:val="23D86AAC"/>
    <w:multiLevelType w:val="hybridMultilevel"/>
    <w:lvl w:ilvl="0">
      <w:lvlJc w:val="left"/>
      <w:lvlText w:val="•"/>
      <w:numFmt w:val="bullet"/>
      <w:start w:val="1"/>
    </w:lvl>
  </w:abstractNum>
  <w:abstractNum w:abstractNumId="64">
    <w:nsid w:val="45E6D486"/>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abstractNum>
  <w:abstractNum w:abstractNumId="65">
    <w:nsid w:val="5C10FE21"/>
    <w:multiLevelType w:val="hybridMultilevel"/>
    <w:lvl w:ilvl="0">
      <w:lvlJc w:val="left"/>
      <w:lvlText w:val="(%1)"/>
      <w:numFmt w:val="decimal"/>
      <w:start w:val="4"/>
    </w:lvl>
    <w:lvl w:ilvl="1">
      <w:lvlJc w:val="left"/>
      <w:lvlText w:val="%2"/>
      <w:numFmt w:val="decimal"/>
      <w:start w:val="1"/>
    </w:lvl>
    <w:lvl w:ilvl="2">
      <w:lvlJc w:val="left"/>
      <w:lvlText w:val="•"/>
      <w:numFmt w:val="bullet"/>
      <w:start w:val="1"/>
    </w:lvl>
  </w:abstractNum>
  <w:abstractNum w:abstractNumId="66">
    <w:nsid w:val="E7FFA2B"/>
    <w:multiLevelType w:val="hybridMultilevel"/>
    <w:lvl w:ilvl="0">
      <w:lvlJc w:val="left"/>
      <w:lvlText w:val="(%1)"/>
      <w:numFmt w:val="lowerLetter"/>
      <w:start w:val="1"/>
    </w:lvl>
  </w:abstractNum>
  <w:abstractNum w:abstractNumId="67">
    <w:nsid w:val="3C5991AA"/>
    <w:multiLevelType w:val="hybridMultilevel"/>
    <w:lvl w:ilvl="0">
      <w:lvlJc w:val="left"/>
      <w:lvlText w:val="(%1)"/>
      <w:numFmt w:val="lowerLetter"/>
      <w:start w:val="4"/>
    </w:lvl>
  </w:abstractNum>
  <w:abstractNum w:abstractNumId="68">
    <w:nsid w:val="4BD8591A"/>
    <w:multiLevelType w:val="hybridMultilevel"/>
    <w:lvl w:ilvl="0">
      <w:lvlJc w:val="left"/>
      <w:lvlText w:val="•"/>
      <w:numFmt w:val="bullet"/>
      <w:start w:val="1"/>
    </w:lvl>
  </w:abstractNum>
  <w:abstractNum w:abstractNumId="69">
    <w:nsid w:val="78DF6A55"/>
    <w:multiLevelType w:val="hybridMultilevel"/>
    <w:lvl w:ilvl="0">
      <w:lvlJc w:val="left"/>
      <w:lvlText w:val="•"/>
      <w:numFmt w:val="bullet"/>
      <w:start w:val="1"/>
    </w:lvl>
  </w:abstractNum>
  <w:abstractNum w:abstractNumId="70">
    <w:nsid w:val="39B7AAA2"/>
    <w:multiLevelType w:val="hybridMultilevel"/>
    <w:lvl w:ilvl="0">
      <w:lvlJc w:val="left"/>
      <w:lvlText w:val="•"/>
      <w:numFmt w:val="bullet"/>
      <w:start w:val="1"/>
    </w:lvl>
  </w:abstractNum>
  <w:abstractNum w:abstractNumId="71">
    <w:nsid w:val="2B0D8DBE"/>
    <w:multiLevelType w:val="hybridMultilevel"/>
    <w:lvl w:ilvl="0">
      <w:lvlJc w:val="left"/>
      <w:lvlText w:val="•"/>
      <w:numFmt w:val="bullet"/>
      <w:start w:val="1"/>
    </w:lvl>
  </w:abstractNum>
  <w:abstractNum w:abstractNumId="72">
    <w:nsid w:val="6C80EC70"/>
    <w:multiLevelType w:val="hybridMultilevel"/>
    <w:lvl w:ilvl="0">
      <w:lvlJc w:val="left"/>
      <w:lvlText w:val="•"/>
      <w:numFmt w:val="bullet"/>
      <w:start w:val="1"/>
    </w:lvl>
  </w:abstractNum>
  <w:abstractNum w:abstractNumId="73">
    <w:nsid w:val="379E21B5"/>
    <w:multiLevelType w:val="hybridMultilevel"/>
    <w:lvl w:ilvl="0">
      <w:lvlJc w:val="left"/>
      <w:lvlText w:val="•"/>
      <w:numFmt w:val="bullet"/>
      <w:start w:val="1"/>
    </w:lvl>
  </w:abstractNum>
  <w:abstractNum w:abstractNumId="74">
    <w:nsid w:val="69E373"/>
    <w:multiLevelType w:val="hybridMultilevel"/>
    <w:lvl w:ilvl="0">
      <w:lvlJc w:val="left"/>
      <w:lvlText w:val="•"/>
      <w:numFmt w:val="bullet"/>
      <w:start w:val="1"/>
    </w:lvl>
  </w:abstractNum>
  <w:abstractNum w:abstractNumId="75">
    <w:nsid w:val="2C27173B"/>
    <w:multiLevelType w:val="hybridMultilevel"/>
    <w:lvl w:ilvl="0">
      <w:lvlJc w:val="left"/>
      <w:lvlText w:val="•"/>
      <w:numFmt w:val="bullet"/>
      <w:start w:val="1"/>
    </w:lvl>
  </w:abstractNum>
  <w:abstractNum w:abstractNumId="76">
    <w:nsid w:val="4C9B0904"/>
    <w:multiLevelType w:val="hybridMultilevel"/>
    <w:lvl w:ilvl="0">
      <w:lvlJc w:val="left"/>
      <w:lvlText w:val="•"/>
      <w:numFmt w:val="bullet"/>
      <w:start w:val="1"/>
    </w:lvl>
    <w:lvl w:ilvl="1">
      <w:lvlJc w:val="left"/>
      <w:lvlText w:val="◦"/>
      <w:numFmt w:val="bullet"/>
      <w:start w:val="1"/>
    </w:lvl>
  </w:abstractNum>
  <w:abstractNum w:abstractNumId="77">
    <w:nsid w:val="6AA7B75C"/>
    <w:multiLevelType w:val="hybridMultilevel"/>
    <w:lvl w:ilvl="0">
      <w:lvlJc w:val="left"/>
      <w:lvlText w:val="•"/>
      <w:numFmt w:val="bullet"/>
      <w:start w:val="1"/>
    </w:lvl>
    <w:lvl w:ilvl="1">
      <w:lvlJc w:val="left"/>
      <w:lvlText w:val="◦"/>
      <w:numFmt w:val="bullet"/>
      <w:start w:val="1"/>
    </w:lvl>
  </w:abstractNum>
  <w:abstractNum w:abstractNumId="78">
    <w:nsid w:val="1DF029D3"/>
    <w:multiLevelType w:val="hybridMultilevel"/>
    <w:lvl w:ilvl="0">
      <w:lvlJc w:val="left"/>
      <w:lvlText w:val="•"/>
      <w:numFmt w:val="bullet"/>
      <w:start w:val="1"/>
    </w:lvl>
  </w:abstractNum>
  <w:abstractNum w:abstractNumId="79">
    <w:nsid w:val="5675FF36"/>
    <w:multiLevelType w:val="hybridMultilevel"/>
    <w:lvl w:ilvl="0">
      <w:lvlJc w:val="left"/>
      <w:lvlText w:val="•"/>
      <w:numFmt w:val="bullet"/>
      <w:start w:val="1"/>
    </w:lvl>
  </w:abstractNum>
  <w:abstractNum w:abstractNumId="80">
    <w:nsid w:val="3DD15094"/>
    <w:multiLevelType w:val="hybridMultilevel"/>
    <w:lvl w:ilvl="0">
      <w:lvlJc w:val="left"/>
      <w:lvlText w:val="•"/>
      <w:numFmt w:val="bullet"/>
      <w:start w:val="1"/>
    </w:lvl>
  </w:abstractNum>
  <w:abstractNum w:abstractNumId="81">
    <w:nsid w:val="3DB012B3"/>
    <w:multiLevelType w:val="hybridMultilevel"/>
    <w:lvl w:ilvl="0">
      <w:lvlJc w:val="left"/>
      <w:lvlText w:val="•"/>
      <w:numFmt w:val="bullet"/>
      <w:start w:val="1"/>
    </w:lvl>
  </w:abstractNum>
  <w:abstractNum w:abstractNumId="82">
    <w:nsid w:val="2708C9AF"/>
    <w:multiLevelType w:val="hybridMultilevel"/>
    <w:lvl w:ilvl="0">
      <w:lvlJc w:val="left"/>
      <w:lvlText w:val="•"/>
      <w:numFmt w:val="bullet"/>
      <w:start w:val="1"/>
    </w:lvl>
  </w:abstractNum>
  <w:abstractNum w:abstractNumId="83">
    <w:nsid w:val="5B25ACE2"/>
    <w:multiLevelType w:val="hybridMultilevel"/>
    <w:lvl w:ilvl="0">
      <w:lvlJc w:val="left"/>
      <w:lvlText w:val="(%1)"/>
      <w:numFmt w:val="decimal"/>
      <w:start w:val="1"/>
    </w:lvl>
  </w:abstractNum>
  <w:abstractNum w:abstractNumId="84">
    <w:nsid w:val="175DFCF0"/>
    <w:multiLevelType w:val="hybridMultilevel"/>
    <w:lvl w:ilvl="0">
      <w:lvlJc w:val="left"/>
      <w:lvlText w:val="•"/>
      <w:numFmt w:val="bullet"/>
      <w:start w:val="1"/>
    </w:lvl>
  </w:abstractNum>
  <w:abstractNum w:abstractNumId="85">
    <w:nsid w:val="4F97E3E4"/>
    <w:multiLevelType w:val="hybridMultilevel"/>
    <w:lvl w:ilvl="0">
      <w:lvlJc w:val="left"/>
      <w:lvlText w:val="•"/>
      <w:numFmt w:val="bullet"/>
      <w:start w:val="1"/>
    </w:lvl>
  </w:abstractNum>
  <w:abstractNum w:abstractNumId="86">
    <w:nsid w:val="53B0A9E"/>
    <w:multiLevelType w:val="hybridMultilevel"/>
    <w:lvl w:ilvl="0">
      <w:lvlJc w:val="left"/>
      <w:lvlText w:val="%1."/>
      <w:numFmt w:val="lowerLetter"/>
      <w:start w:val="1"/>
    </w:lvl>
  </w:abstractNum>
  <w:abstractNum w:abstractNumId="87">
    <w:nsid w:val="34FD6B4F"/>
    <w:multiLevelType w:val="hybridMultilevel"/>
    <w:lvl w:ilvl="0">
      <w:lvlJc w:val="left"/>
      <w:lvlText w:val="^"/>
      <w:numFmt w:val="bullet"/>
      <w:start w:val="1"/>
    </w:lvl>
  </w:abstractNum>
  <w:abstractNum w:abstractNumId="88">
    <w:nsid w:val="5915FF32"/>
    <w:multiLevelType w:val="hybridMultilevel"/>
    <w:lvl w:ilvl="0">
      <w:lvlJc w:val="left"/>
      <w:lvlText w:val="*"/>
      <w:numFmt w:val="bullet"/>
      <w:start w:val="1"/>
    </w:lvl>
  </w:abstractNum>
  <w:abstractNum w:abstractNumId="89">
    <w:nsid w:val="56438D15"/>
    <w:multiLevelType w:val="hybridMultilevel"/>
    <w:lvl w:ilvl="0">
      <w:lvlJc w:val="left"/>
      <w:lvlText w:val="+"/>
      <w:numFmt w:val="bullet"/>
      <w:start w:val="1"/>
    </w:lvl>
    <w:lvl w:ilvl="1">
      <w:lvlJc w:val="left"/>
      <w:lvlText w:val="†"/>
      <w:numFmt w:val="bullet"/>
      <w:start w:val="1"/>
    </w:lvl>
  </w:abstractNum>
  <w:abstractNum w:abstractNumId="90">
    <w:nsid w:val="519E3149"/>
    <w:multiLevelType w:val="hybridMultilevel"/>
    <w:lvl w:ilvl="0">
      <w:lvlJc w:val="left"/>
      <w:lvlText w:val="%1."/>
      <w:numFmt w:val="decimal"/>
      <w:start w:val="1"/>
    </w:lvl>
  </w:abstractNum>
  <w:abstractNum w:abstractNumId="91">
    <w:nsid w:val="2C6E4AFD"/>
    <w:multiLevelType w:val="hybridMultilevel"/>
    <w:lvl w:ilvl="0">
      <w:lvlJc w:val="left"/>
      <w:lvlText w:val="•"/>
      <w:numFmt w:val="bullet"/>
      <w:start w:val="1"/>
    </w:lvl>
  </w:abstractNum>
  <w:abstractNum w:abstractNumId="92">
    <w:nsid w:val="17A1B582"/>
    <w:multiLevelType w:val="hybridMultilevel"/>
    <w:lvl w:ilvl="0">
      <w:lvlJc w:val="left"/>
      <w:lvlText w:val="•"/>
      <w:numFmt w:val="bullet"/>
      <w:start w:val="1"/>
    </w:lvl>
  </w:abstractNum>
  <w:abstractNum w:abstractNumId="93">
    <w:nsid w:val="4DF72E4E"/>
    <w:multiLevelType w:val="hybridMultilevel"/>
    <w:lvl w:ilvl="0">
      <w:lvlJc w:val="left"/>
      <w:lvlText w:val="(%1)"/>
      <w:numFmt w:val="lowerRoman"/>
      <w:start w:val="1"/>
    </w:lvl>
  </w:abstractNum>
  <w:abstractNum w:abstractNumId="94">
    <w:nsid w:val="5046B5A9"/>
    <w:multiLevelType w:val="hybridMultilevel"/>
    <w:lvl w:ilvl="0">
      <w:lvlJc w:val="left"/>
      <w:lvlText w:val="•"/>
      <w:numFmt w:val="bullet"/>
      <w:start w:val="1"/>
    </w:lvl>
  </w:abstractNum>
  <w:abstractNum w:abstractNumId="95">
    <w:nsid w:val="5D888A08"/>
    <w:multiLevelType w:val="hybridMultilevel"/>
    <w:lvl w:ilvl="0">
      <w:lvlJc w:val="left"/>
      <w:lvlText w:val="%1."/>
      <w:numFmt w:val="decimal"/>
      <w:start w:val="2"/>
    </w:lvl>
  </w:abstractNum>
  <w:abstractNum w:abstractNumId="96">
    <w:nsid w:val="2A082C70"/>
    <w:multiLevelType w:val="hybridMultilevel"/>
    <w:lvl w:ilvl="0">
      <w:lvlJc w:val="left"/>
      <w:lvlText w:val="%1."/>
      <w:numFmt w:val="decimal"/>
      <w:start w:val="3"/>
    </w:lvl>
  </w:abstractNum>
  <w:abstractNum w:abstractNumId="97">
    <w:nsid w:val="5EC6AFD4"/>
    <w:multiLevelType w:val="hybridMultilevel"/>
    <w:lvl w:ilvl="0">
      <w:lvlJc w:val="left"/>
      <w:lvlText w:val="%1."/>
      <w:numFmt w:val="decimal"/>
      <w:start w:val="4"/>
    </w:lvl>
  </w:abstractNum>
  <w:abstractNum w:abstractNumId="98">
    <w:nsid w:val="19E21BB2"/>
    <w:multiLevelType w:val="hybridMultilevel"/>
    <w:lvl w:ilvl="0">
      <w:lvlJc w:val="left"/>
      <w:lvlText w:val="•"/>
      <w:numFmt w:val="bullet"/>
      <w:start w:val="1"/>
    </w:lvl>
  </w:abstractNum>
  <w:abstractNum w:abstractNumId="99">
    <w:nsid w:val="75E0858A"/>
    <w:multiLevelType w:val="hybridMultilevel"/>
    <w:lvl w:ilvl="0">
      <w:lvlJc w:val="left"/>
      <w:lvlText w:val="%1."/>
      <w:numFmt w:val="decimal"/>
      <w:start w:val="5"/>
    </w:lvl>
  </w:abstractNum>
  <w:abstractNum w:abstractNumId="100">
    <w:nsid w:val="57A61A29"/>
    <w:multiLevelType w:val="hybridMultilevel"/>
    <w:lvl w:ilvl="0">
      <w:lvlJc w:val="left"/>
      <w:lvlText w:val="%1."/>
      <w:numFmt w:val="decimal"/>
      <w:start w:val="7"/>
    </w:lvl>
  </w:abstractNum>
  <w:abstractNum w:abstractNumId="101">
    <w:nsid w:val="5399C654"/>
    <w:multiLevelType w:val="hybridMultilevel"/>
    <w:lvl w:ilvl="0">
      <w:lvlJc w:val="left"/>
      <w:lvlText w:val="%1."/>
      <w:numFmt w:val="decimal"/>
      <w:start w:val="8"/>
    </w:lvl>
  </w:abstractNum>
  <w:abstractNum w:abstractNumId="102">
    <w:nsid w:val="20EE1348"/>
    <w:multiLevelType w:val="hybridMultilevel"/>
    <w:lvl w:ilvl="0">
      <w:lvlJc w:val="left"/>
      <w:lvlText w:val="%1."/>
      <w:numFmt w:val="decimal"/>
      <w:start w:val="9"/>
    </w:lvl>
  </w:abstractNum>
  <w:abstractNum w:abstractNumId="103">
    <w:nsid w:val="4427069A"/>
    <w:multiLevelType w:val="hybridMultilevel"/>
    <w:lvl w:ilvl="0">
      <w:lvlJc w:val="left"/>
      <w:lvlText w:val="%1."/>
      <w:numFmt w:val="decimal"/>
      <w:start w:val="10"/>
    </w:lvl>
  </w:abstractNum>
  <w:abstractNum w:abstractNumId="104">
    <w:nsid w:val="B37E80A"/>
    <w:multiLevelType w:val="hybridMultilevel"/>
    <w:lvl w:ilvl="0">
      <w:lvlJc w:val="left"/>
      <w:lvlText w:val="%1."/>
      <w:numFmt w:val="decimal"/>
      <w:start w:val="11"/>
    </w:lvl>
  </w:abstractNum>
  <w:abstractNum w:abstractNumId="105">
    <w:nsid w:val="2157F6BC"/>
    <w:multiLevelType w:val="hybridMultilevel"/>
    <w:lvl w:ilvl="0">
      <w:lvlJc w:val="left"/>
      <w:lvlText w:val="%1."/>
      <w:numFmt w:val="decimal"/>
      <w:start w:val="12"/>
    </w:lvl>
  </w:abstractNum>
  <w:abstractNum w:abstractNumId="106">
    <w:nsid w:val="704E1DD5"/>
    <w:multiLevelType w:val="hybridMultilevel"/>
    <w:lvl w:ilvl="0">
      <w:lvlJc w:val="left"/>
      <w:lvlText w:val="•"/>
      <w:numFmt w:val="bullet"/>
      <w:start w:val="1"/>
    </w:lvl>
  </w:abstractNum>
  <w:abstractNum w:abstractNumId="107">
    <w:nsid w:val="57D2F10E"/>
    <w:multiLevelType w:val="hybridMultilevel"/>
    <w:lvl w:ilvl="0">
      <w:lvlJc w:val="left"/>
      <w:lvlText w:val="%1."/>
      <w:numFmt w:val="decimal"/>
      <w:start w:val="13"/>
    </w:lvl>
  </w:abstractNum>
  <w:abstractNum w:abstractNumId="108">
    <w:nsid w:val="BFFAE18"/>
    <w:multiLevelType w:val="hybridMultilevel"/>
    <w:lvl w:ilvl="0">
      <w:lvlJc w:val="left"/>
      <w:lvlText w:val="%1."/>
      <w:numFmt w:val="decimal"/>
      <w:start w:val="14"/>
    </w:lvl>
  </w:abstractNum>
  <w:abstractNum w:abstractNumId="109">
    <w:nsid w:val="E3E47A8"/>
    <w:multiLevelType w:val="hybridMultilevel"/>
    <w:lvl w:ilvl="0">
      <w:lvlJc w:val="left"/>
      <w:lvlText w:val="%1."/>
      <w:numFmt w:val="decimal"/>
      <w:start w:val="15"/>
    </w:lvl>
  </w:abstractNum>
  <w:abstractNum w:abstractNumId="110">
    <w:nsid w:val="2E48F044"/>
    <w:multiLevelType w:val="hybridMultilevel"/>
    <w:lvl w:ilvl="0">
      <w:lvlJc w:val="left"/>
      <w:lvlText w:val="%1."/>
      <w:numFmt w:val="decimal"/>
      <w:start w:val="16"/>
    </w:lvl>
  </w:abstractNum>
  <w:abstractNum w:abstractNumId="111">
    <w:nsid w:val="49D0FEAC"/>
    <w:multiLevelType w:val="hybridMultilevel"/>
    <w:lvl w:ilvl="0">
      <w:lvlJc w:val="left"/>
      <w:lvlText w:val="(%1)"/>
      <w:numFmt w:val="lowerLetter"/>
      <w:start w:val="1"/>
    </w:lvl>
  </w:abstractNum>
  <w:abstractNum w:abstractNumId="112">
    <w:nsid w:val="4BEE5A5B"/>
    <w:multiLevelType w:val="hybridMultilevel"/>
    <w:lvl w:ilvl="0">
      <w:lvlJc w:val="left"/>
      <w:lvlText w:val="(%1)"/>
      <w:numFmt w:val="lowerLetter"/>
      <w:start w:val="1"/>
    </w:lvl>
  </w:abstractNum>
  <w:abstractNum w:abstractNumId="113">
    <w:nsid w:val="5551B9F3"/>
    <w:multiLevelType w:val="hybridMultilevel"/>
    <w:lvl w:ilvl="0">
      <w:lvlJc w:val="left"/>
      <w:lvlText w:val="(%1)"/>
      <w:numFmt w:val="lowerLetter"/>
      <w:start w:val="1"/>
    </w:lvl>
  </w:abstractNum>
  <w:abstractNum w:abstractNumId="114">
    <w:nsid w:val="24F6AB8E"/>
    <w:multiLevelType w:val="hybridMultilevel"/>
    <w:lvl w:ilvl="0">
      <w:lvlJc w:val="left"/>
      <w:lvlText w:val="(%1)"/>
      <w:numFmt w:val="lowerLetter"/>
      <w:start w:val="1"/>
    </w:lvl>
  </w:abstractNum>
  <w:abstractNum w:abstractNumId="115">
    <w:nsid w:val="634C574C"/>
    <w:multiLevelType w:val="hybridMultilevel"/>
    <w:lvl w:ilvl="0">
      <w:lvlJc w:val="left"/>
      <w:lvlText w:val="%1."/>
      <w:numFmt w:val="decimal"/>
      <w:start w:val="17"/>
    </w:lvl>
  </w:abstractNum>
  <w:abstractNum w:abstractNumId="116">
    <w:nsid w:val="24E99DD7"/>
    <w:multiLevelType w:val="hybridMultilevel"/>
    <w:lvl w:ilvl="0">
      <w:lvlJc w:val="left"/>
      <w:lvlText w:val="%1."/>
      <w:numFmt w:val="decimal"/>
      <w:start w:val="18"/>
    </w:lvl>
  </w:abstractNum>
  <w:abstractNum w:abstractNumId="117">
    <w:nsid w:val="2A31B62D"/>
    <w:multiLevelType w:val="hybridMultilevel"/>
    <w:lvl w:ilvl="0">
      <w:lvlJc w:val="left"/>
      <w:lvlText w:val="%1."/>
      <w:numFmt w:val="decimal"/>
      <w:start w:val="19"/>
    </w:lvl>
  </w:abstractNum>
  <w:abstractNum w:abstractNumId="118">
    <w:nsid w:val="1849C29B"/>
    <w:multiLevelType w:val="hybridMultilevel"/>
    <w:lvl w:ilvl="0">
      <w:lvlJc w:val="left"/>
      <w:lvlText w:val="%1."/>
      <w:numFmt w:val="decimal"/>
      <w:start w:val="20"/>
    </w:lvl>
  </w:abstractNum>
  <w:abstractNum w:abstractNumId="119">
    <w:nsid w:val="7DFF9D09"/>
    <w:multiLevelType w:val="hybridMultilevel"/>
    <w:lvl w:ilvl="0">
      <w:lvlJc w:val="left"/>
      <w:lvlText w:val="%1."/>
      <w:numFmt w:val="decimal"/>
      <w:start w:val="21"/>
    </w:lvl>
  </w:abstractNum>
  <w:abstractNum w:abstractNumId="120">
    <w:nsid w:val="754342"/>
    <w:multiLevelType w:val="hybridMultilevel"/>
    <w:lvl w:ilvl="0">
      <w:lvlJc w:val="left"/>
      <w:lvlText w:val="%1."/>
      <w:numFmt w:val="decimal"/>
      <w:start w:val="22"/>
    </w:lvl>
  </w:abstractNum>
  <w:abstractNum w:abstractNumId="121">
    <w:nsid w:val="69E7F3E5"/>
    <w:multiLevelType w:val="hybridMultilevel"/>
    <w:lvl w:ilvl="0">
      <w:lvlJc w:val="left"/>
      <w:lvlText w:val="(%1)"/>
      <w:numFmt w:val="decimal"/>
      <w:start w:val="1"/>
    </w:lvl>
  </w:abstractNum>
  <w:abstractNum w:abstractNumId="122">
    <w:nsid w:val="2A6DE806"/>
    <w:multiLevelType w:val="hybridMultilevel"/>
    <w:lvl w:ilvl="0">
      <w:lvlJc w:val="left"/>
      <w:lvlText w:val="%1."/>
      <w:numFmt w:val="decimal"/>
      <w:start w:val="23"/>
    </w:lvl>
  </w:abstractNum>
  <w:abstractNum w:abstractNumId="123">
    <w:nsid w:val="1816F8C4"/>
    <w:multiLevelType w:val="hybridMultilevel"/>
    <w:lvl w:ilvl="0">
      <w:lvlJc w:val="left"/>
      <w:lvlText w:val="%1."/>
      <w:numFmt w:val="decimal"/>
      <w:start w:val="24"/>
    </w:lvl>
  </w:abstractNum>
  <w:abstractNum w:abstractNumId="124">
    <w:nsid w:val="37DF2233"/>
    <w:multiLevelType w:val="hybridMultilevel"/>
    <w:lvl w:ilvl="0">
      <w:lvlJc w:val="left"/>
      <w:lvlText w:val="%1."/>
      <w:numFmt w:val="decimal"/>
      <w:start w:val="25"/>
    </w:lvl>
  </w:abstractNum>
  <w:abstractNum w:abstractNumId="125">
    <w:nsid w:val="7AB49DAF"/>
    <w:multiLevelType w:val="hybridMultilevel"/>
    <w:lvl w:ilvl="0">
      <w:lvlJc w:val="left"/>
      <w:lvlText w:val="%1."/>
      <w:numFmt w:val="decimal"/>
      <w:start w:val="26"/>
    </w:lvl>
  </w:abstractNum>
  <w:abstractNum w:abstractNumId="126">
    <w:nsid w:val="759F82CD"/>
    <w:multiLevelType w:val="hybridMultilevel"/>
    <w:lvl w:ilvl="0">
      <w:lvlJc w:val="left"/>
      <w:lvlText w:val="(%1)"/>
      <w:numFmt w:val="decimal"/>
      <w:start w:val="1"/>
    </w:lvl>
    <w:lvl w:ilvl="1">
      <w:lvlJc w:val="left"/>
      <w:lvlText w:val="(%2)"/>
      <w:numFmt w:val="lowerLetter"/>
      <w:start w:val="1"/>
    </w:lvl>
  </w:abstractNum>
  <w:abstractNum w:abstractNumId="127">
    <w:nsid w:val="61E74EA3"/>
    <w:multiLevelType w:val="hybridMultilevel"/>
    <w:lvl w:ilvl="0">
      <w:lvlJc w:val="left"/>
      <w:lvlText w:val="(%1)"/>
      <w:numFmt w:val="lowerLetter"/>
      <w:start w:val="9"/>
    </w:lvl>
  </w:abstractNum>
  <w:abstractNum w:abstractNumId="128">
    <w:nsid w:val="597B4D84"/>
    <w:multiLevelType w:val="hybridMultilevel"/>
    <w:lvl w:ilvl="0">
      <w:lvlJc w:val="left"/>
      <w:lvlText w:val="%1."/>
      <w:numFmt w:val="decimal"/>
      <w:start w:val="27"/>
    </w:lvl>
  </w:abstractNum>
  <w:abstractNum w:abstractNumId="129">
    <w:nsid w:val="F819E7F"/>
    <w:multiLevelType w:val="hybridMultilevel"/>
    <w:lvl w:ilvl="0">
      <w:lvlJc w:val="left"/>
      <w:lvlText w:val="%1."/>
      <w:numFmt w:val="decimal"/>
      <w:start w:val="1"/>
    </w:lvl>
  </w:abstractNum>
  <w:abstractNum w:abstractNumId="130">
    <w:nsid w:val="57C7D42D"/>
    <w:multiLevelType w:val="hybridMultilevel"/>
    <w:lvl w:ilvl="0">
      <w:lvlJc w:val="left"/>
      <w:lvlText w:val="%1."/>
      <w:numFmt w:val="decimal"/>
      <w:start w:val="2"/>
    </w:lvl>
  </w:abstractNum>
  <w:abstractNum w:abstractNumId="131">
    <w:nsid w:val="312167AD"/>
    <w:multiLevelType w:val="hybridMultilevel"/>
    <w:lvl w:ilvl="0">
      <w:lvlJc w:val="left"/>
      <w:lvlText w:val="%1."/>
      <w:numFmt w:val="upperLetter"/>
      <w:start w:val="1"/>
    </w:lvl>
    <w:lvl w:ilvl="1">
      <w:lvlJc w:val="left"/>
      <w:lvlText w:val="(%2)"/>
      <w:numFmt w:val="lowerRoman"/>
      <w:start w:val="1"/>
    </w:lvl>
  </w:abstractNum>
  <w:abstractNum w:abstractNumId="132">
    <w:nsid w:val="631B64D4"/>
    <w:multiLevelType w:val="hybridMultilevel"/>
    <w:lvl w:ilvl="0">
      <w:lvlJc w:val="left"/>
      <w:lvlText w:val="(%1)"/>
      <w:numFmt w:val="lowerRoman"/>
      <w:start w:val="2"/>
    </w:lvl>
  </w:abstractNum>
  <w:abstractNum w:abstractNumId="133">
    <w:nsid w:val="78B5E776"/>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4"/>
    </w:lvl>
  </w:abstractNum>
  <w:abstractNum w:abstractNumId="134">
    <w:nsid w:val="75486E47"/>
    <w:multiLevelType w:val="hybridMultilevel"/>
    <w:lvl w:ilvl="0">
      <w:lvlJc w:val="left"/>
      <w:lvlText w:val="%1."/>
      <w:numFmt w:val="decimal"/>
      <w:start w:val="3"/>
    </w:lvl>
    <w:lvl w:ilvl="1">
      <w:lvlJc w:val="left"/>
      <w:lvlText w:val="%2."/>
      <w:numFmt w:val="upperLetter"/>
      <w:start w:val="1"/>
    </w:lvl>
    <w:lvl w:ilvl="2">
      <w:lvlJc w:val="left"/>
      <w:lvlText w:val="%3"/>
      <w:numFmt w:val="upperLetter"/>
      <w:start w:val="1"/>
    </w:lvl>
  </w:abstractNum>
  <w:abstractNum w:abstractNumId="135">
    <w:nsid w:val="6E534CDE"/>
    <w:multiLevelType w:val="hybridMultilevel"/>
    <w:lvl w:ilvl="0">
      <w:lvlJc w:val="left"/>
      <w:lvlText w:val="%1."/>
      <w:numFmt w:val="decimal"/>
      <w:start w:val="5"/>
    </w:lvl>
  </w:abstractNum>
  <w:abstractNum w:abstractNumId="136">
    <w:nsid w:val="1A0DDE32"/>
    <w:multiLevelType w:val="hybridMultilevel"/>
    <w:lvl w:ilvl="0">
      <w:lvlJc w:val="left"/>
      <w:lvlText w:val="%1."/>
      <w:numFmt w:val="decimal"/>
      <w:start w:val="6"/>
    </w:lvl>
  </w:abstractNum>
  <w:abstractNum w:abstractNumId="137">
    <w:nsid w:val="65968C1C"/>
    <w:multiLevelType w:val="hybridMultilevel"/>
    <w:lvl w:ilvl="0">
      <w:lvlJc w:val="left"/>
      <w:lvlText w:val="%1."/>
      <w:numFmt w:val="decimal"/>
      <w:start w:val="7"/>
    </w:lvl>
  </w:abstractNum>
  <w:abstractNum w:abstractNumId="138">
    <w:nsid w:val="46263DEC"/>
    <w:multiLevelType w:val="hybridMultilevel"/>
    <w:lvl w:ilvl="0">
      <w:lvlJc w:val="left"/>
      <w:lvlText w:val="%1."/>
      <w:numFmt w:val="decimal"/>
      <w:start w:val="8"/>
    </w:lvl>
  </w:abstractNum>
  <w:abstractNum w:abstractNumId="139">
    <w:nsid w:val="260D8C4A"/>
    <w:multiLevelType w:val="hybridMultilevel"/>
    <w:lvl w:ilvl="0">
      <w:lvlJc w:val="left"/>
      <w:lvlText w:val="%1."/>
      <w:numFmt w:val="decimal"/>
      <w:start w:val="1"/>
    </w:lvl>
  </w:abstractNum>
  <w:abstractNum w:abstractNumId="140">
    <w:nsid w:val="73D4D3C4"/>
    <w:multiLevelType w:val="hybridMultilevel"/>
    <w:lvl w:ilvl="0">
      <w:lvlJc w:val="left"/>
      <w:lvlText w:val="%1."/>
      <w:numFmt w:val="decimal"/>
      <w:start w:val="2"/>
    </w:lvl>
  </w:abstractNum>
  <w:abstractNum w:abstractNumId="141">
    <w:nsid w:val="746F2E30"/>
    <w:multiLevelType w:val="hybridMultilevel"/>
    <w:lvl w:ilvl="0">
      <w:lvlJc w:val="left"/>
      <w:lvlText w:val="%1."/>
      <w:numFmt w:val="upperLetter"/>
      <w:start w:val="1"/>
    </w:lvl>
  </w:abstractNum>
  <w:abstractNum w:abstractNumId="142">
    <w:nsid w:val="6FDE8AF6"/>
    <w:multiLevelType w:val="hybridMultilevel"/>
    <w:lvl w:ilvl="0">
      <w:lvlJc w:val="left"/>
      <w:lvlText w:val="%1"/>
      <w:numFmt w:val="lowerRoman"/>
      <w:start w:val="1"/>
    </w:lvl>
    <w:lvl w:ilvl="1">
      <w:lvlJc w:val="left"/>
      <w:lvlText w:val="(%2)"/>
      <w:numFmt w:val="lowerRoman"/>
      <w:start w:val="1"/>
    </w:lvl>
  </w:abstractNum>
  <w:abstractNum w:abstractNumId="143">
    <w:nsid w:val="3FC32E20"/>
    <w:multiLevelType w:val="hybridMultilevel"/>
    <w:lvl w:ilvl="0">
      <w:lvlJc w:val="left"/>
      <w:lvlText w:val="(%1)"/>
      <w:numFmt w:val="lowerRoman"/>
      <w:start w:val="2"/>
    </w:lvl>
    <w:lvl w:ilvl="1">
      <w:lvlJc w:val="left"/>
      <w:lvlText w:val="%2"/>
      <w:numFmt w:val="lowerRoman"/>
      <w:start w:val="1"/>
    </w:lvl>
  </w:abstractNum>
  <w:abstractNum w:abstractNumId="144">
    <w:nsid w:val="49C0E823"/>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1"/>
    </w:lvl>
    <w:lvl w:ilvl="3">
      <w:lvlJc w:val="left"/>
      <w:lvlText w:val="%4."/>
      <w:numFmt w:val="upperLetter"/>
      <w:start w:val="4"/>
    </w:lvl>
  </w:abstractNum>
  <w:abstractNum w:abstractNumId="145">
    <w:nsid w:val="14D53685"/>
    <w:multiLevelType w:val="hybridMultilevel"/>
    <w:lvl w:ilvl="0">
      <w:lvlJc w:val="left"/>
      <w:lvlText w:val="%1."/>
      <w:numFmt w:val="decimal"/>
      <w:start w:val="3"/>
    </w:lvl>
    <w:lvl w:ilvl="1">
      <w:lvlJc w:val="left"/>
      <w:lvlText w:val="%2."/>
      <w:numFmt w:val="upperLetter"/>
      <w:start w:val="1"/>
    </w:lvl>
    <w:lvl w:ilvl="2">
      <w:lvlJc w:val="left"/>
      <w:lvlText w:val="%3."/>
      <w:numFmt w:val="upperLetter"/>
      <w:start w:val="1"/>
    </w:lvl>
    <w:lvl w:ilvl="3">
      <w:lvlJc w:val="left"/>
      <w:lvlText w:val="%4"/>
      <w:numFmt w:val="upperLetter"/>
      <w:start w:val="1"/>
    </w:lvl>
  </w:abstractNum>
  <w:abstractNum w:abstractNumId="146">
    <w:nsid w:val="230F856C"/>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3"/>
    </w:lvl>
    <w:lvl w:ilvl="3">
      <w:lvlJc w:val="left"/>
      <w:lvlText w:val="%4"/>
      <w:numFmt w:val="upperLetter"/>
      <w:start w:val="1"/>
    </w:lvl>
  </w:abstractNum>
  <w:abstractNum w:abstractNumId="147">
    <w:nsid w:val="6EAA85FB"/>
    <w:multiLevelType w:val="hybridMultilevel"/>
    <w:lvl w:ilvl="0">
      <w:lvlJc w:val="left"/>
      <w:lvlText w:val="%1."/>
      <w:numFmt w:val="decimal"/>
      <w:start w:val="4"/>
    </w:lvl>
    <w:lvl w:ilvl="1">
      <w:lvlJc w:val="left"/>
      <w:lvlText w:val="%2"/>
      <w:numFmt w:val="upperLetter"/>
      <w:start w:val="1"/>
    </w:lvl>
    <w:lvl w:ilvl="2">
      <w:lvlJc w:val="left"/>
      <w:lvlText w:val="%3"/>
      <w:numFmt w:val="upperLetter"/>
      <w:start w:val="1"/>
    </w:lvl>
    <w:lvl w:ilvl="3">
      <w:lvlJc w:val="left"/>
      <w:lvlText w:val="%4"/>
      <w:numFmt w:val="upperLetter"/>
      <w:start w:val="1"/>
    </w:lvl>
  </w:abstractNum>
  <w:abstractNum w:abstractNumId="148">
    <w:nsid w:val="3F06ECB2"/>
    <w:multiLevelType w:val="hybridMultilevel"/>
    <w:lvl w:ilvl="0">
      <w:lvlJc w:val="left"/>
      <w:lvlText w:val="%1."/>
      <w:numFmt w:val="decimal"/>
      <w:start w:val="5"/>
    </w:lvl>
  </w:abstractNum>
  <w:abstractNum w:abstractNumId="149">
    <w:nsid w:val="3B594807"/>
    <w:multiLevelType w:val="hybridMultilevel"/>
    <w:lvl w:ilvl="0">
      <w:lvlJc w:val="left"/>
      <w:lvlText w:val="%1."/>
      <w:numFmt w:val="decimal"/>
      <w:start w:val="6"/>
    </w:lvl>
  </w:abstractNum>
  <w:abstractNum w:abstractNumId="150">
    <w:nsid w:val="6CAA2304"/>
    <w:multiLevelType w:val="hybridMultilevel"/>
    <w:lvl w:ilvl="0">
      <w:lvlJc w:val="left"/>
      <w:lvlText w:val="%1."/>
      <w:numFmt w:val="decimal"/>
      <w:start w:val="7"/>
    </w:lvl>
  </w:abstractNum>
  <w:abstractNum w:abstractNumId="151">
    <w:nsid w:val="3F7C2FF4"/>
    <w:multiLevelType w:val="hybridMultilevel"/>
    <w:lvl w:ilvl="0">
      <w:lvlJc w:val="left"/>
      <w:lvlText w:val="%1."/>
      <w:numFmt w:val="decimal"/>
      <w:start w:val="8"/>
    </w:lvl>
  </w:abstractNum>
  <w:abstractNum w:abstractNumId="152">
    <w:nsid w:val="25413BEC"/>
    <w:multiLevelType w:val="hybridMultilevel"/>
    <w:lvl w:ilvl="0">
      <w:lvlJc w:val="left"/>
      <w:lvlText w:val="•"/>
      <w:numFmt w:val="bullet"/>
      <w:start w:val="1"/>
    </w:lvl>
  </w:abstractNum>
  <w:abstractNum w:abstractNumId="153">
    <w:nsid w:val="17180B0B"/>
    <w:multiLevelType w:val="hybridMultilevel"/>
    <w:lvl w:ilvl="0">
      <w:lvlJc w:val="left"/>
      <w:lvlText w:val="%1"/>
      <w:numFmt w:val="lowerRoman"/>
      <w:start w:val="1"/>
    </w:lvl>
    <w:lvl w:ilvl="1">
      <w:lvlJc w:val="left"/>
      <w:lvlText w:val="(%2)"/>
      <w:numFmt w:val="lowerRoman"/>
      <w:start w:val="1"/>
    </w:lvl>
  </w:abstractNum>
  <w:abstractNum w:abstractNumId="154">
    <w:nsid w:val="579328B9"/>
    <w:multiLevelType w:val="hybridMultilevel"/>
    <w:lvl w:ilvl="0">
      <w:lvlJc w:val="left"/>
      <w:lvlText w:val="(%1)"/>
      <w:numFmt w:val="lowerRoman"/>
      <w:start w:val="3"/>
    </w:lvl>
    <w:lvl w:ilvl="1">
      <w:lvlJc w:val="left"/>
      <w:lvlText w:val="%2"/>
      <w:numFmt w:val="lowerRoman"/>
      <w:start w:val="1"/>
    </w:lvl>
  </w:abstractNum>
  <w:abstractNum w:abstractNumId="155">
    <w:nsid w:val="5D205E20"/>
    <w:multiLevelType w:val="hybridMultilevel"/>
    <w:lvl w:ilvl="0">
      <w:lvlJc w:val="left"/>
      <w:lvlText w:val="•"/>
      <w:numFmt w:val="bullet"/>
      <w:start w:val="1"/>
    </w:lvl>
  </w:abstractNum>
  <w:abstractNum w:abstractNumId="156">
    <w:nsid w:val="11CCA8BA"/>
    <w:multiLevelType w:val="hybridMultilevel"/>
    <w:lvl w:ilvl="0">
      <w:lvlJc w:val="left"/>
      <w:lvlText w:val="•"/>
      <w:numFmt w:val="bullet"/>
      <w:start w:val="1"/>
    </w:lvl>
  </w:abstractNum>
  <w:abstractNum w:abstractNumId="157">
    <w:nsid w:val="4D32AB86"/>
    <w:multiLevelType w:val="hybridMultilevel"/>
    <w:lvl w:ilvl="0">
      <w:lvlJc w:val="left"/>
      <w:lvlText w:val="•"/>
      <w:numFmt w:val="bullet"/>
      <w:start w:val="1"/>
    </w:lvl>
  </w:abstractNum>
  <w:abstractNum w:abstractNumId="158">
    <w:nsid w:val="3F07ACC3"/>
    <w:multiLevelType w:val="hybridMultilevel"/>
    <w:lvl w:ilvl="0">
      <w:lvlJc w:val="left"/>
      <w:lvlText w:val="(%1)"/>
      <w:numFmt w:val="lowerRoman"/>
      <w:start w:val="1"/>
    </w:lvl>
  </w:abstractNum>
  <w:abstractNum w:abstractNumId="159">
    <w:nsid w:val="6B47F63E"/>
    <w:multiLevelType w:val="hybridMultilevel"/>
    <w:lvl w:ilvl="0">
      <w:lvlJc w:val="left"/>
      <w:lvlText w:val="%1."/>
      <w:numFmt w:val="decimal"/>
      <w:start w:val="1"/>
    </w:lvl>
    <w:lvl w:ilvl="1">
      <w:lvlJc w:val="left"/>
      <w:lvlText w:val="%2)"/>
      <w:numFmt w:val="lowerLetter"/>
      <w:start w:val="1"/>
    </w:lvl>
  </w:abstractNum>
  <w:abstractNum w:abstractNumId="160">
    <w:nsid w:val="5CB44A0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62" Type="http://schemas.openxmlformats.org/officeDocument/2006/relationships/image" Target="media/image116.png"/><Relationship Id="rId163" Type="http://schemas.openxmlformats.org/officeDocument/2006/relationships/image" Target="media/image117.png"/><Relationship Id="rId164" Type="http://schemas.openxmlformats.org/officeDocument/2006/relationships/image" Target="media/image118.png"/><Relationship Id="rId165" Type="http://schemas.openxmlformats.org/officeDocument/2006/relationships/image" Target="media/image119.png"/><Relationship Id="rId166" Type="http://schemas.openxmlformats.org/officeDocument/2006/relationships/image" Target="media/image120.png"/><Relationship Id="rId167" Type="http://schemas.openxmlformats.org/officeDocument/2006/relationships/image" Target="media/image121.png"/><Relationship Id="rId168" Type="http://schemas.openxmlformats.org/officeDocument/2006/relationships/image" Target="media/image122.png"/><Relationship Id="rId169" Type="http://schemas.openxmlformats.org/officeDocument/2006/relationships/image" Target="media/image123.png"/><Relationship Id="rId170" Type="http://schemas.openxmlformats.org/officeDocument/2006/relationships/image" Target="media/image124.png"/><Relationship Id="rId171" Type="http://schemas.openxmlformats.org/officeDocument/2006/relationships/image" Target="media/image125.png"/><Relationship Id="rId172" Type="http://schemas.openxmlformats.org/officeDocument/2006/relationships/image" Target="media/image126.png"/><Relationship Id="rId173" Type="http://schemas.openxmlformats.org/officeDocument/2006/relationships/image" Target="media/image127.png"/><Relationship Id="rId174" Type="http://schemas.openxmlformats.org/officeDocument/2006/relationships/image" Target="media/image128.png"/><Relationship Id="rId175" Type="http://schemas.openxmlformats.org/officeDocument/2006/relationships/image" Target="media/image129.png"/><Relationship Id="rId176" Type="http://schemas.openxmlformats.org/officeDocument/2006/relationships/image" Target="media/image130.png"/><Relationship Id="rId177" Type="http://schemas.openxmlformats.org/officeDocument/2006/relationships/image" Target="media/image131.png"/><Relationship Id="rId178" Type="http://schemas.openxmlformats.org/officeDocument/2006/relationships/image" Target="media/image132.png"/><Relationship Id="rId179" Type="http://schemas.openxmlformats.org/officeDocument/2006/relationships/image" Target="media/image133.png"/><Relationship Id="rId180" Type="http://schemas.openxmlformats.org/officeDocument/2006/relationships/image" Target="media/image134.png"/><Relationship Id="rId181" Type="http://schemas.openxmlformats.org/officeDocument/2006/relationships/image" Target="media/image135.png"/><Relationship Id="rId182" Type="http://schemas.openxmlformats.org/officeDocument/2006/relationships/image" Target="media/image136.png"/><Relationship Id="rId183" Type="http://schemas.openxmlformats.org/officeDocument/2006/relationships/image" Target="media/image137.png"/><Relationship Id="rId184" Type="http://schemas.openxmlformats.org/officeDocument/2006/relationships/image" Target="media/image138.png"/><Relationship Id="rId185" Type="http://schemas.openxmlformats.org/officeDocument/2006/relationships/image" Target="media/image139.png"/><Relationship Id="rId186" Type="http://schemas.openxmlformats.org/officeDocument/2006/relationships/image" Target="media/image140.png"/><Relationship Id="rId187" Type="http://schemas.openxmlformats.org/officeDocument/2006/relationships/image" Target="media/image141.png"/><Relationship Id="rId188" Type="http://schemas.openxmlformats.org/officeDocument/2006/relationships/image" Target="media/image142.png"/><Relationship Id="rId189" Type="http://schemas.openxmlformats.org/officeDocument/2006/relationships/image" Target="media/image143.png"/><Relationship Id="rId190" Type="http://schemas.openxmlformats.org/officeDocument/2006/relationships/image" Target="media/image144.png"/><Relationship Id="rId191" Type="http://schemas.openxmlformats.org/officeDocument/2006/relationships/image" Target="media/image145.png"/><Relationship Id="rId192" Type="http://schemas.openxmlformats.org/officeDocument/2006/relationships/image" Target="media/image146.png"/><Relationship Id="rId193" Type="http://schemas.openxmlformats.org/officeDocument/2006/relationships/image" Target="media/image147.png"/><Relationship Id="rId194" Type="http://schemas.openxmlformats.org/officeDocument/2006/relationships/image" Target="media/image148.png"/><Relationship Id="rId195" Type="http://schemas.openxmlformats.org/officeDocument/2006/relationships/image" Target="media/image149.png"/><Relationship Id="rId196" Type="http://schemas.openxmlformats.org/officeDocument/2006/relationships/image" Target="media/image150.png"/><Relationship Id="rId197" Type="http://schemas.openxmlformats.org/officeDocument/2006/relationships/image" Target="media/image151.jpeg"/><Relationship Id="rId198" Type="http://schemas.openxmlformats.org/officeDocument/2006/relationships/image" Target="media/image152.jpeg"/><Relationship Id="rId199" Type="http://schemas.openxmlformats.org/officeDocument/2006/relationships/image" Target="media/image153.jpeg"/><Relationship Id="rId200" Type="http://schemas.openxmlformats.org/officeDocument/2006/relationships/image" Target="media/image154.jpeg"/><Relationship Id="rId201" Type="http://schemas.openxmlformats.org/officeDocument/2006/relationships/image" Target="media/image155.jpeg"/><Relationship Id="rId202" Type="http://schemas.openxmlformats.org/officeDocument/2006/relationships/image" Target="media/image156.jpeg"/><Relationship Id="rId203" Type="http://schemas.openxmlformats.org/officeDocument/2006/relationships/image" Target="media/image157.jpeg"/><Relationship Id="rId204" Type="http://schemas.openxmlformats.org/officeDocument/2006/relationships/image" Target="media/image158.jpeg"/><Relationship Id="rId205" Type="http://schemas.openxmlformats.org/officeDocument/2006/relationships/image" Target="media/image159.png"/><Relationship Id="rId206" Type="http://schemas.openxmlformats.org/officeDocument/2006/relationships/image" Target="media/image160.png"/><Relationship Id="rId207" Type="http://schemas.openxmlformats.org/officeDocument/2006/relationships/image" Target="media/image161.png"/><Relationship Id="rId208" Type="http://schemas.openxmlformats.org/officeDocument/2006/relationships/image" Target="media/image162.png"/><Relationship Id="rId123" Type="http://schemas.openxmlformats.org/officeDocument/2006/relationships/hyperlink" Target="http://www.sec.gov/Archives/edgar/data/875045/000087504513000010/apa.htm" TargetMode="External"/><Relationship Id="rId124" Type="http://schemas.openxmlformats.org/officeDocument/2006/relationships/hyperlink" Target="http://www.sec.gov/Archives/edgar/data/875045/000087504517000007/ex21_separationxagreement.htm" TargetMode="External"/><Relationship Id="rId125" Type="http://schemas.openxmlformats.org/officeDocument/2006/relationships/hyperlink" Target="http://www.sec.gov/Archives/edgar/data/875045/000119312512312222/d362642dex31.htm" TargetMode="External"/><Relationship Id="rId126" Type="http://schemas.openxmlformats.org/officeDocument/2006/relationships/hyperlink" Target="http://www.sec.gov/Archives/edgar/data/875045/000087504515000008/biib-2015x327xexhibit31.htm" TargetMode="External"/><Relationship Id="rId127" Type="http://schemas.openxmlformats.org/officeDocument/2006/relationships/hyperlink" Target="http://www.sec.gov/Archives/edgar/data/875045/000119312517200127/d406783dex31.htm" TargetMode="External"/><Relationship Id="rId128" Type="http://schemas.openxmlformats.org/officeDocument/2006/relationships/hyperlink" Target="http://www.sec.gov/Archives/edgar/data/875045/000119312515320650/d78596dex41.htm" TargetMode="External"/><Relationship Id="rId129" Type="http://schemas.openxmlformats.org/officeDocument/2006/relationships/hyperlink" Target="http://www.sec.gov/Archives/edgar/data/875045/000119312515320650/d78596dex42.htm" TargetMode="External"/><Relationship Id="rId130" Type="http://schemas.openxmlformats.org/officeDocument/2006/relationships/hyperlink" Target="http://www.sec.gov/Archives/edgar/data/875045/000087504515000028/creditagreement2015biogen.htm" TargetMode="External"/><Relationship Id="rId131" Type="http://schemas.openxmlformats.org/officeDocument/2006/relationships/hyperlink" Target="http://www.sec.gov/Archives/edgar/data/875045/000095012311009300/b83162exv10w5.htm" TargetMode="External"/><Relationship Id="rId132" Type="http://schemas.openxmlformats.org/officeDocument/2006/relationships/hyperlink" Target="http://www.sec.gov/Archives/edgar/data/875045/000095012311009300/b83162exv10w6.htm" TargetMode="External"/><Relationship Id="rId133" Type="http://schemas.openxmlformats.org/officeDocument/2006/relationships/hyperlink" Target="http://www.sec.gov/Archives/edgar/data/875045/000095015717000082/ex10-1.htm" TargetMode="External"/><Relationship Id="rId134" Type="http://schemas.openxmlformats.org/officeDocument/2006/relationships/hyperlink" Target="http://www.sec.gov/Archives/edgar/data/875045/000119312517139450/d43428ddef14a.htm#toc43428_63" TargetMode="External"/><Relationship Id="rId135" Type="http://schemas.openxmlformats.org/officeDocument/2006/relationships/hyperlink" Target="http://www.sec.gov/Archives/edgar/data/875045/000087504517000024/biib-2017630xexhibit102.htm" TargetMode="External"/><Relationship Id="rId136" Type="http://schemas.openxmlformats.org/officeDocument/2006/relationships/hyperlink" Target="http://www.sec.gov/Archives/edgar/data/875045/000087504517000024/biib-2017630xexhibit103.htm" TargetMode="External"/><Relationship Id="rId137" Type="http://schemas.openxmlformats.org/officeDocument/2006/relationships/hyperlink" Target="http://www.sec.gov/Archives/edgar/data/875045/000087504517000024/biib-2017630xexhibit104.htm" TargetMode="External"/><Relationship Id="rId138" Type="http://schemas.openxmlformats.org/officeDocument/2006/relationships/hyperlink" Target="http://www.sec.gov/Archives/edgar/data/875045/000087504517000024/biib-2017630xexhibit105.htm" TargetMode="External"/><Relationship Id="rId139" Type="http://schemas.openxmlformats.org/officeDocument/2006/relationships/hyperlink" Target="http://www.sec.gov/Archives/edgar/data/875045/000087504514000011/biib-2014331xex101.htm" TargetMode="External"/><Relationship Id="rId140" Type="http://schemas.openxmlformats.org/officeDocument/2006/relationships/hyperlink" Target="http://www.sec.gov/Archives/edgar/data/875045/000087504514000011/biib-2014331xex102.htm" TargetMode="External"/><Relationship Id="rId141" Type="http://schemas.openxmlformats.org/officeDocument/2006/relationships/hyperlink" Target="http://www.sec.gov/Archives/edgar/data/875045/000087504514000011/biib-2014331xex103.htm" TargetMode="External"/><Relationship Id="rId142" Type="http://schemas.openxmlformats.org/officeDocument/2006/relationships/hyperlink" Target="http://www.sec.gov/Archives/edgar/data/875045/000095013508005246/b71469biexv10w1.htm" TargetMode="External"/><Relationship Id="rId143" Type="http://schemas.openxmlformats.org/officeDocument/2006/relationships/hyperlink" Target="http://www.sec.gov/Archives/edgar/data/875045/000095013508005246/b71469biexv10w2.htm" TargetMode="External"/><Relationship Id="rId144" Type="http://schemas.openxmlformats.org/officeDocument/2006/relationships/hyperlink" Target="http://www.sec.gov/Archives/edgar/data/875045/000095012310036233/b79987exv10w1.htm" TargetMode="External"/><Relationship Id="rId145" Type="http://schemas.openxmlformats.org/officeDocument/2006/relationships/hyperlink" Target="http://www.sec.gov/Archives/edgar/data/875045/000087504515000014/biib-2015331xex101.htm" TargetMode="External"/><Relationship Id="rId146" Type="http://schemas.openxmlformats.org/officeDocument/2006/relationships/hyperlink" Target="http://www.sec.gov/Archives/edgar/data/875045/000119312515159387/d786327ddef14a.htm#toc786327_57" TargetMode="External"/><Relationship Id="rId147" Type="http://schemas.openxmlformats.org/officeDocument/2006/relationships/hyperlink" Target="http://www.sec.gov/Archives/edgar/data/875045/000095013508003542/b67068dfdefc14a.htm#152" TargetMode="External"/><Relationship Id="rId148" Type="http://schemas.openxmlformats.org/officeDocument/2006/relationships/hyperlink" Target="http://www.sec.gov/Archives/edgar/data/875045/000095013504001180/b48790biexv10w13.txt" TargetMode="External"/><Relationship Id="rId149" Type="http://schemas.openxmlformats.org/officeDocument/2006/relationships/hyperlink" Target="http://www.sec.gov/Archives/edgar/data/875045/000087504516000042/biib-20151231xex1023.htm" TargetMode="External"/><Relationship Id="rId150" Type="http://schemas.openxmlformats.org/officeDocument/2006/relationships/hyperlink" Target="http://www.sec.gov/Archives/edgar/data/875045/000087504516000042/biib-20151231xex1024.htm" TargetMode="External"/><Relationship Id="rId151" Type="http://schemas.openxmlformats.org/officeDocument/2006/relationships/hyperlink" Target="http://www.sec.gov/Archives/edgar/data/875045/000087504514000004/biib-20131231xex1039.htm" TargetMode="External"/><Relationship Id="rId152" Type="http://schemas.openxmlformats.org/officeDocument/2006/relationships/hyperlink" Target="http://www.sec.gov/Archives/edgar/data/875045/000087504514000004/biib-20131231xex1040.htm" TargetMode="External"/><Relationship Id="rId153" Type="http://schemas.openxmlformats.org/officeDocument/2006/relationships/hyperlink" Target="http://www.sec.gov/Archives/edgar/data/875045/000095013509000730/b73435biexv10w53.htm" TargetMode="External"/><Relationship Id="rId154" Type="http://schemas.openxmlformats.org/officeDocument/2006/relationships/hyperlink" Target="http://www.sec.gov/Archives/edgar/data/875045/000095013509000730/b73435biexv10w54.htm" TargetMode="External"/><Relationship Id="rId155" Type="http://schemas.openxmlformats.org/officeDocument/2006/relationships/hyperlink" Target="http://www.sec.gov/Archives/edgar/data/875045/000095012311057276/b86869exv10w1.htm" TargetMode="External"/><Relationship Id="rId156" Type="http://schemas.openxmlformats.org/officeDocument/2006/relationships/hyperlink" Target="http://www.sec.gov/Archives/edgar/data/875045/000087504516000076/biogenemploymentagreementf.htm" TargetMode="External"/><Relationship Id="rId157" Type="http://schemas.openxmlformats.org/officeDocument/2006/relationships/hyperlink" Target="http://www.sec.gov/Archives/edgar/data/875045/000095012310010528/b77985exv10w58.htm" TargetMode="External"/><Relationship Id="rId158" Type="http://schemas.openxmlformats.org/officeDocument/2006/relationships/hyperlink" Target="http://www.sec.gov/Archives/edgar/data/875045/000087504513000029/exhibit101amendedemploymen.htm" TargetMode="External"/><Relationship Id="rId159" Type="http://schemas.openxmlformats.org/officeDocument/2006/relationships/hyperlink" Target="http://www.sec.gov/Archives/edgar/data/875045/000095013508001029/b68103biexv10w49.htm" TargetMode="External"/><Relationship Id="rId160" Type="http://schemas.openxmlformats.org/officeDocument/2006/relationships/hyperlink" Target="http://www.sec.gov/Archives/edgar/data/875045/000087504516000065/biib-2016630xex101.htm" TargetMode="External"/><Relationship Id="rId161" Type="http://schemas.openxmlformats.org/officeDocument/2006/relationships/hyperlink" Target="http://www.sec.gov/Archives/edgar/data/875045/000087504513000006/biib-20121231xex104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2019-12-29T01:54:20Z</dcterms:created>
  <dcterms:modified xsi:type="dcterms:W3CDTF">2019-12-29T01:54:20Z</dcterms:modified>
</cp:coreProperties>
</file>