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156210</wp:posOffset>
            </wp:positionV>
            <wp:extent cx="68465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25400"/>
                    </a:xfrm>
                    <a:prstGeom prst="rect">
                      <a:avLst/>
                    </a:prstGeom>
                    <a:noFill/>
                  </pic:spPr>
                </pic:pic>
              </a:graphicData>
            </a:graphic>
          </wp:anchor>
        </w:drawing>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10-Q</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(Mark One)</w:t>
      </w:r>
    </w:p>
    <w:p>
      <w:pPr>
        <w:spacing w:after="0" w:line="20" w:lineRule="exact"/>
        <w:rPr>
          <w:sz w:val="20"/>
          <w:szCs w:val="20"/>
          <w:color w:val="auto"/>
        </w:rPr>
      </w:pPr>
    </w:p>
    <w:p>
      <w:pPr>
        <w:ind w:left="1420" w:hanging="654"/>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quarterly period ended June 30, 2010</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22" w:lineRule="exact"/>
        <w:rPr>
          <w:sz w:val="20"/>
          <w:szCs w:val="20"/>
          <w:color w:val="auto"/>
        </w:rPr>
      </w:pPr>
    </w:p>
    <w:p>
      <w:pPr>
        <w:ind w:left="1420" w:hanging="624"/>
        <w:spacing w:after="0"/>
        <w:tabs>
          <w:tab w:leader="none" w:pos="14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8" w:lineRule="exact"/>
        <w:rPr>
          <w:sz w:val="20"/>
          <w:szCs w:val="20"/>
          <w:color w:val="auto"/>
        </w:rPr>
      </w:pPr>
    </w:p>
    <w:tbl>
      <w:tblPr>
        <w:tblLayout w:type="fixed"/>
        <w:tblInd w:w="238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4900" w:type="dxa"/>
            <w:vAlign w:val="bottom"/>
          </w:tcPr>
          <w:p>
            <w:pPr>
              <w:jc w:val="center"/>
              <w:ind w:right="1330"/>
              <w:spacing w:after="0"/>
              <w:rPr>
                <w:sz w:val="20"/>
                <w:szCs w:val="20"/>
                <w:color w:val="auto"/>
              </w:rPr>
            </w:pPr>
            <w:r>
              <w:rPr>
                <w:rFonts w:ascii="Arial" w:cs="Arial" w:eastAsia="Arial" w:hAnsi="Arial"/>
                <w:sz w:val="13"/>
                <w:szCs w:val="13"/>
                <w:b w:val="1"/>
                <w:bCs w:val="1"/>
                <w:color w:val="auto"/>
                <w:w w:val="93"/>
              </w:rPr>
              <w:t>Commission File Number 0-19311</w:t>
            </w:r>
          </w:p>
        </w:tc>
      </w:tr>
      <w:tr>
        <w:trPr>
          <w:trHeight w:val="410"/>
        </w:trPr>
        <w:tc>
          <w:tcPr>
            <w:tcW w:w="1600" w:type="dxa"/>
            <w:vAlign w:val="bottom"/>
          </w:tcPr>
          <w:p>
            <w:pPr>
              <w:spacing w:after="0"/>
              <w:rPr>
                <w:sz w:val="24"/>
                <w:szCs w:val="24"/>
                <w:color w:val="auto"/>
              </w:rPr>
            </w:pPr>
          </w:p>
        </w:tc>
        <w:tc>
          <w:tcPr>
            <w:tcW w:w="4900" w:type="dxa"/>
            <w:vAlign w:val="bottom"/>
          </w:tcPr>
          <w:p>
            <w:pPr>
              <w:jc w:val="center"/>
              <w:ind w:right="1330"/>
              <w:spacing w:after="0"/>
              <w:rPr>
                <w:sz w:val="20"/>
                <w:szCs w:val="20"/>
                <w:color w:val="auto"/>
              </w:rPr>
            </w:pPr>
            <w:r>
              <w:rPr>
                <w:rFonts w:ascii="Arial" w:cs="Arial" w:eastAsia="Arial" w:hAnsi="Arial"/>
                <w:sz w:val="32"/>
                <w:szCs w:val="32"/>
                <w:b w:val="1"/>
                <w:bCs w:val="1"/>
                <w:color w:val="auto"/>
              </w:rPr>
              <w:t>BIOGEN IDEC INC.</w:t>
            </w:r>
          </w:p>
        </w:tc>
      </w:tr>
      <w:tr>
        <w:trPr>
          <w:trHeight w:val="136"/>
        </w:trPr>
        <w:tc>
          <w:tcPr>
            <w:tcW w:w="1600" w:type="dxa"/>
            <w:vAlign w:val="bottom"/>
          </w:tcPr>
          <w:p>
            <w:pPr>
              <w:spacing w:after="0"/>
              <w:rPr>
                <w:sz w:val="11"/>
                <w:szCs w:val="11"/>
                <w:color w:val="auto"/>
              </w:rPr>
            </w:pPr>
          </w:p>
        </w:tc>
        <w:tc>
          <w:tcPr>
            <w:tcW w:w="4900" w:type="dxa"/>
            <w:vAlign w:val="bottom"/>
          </w:tcPr>
          <w:p>
            <w:pPr>
              <w:jc w:val="center"/>
              <w:ind w:right="1310"/>
              <w:spacing w:after="0"/>
              <w:rPr>
                <w:sz w:val="20"/>
                <w:szCs w:val="20"/>
                <w:color w:val="auto"/>
              </w:rPr>
            </w:pPr>
            <w:r>
              <w:rPr>
                <w:rFonts w:ascii="Arial" w:cs="Arial" w:eastAsia="Arial" w:hAnsi="Arial"/>
                <w:sz w:val="11"/>
                <w:szCs w:val="11"/>
                <w:i w:val="1"/>
                <w:iCs w:val="1"/>
                <w:color w:val="auto"/>
                <w:w w:val="89"/>
              </w:rPr>
              <w:t>(Exact name of registrant as specified in its charter)</w:t>
            </w:r>
          </w:p>
        </w:tc>
      </w:tr>
      <w:tr>
        <w:trPr>
          <w:trHeight w:val="287"/>
        </w:trPr>
        <w:tc>
          <w:tcPr>
            <w:tcW w:w="1600" w:type="dxa"/>
            <w:vAlign w:val="bottom"/>
          </w:tcPr>
          <w:p>
            <w:pPr>
              <w:jc w:val="center"/>
              <w:ind w:right="202"/>
              <w:spacing w:after="0"/>
              <w:rPr>
                <w:sz w:val="20"/>
                <w:szCs w:val="20"/>
                <w:color w:val="auto"/>
              </w:rPr>
            </w:pPr>
            <w:r>
              <w:rPr>
                <w:rFonts w:ascii="Arial" w:cs="Arial" w:eastAsia="Arial" w:hAnsi="Arial"/>
                <w:sz w:val="13"/>
                <w:szCs w:val="13"/>
                <w:b w:val="1"/>
                <w:bCs w:val="1"/>
                <w:color w:val="auto"/>
                <w:w w:val="94"/>
              </w:rPr>
              <w:t>Delaware</w:t>
            </w:r>
          </w:p>
        </w:tc>
        <w:tc>
          <w:tcPr>
            <w:tcW w:w="4900" w:type="dxa"/>
            <w:vAlign w:val="bottom"/>
          </w:tcPr>
          <w:p>
            <w:pPr>
              <w:jc w:val="center"/>
              <w:ind w:left="4030"/>
              <w:spacing w:after="0"/>
              <w:rPr>
                <w:sz w:val="20"/>
                <w:szCs w:val="20"/>
                <w:color w:val="auto"/>
              </w:rPr>
            </w:pPr>
            <w:r>
              <w:rPr>
                <w:rFonts w:ascii="Arial" w:cs="Arial" w:eastAsia="Arial" w:hAnsi="Arial"/>
                <w:sz w:val="13"/>
                <w:szCs w:val="13"/>
                <w:b w:val="1"/>
                <w:bCs w:val="1"/>
                <w:color w:val="auto"/>
                <w:w w:val="92"/>
              </w:rPr>
              <w:t>33-0112644</w:t>
            </w:r>
          </w:p>
        </w:tc>
      </w:tr>
      <w:tr>
        <w:trPr>
          <w:trHeight w:val="111"/>
        </w:trPr>
        <w:tc>
          <w:tcPr>
            <w:tcW w:w="1600" w:type="dxa"/>
            <w:vAlign w:val="bottom"/>
          </w:tcPr>
          <w:p>
            <w:pPr>
              <w:jc w:val="center"/>
              <w:ind w:right="202"/>
              <w:spacing w:after="0" w:line="111" w:lineRule="exact"/>
              <w:rPr>
                <w:sz w:val="20"/>
                <w:szCs w:val="20"/>
                <w:color w:val="auto"/>
              </w:rPr>
            </w:pPr>
            <w:r>
              <w:rPr>
                <w:rFonts w:ascii="Arial" w:cs="Arial" w:eastAsia="Arial" w:hAnsi="Arial"/>
                <w:sz w:val="11"/>
                <w:szCs w:val="11"/>
                <w:i w:val="1"/>
                <w:iCs w:val="1"/>
                <w:color w:val="auto"/>
                <w:w w:val="91"/>
              </w:rPr>
              <w:t>(State or other jurisdiction of</w:t>
            </w:r>
          </w:p>
        </w:tc>
        <w:tc>
          <w:tcPr>
            <w:tcW w:w="4900" w:type="dxa"/>
            <w:vAlign w:val="bottom"/>
          </w:tcPr>
          <w:p>
            <w:pPr>
              <w:jc w:val="center"/>
              <w:ind w:left="4030"/>
              <w:spacing w:after="0" w:line="111"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1600" w:type="dxa"/>
            <w:vAlign w:val="bottom"/>
          </w:tcPr>
          <w:p>
            <w:pPr>
              <w:jc w:val="center"/>
              <w:ind w:right="222"/>
              <w:spacing w:after="0"/>
              <w:rPr>
                <w:sz w:val="20"/>
                <w:szCs w:val="20"/>
                <w:color w:val="auto"/>
              </w:rPr>
            </w:pPr>
            <w:r>
              <w:rPr>
                <w:rFonts w:ascii="Arial" w:cs="Arial" w:eastAsia="Arial" w:hAnsi="Arial"/>
                <w:sz w:val="11"/>
                <w:szCs w:val="11"/>
                <w:i w:val="1"/>
                <w:iCs w:val="1"/>
                <w:color w:val="auto"/>
                <w:w w:val="92"/>
              </w:rPr>
              <w:t>incorporation or organization)</w:t>
            </w:r>
          </w:p>
        </w:tc>
        <w:tc>
          <w:tcPr>
            <w:tcW w:w="4900" w:type="dxa"/>
            <w:vAlign w:val="bottom"/>
          </w:tcPr>
          <w:p>
            <w:pPr>
              <w:jc w:val="center"/>
              <w:ind w:left="4030"/>
              <w:spacing w:after="0"/>
              <w:rPr>
                <w:sz w:val="20"/>
                <w:szCs w:val="20"/>
                <w:color w:val="auto"/>
              </w:rPr>
            </w:pPr>
            <w:r>
              <w:rPr>
                <w:rFonts w:ascii="Arial" w:cs="Arial" w:eastAsia="Arial" w:hAnsi="Arial"/>
                <w:sz w:val="11"/>
                <w:szCs w:val="11"/>
                <w:i w:val="1"/>
                <w:iCs w:val="1"/>
                <w:color w:val="auto"/>
                <w:w w:val="93"/>
              </w:rPr>
              <w:t>Identification No.)</w:t>
            </w:r>
          </w:p>
        </w:tc>
      </w:tr>
      <w:tr>
        <w:trPr>
          <w:trHeight w:val="187"/>
        </w:trPr>
        <w:tc>
          <w:tcPr>
            <w:tcW w:w="1600" w:type="dxa"/>
            <w:vAlign w:val="bottom"/>
          </w:tcPr>
          <w:p>
            <w:pPr>
              <w:spacing w:after="0"/>
              <w:rPr>
                <w:sz w:val="16"/>
                <w:szCs w:val="16"/>
                <w:color w:val="auto"/>
              </w:rPr>
            </w:pPr>
          </w:p>
        </w:tc>
        <w:tc>
          <w:tcPr>
            <w:tcW w:w="4900" w:type="dxa"/>
            <w:vAlign w:val="bottom"/>
          </w:tcPr>
          <w:p>
            <w:pPr>
              <w:jc w:val="center"/>
              <w:ind w:right="1310"/>
              <w:spacing w:after="0"/>
              <w:rPr>
                <w:sz w:val="20"/>
                <w:szCs w:val="20"/>
                <w:color w:val="auto"/>
              </w:rPr>
            </w:pPr>
            <w:r>
              <w:rPr>
                <w:rFonts w:ascii="Arial" w:cs="Arial" w:eastAsia="Arial" w:hAnsi="Arial"/>
                <w:sz w:val="13"/>
                <w:szCs w:val="13"/>
                <w:b w:val="1"/>
                <w:bCs w:val="1"/>
                <w:color w:val="auto"/>
                <w:w w:val="92"/>
              </w:rPr>
              <w:t>133 Boston Post Road, Weston, MA 02493</w:t>
            </w:r>
          </w:p>
        </w:tc>
      </w:tr>
      <w:tr>
        <w:trPr>
          <w:trHeight w:val="174"/>
        </w:trPr>
        <w:tc>
          <w:tcPr>
            <w:tcW w:w="1600" w:type="dxa"/>
            <w:vAlign w:val="bottom"/>
          </w:tcPr>
          <w:p>
            <w:pPr>
              <w:spacing w:after="0"/>
              <w:rPr>
                <w:sz w:val="15"/>
                <w:szCs w:val="15"/>
                <w:color w:val="auto"/>
              </w:rPr>
            </w:pPr>
          </w:p>
        </w:tc>
        <w:tc>
          <w:tcPr>
            <w:tcW w:w="4900" w:type="dxa"/>
            <w:vAlign w:val="bottom"/>
          </w:tcPr>
          <w:p>
            <w:pPr>
              <w:jc w:val="center"/>
              <w:ind w:right="1310"/>
              <w:spacing w:after="0"/>
              <w:rPr>
                <w:sz w:val="20"/>
                <w:szCs w:val="20"/>
                <w:color w:val="auto"/>
              </w:rPr>
            </w:pPr>
            <w:r>
              <w:rPr>
                <w:rFonts w:ascii="Arial" w:cs="Arial" w:eastAsia="Arial" w:hAnsi="Arial"/>
                <w:sz w:val="13"/>
                <w:szCs w:val="13"/>
                <w:b w:val="1"/>
                <w:bCs w:val="1"/>
                <w:color w:val="auto"/>
                <w:w w:val="94"/>
              </w:rPr>
              <w:t>(781) 464-2000</w:t>
            </w:r>
          </w:p>
        </w:tc>
      </w:tr>
      <w:tr>
        <w:trPr>
          <w:trHeight w:val="149"/>
        </w:trPr>
        <w:tc>
          <w:tcPr>
            <w:tcW w:w="1600" w:type="dxa"/>
            <w:vAlign w:val="bottom"/>
          </w:tcPr>
          <w:p>
            <w:pPr>
              <w:spacing w:after="0"/>
              <w:rPr>
                <w:sz w:val="12"/>
                <w:szCs w:val="12"/>
                <w:color w:val="auto"/>
              </w:rPr>
            </w:pPr>
          </w:p>
        </w:tc>
        <w:tc>
          <w:tcPr>
            <w:tcW w:w="4900" w:type="dxa"/>
            <w:vAlign w:val="bottom"/>
          </w:tcPr>
          <w:p>
            <w:pPr>
              <w:jc w:val="center"/>
              <w:ind w:right="1310"/>
              <w:spacing w:after="0"/>
              <w:rPr>
                <w:sz w:val="20"/>
                <w:szCs w:val="20"/>
                <w:color w:val="auto"/>
              </w:rPr>
            </w:pPr>
            <w:r>
              <w:rPr>
                <w:rFonts w:ascii="Arial" w:cs="Arial" w:eastAsia="Arial" w:hAnsi="Arial"/>
                <w:sz w:val="11"/>
                <w:szCs w:val="11"/>
                <w:i w:val="1"/>
                <w:iCs w:val="1"/>
                <w:color w:val="auto"/>
                <w:w w:val="88"/>
              </w:rPr>
              <w:t>(Address, including zip code, and telephone number, including</w:t>
            </w:r>
          </w:p>
        </w:tc>
      </w:tr>
      <w:tr>
        <w:trPr>
          <w:trHeight w:val="136"/>
        </w:trPr>
        <w:tc>
          <w:tcPr>
            <w:tcW w:w="1600" w:type="dxa"/>
            <w:vAlign w:val="bottom"/>
          </w:tcPr>
          <w:p>
            <w:pPr>
              <w:spacing w:after="0"/>
              <w:rPr>
                <w:sz w:val="11"/>
                <w:szCs w:val="11"/>
                <w:color w:val="auto"/>
              </w:rPr>
            </w:pPr>
          </w:p>
        </w:tc>
        <w:tc>
          <w:tcPr>
            <w:tcW w:w="4900" w:type="dxa"/>
            <w:vAlign w:val="bottom"/>
          </w:tcPr>
          <w:p>
            <w:pPr>
              <w:jc w:val="center"/>
              <w:ind w:right="1330"/>
              <w:spacing w:after="0"/>
              <w:rPr>
                <w:sz w:val="20"/>
                <w:szCs w:val="20"/>
                <w:color w:val="auto"/>
              </w:rPr>
            </w:pPr>
            <w:r>
              <w:rPr>
                <w:rFonts w:ascii="Arial" w:cs="Arial" w:eastAsia="Arial" w:hAnsi="Arial"/>
                <w:sz w:val="11"/>
                <w:szCs w:val="11"/>
                <w:i w:val="1"/>
                <w:iCs w:val="1"/>
                <w:color w:val="auto"/>
                <w:w w:val="89"/>
              </w:rPr>
              <w:t>area code, of registrant’s principal executive offices)</w:t>
            </w:r>
          </w:p>
        </w:tc>
      </w:tr>
    </w:tbl>
    <w:p>
      <w:pPr>
        <w:spacing w:after="0" w:line="118" w:lineRule="exact"/>
        <w:rPr>
          <w:sz w:val="20"/>
          <w:szCs w:val="20"/>
          <w:color w:val="auto"/>
        </w:rPr>
      </w:pPr>
    </w:p>
    <w:p>
      <w:pPr>
        <w:ind w:left="340" w:right="160" w:firstLine="323"/>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17" w:lineRule="exact"/>
        <w:rPr>
          <w:sz w:val="20"/>
          <w:szCs w:val="20"/>
          <w:color w:val="auto"/>
        </w:rPr>
      </w:pPr>
    </w:p>
    <w:p>
      <w:pPr>
        <w:ind w:left="340" w:right="20" w:firstLine="323"/>
        <w:spacing w:after="0" w:line="17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17" w:lineRule="exact"/>
        <w:rPr>
          <w:sz w:val="20"/>
          <w:szCs w:val="20"/>
          <w:color w:val="auto"/>
        </w:rPr>
      </w:pPr>
    </w:p>
    <w:p>
      <w:pPr>
        <w:ind w:left="340" w:right="280" w:firstLine="323"/>
        <w:spacing w:after="0" w:line="29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120"/>
          </w:cols>
          <w:pgMar w:left="220" w:top="127" w:right="559" w:bottom="1440" w:gutter="0" w:footer="0" w:header="0"/>
        </w:sectPr>
      </w:pPr>
    </w:p>
    <w:p>
      <w:pPr>
        <w:spacing w:after="0" w:line="62" w:lineRule="exact"/>
        <w:rPr>
          <w:sz w:val="20"/>
          <w:szCs w:val="20"/>
          <w:color w:val="auto"/>
        </w:rPr>
      </w:pPr>
    </w:p>
    <w:p>
      <w:pPr>
        <w:ind w:left="34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Non-accelerated filer 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300" w:lineRule="exact"/>
        <w:rPr>
          <w:sz w:val="20"/>
          <w:szCs w:val="20"/>
          <w:color w:val="auto"/>
        </w:rPr>
      </w:pPr>
    </w:p>
    <w:p>
      <w:pPr>
        <w:sectPr>
          <w:pgSz w:w="11900" w:h="16838" w:orient="portrait"/>
          <w:cols w:equalWidth="0" w:num="4">
            <w:col w:w="3180" w:space="720"/>
            <w:col w:w="1260" w:space="720"/>
            <w:col w:w="2940" w:space="720"/>
            <w:col w:w="1580"/>
          </w:cols>
          <w:pgMar w:left="220" w:top="127" w:right="559" w:bottom="1440" w:gutter="0" w:footer="0" w:header="0"/>
          <w:type w:val="continuous"/>
        </w:sectPr>
      </w:pPr>
    </w:p>
    <w:p>
      <w:pPr>
        <w:ind w:left="660"/>
        <w:spacing w:after="0" w:line="150" w:lineRule="exact"/>
        <w:tabs>
          <w:tab w:leader="none" w:pos="72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The number of shares of the issuer’s Common Stock, $0.0005 par value, outstanding as of July 16, 2010, was 241,915,236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98425</wp:posOffset>
            </wp:positionV>
            <wp:extent cx="684657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728789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BIOGEN IDEC INC.</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FORM 10-Q — Quarterly Report</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Quarterly Period Ended June 30, 2010</w:t>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Page</w:t>
            </w:r>
          </w:p>
        </w:tc>
        <w:tc>
          <w:tcPr>
            <w:tcW w:w="800" w:type="dxa"/>
            <w:vAlign w:val="bottom"/>
          </w:tcPr>
          <w:p>
            <w:pPr>
              <w:spacing w:after="0"/>
              <w:rPr>
                <w:sz w:val="11"/>
                <w:szCs w:val="11"/>
                <w:color w:val="auto"/>
              </w:rPr>
            </w:pPr>
          </w:p>
        </w:tc>
      </w:tr>
      <w:tr>
        <w:trPr>
          <w:trHeight w:val="161"/>
        </w:trPr>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80" w:type="dxa"/>
            <w:vAlign w:val="bottom"/>
            <w:gridSpan w:val="11"/>
          </w:tcPr>
          <w:p>
            <w:pPr>
              <w:jc w:val="center"/>
              <w:ind w:right="3320"/>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PART I — FINANCIAL INFORMATION</w:t>
              </w:r>
            </w:hyperlink>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72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auto"/>
              </w:rPr>
              <w:t>Item 1.</w:t>
            </w:r>
          </w:p>
        </w:tc>
        <w:tc>
          <w:tcPr>
            <w:tcW w:w="2540" w:type="dxa"/>
            <w:vAlign w:val="bottom"/>
            <w:gridSpan w:val="11"/>
          </w:tcPr>
          <w:p>
            <w:pPr>
              <w:spacing w:after="0"/>
              <w:rPr>
                <w:sz w:val="20"/>
                <w:szCs w:val="20"/>
                <w:color w:val="auto"/>
              </w:rPr>
            </w:pPr>
            <w:r>
              <w:rPr>
                <w:rFonts w:ascii="Arial" w:cs="Arial" w:eastAsia="Arial" w:hAnsi="Arial"/>
                <w:sz w:val="13"/>
                <w:szCs w:val="13"/>
                <w:color w:val="auto"/>
              </w:rPr>
              <w:t>Financial Statements (unaudited)</w:t>
            </w:r>
          </w:p>
        </w:tc>
        <w:tc>
          <w:tcPr>
            <w:tcW w:w="2400" w:type="dxa"/>
            <w:vAlign w:val="bottom"/>
            <w:tcBorders>
              <w:top w:val="single" w:sz="8" w:color="0000EE"/>
            </w:tcBorders>
            <w:gridSpan w:val="7"/>
          </w:tcPr>
          <w:p>
            <w:pPr>
              <w:spacing w:after="0"/>
              <w:rPr>
                <w:sz w:val="13"/>
                <w:szCs w:val="13"/>
                <w:color w:val="auto"/>
              </w:rPr>
            </w:pPr>
          </w:p>
        </w:tc>
        <w:tc>
          <w:tcPr>
            <w:tcW w:w="350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2"/>
        </w:trPr>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40" w:type="dxa"/>
            <w:vAlign w:val="bottom"/>
            <w:gridSpan w:val="21"/>
          </w:tcPr>
          <w:p>
            <w:pPr>
              <w:spacing w:after="0" w:line="142"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Income — For the Three and Six Months Ended June 30, 2010 and 2009</w:t>
              </w:r>
            </w:hyperlink>
          </w:p>
        </w:tc>
        <w:tc>
          <w:tcPr>
            <w:tcW w:w="28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20" w:type="dxa"/>
            <w:vAlign w:val="bottom"/>
            <w:tcBorders>
              <w:top w:val="single" w:sz="8" w:color="0000EE"/>
            </w:tcBorders>
            <w:gridSpan w:val="20"/>
          </w:tcPr>
          <w:p>
            <w:pPr>
              <w:spacing w:after="0" w:line="141" w:lineRule="exact"/>
              <w:rPr>
                <w:rFonts w:ascii="Arial" w:cs="Arial" w:eastAsia="Arial" w:hAnsi="Arial"/>
                <w:sz w:val="13"/>
                <w:szCs w:val="13"/>
                <w:color w:val="0000EE"/>
              </w:rPr>
            </w:pPr>
            <w:hyperlink w:anchor="page6">
              <w:r>
                <w:rPr>
                  <w:rFonts w:ascii="Arial" w:cs="Arial" w:eastAsia="Arial" w:hAnsi="Arial"/>
                  <w:sz w:val="13"/>
                  <w:szCs w:val="13"/>
                  <w:color w:val="0000EE"/>
                </w:rPr>
                <w:t>Consolidated Balance Sheets — As of June 30, 2010 and December 31, 2009</w:t>
              </w:r>
            </w:hyperlink>
          </w:p>
        </w:tc>
        <w:tc>
          <w:tcPr>
            <w:tcW w:w="3020" w:type="dxa"/>
            <w:vAlign w:val="bottom"/>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40" w:type="dxa"/>
            <w:vAlign w:val="bottom"/>
            <w:gridSpan w:val="21"/>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Consolidated Statements of Cash Flows — For the Six Months Ended June 30, 2010 and 2009</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60" w:type="dxa"/>
            <w:vAlign w:val="bottom"/>
            <w:tcBorders>
              <w:top w:val="single" w:sz="8" w:color="0000EE"/>
              <w:bottom w:val="single" w:sz="8" w:color="0000EE"/>
            </w:tcBorders>
            <w:gridSpan w:val="10"/>
          </w:tcPr>
          <w:p>
            <w:pPr>
              <w:spacing w:after="0" w:line="141" w:lineRule="exact"/>
              <w:rPr>
                <w:rFonts w:ascii="Arial" w:cs="Arial" w:eastAsia="Arial" w:hAnsi="Arial"/>
                <w:sz w:val="13"/>
                <w:szCs w:val="13"/>
                <w:color w:val="0000EE"/>
                <w:w w:val="92"/>
              </w:rPr>
            </w:pPr>
            <w:hyperlink w:anchor="page8">
              <w:r>
                <w:rPr>
                  <w:rFonts w:ascii="Arial" w:cs="Arial" w:eastAsia="Arial" w:hAnsi="Arial"/>
                  <w:sz w:val="13"/>
                  <w:szCs w:val="13"/>
                  <w:color w:val="0000EE"/>
                  <w:w w:val="92"/>
                </w:rPr>
                <w:t>Notes to Consolidated Financial Statements</w:t>
              </w:r>
            </w:hyperlink>
          </w:p>
        </w:tc>
        <w:tc>
          <w:tcPr>
            <w:tcW w:w="2720" w:type="dxa"/>
            <w:vAlign w:val="bottom"/>
            <w:tcBorders>
              <w:top w:val="single" w:sz="8" w:color="0000EE"/>
            </w:tcBorders>
            <w:gridSpan w:val="9"/>
          </w:tcPr>
          <w:p>
            <w:pPr>
              <w:spacing w:after="0"/>
              <w:rPr>
                <w:sz w:val="12"/>
                <w:szCs w:val="12"/>
                <w:color w:val="auto"/>
              </w:rPr>
            </w:pPr>
          </w:p>
        </w:tc>
        <w:tc>
          <w:tcPr>
            <w:tcW w:w="3360" w:type="dxa"/>
            <w:vAlign w:val="bottom"/>
            <w:gridSpan w:val="2"/>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rFonts w:ascii="Arial" w:cs="Arial" w:eastAsia="Arial" w:hAnsi="Arial"/>
                <w:sz w:val="13"/>
                <w:szCs w:val="13"/>
                <w:color w:val="0000EE"/>
              </w:rPr>
            </w:pPr>
            <w:hyperlink w:anchor="page35">
              <w:r>
                <w:rPr>
                  <w:rFonts w:ascii="Arial" w:cs="Arial" w:eastAsia="Arial" w:hAnsi="Arial"/>
                  <w:sz w:val="13"/>
                  <w:szCs w:val="13"/>
                  <w:color w:val="0000EE"/>
                </w:rPr>
                <w:t>Item 2.</w:t>
              </w:r>
            </w:hyperlink>
          </w:p>
        </w:tc>
        <w:tc>
          <w:tcPr>
            <w:tcW w:w="8440" w:type="dxa"/>
            <w:vAlign w:val="bottom"/>
            <w:gridSpan w:val="21"/>
          </w:tcPr>
          <w:p>
            <w:pPr>
              <w:spacing w:after="0" w:line="141" w:lineRule="exact"/>
              <w:rPr>
                <w:rFonts w:ascii="Arial" w:cs="Arial" w:eastAsia="Arial" w:hAnsi="Arial"/>
                <w:sz w:val="13"/>
                <w:szCs w:val="13"/>
                <w:color w:val="0000EE"/>
              </w:rPr>
            </w:pPr>
            <w:hyperlink w:anchor="page35">
              <w:r>
                <w:rPr>
                  <w:rFonts w:ascii="Arial" w:cs="Arial" w:eastAsia="Arial" w:hAnsi="Arial"/>
                  <w:sz w:val="13"/>
                  <w:szCs w:val="13"/>
                  <w:color w:val="0000EE"/>
                </w:rPr>
                <w:t>Management’s Discussion and Analysis of Financial Condition and Results of Operations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34</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440" w:type="dxa"/>
            <w:vAlign w:val="bottom"/>
            <w:tcBorders>
              <w:bottom w:val="single" w:sz="8" w:color="0000EE"/>
            </w:tcBorders>
            <w:gridSpan w:val="2"/>
          </w:tcPr>
          <w:p>
            <w:pPr>
              <w:spacing w:after="0" w:line="141" w:lineRule="exact"/>
              <w:rPr>
                <w:rFonts w:ascii="Arial" w:cs="Arial" w:eastAsia="Arial" w:hAnsi="Arial"/>
                <w:sz w:val="13"/>
                <w:szCs w:val="13"/>
                <w:color w:val="0000EE"/>
              </w:rPr>
            </w:pPr>
            <w:hyperlink w:anchor="page52">
              <w:r>
                <w:rPr>
                  <w:rFonts w:ascii="Arial" w:cs="Arial" w:eastAsia="Arial" w:hAnsi="Arial"/>
                  <w:sz w:val="13"/>
                  <w:szCs w:val="13"/>
                  <w:color w:val="0000EE"/>
                </w:rPr>
                <w:t>Item 3.</w:t>
              </w:r>
            </w:hyperlink>
          </w:p>
        </w:tc>
        <w:tc>
          <w:tcPr>
            <w:tcW w:w="780" w:type="dxa"/>
            <w:vAlign w:val="bottom"/>
            <w:gridSpan w:val="2"/>
          </w:tcPr>
          <w:p>
            <w:pPr>
              <w:spacing w:after="0"/>
              <w:rPr>
                <w:sz w:val="12"/>
                <w:szCs w:val="12"/>
                <w:color w:val="auto"/>
              </w:rPr>
            </w:pPr>
          </w:p>
        </w:tc>
        <w:tc>
          <w:tcPr>
            <w:tcW w:w="3280" w:type="dxa"/>
            <w:vAlign w:val="bottom"/>
            <w:tcBorders>
              <w:bottom w:val="single" w:sz="8" w:color="0000EE"/>
            </w:tcBorders>
            <w:gridSpan w:val="14"/>
          </w:tcPr>
          <w:p>
            <w:pPr>
              <w:spacing w:after="0" w:line="141" w:lineRule="exact"/>
              <w:rPr>
                <w:rFonts w:ascii="Arial" w:cs="Arial" w:eastAsia="Arial" w:hAnsi="Arial"/>
                <w:sz w:val="13"/>
                <w:szCs w:val="13"/>
                <w:color w:val="0000EE"/>
                <w:w w:val="95"/>
              </w:rPr>
            </w:pPr>
            <w:hyperlink w:anchor="page52">
              <w:r>
                <w:rPr>
                  <w:rFonts w:ascii="Arial" w:cs="Arial" w:eastAsia="Arial" w:hAnsi="Arial"/>
                  <w:sz w:val="13"/>
                  <w:szCs w:val="13"/>
                  <w:color w:val="0000EE"/>
                  <w:w w:val="95"/>
                </w:rPr>
                <w:t>Quantitative and Qualitative Disclosures About Market Risk</w:t>
              </w:r>
            </w:hyperlink>
          </w:p>
        </w:tc>
        <w:tc>
          <w:tcPr>
            <w:tcW w:w="5160" w:type="dxa"/>
            <w:vAlign w:val="bottom"/>
            <w:gridSpan w:val="7"/>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Item 4.</w:t>
              </w:r>
            </w:hyperlink>
          </w:p>
        </w:tc>
        <w:tc>
          <w:tcPr>
            <w:tcW w:w="8440" w:type="dxa"/>
            <w:vAlign w:val="bottom"/>
            <w:gridSpan w:val="21"/>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Controls and Procedures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52</w:t>
            </w:r>
          </w:p>
        </w:tc>
        <w:tc>
          <w:tcPr>
            <w:tcW w:w="800" w:type="dxa"/>
            <w:vAlign w:val="bottom"/>
          </w:tcPr>
          <w:p>
            <w:pPr>
              <w:spacing w:after="0"/>
              <w:rPr>
                <w:sz w:val="12"/>
                <w:szCs w:val="12"/>
                <w:color w:val="auto"/>
              </w:rPr>
            </w:pPr>
          </w:p>
        </w:tc>
      </w:tr>
      <w:tr>
        <w:trPr>
          <w:trHeight w:val="262"/>
        </w:trPr>
        <w:tc>
          <w:tcPr>
            <w:tcW w:w="720" w:type="dxa"/>
            <w:vAlign w:val="bottom"/>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900" w:type="dxa"/>
            <w:vAlign w:val="bottom"/>
            <w:gridSpan w:val="10"/>
          </w:tcPr>
          <w:p>
            <w:pPr>
              <w:jc w:val="center"/>
              <w:ind w:right="3500"/>
              <w:spacing w:after="0"/>
              <w:rPr>
                <w:rFonts w:ascii="Arial" w:cs="Arial" w:eastAsia="Arial" w:hAnsi="Arial"/>
                <w:sz w:val="13"/>
                <w:szCs w:val="13"/>
                <w:b w:val="1"/>
                <w:bCs w:val="1"/>
                <w:color w:val="0000EE"/>
              </w:rPr>
            </w:pPr>
            <w:hyperlink w:anchor="page53">
              <w:r>
                <w:rPr>
                  <w:rFonts w:ascii="Arial" w:cs="Arial" w:eastAsia="Arial" w:hAnsi="Arial"/>
                  <w:sz w:val="13"/>
                  <w:szCs w:val="13"/>
                  <w:b w:val="1"/>
                  <w:bCs w:val="1"/>
                  <w:color w:val="0000EE"/>
                </w:rPr>
                <w:t>PART II — OTHER INFORMATION</w:t>
              </w:r>
            </w:hyperlink>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Item 1.</w:t>
              </w:r>
            </w:hyperlink>
          </w:p>
        </w:tc>
        <w:tc>
          <w:tcPr>
            <w:tcW w:w="2640" w:type="dxa"/>
            <w:vAlign w:val="bottom"/>
            <w:gridSpan w:val="12"/>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Legal Proceedings</w:t>
              </w:r>
            </w:hyperlink>
          </w:p>
        </w:tc>
        <w:tc>
          <w:tcPr>
            <w:tcW w:w="2200" w:type="dxa"/>
            <w:vAlign w:val="bottom"/>
            <w:tcBorders>
              <w:top w:val="single" w:sz="8" w:color="0000EE"/>
            </w:tcBorders>
            <w:gridSpan w:val="5"/>
          </w:tcPr>
          <w:p>
            <w:pPr>
              <w:spacing w:after="0"/>
              <w:rPr>
                <w:sz w:val="12"/>
                <w:szCs w:val="12"/>
                <w:color w:val="auto"/>
              </w:rPr>
            </w:pPr>
          </w:p>
        </w:tc>
        <w:tc>
          <w:tcPr>
            <w:tcW w:w="3600" w:type="dxa"/>
            <w:vAlign w:val="bottom"/>
            <w:gridSpan w:val="4"/>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52</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Item 1A.</w:t>
              </w:r>
            </w:hyperlink>
          </w:p>
        </w:tc>
        <w:tc>
          <w:tcPr>
            <w:tcW w:w="8440" w:type="dxa"/>
            <w:vAlign w:val="bottom"/>
            <w:gridSpan w:val="21"/>
          </w:tcPr>
          <w:p>
            <w:pPr>
              <w:spacing w:after="0" w:line="141" w:lineRule="exact"/>
              <w:rPr>
                <w:rFonts w:ascii="Arial" w:cs="Arial" w:eastAsia="Arial" w:hAnsi="Arial"/>
                <w:sz w:val="13"/>
                <w:szCs w:val="13"/>
                <w:color w:val="0000EE"/>
              </w:rPr>
            </w:pPr>
            <w:hyperlink w:anchor="page53">
              <w:r>
                <w:rPr>
                  <w:rFonts w:ascii="Arial" w:cs="Arial" w:eastAsia="Arial" w:hAnsi="Arial"/>
                  <w:sz w:val="13"/>
                  <w:szCs w:val="13"/>
                  <w:color w:val="0000EE"/>
                </w:rPr>
                <w:t>Risk Factors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52</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440" w:type="dxa"/>
            <w:vAlign w:val="bottom"/>
            <w:gridSpan w:val="2"/>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Item 2.</w:t>
              </w:r>
            </w:hyperlink>
          </w:p>
        </w:tc>
        <w:tc>
          <w:tcPr>
            <w:tcW w:w="780" w:type="dxa"/>
            <w:vAlign w:val="bottom"/>
            <w:gridSpan w:val="2"/>
          </w:tcPr>
          <w:p>
            <w:pPr>
              <w:spacing w:after="0"/>
              <w:rPr>
                <w:sz w:val="12"/>
                <w:szCs w:val="12"/>
                <w:color w:val="auto"/>
              </w:rPr>
            </w:pPr>
          </w:p>
        </w:tc>
        <w:tc>
          <w:tcPr>
            <w:tcW w:w="8440" w:type="dxa"/>
            <w:vAlign w:val="bottom"/>
            <w:gridSpan w:val="21"/>
          </w:tcPr>
          <w:p>
            <w:pPr>
              <w:spacing w:after="0" w:line="141" w:lineRule="exact"/>
              <w:rPr>
                <w:rFonts w:ascii="Arial" w:cs="Arial" w:eastAsia="Arial" w:hAnsi="Arial"/>
                <w:sz w:val="13"/>
                <w:szCs w:val="13"/>
                <w:color w:val="0000EE"/>
              </w:rPr>
            </w:pPr>
            <w:hyperlink w:anchor="page64">
              <w:r>
                <w:rPr>
                  <w:rFonts w:ascii="Arial" w:cs="Arial" w:eastAsia="Arial" w:hAnsi="Arial"/>
                  <w:sz w:val="13"/>
                  <w:szCs w:val="13"/>
                  <w:color w:val="0000EE"/>
                </w:rPr>
                <w:t>Unregistered Sales of Equity Securities and Use of Proceeds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63</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Item 6.</w:t>
              </w:r>
            </w:hyperlink>
          </w:p>
        </w:tc>
        <w:tc>
          <w:tcPr>
            <w:tcW w:w="8440" w:type="dxa"/>
            <w:vAlign w:val="bottom"/>
            <w:gridSpan w:val="21"/>
          </w:tcPr>
          <w:p>
            <w:pPr>
              <w:spacing w:after="0" w:line="141" w:lineRule="exact"/>
              <w:rPr>
                <w:rFonts w:ascii="Arial" w:cs="Arial" w:eastAsia="Arial" w:hAnsi="Arial"/>
                <w:sz w:val="13"/>
                <w:szCs w:val="13"/>
                <w:color w:val="0000EE"/>
              </w:rPr>
            </w:pPr>
            <w:hyperlink w:anchor="page65">
              <w:r>
                <w:rPr>
                  <w:rFonts w:ascii="Arial" w:cs="Arial" w:eastAsia="Arial" w:hAnsi="Arial"/>
                  <w:sz w:val="13"/>
                  <w:szCs w:val="13"/>
                  <w:color w:val="0000EE"/>
                </w:rPr>
                <w:t>Exhibits</w:t>
              </w:r>
            </w:hyperlink>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64</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540" w:type="dxa"/>
            <w:vAlign w:val="bottom"/>
            <w:tcBorders>
              <w:bottom w:val="single" w:sz="8" w:color="0000EE"/>
            </w:tcBorders>
            <w:gridSpan w:val="3"/>
          </w:tcPr>
          <w:p>
            <w:pPr>
              <w:spacing w:after="0" w:line="141" w:lineRule="exact"/>
              <w:rPr>
                <w:rFonts w:ascii="Arial" w:cs="Arial" w:eastAsia="Arial" w:hAnsi="Arial"/>
                <w:sz w:val="13"/>
                <w:szCs w:val="13"/>
                <w:color w:val="0000EE"/>
                <w:w w:val="83"/>
              </w:rPr>
            </w:pPr>
            <w:hyperlink w:anchor="page66">
              <w:r>
                <w:rPr>
                  <w:rFonts w:ascii="Arial" w:cs="Arial" w:eastAsia="Arial" w:hAnsi="Arial"/>
                  <w:sz w:val="13"/>
                  <w:szCs w:val="13"/>
                  <w:color w:val="0000EE"/>
                  <w:w w:val="83"/>
                </w:rPr>
                <w:t>Signatures</w:t>
              </w:r>
            </w:hyperlink>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65</w:t>
            </w: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sz w:val="20"/>
                <w:szCs w:val="20"/>
                <w:color w:val="auto"/>
              </w:rPr>
            </w:pPr>
            <w:r>
              <w:rPr>
                <w:rFonts w:ascii="Arial" w:cs="Arial" w:eastAsia="Arial" w:hAnsi="Arial"/>
                <w:sz w:val="13"/>
                <w:szCs w:val="13"/>
                <w:color w:val="0000EE"/>
              </w:rPr>
              <w:t>EX-10.3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sz w:val="20"/>
                <w:szCs w:val="20"/>
                <w:color w:val="auto"/>
              </w:rPr>
            </w:pPr>
            <w:r>
              <w:rPr>
                <w:rFonts w:ascii="Arial" w:cs="Arial" w:eastAsia="Arial" w:hAnsi="Arial"/>
                <w:sz w:val="13"/>
                <w:szCs w:val="13"/>
                <w:color w:val="0000EE"/>
              </w:rPr>
              <w:t>EX-31.1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sz w:val="20"/>
                <w:szCs w:val="20"/>
                <w:color w:val="auto"/>
              </w:rPr>
            </w:pPr>
            <w:r>
              <w:rPr>
                <w:rFonts w:ascii="Arial" w:cs="Arial" w:eastAsia="Arial" w:hAnsi="Arial"/>
                <w:sz w:val="13"/>
                <w:szCs w:val="13"/>
                <w:color w:val="0000EE"/>
              </w:rPr>
              <w:t>EX-31.2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1220" w:type="dxa"/>
            <w:vAlign w:val="bottom"/>
            <w:gridSpan w:val="4"/>
          </w:tcPr>
          <w:p>
            <w:pPr>
              <w:spacing w:after="0" w:line="141" w:lineRule="exact"/>
              <w:rPr>
                <w:sz w:val="20"/>
                <w:szCs w:val="20"/>
                <w:color w:val="auto"/>
              </w:rPr>
            </w:pPr>
            <w:r>
              <w:rPr>
                <w:rFonts w:ascii="Arial" w:cs="Arial" w:eastAsia="Arial" w:hAnsi="Arial"/>
                <w:sz w:val="13"/>
                <w:szCs w:val="13"/>
                <w:color w:val="0000EE"/>
              </w:rPr>
              <w:t>EX-32.1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9660" w:type="dxa"/>
            <w:vAlign w:val="bottom"/>
            <w:gridSpan w:val="25"/>
          </w:tcPr>
          <w:p>
            <w:pPr>
              <w:spacing w:after="0" w:line="141" w:lineRule="exact"/>
              <w:rPr>
                <w:sz w:val="20"/>
                <w:szCs w:val="20"/>
                <w:color w:val="auto"/>
              </w:rPr>
            </w:pPr>
            <w:r>
              <w:rPr>
                <w:rFonts w:ascii="Arial" w:cs="Arial" w:eastAsia="Arial" w:hAnsi="Arial"/>
                <w:sz w:val="13"/>
                <w:szCs w:val="13"/>
                <w:color w:val="0000EE"/>
              </w:rPr>
              <w:t>EX-101 INSTANCE DOCUMENT</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1900" w:type="dxa"/>
            <w:vAlign w:val="bottom"/>
            <w:tcBorders>
              <w:top w:val="single" w:sz="8" w:color="0000EE"/>
            </w:tcBorders>
            <w:gridSpan w:val="7"/>
          </w:tcPr>
          <w:p>
            <w:pPr>
              <w:spacing w:after="0" w:line="141" w:lineRule="exact"/>
              <w:rPr>
                <w:sz w:val="20"/>
                <w:szCs w:val="20"/>
                <w:color w:val="auto"/>
              </w:rPr>
            </w:pPr>
            <w:r>
              <w:rPr>
                <w:rFonts w:ascii="Arial" w:cs="Arial" w:eastAsia="Arial" w:hAnsi="Arial"/>
                <w:sz w:val="13"/>
                <w:szCs w:val="13"/>
                <w:color w:val="0000EE"/>
              </w:rPr>
              <w:t>EX-101 SCHEMA DOCUMENT</w:t>
            </w:r>
          </w:p>
        </w:tc>
        <w:tc>
          <w:tcPr>
            <w:tcW w:w="7760" w:type="dxa"/>
            <w:vAlign w:val="bottom"/>
            <w:gridSpan w:val="18"/>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1"/>
        </w:trPr>
        <w:tc>
          <w:tcPr>
            <w:tcW w:w="720" w:type="dxa"/>
            <w:vAlign w:val="bottom"/>
          </w:tcPr>
          <w:p>
            <w:pPr>
              <w:spacing w:after="0"/>
              <w:rPr>
                <w:sz w:val="12"/>
                <w:szCs w:val="12"/>
                <w:color w:val="auto"/>
              </w:rPr>
            </w:pPr>
          </w:p>
        </w:tc>
        <w:tc>
          <w:tcPr>
            <w:tcW w:w="9660" w:type="dxa"/>
            <w:vAlign w:val="bottom"/>
            <w:gridSpan w:val="25"/>
          </w:tcPr>
          <w:p>
            <w:pPr>
              <w:spacing w:after="0" w:line="141" w:lineRule="exact"/>
              <w:rPr>
                <w:sz w:val="20"/>
                <w:szCs w:val="20"/>
                <w:color w:val="auto"/>
              </w:rPr>
            </w:pPr>
            <w:r>
              <w:rPr>
                <w:rFonts w:ascii="Arial" w:cs="Arial" w:eastAsia="Arial" w:hAnsi="Arial"/>
                <w:sz w:val="13"/>
                <w:szCs w:val="13"/>
                <w:color w:val="0000EE"/>
              </w:rPr>
              <w:t>EX-101 CALCULATION LINKBASE DOCUMENT</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2400" w:type="dxa"/>
            <w:vAlign w:val="bottom"/>
            <w:tcBorders>
              <w:top w:val="single" w:sz="8" w:color="0000EE"/>
              <w:bottom w:val="single" w:sz="8" w:color="0000EE"/>
            </w:tcBorders>
            <w:gridSpan w:val="9"/>
          </w:tcPr>
          <w:p>
            <w:pPr>
              <w:spacing w:after="0" w:line="141" w:lineRule="exact"/>
              <w:rPr>
                <w:sz w:val="20"/>
                <w:szCs w:val="20"/>
                <w:color w:val="auto"/>
              </w:rPr>
            </w:pPr>
            <w:r>
              <w:rPr>
                <w:rFonts w:ascii="Arial" w:cs="Arial" w:eastAsia="Arial" w:hAnsi="Arial"/>
                <w:sz w:val="13"/>
                <w:szCs w:val="13"/>
                <w:color w:val="0000EE"/>
                <w:w w:val="98"/>
              </w:rPr>
              <w:t>EX-101 LABELS LINKBASE DOCUMENT</w:t>
            </w:r>
          </w:p>
        </w:tc>
        <w:tc>
          <w:tcPr>
            <w:tcW w:w="420" w:type="dxa"/>
            <w:vAlign w:val="bottom"/>
            <w:tcBorders>
              <w:top w:val="single" w:sz="8" w:color="0000EE"/>
            </w:tcBorders>
            <w:gridSpan w:val="3"/>
          </w:tcPr>
          <w:p>
            <w:pPr>
              <w:spacing w:after="0"/>
              <w:rPr>
                <w:sz w:val="12"/>
                <w:szCs w:val="12"/>
                <w:color w:val="auto"/>
              </w:rPr>
            </w:pPr>
          </w:p>
        </w:tc>
        <w:tc>
          <w:tcPr>
            <w:tcW w:w="6840" w:type="dxa"/>
            <w:vAlign w:val="bottom"/>
            <w:gridSpan w:val="13"/>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2860" w:type="dxa"/>
            <w:vAlign w:val="bottom"/>
            <w:tcBorders>
              <w:bottom w:val="single" w:sz="8" w:color="0000EE"/>
            </w:tcBorders>
            <w:gridSpan w:val="13"/>
          </w:tcPr>
          <w:p>
            <w:pPr>
              <w:spacing w:after="0" w:line="141" w:lineRule="exact"/>
              <w:rPr>
                <w:sz w:val="20"/>
                <w:szCs w:val="20"/>
                <w:color w:val="auto"/>
              </w:rPr>
            </w:pPr>
            <w:r>
              <w:rPr>
                <w:rFonts w:ascii="Arial" w:cs="Arial" w:eastAsia="Arial" w:hAnsi="Arial"/>
                <w:sz w:val="13"/>
                <w:szCs w:val="13"/>
                <w:color w:val="0000EE"/>
                <w:w w:val="96"/>
              </w:rPr>
              <w:t>EX-101 PRESENTATION LINKBASE DOCUMENT</w:t>
            </w:r>
          </w:p>
        </w:tc>
        <w:tc>
          <w:tcPr>
            <w:tcW w:w="6800" w:type="dxa"/>
            <w:vAlign w:val="bottom"/>
            <w:gridSpan w:val="12"/>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1"/>
        </w:trPr>
        <w:tc>
          <w:tcPr>
            <w:tcW w:w="720" w:type="dxa"/>
            <w:vAlign w:val="bottom"/>
          </w:tcPr>
          <w:p>
            <w:pPr>
              <w:spacing w:after="0"/>
              <w:rPr>
                <w:sz w:val="12"/>
                <w:szCs w:val="12"/>
                <w:color w:val="auto"/>
              </w:rPr>
            </w:pPr>
          </w:p>
        </w:tc>
        <w:tc>
          <w:tcPr>
            <w:tcW w:w="9660" w:type="dxa"/>
            <w:vAlign w:val="bottom"/>
            <w:gridSpan w:val="25"/>
          </w:tcPr>
          <w:p>
            <w:pPr>
              <w:spacing w:after="0" w:line="141" w:lineRule="exact"/>
              <w:rPr>
                <w:sz w:val="20"/>
                <w:szCs w:val="20"/>
                <w:color w:val="auto"/>
              </w:rPr>
            </w:pPr>
            <w:r>
              <w:rPr>
                <w:rFonts w:ascii="Arial" w:cs="Arial" w:eastAsia="Arial" w:hAnsi="Arial"/>
                <w:sz w:val="13"/>
                <w:szCs w:val="13"/>
                <w:color w:val="0000EE"/>
              </w:rPr>
              <w:t>EX-101 DEFINITION LINKBASE DOCUMENT</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473"/>
        </w:trPr>
        <w:tc>
          <w:tcPr>
            <w:tcW w:w="7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7"/>
          </w:tcPr>
          <w:p>
            <w:pPr>
              <w:spacing w:after="0"/>
              <w:rPr>
                <w:sz w:val="24"/>
                <w:szCs w:val="24"/>
                <w:color w:val="auto"/>
              </w:rPr>
            </w:pPr>
          </w:p>
        </w:tc>
        <w:tc>
          <w:tcPr>
            <w:tcW w:w="2740" w:type="dxa"/>
            <w:vAlign w:val="bottom"/>
            <w:gridSpan w:val="8"/>
          </w:tcPr>
          <w:p>
            <w:pPr>
              <w:jc w:val="center"/>
              <w:ind w:left="1833"/>
              <w:spacing w:after="0"/>
              <w:rPr>
                <w:sz w:val="20"/>
                <w:szCs w:val="20"/>
                <w:color w:val="auto"/>
              </w:rPr>
            </w:pPr>
            <w:r>
              <w:rPr>
                <w:rFonts w:ascii="Arial" w:cs="Arial" w:eastAsia="Arial" w:hAnsi="Arial"/>
                <w:sz w:val="13"/>
                <w:szCs w:val="13"/>
                <w:color w:val="auto"/>
              </w:rPr>
              <w:t>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REGARDING FORWARD-LOOKING STATEMENTS</w:t>
      </w:r>
    </w:p>
    <w:p>
      <w:pPr>
        <w:spacing w:after="0" w:line="10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addition to historical information, this report contains forward-looking statements that are based on our current beliefs and expectations. These forward-looking statements do not relate strictly to historical or current facts and they may be accompanied by such words as “anticipate,” “believe,” “estimate,” “expect,” “forecast,” “intend,” “may,” “plan,” “will” and other words and terms of similar meaning. Reference is made in particular to forward-looking statements regarding:</w:t>
      </w:r>
    </w:p>
    <w:p>
      <w:pPr>
        <w:spacing w:after="0" w:line="59" w:lineRule="exact"/>
        <w:rPr>
          <w:sz w:val="20"/>
          <w:szCs w:val="20"/>
          <w:color w:val="auto"/>
        </w:rPr>
      </w:pPr>
    </w:p>
    <w:p>
      <w:pPr>
        <w:ind w:left="1300" w:right="120" w:hanging="208"/>
        <w:spacing w:after="0" w:line="294" w:lineRule="auto"/>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anticipated level, mix and timing of future product sales, royalty revenues or obligations, milestone payments, expenses, liabilities, contractual obligations, effective tax rate and amortization of intangible assets;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growth trends for TYSABRI and our ability to improve the benefit-risk profile of TYSABRI;</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assumed remaining life of the core technology relating to AVONEX;</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incidence, timing, outcome and impact of litigation, proceedings related to patents and other intellectual property rights, tax assessments and other legal proceedings;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timing and impact of accounting standards;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design, costs and timing of our clinical trials;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timing and outcome of regulatory filings and meetings with regulatory authorities.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healthcare reform and the global macroeconomic environment;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finance our operations and source funding for such activities;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status, intended use and financial impact of our properties, including our manufacturing facilities;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share repurchase programs;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drivers for growing our business, including our plans to pursue external business development and research opportunities, and the impact of competition.</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These forward-looking statements involve risks and uncertainties that could cause actual results to differ materially from those reflected in such forward-looking statements, including those discussed in the “Risk Factors” section of this report and elsewhere in this report. You should not place undue reliance on these statements. Forward-looking statements, like all statements in this report, speak only as of the date of this report, unless another date is indicated. Unless required by law, we do not undertake any obligation to publicly update any forward-looking statements, whether as a result of new information, future events, or otherwise.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REFERENCES</w:t>
      </w:r>
    </w:p>
    <w:p>
      <w:pPr>
        <w:spacing w:after="0" w:line="10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Throughout this report, “Biogen Idec,” the “Company,” “we,” “us” and “our” refer to Biogen Idec Inc. and its consolidated subsidiaries. References to “RITUXAN” refer to both RITUXAN (the trade name for rituximab in the U.S., Canada and Japan) and MabThera (the trade name for rituximab outside the U.S., Canada and Japan), and “ANGIOMAX” refers to both ANGIOMAX (the trade name for bivalirudin in the U.S., Canada and Latin America) and ANGIOX (the trade name for bivalirudin in Europe).</w:t>
      </w:r>
    </w:p>
    <w:p>
      <w:pPr>
        <w:spacing w:after="0" w:line="58" w:lineRule="exact"/>
        <w:rPr>
          <w:sz w:val="20"/>
          <w:szCs w:val="20"/>
          <w:color w:val="auto"/>
        </w:rPr>
      </w:pPr>
    </w:p>
    <w:p>
      <w:pPr>
        <w:ind w:left="680" w:right="200" w:firstLine="399"/>
        <w:spacing w:after="0" w:line="309" w:lineRule="auto"/>
        <w:rPr>
          <w:sz w:val="20"/>
          <w:szCs w:val="20"/>
          <w:color w:val="auto"/>
        </w:rPr>
      </w:pPr>
      <w:r>
        <w:rPr>
          <w:rFonts w:ascii="Arial" w:cs="Arial" w:eastAsia="Arial" w:hAnsi="Arial"/>
          <w:sz w:val="12"/>
          <w:szCs w:val="12"/>
          <w:color w:val="auto"/>
        </w:rPr>
        <w:t>AVONEX</w:t>
      </w:r>
      <w:r>
        <w:rPr>
          <w:rFonts w:ascii="Arial" w:cs="Arial" w:eastAsia="Arial" w:hAnsi="Arial"/>
          <w:sz w:val="10"/>
          <w:szCs w:val="10"/>
          <w:color w:val="auto"/>
        </w:rPr>
        <w:t>®</w:t>
      </w:r>
      <w:r>
        <w:rPr>
          <w:rFonts w:ascii="Arial" w:cs="Arial" w:eastAsia="Arial" w:hAnsi="Arial"/>
          <w:sz w:val="12"/>
          <w:szCs w:val="12"/>
          <w:color w:val="auto"/>
        </w:rPr>
        <w:t xml:space="preserve"> and RITUXAN</w:t>
      </w:r>
      <w:r>
        <w:rPr>
          <w:rFonts w:ascii="Arial" w:cs="Arial" w:eastAsia="Arial" w:hAnsi="Arial"/>
          <w:sz w:val="10"/>
          <w:szCs w:val="10"/>
          <w:color w:val="auto"/>
        </w:rPr>
        <w:t>®</w:t>
      </w:r>
      <w:r>
        <w:rPr>
          <w:rFonts w:ascii="Arial" w:cs="Arial" w:eastAsia="Arial" w:hAnsi="Arial"/>
          <w:sz w:val="12"/>
          <w:szCs w:val="12"/>
          <w:color w:val="auto"/>
        </w:rPr>
        <w:t xml:space="preserve"> are registered trademarks of Biogen Idec. FUMADERM</w:t>
      </w:r>
      <w:r>
        <w:rPr>
          <w:rFonts w:ascii="Arial" w:cs="Arial" w:eastAsia="Arial" w:hAnsi="Arial"/>
          <w:sz w:val="7"/>
          <w:szCs w:val="7"/>
          <w:color w:val="auto"/>
        </w:rPr>
        <w:t>TM</w:t>
      </w:r>
      <w:r>
        <w:rPr>
          <w:rFonts w:ascii="Arial" w:cs="Arial" w:eastAsia="Arial" w:hAnsi="Arial"/>
          <w:sz w:val="12"/>
          <w:szCs w:val="12"/>
          <w:color w:val="auto"/>
        </w:rPr>
        <w:t xml:space="preserve"> is a common law trademark of Biogen Idec. TYSABRI</w:t>
      </w:r>
      <w:r>
        <w:rPr>
          <w:rFonts w:ascii="Arial" w:cs="Arial" w:eastAsia="Arial" w:hAnsi="Arial"/>
          <w:sz w:val="10"/>
          <w:szCs w:val="10"/>
          <w:color w:val="auto"/>
        </w:rPr>
        <w:t>®</w:t>
      </w:r>
      <w:r>
        <w:rPr>
          <w:rFonts w:ascii="Arial" w:cs="Arial" w:eastAsia="Arial" w:hAnsi="Arial"/>
          <w:sz w:val="12"/>
          <w:szCs w:val="12"/>
          <w:color w:val="auto"/>
        </w:rPr>
        <w:t xml:space="preserve"> is a registered trademark of Elan Pharmaceuticals, Inc. The following are trademarks of the respective companies listed ANGIOMAX</w:t>
      </w:r>
      <w:r>
        <w:rPr>
          <w:rFonts w:ascii="Arial" w:cs="Arial" w:eastAsia="Arial" w:hAnsi="Arial"/>
          <w:sz w:val="10"/>
          <w:szCs w:val="10"/>
          <w:color w:val="auto"/>
        </w:rPr>
        <w:t>®</w:t>
      </w:r>
      <w:r>
        <w:rPr>
          <w:rFonts w:ascii="Arial" w:cs="Arial" w:eastAsia="Arial" w:hAnsi="Arial"/>
          <w:sz w:val="12"/>
          <w:szCs w:val="12"/>
          <w:color w:val="auto"/>
        </w:rPr>
        <w:t xml:space="preserve"> and ANGIOX</w:t>
      </w:r>
      <w:r>
        <w:rPr>
          <w:rFonts w:ascii="Arial" w:cs="Arial" w:eastAsia="Arial" w:hAnsi="Arial"/>
          <w:sz w:val="10"/>
          <w:szCs w:val="10"/>
          <w:color w:val="auto"/>
        </w:rPr>
        <w:t>®</w:t>
      </w:r>
      <w:r>
        <w:rPr>
          <w:rFonts w:ascii="Arial" w:cs="Arial" w:eastAsia="Arial" w:hAnsi="Arial"/>
          <w:sz w:val="12"/>
          <w:szCs w:val="12"/>
          <w:color w:val="auto"/>
        </w:rPr>
        <w:t xml:space="preserve"> are registered trademarks of The Medicines Company; ARZERRA</w:t>
      </w:r>
      <w:r>
        <w:rPr>
          <w:rFonts w:ascii="Arial" w:cs="Arial" w:eastAsia="Arial" w:hAnsi="Arial"/>
          <w:sz w:val="7"/>
          <w:szCs w:val="7"/>
          <w:color w:val="auto"/>
        </w:rPr>
        <w:t>TM</w:t>
      </w:r>
      <w:r>
        <w:rPr>
          <w:rFonts w:ascii="Arial" w:cs="Arial" w:eastAsia="Arial" w:hAnsi="Arial"/>
          <w:sz w:val="12"/>
          <w:szCs w:val="12"/>
          <w:color w:val="auto"/>
        </w:rPr>
        <w:t xml:space="preserve"> — Glaxo Group Limited; BETASERON</w:t>
      </w:r>
      <w:r>
        <w:rPr>
          <w:rFonts w:ascii="Arial" w:cs="Arial" w:eastAsia="Arial" w:hAnsi="Arial"/>
          <w:sz w:val="10"/>
          <w:szCs w:val="10"/>
          <w:color w:val="auto"/>
        </w:rPr>
        <w:t>®</w:t>
      </w:r>
      <w:r>
        <w:rPr>
          <w:rFonts w:ascii="Arial" w:cs="Arial" w:eastAsia="Arial" w:hAnsi="Arial"/>
          <w:sz w:val="12"/>
          <w:szCs w:val="12"/>
          <w:color w:val="auto"/>
        </w:rPr>
        <w:t xml:space="preserve"> — Bayer Schering Pharma AG; EXTAVIA</w:t>
      </w:r>
      <w:r>
        <w:rPr>
          <w:rFonts w:ascii="Arial" w:cs="Arial" w:eastAsia="Arial" w:hAnsi="Arial"/>
          <w:sz w:val="10"/>
          <w:szCs w:val="10"/>
          <w:color w:val="auto"/>
        </w:rPr>
        <w:t>®</w:t>
      </w:r>
      <w:r>
        <w:rPr>
          <w:rFonts w:ascii="Arial" w:cs="Arial" w:eastAsia="Arial" w:hAnsi="Arial"/>
          <w:sz w:val="12"/>
          <w:szCs w:val="12"/>
          <w:color w:val="auto"/>
        </w:rPr>
        <w:t xml:space="preserve"> — Novartis AG; and REBIF</w:t>
      </w:r>
      <w:r>
        <w:rPr>
          <w:rFonts w:ascii="Arial" w:cs="Arial" w:eastAsia="Arial" w:hAnsi="Arial"/>
          <w:sz w:val="10"/>
          <w:szCs w:val="10"/>
          <w:color w:val="auto"/>
        </w:rPr>
        <w:t>®</w:t>
      </w:r>
      <w:r>
        <w:rPr>
          <w:rFonts w:ascii="Arial" w:cs="Arial" w:eastAsia="Arial" w:hAnsi="Arial"/>
          <w:sz w:val="12"/>
          <w:szCs w:val="12"/>
          <w:color w:val="auto"/>
        </w:rPr>
        <w:t xml:space="preserve"> — Ares Trading, S.A.</w:t>
      </w: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PART I FINANCIAL INFORMATION</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INCOME</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1"/>
          <w:szCs w:val="11"/>
          <w:b w:val="1"/>
          <w:bCs w:val="1"/>
          <w:i w:val="1"/>
          <w:iCs w:val="1"/>
          <w:color w:val="auto"/>
        </w:rPr>
        <w:t>(unaudited, in thousands, except per share amounts)</w:t>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1"/>
                <w:szCs w:val="11"/>
                <w:b w:val="1"/>
                <w:bCs w:val="1"/>
                <w:color w:val="auto"/>
              </w:rPr>
              <w:t>For the Three Months</w:t>
            </w:r>
          </w:p>
        </w:tc>
        <w:tc>
          <w:tcPr>
            <w:tcW w:w="160" w:type="dxa"/>
            <w:vAlign w:val="bottom"/>
          </w:tcPr>
          <w:p>
            <w:pPr>
              <w:spacing w:after="0"/>
              <w:rPr>
                <w:sz w:val="10"/>
                <w:szCs w:val="10"/>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8"/>
              </w:rPr>
              <w:t>For the Six Months</w:t>
            </w:r>
          </w:p>
        </w:tc>
        <w:tc>
          <w:tcPr>
            <w:tcW w:w="0" w:type="dxa"/>
            <w:vAlign w:val="bottom"/>
          </w:tcPr>
          <w:p>
            <w:pPr>
              <w:spacing w:after="0"/>
              <w:rPr>
                <w:sz w:val="1"/>
                <w:szCs w:val="1"/>
                <w:color w:val="auto"/>
              </w:rPr>
            </w:pPr>
          </w:p>
        </w:tc>
      </w:tr>
      <w:tr>
        <w:trPr>
          <w:trHeight w:val="128"/>
        </w:trPr>
        <w:tc>
          <w:tcPr>
            <w:tcW w:w="6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1"/>
                <w:szCs w:val="11"/>
                <w:b w:val="1"/>
                <w:bCs w:val="1"/>
                <w:color w:val="auto"/>
              </w:rPr>
              <w:t>Ended June 30,</w:t>
            </w:r>
          </w:p>
        </w:tc>
        <w:tc>
          <w:tcPr>
            <w:tcW w:w="160" w:type="dxa"/>
            <w:vAlign w:val="bottom"/>
          </w:tcPr>
          <w:p>
            <w:pPr>
              <w:spacing w:after="0"/>
              <w:rPr>
                <w:sz w:val="11"/>
                <w:szCs w:val="11"/>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9"/>
              </w:rPr>
              <w:t>Ended June 30,</w:t>
            </w:r>
          </w:p>
        </w:tc>
        <w:tc>
          <w:tcPr>
            <w:tcW w:w="0" w:type="dxa"/>
            <w:vAlign w:val="bottom"/>
          </w:tcPr>
          <w:p>
            <w:pPr>
              <w:spacing w:after="0"/>
              <w:rPr>
                <w:sz w:val="1"/>
                <w:szCs w:val="1"/>
                <w:color w:val="auto"/>
              </w:rPr>
            </w:pPr>
          </w:p>
        </w:tc>
      </w:tr>
      <w:tr>
        <w:trPr>
          <w:trHeight w:val="101"/>
        </w:trPr>
        <w:tc>
          <w:tcPr>
            <w:tcW w:w="65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2010</w:t>
            </w: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2010</w:t>
            </w: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8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Product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859,235</w:t>
            </w:r>
          </w:p>
        </w:tc>
        <w:tc>
          <w:tcPr>
            <w:tcW w:w="2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790,970</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1,683,455</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1,524,378</w:t>
            </w:r>
          </w:p>
        </w:tc>
        <w:tc>
          <w:tcPr>
            <w:tcW w:w="0" w:type="dxa"/>
            <w:vAlign w:val="bottom"/>
          </w:tcPr>
          <w:p>
            <w:pPr>
              <w:spacing w:after="0"/>
              <w:rPr>
                <w:sz w:val="1"/>
                <w:szCs w:val="1"/>
                <w:color w:val="auto"/>
              </w:rPr>
            </w:pPr>
          </w:p>
        </w:tc>
      </w:tr>
      <w:tr>
        <w:trPr>
          <w:trHeight w:val="151"/>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Unconsolidated joint business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306,371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275,570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561,300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554,388</w:t>
            </w: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47,096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26,749</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76,807</w:t>
            </w: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51,008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revenues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1,212,702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1,093,289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2,321,562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2,129,774</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20"/>
                <w:szCs w:val="20"/>
                <w:color w:val="auto"/>
              </w:rPr>
            </w:pPr>
            <w:r>
              <w:rPr>
                <w:rFonts w:ascii="Arial" w:cs="Arial" w:eastAsia="Arial" w:hAnsi="Arial"/>
                <w:sz w:val="12"/>
                <w:szCs w:val="12"/>
                <w:color w:val="auto"/>
              </w:rPr>
              <w:t>Costs and expenses: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sales, excluding amortization of acquired intangible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106,985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90,721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204,040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188,918</w:t>
            </w: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331,675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416,453</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638,705</w:t>
            </w: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695,931</w:t>
            </w:r>
          </w:p>
        </w:tc>
        <w:tc>
          <w:tcPr>
            <w:tcW w:w="0" w:type="dxa"/>
            <w:vAlign w:val="bottom"/>
          </w:tcPr>
          <w:p>
            <w:pPr>
              <w:spacing w:after="0"/>
              <w:rPr>
                <w:sz w:val="1"/>
                <w:szCs w:val="1"/>
                <w:color w:val="auto"/>
              </w:rPr>
            </w:pPr>
          </w:p>
        </w:tc>
      </w:tr>
      <w:tr>
        <w:trPr>
          <w:trHeight w:val="151"/>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262,322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220,829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510,987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442,660</w:t>
            </w: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Collaboration profit sharing</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62,692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49,138</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126,249</w:t>
            </w: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91,911</w:t>
            </w:r>
          </w:p>
        </w:tc>
        <w:tc>
          <w:tcPr>
            <w:tcW w:w="0" w:type="dxa"/>
            <w:vAlign w:val="bottom"/>
          </w:tcPr>
          <w:p>
            <w:pPr>
              <w:spacing w:after="0"/>
              <w:rPr>
                <w:sz w:val="1"/>
                <w:szCs w:val="1"/>
                <w:color w:val="auto"/>
              </w:rPr>
            </w:pPr>
          </w:p>
        </w:tc>
      </w:tr>
      <w:tr>
        <w:trPr>
          <w:trHeight w:val="151"/>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acquired intangible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53,148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93,234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102,037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182,482</w:t>
            </w: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Acquired in-process research and development</w:t>
            </w:r>
          </w:p>
        </w:tc>
        <w:tc>
          <w:tcPr>
            <w:tcW w:w="1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39,976</w:t>
            </w: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816,822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870,375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1,621,994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1,601,902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Income from operations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395,880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222,914</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699,568</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527,872</w:t>
            </w: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14,680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(7,373)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21,526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Income before income tax expense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396,892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237,594</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692,195</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549,398</w:t>
            </w: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102,243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92,709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177,553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157,934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294,649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144,885</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514,642</w:t>
            </w:r>
          </w:p>
        </w:tc>
        <w:tc>
          <w:tcPr>
            <w:tcW w:w="14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391,464</w:t>
            </w: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attributable to noncontrolling interest, net of tax</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4,632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Net income attributable to Biogen Idec Inc.</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00" w:type="dxa"/>
            <w:vAlign w:val="bottom"/>
            <w:vMerge w:val="continue"/>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293,438</w:t>
            </w:r>
          </w:p>
        </w:tc>
        <w:tc>
          <w:tcPr>
            <w:tcW w:w="20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142,845</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510,880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386,832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Net income per share: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500" w:type="dxa"/>
            <w:vAlign w:val="bottom"/>
          </w:tcPr>
          <w:p>
            <w:pPr>
              <w:ind w:left="120"/>
              <w:spacing w:after="0"/>
              <w:rPr>
                <w:sz w:val="20"/>
                <w:szCs w:val="20"/>
                <w:color w:val="auto"/>
              </w:rPr>
            </w:pPr>
            <w:r>
              <w:rPr>
                <w:rFonts w:ascii="Arial" w:cs="Arial" w:eastAsia="Arial" w:hAnsi="Arial"/>
                <w:sz w:val="12"/>
                <w:szCs w:val="12"/>
                <w:color w:val="auto"/>
              </w:rPr>
              <w:t>Basic earnings per share attributable to Biogen Idec Inc.</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1.13</w:t>
            </w:r>
          </w:p>
        </w:tc>
        <w:tc>
          <w:tcPr>
            <w:tcW w:w="20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0.49</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1.92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5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Diluted earnings per share attributable to Biogen Idec Inc.</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1.12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0.49</w:t>
            </w:r>
          </w:p>
        </w:tc>
        <w:tc>
          <w:tcPr>
            <w:tcW w:w="160" w:type="dxa"/>
            <w:vAlign w:val="bottom"/>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1.91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2"/>
                <w:szCs w:val="12"/>
                <w:color w:val="auto"/>
              </w:rPr>
              <w:t>Weighted-average shares used in calculating: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 earnings per share attributable to Biogen Idec Inc.</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259,938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288,615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265,018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288,162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Diluted earnings per share attributable to Biogen Idec Inc.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261,658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290,359</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267,272</w:t>
            </w:r>
          </w:p>
        </w:tc>
        <w:tc>
          <w:tcPr>
            <w:tcW w:w="140" w:type="dxa"/>
            <w:vAlign w:val="bottom"/>
          </w:tcPr>
          <w:p>
            <w:pPr>
              <w:spacing w:after="0"/>
              <w:rPr>
                <w:sz w:val="11"/>
                <w:szCs w:val="11"/>
                <w:color w:val="auto"/>
              </w:rPr>
            </w:pPr>
          </w:p>
        </w:tc>
        <w:tc>
          <w:tcPr>
            <w:tcW w:w="6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290,014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See accompanying notes to these unaudited consolidated financial statements.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24"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CONSOLIDATED BALANCE SHEETS</w:t>
      </w:r>
    </w:p>
    <w:p>
      <w:pPr>
        <w:spacing w:after="0" w:line="7" w:lineRule="exact"/>
        <w:rPr>
          <w:sz w:val="20"/>
          <w:szCs w:val="20"/>
          <w:color w:val="auto"/>
        </w:rPr>
      </w:pPr>
    </w:p>
    <w:p>
      <w:pPr>
        <w:ind w:left="4520"/>
        <w:spacing w:after="0"/>
        <w:rPr>
          <w:sz w:val="20"/>
          <w:szCs w:val="20"/>
          <w:color w:val="auto"/>
        </w:rPr>
      </w:pPr>
      <w:r>
        <w:rPr>
          <w:rFonts w:ascii="Arial" w:cs="Arial" w:eastAsia="Arial" w:hAnsi="Arial"/>
          <w:sz w:val="11"/>
          <w:szCs w:val="11"/>
          <w:b w:val="1"/>
          <w:bCs w:val="1"/>
          <w:i w:val="1"/>
          <w:iCs w:val="1"/>
          <w:color w:val="auto"/>
        </w:rPr>
        <w:t>(unaudited, in thousands, except per share amounts)</w:t>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w w:val="85"/>
              </w:rPr>
              <w:t>As of June 30,</w:t>
            </w:r>
          </w:p>
        </w:tc>
        <w:tc>
          <w:tcPr>
            <w:tcW w:w="140" w:type="dxa"/>
            <w:vAlign w:val="bottom"/>
          </w:tcPr>
          <w:p>
            <w:pPr>
              <w:spacing w:after="0"/>
              <w:rPr>
                <w:sz w:val="10"/>
                <w:szCs w:val="1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2"/>
              </w:rPr>
              <w:t>As of December 31,</w:t>
            </w:r>
          </w:p>
        </w:tc>
      </w:tr>
      <w:tr>
        <w:trPr>
          <w:trHeight w:val="128"/>
        </w:trPr>
        <w:tc>
          <w:tcPr>
            <w:tcW w:w="32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11"/>
                <w:szCs w:val="11"/>
                <w:color w:val="auto"/>
              </w:rPr>
            </w:pPr>
          </w:p>
        </w:tc>
      </w:tr>
      <w:tr>
        <w:trPr>
          <w:trHeight w:val="30"/>
        </w:trPr>
        <w:tc>
          <w:tcPr>
            <w:tcW w:w="32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3260" w:type="dxa"/>
            <w:vAlign w:val="bottom"/>
            <w:shd w:val="clear" w:color="auto" w:fill="CCEEFF"/>
          </w:tcPr>
          <w:p>
            <w:pPr>
              <w:spacing w:after="0"/>
              <w:rPr>
                <w:sz w:val="14"/>
                <w:szCs w:val="14"/>
                <w:color w:val="auto"/>
              </w:rPr>
            </w:pPr>
          </w:p>
        </w:tc>
        <w:tc>
          <w:tcPr>
            <w:tcW w:w="4140" w:type="dxa"/>
            <w:vAlign w:val="bottom"/>
            <w:gridSpan w:val="2"/>
            <w:shd w:val="clear" w:color="auto" w:fill="CCEEFF"/>
          </w:tcPr>
          <w:p>
            <w:pPr>
              <w:jc w:val="right"/>
              <w:ind w:right="2110"/>
              <w:spacing w:after="0"/>
              <w:rPr>
                <w:sz w:val="20"/>
                <w:szCs w:val="20"/>
                <w:color w:val="auto"/>
              </w:rPr>
            </w:pPr>
            <w:r>
              <w:rPr>
                <w:rFonts w:ascii="Arial" w:cs="Arial" w:eastAsia="Arial" w:hAnsi="Arial"/>
                <w:sz w:val="13"/>
                <w:szCs w:val="13"/>
                <w:b w:val="1"/>
                <w:bCs w:val="1"/>
                <w:color w:val="auto"/>
              </w:rPr>
              <w:t>ASSETS</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Current assets:</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720,962</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581,889</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248,710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681,835</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548,893</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551,208</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Due from unconsolidated joint business</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250,143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193,789</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267,878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293,950</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218,645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177,924</w:t>
            </w: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2,255,231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2,480,595</w:t>
            </w: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Marketable securities</w:t>
            </w:r>
          </w:p>
        </w:tc>
        <w:tc>
          <w:tcPr>
            <w:tcW w:w="40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566,118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1,194,080</w:t>
            </w: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1,571,521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1,637,083</w:t>
            </w: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Intangible assets, net</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1,768,929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1,871,078</w:t>
            </w: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1,138,621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1,138,621</w:t>
            </w: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Investments and other assets</w:t>
            </w: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201,730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230,397</w:t>
            </w: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7,502,150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8,551,854</w:t>
            </w:r>
          </w:p>
        </w:tc>
      </w:tr>
      <w:tr>
        <w:trPr>
          <w:trHeight w:val="20"/>
        </w:trPr>
        <w:tc>
          <w:tcPr>
            <w:tcW w:w="3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3260" w:type="dxa"/>
            <w:vAlign w:val="bottom"/>
          </w:tcPr>
          <w:p>
            <w:pPr>
              <w:spacing w:after="0"/>
              <w:rPr>
                <w:sz w:val="22"/>
                <w:szCs w:val="22"/>
                <w:color w:val="auto"/>
              </w:rPr>
            </w:pPr>
          </w:p>
        </w:tc>
        <w:tc>
          <w:tcPr>
            <w:tcW w:w="4140" w:type="dxa"/>
            <w:vAlign w:val="bottom"/>
            <w:gridSpan w:val="2"/>
          </w:tcPr>
          <w:p>
            <w:pPr>
              <w:jc w:val="right"/>
              <w:ind w:right="890"/>
              <w:spacing w:after="0"/>
              <w:rPr>
                <w:sz w:val="20"/>
                <w:szCs w:val="20"/>
                <w:color w:val="auto"/>
              </w:rPr>
            </w:pPr>
            <w:r>
              <w:rPr>
                <w:rFonts w:ascii="Arial" w:cs="Arial" w:eastAsia="Arial" w:hAnsi="Arial"/>
                <w:sz w:val="13"/>
                <w:szCs w:val="13"/>
                <w:b w:val="1"/>
                <w:bCs w:val="1"/>
                <w:color w:val="auto"/>
              </w:rPr>
              <w:t>LIABILITIES AND SHAREHOLDERS’ EQUITY</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4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144,476</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118,534</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 payable</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113,283</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75,891</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Accrued expenses and other</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487,803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500,755</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notes payable and line of credit</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10,096</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19,762</w:t>
            </w:r>
          </w:p>
        </w:tc>
      </w:tr>
      <w:tr>
        <w:trPr>
          <w:trHeight w:val="162"/>
        </w:trPr>
        <w:tc>
          <w:tcPr>
            <w:tcW w:w="3260" w:type="dxa"/>
            <w:vAlign w:val="bottom"/>
          </w:tcPr>
          <w:p>
            <w:pPr>
              <w:ind w:left="280"/>
              <w:spacing w:after="0"/>
              <w:rPr>
                <w:sz w:val="20"/>
                <w:szCs w:val="20"/>
                <w:color w:val="auto"/>
              </w:rPr>
            </w:pPr>
            <w:r>
              <w:rPr>
                <w:rFonts w:ascii="Arial" w:cs="Arial" w:eastAsia="Arial" w:hAnsi="Arial"/>
                <w:sz w:val="13"/>
                <w:szCs w:val="13"/>
                <w:color w:val="auto"/>
              </w:rPr>
              <w:t>Total current liabilities</w:t>
            </w:r>
          </w:p>
        </w:tc>
        <w:tc>
          <w:tcPr>
            <w:tcW w:w="40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755,658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714,942</w:t>
            </w: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Notes payable and line of credit</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1,069,725</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1,080,207</w:t>
            </w: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Long-term deferred tax liability</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207,492</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240,618</w:t>
            </w: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257,985</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254,205</w:t>
            </w:r>
          </w:p>
        </w:tc>
      </w:tr>
      <w:tr>
        <w:trPr>
          <w:trHeight w:val="162"/>
        </w:trPr>
        <w:tc>
          <w:tcPr>
            <w:tcW w:w="3260" w:type="dxa"/>
            <w:vAlign w:val="bottom"/>
          </w:tcPr>
          <w:p>
            <w:pPr>
              <w:ind w:left="280"/>
              <w:spacing w:after="0"/>
              <w:rPr>
                <w:sz w:val="20"/>
                <w:szCs w:val="20"/>
                <w:color w:val="auto"/>
              </w:rPr>
            </w:pPr>
            <w:r>
              <w:rPr>
                <w:rFonts w:ascii="Arial" w:cs="Arial" w:eastAsia="Arial" w:hAnsi="Arial"/>
                <w:sz w:val="13"/>
                <w:szCs w:val="13"/>
                <w:color w:val="auto"/>
              </w:rPr>
              <w:t>Total liabilities</w:t>
            </w:r>
          </w:p>
        </w:tc>
        <w:tc>
          <w:tcPr>
            <w:tcW w:w="40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2,290,860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2,289,972</w:t>
            </w: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14, 16 and 17)</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3260" w:type="dxa"/>
            <w:vAlign w:val="bottom"/>
          </w:tcPr>
          <w:p>
            <w:pPr>
              <w:spacing w:after="0"/>
              <w:rPr>
                <w:sz w:val="20"/>
                <w:szCs w:val="20"/>
                <w:color w:val="auto"/>
              </w:rPr>
            </w:pPr>
            <w:r>
              <w:rPr>
                <w:rFonts w:ascii="Arial" w:cs="Arial" w:eastAsia="Arial" w:hAnsi="Arial"/>
                <w:sz w:val="13"/>
                <w:szCs w:val="13"/>
                <w:color w:val="auto"/>
              </w:rPr>
              <w:t>Shareholders’ equity:</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par value $0.001 per share</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Common stock, par value $0.0005 per share</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129</w:t>
            </w: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144</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4,282,739</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5,781,920</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3"/>
                <w:szCs w:val="13"/>
                <w:color w:val="auto"/>
              </w:rPr>
              <w:t>(28,422)</w:t>
            </w: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50,496</w:t>
            </w:r>
          </w:p>
        </w:tc>
      </w:tr>
      <w:tr>
        <w:trPr>
          <w:trHeight w:val="161"/>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4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1,405,340</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1,068,890</w:t>
            </w: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Treasury stock, at cost</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3"/>
                <w:szCs w:val="13"/>
                <w:color w:val="auto"/>
              </w:rPr>
              <w:t>(488,980)</w:t>
            </w:r>
          </w:p>
        </w:tc>
        <w:tc>
          <w:tcPr>
            <w:tcW w:w="14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(679,920)</w:t>
            </w:r>
          </w:p>
        </w:tc>
      </w:tr>
      <w:tr>
        <w:trPr>
          <w:trHeight w:val="161"/>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Biogen Idec Inc. shareholders’ equity</w:t>
            </w:r>
          </w:p>
        </w:tc>
        <w:tc>
          <w:tcPr>
            <w:tcW w:w="40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5,170,806</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6,221,530</w:t>
            </w:r>
          </w:p>
        </w:tc>
        <w:tc>
          <w:tcPr>
            <w:tcW w:w="80" w:type="dxa"/>
            <w:vAlign w:val="bottom"/>
            <w:shd w:val="clear" w:color="auto" w:fill="CCEEFF"/>
          </w:tcPr>
          <w:p>
            <w:pPr>
              <w:spacing w:after="0"/>
              <w:rPr>
                <w:sz w:val="14"/>
                <w:szCs w:val="14"/>
                <w:color w:val="auto"/>
              </w:rPr>
            </w:pPr>
          </w:p>
        </w:tc>
      </w:tr>
      <w:tr>
        <w:trPr>
          <w:trHeight w:val="161"/>
        </w:trPr>
        <w:tc>
          <w:tcPr>
            <w:tcW w:w="3260" w:type="dxa"/>
            <w:vAlign w:val="bottom"/>
          </w:tcPr>
          <w:p>
            <w:pPr>
              <w:ind w:left="140"/>
              <w:spacing w:after="0"/>
              <w:rPr>
                <w:sz w:val="20"/>
                <w:szCs w:val="20"/>
                <w:color w:val="auto"/>
              </w:rPr>
            </w:pPr>
            <w:r>
              <w:rPr>
                <w:rFonts w:ascii="Arial" w:cs="Arial" w:eastAsia="Arial" w:hAnsi="Arial"/>
                <w:sz w:val="13"/>
                <w:szCs w:val="13"/>
                <w:color w:val="auto"/>
              </w:rPr>
              <w:t>Noncontrolling interest</w:t>
            </w: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40,484</w:t>
            </w:r>
          </w:p>
        </w:tc>
        <w:tc>
          <w:tcPr>
            <w:tcW w:w="1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40,352</w:t>
            </w:r>
          </w:p>
        </w:tc>
      </w:tr>
      <w:tr>
        <w:trPr>
          <w:trHeight w:val="161"/>
        </w:trPr>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shareholders’ equity</w:t>
            </w:r>
          </w:p>
        </w:tc>
        <w:tc>
          <w:tcPr>
            <w:tcW w:w="40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5,211,290</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6,261,882</w:t>
            </w:r>
          </w:p>
        </w:tc>
        <w:tc>
          <w:tcPr>
            <w:tcW w:w="80" w:type="dxa"/>
            <w:vAlign w:val="bottom"/>
            <w:shd w:val="clear" w:color="auto" w:fill="CCEEFF"/>
          </w:tcPr>
          <w:p>
            <w:pPr>
              <w:spacing w:after="0"/>
              <w:rPr>
                <w:sz w:val="14"/>
                <w:szCs w:val="14"/>
                <w:color w:val="auto"/>
              </w:rPr>
            </w:pPr>
          </w:p>
        </w:tc>
      </w:tr>
      <w:tr>
        <w:trPr>
          <w:trHeight w:val="161"/>
        </w:trPr>
        <w:tc>
          <w:tcPr>
            <w:tcW w:w="3260" w:type="dxa"/>
            <w:vAlign w:val="bottom"/>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40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7,502,150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8,551,854</w:t>
            </w:r>
          </w:p>
        </w:tc>
        <w:tc>
          <w:tcPr>
            <w:tcW w:w="80" w:type="dxa"/>
            <w:vAlign w:val="bottom"/>
          </w:tcPr>
          <w:p>
            <w:pPr>
              <w:spacing w:after="0"/>
              <w:rPr>
                <w:sz w:val="14"/>
                <w:szCs w:val="14"/>
                <w:color w:val="auto"/>
              </w:rPr>
            </w:pPr>
          </w:p>
        </w:tc>
      </w:tr>
      <w:tr>
        <w:trPr>
          <w:trHeight w:val="20"/>
        </w:trPr>
        <w:tc>
          <w:tcPr>
            <w:tcW w:w="3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See accompanying notes to these unaudited consolidated financial statements.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i w:val="1"/>
          <w:iCs w:val="1"/>
          <w:color w:val="auto"/>
        </w:rPr>
        <w:t>(unaudited, in thousands)</w:t>
      </w:r>
    </w:p>
    <w:p>
      <w:pPr>
        <w:spacing w:after="0" w:line="173" w:lineRule="exact"/>
        <w:rPr>
          <w:sz w:val="20"/>
          <w:szCs w:val="20"/>
          <w:color w:val="auto"/>
        </w:rPr>
      </w:pPr>
    </w:p>
    <w:p>
      <w:pPr>
        <w:jc w:val="center"/>
        <w:ind w:left="7500"/>
        <w:spacing w:after="0"/>
        <w:rPr>
          <w:sz w:val="20"/>
          <w:szCs w:val="20"/>
          <w:color w:val="auto"/>
        </w:rPr>
      </w:pPr>
      <w:r>
        <w:rPr>
          <w:rFonts w:ascii="Arial" w:cs="Arial" w:eastAsia="Arial" w:hAnsi="Arial"/>
          <w:sz w:val="11"/>
          <w:szCs w:val="11"/>
          <w:b w:val="1"/>
          <w:bCs w:val="1"/>
          <w:color w:val="auto"/>
        </w:rPr>
        <w:t>For the Six Months</w:t>
      </w:r>
    </w:p>
    <w:p>
      <w:pPr>
        <w:jc w:val="center"/>
        <w:ind w:left="7500"/>
        <w:spacing w:after="0" w:line="219" w:lineRule="auto"/>
        <w:rPr>
          <w:sz w:val="20"/>
          <w:szCs w:val="20"/>
          <w:color w:val="auto"/>
        </w:rPr>
      </w:pPr>
      <w:r>
        <w:rPr>
          <w:rFonts w:ascii="Arial" w:cs="Arial" w:eastAsia="Arial" w:hAnsi="Arial"/>
          <w:sz w:val="11"/>
          <w:szCs w:val="11"/>
          <w:b w:val="1"/>
          <w:bCs w:val="1"/>
          <w:color w:val="auto"/>
        </w:rPr>
        <w:t>Ended June 30,</w:t>
      </w:r>
    </w:p>
    <w:tbl>
      <w:tblPr>
        <w:tblLayout w:type="fixed"/>
        <w:tblInd w:w="680" w:type="dxa"/>
        <w:tblCellMar>
          <w:top w:w="0" w:type="dxa"/>
          <w:left w:w="0" w:type="dxa"/>
          <w:bottom w:w="0" w:type="dxa"/>
          <w:right w:w="0" w:type="dxa"/>
        </w:tblCellMar>
      </w:tblPr>
      <w:tr>
        <w:trPr>
          <w:trHeight w:val="101"/>
        </w:trPr>
        <w:tc>
          <w:tcPr>
            <w:tcW w:w="77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3"/>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3"/>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r>
      <w:tr>
        <w:trPr>
          <w:trHeight w:val="30"/>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514,642</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391,464</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to net cash flows from operating activities: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Depreciation and amortization of property, plant and equipment and intangible assets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169,961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248,877</w:t>
            </w: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Acquired in-process research and development (Note 2)</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39,976</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Share-based compensation</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95,370</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78,892</w:t>
            </w: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interest (income) expense and foreign exchange remeasurement loss (gain),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6,469</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(7,592)</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2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(30,317)</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(42,772)</w:t>
            </w: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Realized gain on sale of marketable securities and strategic investments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(11,300)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(15,434)</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Write-down of inventory to net realizable value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11,475</w:t>
            </w: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on disposal of property, plant and equipment, net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389</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Impairment of marketable securities, investments and other assets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17,231</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10,002</w:t>
            </w: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tax benefit from share-based compensation</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(5,598)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(2,800)</w:t>
            </w:r>
          </w:p>
        </w:tc>
      </w:tr>
      <w:tr>
        <w:trPr>
          <w:trHeight w:val="161"/>
        </w:trPr>
        <w:tc>
          <w:tcPr>
            <w:tcW w:w="770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 net: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Accounts receivable</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(22,955)</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(63,842)</w:t>
            </w:r>
          </w:p>
        </w:tc>
      </w:tr>
      <w:tr>
        <w:trPr>
          <w:trHeight w:val="161"/>
        </w:trPr>
        <w:tc>
          <w:tcPr>
            <w:tcW w:w="7700" w:type="dxa"/>
            <w:vAlign w:val="bottom"/>
          </w:tcPr>
          <w:p>
            <w:pPr>
              <w:ind w:left="420"/>
              <w:spacing w:after="0"/>
              <w:rPr>
                <w:sz w:val="20"/>
                <w:szCs w:val="20"/>
                <w:color w:val="auto"/>
              </w:rPr>
            </w:pPr>
            <w:r>
              <w:rPr>
                <w:rFonts w:ascii="Arial" w:cs="Arial" w:eastAsia="Arial" w:hAnsi="Arial"/>
                <w:sz w:val="13"/>
                <w:szCs w:val="13"/>
                <w:color w:val="auto"/>
              </w:rPr>
              <w:t>Due from unconsolidated joint business</w:t>
            </w:r>
          </w:p>
        </w:tc>
        <w:tc>
          <w:tcPr>
            <w:tcW w:w="2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(56,354)</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8,719</w:t>
            </w:r>
          </w:p>
        </w:tc>
      </w:tr>
      <w:tr>
        <w:trPr>
          <w:trHeight w:val="161"/>
        </w:trPr>
        <w:tc>
          <w:tcPr>
            <w:tcW w:w="7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Inventory</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21,447</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(14,353)</w:t>
            </w:r>
          </w:p>
        </w:tc>
      </w:tr>
      <w:tr>
        <w:trPr>
          <w:trHeight w:val="161"/>
        </w:trPr>
        <w:tc>
          <w:tcPr>
            <w:tcW w:w="7700" w:type="dxa"/>
            <w:vAlign w:val="bottom"/>
          </w:tcPr>
          <w:p>
            <w:pPr>
              <w:ind w:left="420"/>
              <w:spacing w:after="0"/>
              <w:rPr>
                <w:sz w:val="20"/>
                <w:szCs w:val="20"/>
                <w:color w:val="auto"/>
              </w:rPr>
            </w:pPr>
            <w:r>
              <w:rPr>
                <w:rFonts w:ascii="Arial" w:cs="Arial" w:eastAsia="Arial" w:hAnsi="Arial"/>
                <w:sz w:val="13"/>
                <w:szCs w:val="13"/>
                <w:color w:val="auto"/>
              </w:rPr>
              <w:t>Other assets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3,637</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(5,537)</w:t>
            </w:r>
          </w:p>
        </w:tc>
      </w:tr>
      <w:tr>
        <w:trPr>
          <w:trHeight w:val="161"/>
        </w:trPr>
        <w:tc>
          <w:tcPr>
            <w:tcW w:w="7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(23,732)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22,950</w:t>
            </w:r>
          </w:p>
        </w:tc>
      </w:tr>
      <w:tr>
        <w:trPr>
          <w:trHeight w:val="161"/>
        </w:trPr>
        <w:tc>
          <w:tcPr>
            <w:tcW w:w="7700" w:type="dxa"/>
            <w:vAlign w:val="bottom"/>
          </w:tcPr>
          <w:p>
            <w:pPr>
              <w:ind w:left="420"/>
              <w:spacing w:after="0"/>
              <w:rPr>
                <w:sz w:val="20"/>
                <w:szCs w:val="20"/>
                <w:color w:val="auto"/>
              </w:rPr>
            </w:pPr>
            <w:r>
              <w:rPr>
                <w:rFonts w:ascii="Arial" w:cs="Arial" w:eastAsia="Arial" w:hAnsi="Arial"/>
                <w:sz w:val="13"/>
                <w:szCs w:val="13"/>
                <w:color w:val="auto"/>
              </w:rPr>
              <w:t>Other liabilities and taxes payable</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40,856</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(90,748)</w:t>
            </w:r>
          </w:p>
        </w:tc>
      </w:tr>
      <w:tr>
        <w:trPr>
          <w:trHeight w:val="20"/>
        </w:trPr>
        <w:tc>
          <w:tcPr>
            <w:tcW w:w="7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7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flows provided by operating activities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765,376</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529,301</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marketable securities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(941,268)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(1,869,415)</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Proceeds from sales and maturities of marketable securities</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2,002,543</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1,637,562</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(Note 2)</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(39,976)</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2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(85,260)</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(71,721)</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other investments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(2,338)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(35,202)</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Proceeds from the sale of a strategic equity investment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5,565</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Collateral received under securities lending</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29,991</w:t>
            </w:r>
          </w:p>
        </w:tc>
      </w:tr>
      <w:tr>
        <w:trPr>
          <w:trHeight w:val="162"/>
        </w:trPr>
        <w:tc>
          <w:tcPr>
            <w:tcW w:w="7700" w:type="dxa"/>
            <w:vAlign w:val="bottom"/>
          </w:tcPr>
          <w:p>
            <w:pPr>
              <w:ind w:left="540"/>
              <w:spacing w:after="0"/>
              <w:rPr>
                <w:sz w:val="20"/>
                <w:szCs w:val="20"/>
                <w:color w:val="auto"/>
              </w:rPr>
            </w:pPr>
            <w:r>
              <w:rPr>
                <w:rFonts w:ascii="Arial" w:cs="Arial" w:eastAsia="Arial" w:hAnsi="Arial"/>
                <w:sz w:val="13"/>
                <w:szCs w:val="13"/>
                <w:color w:val="auto"/>
              </w:rPr>
              <w:t>Net cash flows provided by (used in) investing activities</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933,701</w:t>
            </w:r>
          </w:p>
        </w:tc>
        <w:tc>
          <w:tcPr>
            <w:tcW w:w="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(303,220)</w:t>
            </w: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Purchases of treasury stock</w:t>
            </w:r>
          </w:p>
        </w:tc>
        <w:tc>
          <w:tcPr>
            <w:tcW w:w="2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(1,609,334)</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(57,631)</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stock for share-based compensation arrangements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63,193</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24,387</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Change in cash overdraft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2,912</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7,525</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contributions from noncontrolling interest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2,187</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Excess tax benefit from share-based compensation</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2,800</w:t>
            </w: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borrowings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(14,142)</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(10,867)</w:t>
            </w: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Obligation under securities lending</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(29,991)</w:t>
            </w:r>
          </w:p>
        </w:tc>
      </w:tr>
      <w:tr>
        <w:trPr>
          <w:trHeight w:val="20"/>
        </w:trPr>
        <w:tc>
          <w:tcPr>
            <w:tcW w:w="7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7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flows used in financing activities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(1,549,586)</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(63,777)</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Net increase in cash and cash equivalents</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149,491</w:t>
            </w: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162,304</w:t>
            </w:r>
          </w:p>
        </w:tc>
        <w:tc>
          <w:tcPr>
            <w:tcW w:w="80" w:type="dxa"/>
            <w:vAlign w:val="bottom"/>
          </w:tcPr>
          <w:p>
            <w:pPr>
              <w:spacing w:after="0"/>
              <w:rPr>
                <w:sz w:val="14"/>
                <w:szCs w:val="14"/>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(10,418)</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2,115</w:t>
            </w: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Cash and cash equivalents, beginning of the period</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581,889</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622,385</w:t>
            </w:r>
          </w:p>
        </w:tc>
      </w:tr>
      <w:tr>
        <w:trPr>
          <w:trHeight w:val="20"/>
        </w:trPr>
        <w:tc>
          <w:tcPr>
            <w:tcW w:w="7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the period</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720,962</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786,804</w:t>
            </w:r>
          </w:p>
        </w:tc>
      </w:tr>
      <w:tr>
        <w:trPr>
          <w:trHeight w:val="20"/>
        </w:trPr>
        <w:tc>
          <w:tcPr>
            <w:tcW w:w="7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See accompanying notes to these unaudited consolidated financial statements.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360"/>
        <w:spacing w:after="0"/>
        <w:rPr>
          <w:sz w:val="20"/>
          <w:szCs w:val="20"/>
          <w:color w:val="auto"/>
        </w:rPr>
      </w:pPr>
      <w:r>
        <w:rPr>
          <w:rFonts w:ascii="Arial" w:cs="Arial" w:eastAsia="Arial" w:hAnsi="Arial"/>
          <w:sz w:val="13"/>
          <w:szCs w:val="13"/>
          <w:b w:val="1"/>
          <w:bCs w:val="1"/>
          <w:i w:val="1"/>
          <w:iCs w:val="1"/>
          <w:color w:val="auto"/>
        </w:rPr>
        <w:t>(unaudited)</w:t>
      </w:r>
    </w:p>
    <w:p>
      <w:pPr>
        <w:spacing w:after="0" w:line="171" w:lineRule="exact"/>
        <w:rPr>
          <w:sz w:val="20"/>
          <w:szCs w:val="20"/>
          <w:color w:val="auto"/>
        </w:rPr>
      </w:pPr>
    </w:p>
    <w:p>
      <w:pPr>
        <w:ind w:left="1000" w:hanging="312"/>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Overview</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Overview</w:t>
      </w:r>
    </w:p>
    <w:p>
      <w:pPr>
        <w:spacing w:after="0" w:line="10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Biogen Idec is a global biotechnology company that discovers, develops, manufactures and commercializes innovative therapies for human health care. We currently have four marketed products: AVONEX, RITUXAN, TYSABRI, and FUMADERM. Our marketed products are used for the treatment of multiple sclerosis (MS), non-Hodgkin’s lymphoma (NHL), rheumatoid arthritis (RA), Crohn’s disease, chronic lymphocytic leukemia and psoriasis.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opinion of management, the accompanying unaudited consolidated financial statements include all adjustments, consisting of normal recurring accruals, necessary for a fair presentation of our financial statements for interim periods in accordance with accounting principles generally accepted in the United States (U.S. GAAP). The information included in this quarterly report on Form 10-Q should be read in conjunction with our consolidated financial statements and the accompanying notes included in our Annual Report on Form 10-K for the year ended December 31, 2009 (2009 Form 10-K). Our accounting policies are described in the “Notes to Consolidated Financial Statements” in our 2009 Form 10-K and updated, as necessary, in this Form 10-Q. The year-end consolidated balance sheet data presented for comparative purposes was derived from audited financial statements, but does not include all disclosures required by U.S. GAAP. The results of operations for the three and six months ended June 30, 2010 are not necessarily indicative of the operating results for the full year or for any other subsequent interim period.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Consolidation</w:t>
      </w:r>
    </w:p>
    <w:p>
      <w:pPr>
        <w:spacing w:after="0" w:line="102"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Our consolidated financial statements reflect our financial statements, those of our wholly-owned subsidiaries and those of certain variable interest entities in which we are the primary beneficiary. For such consolidated entities in which we own less than a 100% interest, we record net income (loss) attributable to noncontrolling interest in our consolidated statements of income equal to the percentage of the economic or ownership interest retained in the collaborative arrangement or joint venture by the respective noncontrolling parties. All material intercompany balances and transactions have been eliminated in consolidation.</w:t>
      </w:r>
    </w:p>
    <w:p>
      <w:pPr>
        <w:spacing w:after="0" w:line="63" w:lineRule="exact"/>
        <w:rPr>
          <w:sz w:val="20"/>
          <w:szCs w:val="20"/>
          <w:color w:val="auto"/>
        </w:rPr>
      </w:pPr>
    </w:p>
    <w:p>
      <w:pPr>
        <w:ind w:left="680" w:right="300" w:firstLine="399"/>
        <w:spacing w:after="0" w:line="270" w:lineRule="auto"/>
        <w:rPr>
          <w:sz w:val="20"/>
          <w:szCs w:val="20"/>
          <w:color w:val="auto"/>
        </w:rPr>
      </w:pPr>
      <w:r>
        <w:rPr>
          <w:rFonts w:ascii="Arial" w:cs="Arial" w:eastAsia="Arial" w:hAnsi="Arial"/>
          <w:sz w:val="13"/>
          <w:szCs w:val="13"/>
          <w:color w:val="auto"/>
        </w:rPr>
        <w:t>In determining whether we are the primary beneficiary, we consider a number of factors, including our ability to direct the activities that most significantly affect the entity’s economic success, our contractual rights and responsibilities under the arrangement and the significance of the arrangement to each party. These considerations impact the way we account for our existing collaborative and joint venture relationships and may result in the future consolidation of companies or entities with which we have collaborative or other arrangements.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preparation of consolidated financial statements in accordance with U.S. GAAP requires management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marketable securities, derivatives and hedging activities, inventory, impairments of long-lived assets including intangible assets, impairments of goodwill, the consolidation of variable interest entities, income taxes including the valuation allowance for deferred tax assets, valuation of investments, research and development expenses, contingencies and litigation, and share-based payments.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Subsequent Events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have any material recognizable or nonrecognizable subsequent events.</w:t>
      </w:r>
    </w:p>
    <w:p>
      <w:pPr>
        <w:spacing w:after="0" w:line="181" w:lineRule="exact"/>
        <w:rPr>
          <w:sz w:val="20"/>
          <w:szCs w:val="20"/>
          <w:color w:val="auto"/>
        </w:rPr>
      </w:pPr>
    </w:p>
    <w:p>
      <w:pPr>
        <w:ind w:left="1000" w:hanging="312"/>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Dispositions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Biogen Idec Hemophilia Inc. (formerly Syntonix Pharmaceuticals, Inc.)</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 xml:space="preserve">In connection with our acquisition of Biogen Idec Hemophilia Inc. (BIH), formerly Syntonix Pharmaceuticals, Inc. (Syntonix), in January 2007, we agreed to make additional future consideration payments based upon the achievement of certain milestone events associated with the development of BIH’s lead product, long-acting recombinant Factor IX, a product for the treatment of hemophilia B. In January 2010, we initiated patient enrollment in a registrational stage study for Factor IX which resulted in the achievement of one of those milestone events. As a result of the achievement of this milestone, we paid approximately $40.0 million to the former shareholders of Syntonix. As the Syntonix acquisition occurred prior to our January 1, 2009 adoption of a new accounting standard for business combinations, this acquisition continues to be accounted for under previously issued guidance. Accordingly, we recorded this payment as a charge to acquired in-process research and development (IPR&amp;D) within our consolidated statements of income. Please read Note 2, </w:t>
      </w:r>
      <w:r>
        <w:rPr>
          <w:rFonts w:ascii="Arial" w:cs="Arial" w:eastAsia="Arial" w:hAnsi="Arial"/>
          <w:sz w:val="12"/>
          <w:szCs w:val="12"/>
          <w:i w:val="1"/>
          <w:iCs w:val="1"/>
          <w:color w:val="auto"/>
        </w:rPr>
        <w:t>Acquisitions and Dispositions</w:t>
      </w:r>
      <w:r>
        <w:rPr>
          <w:rFonts w:ascii="Arial" w:cs="Arial" w:eastAsia="Arial" w:hAnsi="Arial"/>
          <w:sz w:val="12"/>
          <w:szCs w:val="12"/>
          <w:color w:val="auto"/>
        </w:rPr>
        <w:t>, to our Consolidated Financial Statements included within our 2009 Form 10-K, for a more detailed description of this acquisition.</w:t>
      </w:r>
    </w:p>
    <w:p>
      <w:pPr>
        <w:spacing w:after="0" w:line="131" w:lineRule="exact"/>
        <w:rPr>
          <w:sz w:val="20"/>
          <w:szCs w:val="20"/>
          <w:color w:val="auto"/>
        </w:rPr>
      </w:pPr>
    </w:p>
    <w:p>
      <w:pPr>
        <w:ind w:left="1000" w:hanging="312"/>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Revenue Recognition</w:t>
      </w:r>
    </w:p>
    <w:p>
      <w:pPr>
        <w:spacing w:after="0" w:line="10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10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Revenues from product sales are recognized when title and risk of loss have passed to the customer, which is typically upon delivery. However, sales of TYSABRI in the U.S. are recognized on the “sell-through” model, that is, upon shipment of the product by Elan Pharma International, Ltd. (Elan), an affiliate of Elan Corporation, plc, to its third party distributor rather than upon shipment to Elan.</w:t>
      </w:r>
    </w:p>
    <w:p>
      <w:pPr>
        <w:spacing w:after="0" w:line="59"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Product revenues are recorded net of applicable reserves for trade term discounts, wholesaler incentives, Medicaid rebates, Veterans Administration (VA) and Public Health Service (PHS) discounts, managed care rebates, product returns and other applicable allowances.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 from Unconsolidated Joint Business</w:t>
      </w:r>
    </w:p>
    <w:p>
      <w:pPr>
        <w:spacing w:after="0" w:line="10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collaborate with the Roche Group, through its wholly-owned member Genentech, Inc., on the development and commercialization of RITUXAN. Revenues from unconsolidated joint business consist of (1) our share of pre-tax co-promotion profits in the U.S.; (2) reimbursement of our selling and development expense in the U.S.; and (3) revenue on sales of RITUXAN in the rest of world, which consists of our share of pretax co-promotion profits in Canada and royalty revenue on sales of RITUXAN outside the U.S. and Canada by F. Hoffmann-La Roche Ltd.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and joint development expenses incurred by Genentech, Roche and us. We record our royalty and co-promotion profit revenue on sales of RITUXAN in the rest of world on a cash basis.</w:t>
      </w:r>
    </w:p>
    <w:p>
      <w:pPr>
        <w:spacing w:after="0" w:line="28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We receive royalty revenues on sales by our licensees of other products covered under patents that we own. There are no future performance obligations on our part under these license arrangements.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We maintain regular communication with our licensees in order to assess the reasonableness of our estimates. Differences between actual royalty revenues and estimated royalty revenues are adjusted for in the period in which they become known, typically the following quarter. Historically, adjustments have not been material when compared to actual amounts paid by licensees. If we are unable to accurately estimate revenue, then we record revenues on a cash basis.</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Milestone Revenues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Under the terms of our collaboration agreement with Elan, once sales of TYSABRI exceeded specific thresholds, Elan was required to make milestone payments to us in order to continue sharing equally in the collaboration’s results. These amounts, totaling $125.0 million, were recorded as deferred revenue upon receipt and are recognized as revenue in our consolidated statements of income based on the ratio of units shipped in the current period over the total units expected to be shipped over the remaining term of the collaboration agreement.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Bad Debt Reserves</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Bad debt reserves are based on our estimated uncollectible accounts receivable. Given our historical experiences with bad debts, combined with our credit management policies and practices, we do not presently maintain significant bad debt reserves.</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2"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majority of our accounts receivable arise from product sales in the United States and Europe and are primarily due from wholesale distributors, large pharmaceutical companies and public hospitals. We monitor the financial performance and credit worthiness of our large customers so that we can properly assess and respond to changes in their credit profile. We continue to monitor economic conditions, including the volatility associated with international sovereign economies, and associated impacts on the financial markets and our business, especially in light of the global economic downturn and European sovereign debt crisis. We believe the credit and economic conditions within Greece, Spain, Italy and Portugal, among other members of the European Union, have deteriorated through the first half of 2010. These conditions have resulted in, and may continue to result in, an increase in the average length of time that it takes to collect on our accounts receivable outstanding in these countries. As of June 30, 2010, our accounts receivable in Greece, Italy, Spain and Portugal totaled approximately $201.7 million. To date, we have not experienced any significant losses with respect to the collection of our accounts receivable related to sales within these countries.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for Discounts and Allowances</w:t>
      </w:r>
    </w:p>
    <w:p>
      <w:pPr>
        <w:spacing w:after="0" w:line="10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establish reserves for trade term discounts, wholesaler incentives, Medicaid rebates, VA and PHS discounts, managed care rebates, product returns and other applicable allowances. Reserves established for these discounts and allowances are classified as reductions of accounts receivable (if the amount is payable to our customer) or a liability (if the amount is payable to a party other than our customer).</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In addition, we distribute no-charge product to qualifying patients under our patient assistance and patient replacement goods program. This program is administered through one of our distribution partners, who ships product for qualifying patients from their own inventory purchased from us. Gross revenue and the related</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reserves are not recorded on product shipped under this program and cost of sales is recorded when the product is shipped.</w:t>
      </w:r>
    </w:p>
    <w:p>
      <w:pPr>
        <w:spacing w:after="0" w:line="102"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Product revenue reserves are categorized as follows: discounts, contractual adjustments, and returns. An analysis of the amount of, and change in, reserves is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3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1"/>
                <w:szCs w:val="11"/>
                <w:b w:val="1"/>
                <w:bCs w:val="1"/>
                <w:color w:val="auto"/>
                <w:w w:val="78"/>
              </w:rPr>
              <w:t>Discounts</w:t>
            </w:r>
          </w:p>
        </w:tc>
        <w:tc>
          <w:tcPr>
            <w:tcW w:w="100" w:type="dxa"/>
            <w:vAlign w:val="bottom"/>
          </w:tcPr>
          <w:p>
            <w:pPr>
              <w:spacing w:after="0"/>
              <w:rPr>
                <w:sz w:val="10"/>
                <w:szCs w:val="10"/>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b w:val="1"/>
                <w:bCs w:val="1"/>
                <w:color w:val="auto"/>
                <w:w w:val="91"/>
              </w:rPr>
              <w:t>Contractual</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Returns</w:t>
            </w:r>
          </w:p>
        </w:tc>
        <w:tc>
          <w:tcPr>
            <w:tcW w:w="26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6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Arial" w:cs="Arial" w:eastAsia="Arial" w:hAnsi="Arial"/>
                <w:sz w:val="11"/>
                <w:szCs w:val="11"/>
                <w:b w:val="1"/>
                <w:bCs w:val="1"/>
                <w:color w:val="auto"/>
                <w:w w:val="86"/>
              </w:rPr>
              <w:t>Adjustments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31,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5"/>
            <w:shd w:val="clear" w:color="auto" w:fill="CCEEFF"/>
          </w:tcPr>
          <w:p>
            <w:pPr>
              <w:jc w:val="right"/>
              <w:ind w:right="280"/>
              <w:spacing w:after="0"/>
              <w:rPr>
                <w:sz w:val="20"/>
                <w:szCs w:val="20"/>
                <w:color w:val="auto"/>
              </w:rPr>
            </w:pPr>
            <w:r>
              <w:rPr>
                <w:rFonts w:ascii="Arial" w:cs="Arial" w:eastAsia="Arial" w:hAnsi="Arial"/>
                <w:sz w:val="13"/>
                <w:szCs w:val="13"/>
                <w:color w:val="auto"/>
              </w:rPr>
              <w:t>70.3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CEEFF"/>
          </w:tcPr>
          <w:p>
            <w:pPr>
              <w:jc w:val="right"/>
              <w:ind w:right="66"/>
              <w:spacing w:after="0"/>
              <w:rPr>
                <w:sz w:val="20"/>
                <w:szCs w:val="20"/>
                <w:color w:val="auto"/>
              </w:rPr>
            </w:pPr>
            <w:r>
              <w:rPr>
                <w:rFonts w:ascii="Arial" w:cs="Arial" w:eastAsia="Arial" w:hAnsi="Arial"/>
                <w:sz w:val="13"/>
                <w:szCs w:val="13"/>
                <w:color w:val="auto"/>
              </w:rPr>
              <w:t>18.9</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$ 103.1</w:t>
            </w:r>
          </w:p>
        </w:tc>
        <w:tc>
          <w:tcPr>
            <w:tcW w:w="0" w:type="dxa"/>
            <w:vAlign w:val="bottom"/>
          </w:tcPr>
          <w:p>
            <w:pPr>
              <w:spacing w:after="0"/>
              <w:rPr>
                <w:sz w:val="1"/>
                <w:szCs w:val="1"/>
                <w:color w:val="auto"/>
              </w:rPr>
            </w:pPr>
          </w:p>
        </w:tc>
      </w:tr>
      <w:tr>
        <w:trPr>
          <w:trHeight w:val="161"/>
        </w:trPr>
        <w:tc>
          <w:tcPr>
            <w:tcW w:w="6300" w:type="dxa"/>
            <w:vAlign w:val="bottom"/>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1000" w:type="dxa"/>
            <w:vAlign w:val="bottom"/>
            <w:gridSpan w:val="5"/>
          </w:tcPr>
          <w:p>
            <w:pPr>
              <w:jc w:val="right"/>
              <w:ind w:right="280"/>
              <w:spacing w:after="0"/>
              <w:rPr>
                <w:sz w:val="20"/>
                <w:szCs w:val="20"/>
                <w:color w:val="auto"/>
              </w:rPr>
            </w:pPr>
            <w:r>
              <w:rPr>
                <w:rFonts w:ascii="Arial" w:cs="Arial" w:eastAsia="Arial" w:hAnsi="Arial"/>
                <w:sz w:val="13"/>
                <w:szCs w:val="13"/>
                <w:color w:val="auto"/>
              </w:rPr>
              <w:t>126.3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ind w:right="66"/>
              <w:spacing w:after="0"/>
              <w:rPr>
                <w:sz w:val="20"/>
                <w:szCs w:val="20"/>
                <w:color w:val="auto"/>
              </w:rPr>
            </w:pPr>
            <w:r>
              <w:rPr>
                <w:rFonts w:ascii="Arial" w:cs="Arial" w:eastAsia="Arial" w:hAnsi="Arial"/>
                <w:sz w:val="13"/>
                <w:szCs w:val="13"/>
                <w:color w:val="auto"/>
              </w:rPr>
              <w:t>8.4</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174.2</w:t>
            </w:r>
          </w:p>
        </w:tc>
        <w:tc>
          <w:tcPr>
            <w:tcW w:w="0" w:type="dxa"/>
            <w:vAlign w:val="bottom"/>
          </w:tcPr>
          <w:p>
            <w:pPr>
              <w:spacing w:after="0"/>
              <w:rPr>
                <w:sz w:val="1"/>
                <w:szCs w:val="1"/>
                <w:color w:val="auto"/>
              </w:rPr>
            </w:pPr>
          </w:p>
        </w:tc>
      </w:tr>
      <w:tr>
        <w:trPr>
          <w:trHeight w:val="161"/>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relating to prior years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(1.9)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1"/>
        </w:trPr>
        <w:tc>
          <w:tcPr>
            <w:tcW w:w="6300" w:type="dxa"/>
            <w:vAlign w:val="bottom"/>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1000" w:type="dxa"/>
            <w:vAlign w:val="bottom"/>
            <w:gridSpan w:val="5"/>
          </w:tcPr>
          <w:p>
            <w:pPr>
              <w:jc w:val="right"/>
              <w:ind w:right="240"/>
              <w:spacing w:after="0"/>
              <w:rPr>
                <w:sz w:val="20"/>
                <w:szCs w:val="20"/>
                <w:color w:val="auto"/>
              </w:rPr>
            </w:pPr>
            <w:r>
              <w:rPr>
                <w:rFonts w:ascii="Arial" w:cs="Arial" w:eastAsia="Arial" w:hAnsi="Arial"/>
                <w:sz w:val="13"/>
                <w:szCs w:val="13"/>
                <w:color w:val="auto"/>
              </w:rPr>
              <w:t>(52.8)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3"/>
          </w:tcPr>
          <w:p>
            <w:pPr>
              <w:jc w:val="right"/>
              <w:ind w:right="26"/>
              <w:spacing w:after="0"/>
              <w:rPr>
                <w:sz w:val="20"/>
                <w:szCs w:val="20"/>
                <w:color w:val="auto"/>
              </w:rPr>
            </w:pPr>
            <w:r>
              <w:rPr>
                <w:rFonts w:ascii="Arial" w:cs="Arial" w:eastAsia="Arial" w:hAnsi="Arial"/>
                <w:sz w:val="13"/>
                <w:szCs w:val="13"/>
                <w:color w:val="auto"/>
              </w:rPr>
              <w:t>(0.3)</w:t>
            </w:r>
          </w:p>
        </w:tc>
        <w:tc>
          <w:tcPr>
            <w:tcW w:w="740" w:type="dxa"/>
            <w:vAlign w:val="bottom"/>
            <w:gridSpan w:val="3"/>
          </w:tcPr>
          <w:p>
            <w:pPr>
              <w:jc w:val="right"/>
              <w:ind w:right="4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61"/>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3"/>
                <w:szCs w:val="13"/>
                <w:color w:val="auto"/>
              </w:rPr>
              <w:t>(60.7)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rPr>
              <w:t>(5.8)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Balance, as of June 30, 2010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color w:val="auto"/>
              </w:rPr>
              <w:t>79.1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$ 117.2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0"/>
              <w:spacing w:after="0"/>
              <w:rPr>
                <w:sz w:val="20"/>
                <w:szCs w:val="20"/>
                <w:color w:val="auto"/>
              </w:rPr>
            </w:pPr>
            <w:r>
              <w:rPr>
                <w:rFonts w:ascii="Arial" w:cs="Arial" w:eastAsia="Arial" w:hAnsi="Arial"/>
                <w:sz w:val="13"/>
                <w:szCs w:val="13"/>
                <w:color w:val="auto"/>
              </w:rPr>
              <w:t>The total reserves above, included in our consolidated balance sheets, are summarized as follows:</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79"/>
              </w:rPr>
              <w:t>As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79"/>
              </w:rPr>
              <w:t>As of</w:t>
            </w:r>
          </w:p>
        </w:tc>
        <w:tc>
          <w:tcPr>
            <w:tcW w:w="0" w:type="dxa"/>
            <w:vAlign w:val="bottom"/>
          </w:tcPr>
          <w:p>
            <w:pPr>
              <w:spacing w:after="0"/>
              <w:rPr>
                <w:sz w:val="1"/>
                <w:szCs w:val="1"/>
                <w:color w:val="auto"/>
              </w:rPr>
            </w:pPr>
          </w:p>
        </w:tc>
      </w:tr>
      <w:tr>
        <w:trPr>
          <w:trHeight w:val="111"/>
        </w:trPr>
        <w:tc>
          <w:tcPr>
            <w:tcW w:w="63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4"/>
          </w:tcPr>
          <w:p>
            <w:pPr>
              <w:jc w:val="center"/>
              <w:ind w:right="120"/>
              <w:spacing w:after="0" w:line="111" w:lineRule="exact"/>
              <w:rPr>
                <w:sz w:val="20"/>
                <w:szCs w:val="20"/>
                <w:color w:val="auto"/>
              </w:rPr>
            </w:pPr>
            <w:r>
              <w:rPr>
                <w:rFonts w:ascii="Arial" w:cs="Arial" w:eastAsia="Arial" w:hAnsi="Arial"/>
                <w:sz w:val="11"/>
                <w:szCs w:val="11"/>
                <w:b w:val="1"/>
                <w:bCs w:val="1"/>
                <w:color w:val="auto"/>
                <w:w w:val="86"/>
              </w:rPr>
              <w:t>June 30,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4"/>
          </w:tcPr>
          <w:p>
            <w:pPr>
              <w:jc w:val="center"/>
              <w:ind w:right="200"/>
              <w:spacing w:after="0" w:line="111"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8"/>
        </w:trPr>
        <w:tc>
          <w:tcPr>
            <w:tcW w:w="63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9"/>
              </w:rPr>
              <w:t>2010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9"/>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Reduction of accounts receivable</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20"/>
                <w:szCs w:val="20"/>
                <w:color w:val="auto"/>
              </w:rPr>
            </w:pPr>
            <w:r>
              <w:rPr>
                <w:rFonts w:ascii="Arial" w:cs="Arial" w:eastAsia="Arial" w:hAnsi="Arial"/>
                <w:sz w:val="13"/>
                <w:szCs w:val="13"/>
                <w:color w:val="auto"/>
              </w:rPr>
              <w:t>Current liability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67.5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reserves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117.2</w:t>
            </w:r>
          </w:p>
        </w:tc>
        <w:tc>
          <w:tcPr>
            <w:tcW w:w="1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103.1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Healthcare Reform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March 2010, healthcare reform legislation was enacted in the U.S. This legislation contains several provisions that affect our business.</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Although many provisions of the new legislation do not take effect immediately, several provisions became effective in the first quarter of 2010. These include (1) an increase in the minimum Medicaid rebate to states participating in the Medicaid program from 15.1% to 23.1% on our branded prescription drugs; (2) the extension of the Medicaid rebate to Managed Care Organizations that dispense drugs to Medicaid beneficiaries; and (3) the expansion of the 340(B) Public Health Services drug pricing program, which provides outpatient drugs at reduced rates, to include additional hospitals, clinics, and healthcare centers.</w:t>
      </w:r>
    </w:p>
    <w:p>
      <w:pPr>
        <w:spacing w:after="0" w:line="63" w:lineRule="exact"/>
        <w:rPr>
          <w:sz w:val="20"/>
          <w:szCs w:val="20"/>
          <w:color w:val="auto"/>
        </w:rPr>
      </w:pPr>
    </w:p>
    <w:p>
      <w:pPr>
        <w:ind w:left="680" w:right="160" w:firstLine="399"/>
        <w:spacing w:after="0" w:line="270" w:lineRule="auto"/>
        <w:rPr>
          <w:sz w:val="20"/>
          <w:szCs w:val="20"/>
          <w:color w:val="auto"/>
        </w:rPr>
      </w:pPr>
      <w:r>
        <w:rPr>
          <w:rFonts w:ascii="Arial" w:cs="Arial" w:eastAsia="Arial" w:hAnsi="Arial"/>
          <w:sz w:val="13"/>
          <w:szCs w:val="13"/>
          <w:color w:val="auto"/>
        </w:rPr>
        <w:t>Beginning in 2011, the new law requires drug manufacturers to provide a 50% discount to Medicare beneficiaries whose prescription drug costs cause them to be subject to the Medicare Part D coverage gap (i.e., the “donut hole”). Also, beginning in 2011, we will be assessed our share of a new fee payable by all branded prescription drug manufacturers and importers. This fee will be calculated based upon each organization’s percentage share of total branded prescription drug sales to U.S. government programs (such as Medicare, Medicaid and VA and PHS discount programs) made during the previous year.</w:t>
      </w:r>
    </w:p>
    <w:p>
      <w:pPr>
        <w:spacing w:after="0" w:line="63"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manner in which this new legislation will be implemented is still being formulated. For example, the Health Resources and Services Administration (HRSA) is developing policy and implementation plans and building system capacity necessary to enroll new covered entities that are impacted by the new legislation. This will allow HRSA to begin working directly with new eligible entities and enrolling them in the 340(B) program. As a result, we do not yet know when and how discounts will be provided to the additional entities eligible to participate under the 340(B) program. In addition, the operation of the Medicare Part D coverage gap and the calculation and allocation of the annual fee on branded prescription drugs remains unclear, though, as noted above, these programs will not be effective until 2011.</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p>
      <w:pPr>
        <w:ind w:left="1000" w:hanging="312"/>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Inventory</w:t>
      </w:r>
    </w:p>
    <w:p>
      <w:pPr>
        <w:spacing w:after="0" w:line="104" w:lineRule="exact"/>
        <w:rPr>
          <w:sz w:val="20"/>
          <w:szCs w:val="20"/>
          <w:color w:val="auto"/>
        </w:rPr>
      </w:pPr>
    </w:p>
    <w:p>
      <w:pPr>
        <w:ind w:left="680" w:right="560" w:firstLine="399"/>
        <w:spacing w:after="0" w:line="294"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(FIFO) method. Included in inventory are raw materials used in the production of pre-clinical and clinical products, which are charged to research and development expense when consumed.</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inventories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500"/>
              <w:spacing w:after="0"/>
              <w:rPr>
                <w:sz w:val="20"/>
                <w:szCs w:val="20"/>
                <w:color w:val="auto"/>
              </w:rPr>
            </w:pPr>
            <w:r>
              <w:rPr>
                <w:rFonts w:ascii="Arial" w:cs="Arial" w:eastAsia="Arial" w:hAnsi="Arial"/>
                <w:sz w:val="11"/>
                <w:szCs w:val="11"/>
                <w:b w:val="1"/>
                <w:bCs w:val="1"/>
                <w:color w:val="auto"/>
                <w:w w:val="79"/>
              </w:rPr>
              <w:t>As of</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As of</w:t>
            </w:r>
          </w:p>
        </w:tc>
        <w:tc>
          <w:tcPr>
            <w:tcW w:w="0" w:type="dxa"/>
            <w:vAlign w:val="bottom"/>
          </w:tcPr>
          <w:p>
            <w:pPr>
              <w:spacing w:after="0"/>
              <w:rPr>
                <w:sz w:val="1"/>
                <w:szCs w:val="1"/>
                <w:color w:val="auto"/>
              </w:rPr>
            </w:pPr>
          </w:p>
        </w:tc>
      </w:tr>
      <w:tr>
        <w:trPr>
          <w:trHeight w:val="111"/>
        </w:trPr>
        <w:tc>
          <w:tcPr>
            <w:tcW w:w="79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9"/>
                <w:szCs w:val="9"/>
                <w:color w:val="auto"/>
              </w:rPr>
            </w:pPr>
          </w:p>
        </w:tc>
        <w:tc>
          <w:tcPr>
            <w:tcW w:w="900" w:type="dxa"/>
            <w:vAlign w:val="bottom"/>
            <w:gridSpan w:val="4"/>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June 30,</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8"/>
        </w:trPr>
        <w:tc>
          <w:tcPr>
            <w:tcW w:w="79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9"/>
              </w:rPr>
              <w:t>2010</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9"/>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20"/>
                <w:szCs w:val="20"/>
                <w:color w:val="auto"/>
              </w:rPr>
            </w:pPr>
            <w:r>
              <w:rPr>
                <w:rFonts w:ascii="Arial" w:cs="Arial" w:eastAsia="Arial" w:hAnsi="Arial"/>
                <w:sz w:val="13"/>
                <w:szCs w:val="13"/>
                <w:color w:val="auto"/>
              </w:rPr>
              <w:t>Work in process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127.6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161"/>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61"/>
        </w:trPr>
        <w:tc>
          <w:tcPr>
            <w:tcW w:w="7900" w:type="dxa"/>
            <w:vAlign w:val="bottom"/>
          </w:tcPr>
          <w:p>
            <w:pPr>
              <w:ind w:left="140"/>
              <w:spacing w:after="0"/>
              <w:rPr>
                <w:sz w:val="20"/>
                <w:szCs w:val="20"/>
                <w:color w:val="auto"/>
              </w:rPr>
            </w:pPr>
            <w:r>
              <w:rPr>
                <w:rFonts w:ascii="Arial" w:cs="Arial" w:eastAsia="Arial" w:hAnsi="Arial"/>
                <w:sz w:val="13"/>
                <w:szCs w:val="13"/>
                <w:color w:val="auto"/>
              </w:rPr>
              <w:t>Total inventory</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267.8</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000" w:hanging="312"/>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and Goodwill</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net of accumulated amortization, impairment charges and adjustments, are summarized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Estimated</w:t>
            </w: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w w:val="92"/>
              </w:rPr>
              <w:t>As of June 30, 2010</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86"/>
              </w:rPr>
              <w:t>As of December 31, 2009</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7"/>
                <w:szCs w:val="7"/>
                <w:color w:val="auto"/>
              </w:rPr>
            </w:pPr>
          </w:p>
        </w:tc>
        <w:tc>
          <w:tcPr>
            <w:tcW w:w="1380" w:type="dxa"/>
            <w:vAlign w:val="bottom"/>
            <w:gridSpan w:val="2"/>
          </w:tcPr>
          <w:p>
            <w:pPr>
              <w:jc w:val="right"/>
              <w:ind w:right="540"/>
              <w:spacing w:after="0" w:line="84"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700" w:type="dxa"/>
            <w:vAlign w:val="bottom"/>
            <w:gridSpan w:val="2"/>
            <w:vMerge w:val="restart"/>
          </w:tcPr>
          <w:p>
            <w:pPr>
              <w:jc w:val="right"/>
              <w:ind w:right="480"/>
              <w:spacing w:after="0"/>
              <w:rPr>
                <w:sz w:val="20"/>
                <w:szCs w:val="20"/>
                <w:color w:val="auto"/>
              </w:rPr>
            </w:pPr>
            <w:r>
              <w:rPr>
                <w:rFonts w:ascii="Arial" w:cs="Arial" w:eastAsia="Arial" w:hAnsi="Arial"/>
                <w:sz w:val="11"/>
                <w:szCs w:val="11"/>
                <w:b w:val="1"/>
                <w:bCs w:val="1"/>
                <w:color w:val="auto"/>
              </w:rPr>
              <w:t>Net</w:t>
            </w:r>
          </w:p>
        </w:tc>
        <w:tc>
          <w:tcPr>
            <w:tcW w:w="100" w:type="dxa"/>
            <w:vAlign w:val="bottom"/>
          </w:tcPr>
          <w:p>
            <w:pPr>
              <w:spacing w:after="0"/>
              <w:rPr>
                <w:sz w:val="7"/>
                <w:szCs w:val="7"/>
                <w:color w:val="auto"/>
              </w:rPr>
            </w:pPr>
          </w:p>
        </w:tc>
        <w:tc>
          <w:tcPr>
            <w:tcW w:w="60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w w:val="97"/>
              </w:rPr>
              <w:t>Cost</w:t>
            </w:r>
          </w:p>
        </w:tc>
        <w:tc>
          <w:tcPr>
            <w:tcW w:w="60" w:type="dxa"/>
            <w:vAlign w:val="bottom"/>
          </w:tcPr>
          <w:p>
            <w:pPr>
              <w:spacing w:after="0"/>
              <w:rPr>
                <w:sz w:val="7"/>
                <w:szCs w:val="7"/>
                <w:color w:val="auto"/>
              </w:rPr>
            </w:pPr>
          </w:p>
        </w:tc>
        <w:tc>
          <w:tcPr>
            <w:tcW w:w="1420" w:type="dxa"/>
            <w:vAlign w:val="bottom"/>
            <w:gridSpan w:val="2"/>
          </w:tcPr>
          <w:p>
            <w:pPr>
              <w:jc w:val="right"/>
              <w:ind w:right="520"/>
              <w:spacing w:after="0" w:line="84"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28"/>
        </w:trPr>
        <w:tc>
          <w:tcPr>
            <w:tcW w:w="3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Life</w:t>
            </w: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3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32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Intangible assets: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200" w:type="dxa"/>
            <w:vAlign w:val="bottom"/>
          </w:tcPr>
          <w:p>
            <w:pPr>
              <w:ind w:left="120"/>
              <w:spacing w:after="0" w:line="111" w:lineRule="exact"/>
              <w:rPr>
                <w:sz w:val="20"/>
                <w:szCs w:val="20"/>
                <w:color w:val="auto"/>
              </w:rPr>
            </w:pPr>
            <w:r>
              <w:rPr>
                <w:rFonts w:ascii="Arial" w:cs="Arial" w:eastAsia="Arial" w:hAnsi="Arial"/>
                <w:sz w:val="11"/>
                <w:szCs w:val="11"/>
                <w:color w:val="auto"/>
              </w:rPr>
              <w:t>Out-licensed patents</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12 years</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200"/>
              <w:spacing w:after="0" w:line="111" w:lineRule="exact"/>
              <w:rPr>
                <w:sz w:val="20"/>
                <w:szCs w:val="20"/>
                <w:color w:val="auto"/>
              </w:rPr>
            </w:pPr>
            <w:r>
              <w:rPr>
                <w:rFonts w:ascii="Arial" w:cs="Arial" w:eastAsia="Arial" w:hAnsi="Arial"/>
                <w:sz w:val="11"/>
                <w:szCs w:val="11"/>
                <w:color w:val="auto"/>
              </w:rPr>
              <w:t>578.0</w:t>
            </w: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3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(329.4)</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248.6</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578.0</w:t>
            </w: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(306.0)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272.0</w:t>
            </w:r>
          </w:p>
        </w:tc>
        <w:tc>
          <w:tcPr>
            <w:tcW w:w="0" w:type="dxa"/>
            <w:vAlign w:val="bottom"/>
          </w:tcPr>
          <w:p>
            <w:pPr>
              <w:spacing w:after="0"/>
              <w:rPr>
                <w:sz w:val="1"/>
                <w:szCs w:val="1"/>
                <w:color w:val="auto"/>
              </w:rPr>
            </w:pPr>
          </w:p>
        </w:tc>
      </w:tr>
      <w:tr>
        <w:trPr>
          <w:trHeight w:val="111"/>
        </w:trPr>
        <w:tc>
          <w:tcPr>
            <w:tcW w:w="32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Core/developed technology</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15-23 years</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1"/>
                <w:szCs w:val="11"/>
                <w:color w:val="auto"/>
              </w:rPr>
              <w:t>3,005.3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(1,550.8)</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1,454.5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3,005.3</w:t>
            </w:r>
          </w:p>
        </w:tc>
        <w:tc>
          <w:tcPr>
            <w:tcW w:w="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(1,472.4)</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w w:val="97"/>
              </w:rPr>
              <w:t>1,532.9</w:t>
            </w:r>
          </w:p>
        </w:tc>
        <w:tc>
          <w:tcPr>
            <w:tcW w:w="0" w:type="dxa"/>
            <w:vAlign w:val="bottom"/>
          </w:tcPr>
          <w:p>
            <w:pPr>
              <w:spacing w:after="0"/>
              <w:rPr>
                <w:sz w:val="1"/>
                <w:szCs w:val="1"/>
                <w:color w:val="auto"/>
              </w:rPr>
            </w:pPr>
          </w:p>
        </w:tc>
      </w:tr>
      <w:tr>
        <w:trPr>
          <w:trHeight w:val="111"/>
        </w:trPr>
        <w:tc>
          <w:tcPr>
            <w:tcW w:w="3200" w:type="dxa"/>
            <w:vAlign w:val="bottom"/>
          </w:tcPr>
          <w:p>
            <w:pPr>
              <w:ind w:left="120"/>
              <w:spacing w:after="0" w:line="111" w:lineRule="exact"/>
              <w:rPr>
                <w:sz w:val="20"/>
                <w:szCs w:val="20"/>
                <w:color w:val="auto"/>
              </w:rPr>
            </w:pPr>
            <w:r>
              <w:rPr>
                <w:rFonts w:ascii="Arial" w:cs="Arial" w:eastAsia="Arial" w:hAnsi="Arial"/>
                <w:sz w:val="11"/>
                <w:szCs w:val="11"/>
                <w:color w:val="auto"/>
              </w:rPr>
              <w:t>Trademarks and tradenames</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Indefinite</w:t>
            </w:r>
          </w:p>
        </w:tc>
        <w:tc>
          <w:tcPr>
            <w:tcW w:w="120" w:type="dxa"/>
            <w:vAlign w:val="bottom"/>
          </w:tcPr>
          <w:p>
            <w:pPr>
              <w:spacing w:after="0"/>
              <w:rPr>
                <w:sz w:val="9"/>
                <w:szCs w:val="9"/>
                <w:color w:val="auto"/>
              </w:rPr>
            </w:pPr>
          </w:p>
        </w:tc>
        <w:tc>
          <w:tcPr>
            <w:tcW w:w="600" w:type="dxa"/>
            <w:vAlign w:val="bottom"/>
            <w:gridSpan w:val="3"/>
          </w:tcPr>
          <w:p>
            <w:pPr>
              <w:jc w:val="right"/>
              <w:ind w:right="200"/>
              <w:spacing w:after="0" w:line="111" w:lineRule="exact"/>
              <w:rPr>
                <w:sz w:val="20"/>
                <w:szCs w:val="20"/>
                <w:color w:val="auto"/>
              </w:rPr>
            </w:pPr>
            <w:r>
              <w:rPr>
                <w:rFonts w:ascii="Arial" w:cs="Arial" w:eastAsia="Arial" w:hAnsi="Arial"/>
                <w:sz w:val="11"/>
                <w:szCs w:val="11"/>
                <w:color w:val="auto"/>
              </w:rPr>
              <w:t>64.0</w:t>
            </w:r>
          </w:p>
        </w:tc>
        <w:tc>
          <w:tcPr>
            <w:tcW w:w="120" w:type="dxa"/>
            <w:vAlign w:val="bottom"/>
          </w:tcPr>
          <w:p>
            <w:pPr>
              <w:spacing w:after="0"/>
              <w:rPr>
                <w:sz w:val="9"/>
                <w:szCs w:val="9"/>
                <w:color w:val="auto"/>
              </w:rPr>
            </w:pPr>
          </w:p>
        </w:tc>
        <w:tc>
          <w:tcPr>
            <w:tcW w:w="138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64.0</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64.0</w:t>
            </w:r>
          </w:p>
        </w:tc>
        <w:tc>
          <w:tcPr>
            <w:tcW w:w="60" w:type="dxa"/>
            <w:vAlign w:val="bottom"/>
          </w:tcPr>
          <w:p>
            <w:pPr>
              <w:spacing w:after="0"/>
              <w:rPr>
                <w:sz w:val="9"/>
                <w:szCs w:val="9"/>
                <w:color w:val="auto"/>
              </w:rPr>
            </w:pPr>
          </w:p>
        </w:tc>
        <w:tc>
          <w:tcPr>
            <w:tcW w:w="142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64.0</w:t>
            </w:r>
          </w:p>
        </w:tc>
        <w:tc>
          <w:tcPr>
            <w:tcW w:w="0" w:type="dxa"/>
            <w:vAlign w:val="bottom"/>
          </w:tcPr>
          <w:p>
            <w:pPr>
              <w:spacing w:after="0"/>
              <w:rPr>
                <w:sz w:val="1"/>
                <w:szCs w:val="1"/>
                <w:color w:val="auto"/>
              </w:rPr>
            </w:pPr>
          </w:p>
        </w:tc>
      </w:tr>
      <w:tr>
        <w:trPr>
          <w:trHeight w:val="111"/>
        </w:trPr>
        <w:tc>
          <w:tcPr>
            <w:tcW w:w="32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In-licensed patents</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14 years</w:t>
            </w:r>
          </w:p>
        </w:tc>
        <w:tc>
          <w:tcPr>
            <w:tcW w:w="12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3.0</w:t>
            </w:r>
          </w:p>
        </w:tc>
        <w:tc>
          <w:tcPr>
            <w:tcW w:w="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11"/>
        </w:trPr>
        <w:tc>
          <w:tcPr>
            <w:tcW w:w="3200" w:type="dxa"/>
            <w:vAlign w:val="bottom"/>
          </w:tcPr>
          <w:p>
            <w:pPr>
              <w:ind w:left="120"/>
              <w:spacing w:after="0" w:line="111" w:lineRule="exact"/>
              <w:rPr>
                <w:sz w:val="20"/>
                <w:szCs w:val="20"/>
                <w:color w:val="auto"/>
              </w:rPr>
            </w:pPr>
            <w:r>
              <w:rPr>
                <w:rFonts w:ascii="Arial" w:cs="Arial" w:eastAsia="Arial" w:hAnsi="Arial"/>
                <w:sz w:val="11"/>
                <w:szCs w:val="11"/>
                <w:color w:val="auto"/>
              </w:rPr>
              <w:t>Assembled workforce</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 years</w:t>
            </w:r>
          </w:p>
        </w:tc>
        <w:tc>
          <w:tcPr>
            <w:tcW w:w="120" w:type="dxa"/>
            <w:vAlign w:val="bottom"/>
          </w:tcPr>
          <w:p>
            <w:pPr>
              <w:spacing w:after="0"/>
              <w:rPr>
                <w:sz w:val="9"/>
                <w:szCs w:val="9"/>
                <w:color w:val="auto"/>
              </w:rPr>
            </w:pPr>
          </w:p>
        </w:tc>
        <w:tc>
          <w:tcPr>
            <w:tcW w:w="600" w:type="dxa"/>
            <w:vAlign w:val="bottom"/>
            <w:gridSpan w:val="3"/>
          </w:tcPr>
          <w:p>
            <w:pPr>
              <w:jc w:val="right"/>
              <w:ind w:right="200"/>
              <w:spacing w:after="0" w:line="111" w:lineRule="exact"/>
              <w:rPr>
                <w:sz w:val="20"/>
                <w:szCs w:val="20"/>
                <w:color w:val="auto"/>
              </w:rPr>
            </w:pPr>
            <w:r>
              <w:rPr>
                <w:rFonts w:ascii="Arial" w:cs="Arial" w:eastAsia="Arial" w:hAnsi="Arial"/>
                <w:sz w:val="11"/>
                <w:szCs w:val="11"/>
                <w:color w:val="auto"/>
              </w:rPr>
              <w:t>2.1</w:t>
            </w:r>
          </w:p>
        </w:tc>
        <w:tc>
          <w:tcPr>
            <w:tcW w:w="120" w:type="dxa"/>
            <w:vAlign w:val="bottom"/>
          </w:tcPr>
          <w:p>
            <w:pPr>
              <w:spacing w:after="0"/>
              <w:rPr>
                <w:sz w:val="9"/>
                <w:szCs w:val="9"/>
                <w:color w:val="auto"/>
              </w:rPr>
            </w:pPr>
          </w:p>
        </w:tc>
        <w:tc>
          <w:tcPr>
            <w:tcW w:w="13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11" w:lineRule="exact"/>
              <w:rPr>
                <w:sz w:val="20"/>
                <w:szCs w:val="20"/>
                <w:color w:val="auto"/>
              </w:rPr>
            </w:pPr>
            <w:r>
              <w:rPr>
                <w:rFonts w:ascii="Arial" w:cs="Arial" w:eastAsia="Arial" w:hAnsi="Arial"/>
                <w:sz w:val="11"/>
                <w:szCs w:val="11"/>
                <w:color w:val="auto"/>
              </w:rPr>
              <w:t>0.1</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2.1</w:t>
            </w:r>
          </w:p>
        </w:tc>
        <w:tc>
          <w:tcPr>
            <w:tcW w:w="60" w:type="dxa"/>
            <w:vAlign w:val="bottom"/>
          </w:tcPr>
          <w:p>
            <w:pPr>
              <w:spacing w:after="0"/>
              <w:rPr>
                <w:sz w:val="9"/>
                <w:szCs w:val="9"/>
                <w:color w:val="auto"/>
              </w:rPr>
            </w:pPr>
          </w:p>
        </w:tc>
        <w:tc>
          <w:tcPr>
            <w:tcW w:w="142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(1.8)</w:t>
            </w:r>
          </w:p>
        </w:tc>
        <w:tc>
          <w:tcPr>
            <w:tcW w:w="120" w:type="dxa"/>
            <w:vAlign w:val="bottom"/>
          </w:tcPr>
          <w:p>
            <w:pPr>
              <w:spacing w:after="0"/>
              <w:rPr>
                <w:sz w:val="9"/>
                <w:szCs w:val="9"/>
                <w:color w:val="auto"/>
              </w:rPr>
            </w:pPr>
          </w:p>
        </w:tc>
        <w:tc>
          <w:tcPr>
            <w:tcW w:w="4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11"/>
        </w:trPr>
        <w:tc>
          <w:tcPr>
            <w:tcW w:w="32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Distribution rights</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 years</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12.7</w:t>
            </w:r>
          </w:p>
        </w:tc>
        <w:tc>
          <w:tcPr>
            <w:tcW w:w="200" w:type="dxa"/>
            <w:vAlign w:val="bottom"/>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12.7</w:t>
            </w:r>
          </w:p>
        </w:tc>
        <w:tc>
          <w:tcPr>
            <w:tcW w:w="60" w:type="dxa"/>
            <w:vAlign w:val="bottom"/>
            <w:shd w:val="clear" w:color="auto" w:fill="CCEEFF"/>
          </w:tcPr>
          <w:p>
            <w:pPr>
              <w:spacing w:after="0"/>
              <w:rPr>
                <w:sz w:val="9"/>
                <w:szCs w:val="9"/>
                <w:color w:val="auto"/>
              </w:rPr>
            </w:pPr>
          </w:p>
        </w:tc>
        <w:tc>
          <w:tcPr>
            <w:tcW w:w="14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(12.7)</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340"/>
              <w:spacing w:after="0"/>
              <w:rPr>
                <w:sz w:val="20"/>
                <w:szCs w:val="20"/>
                <w:color w:val="auto"/>
              </w:rPr>
            </w:pPr>
            <w:r>
              <w:rPr>
                <w:rFonts w:ascii="Arial" w:cs="Arial" w:eastAsia="Arial" w:hAnsi="Arial"/>
                <w:sz w:val="11"/>
                <w:szCs w:val="11"/>
                <w:color w:val="auto"/>
              </w:rPr>
              <w:t>Total intangible assets</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3,665.1</w:t>
            </w:r>
          </w:p>
        </w:tc>
        <w:tc>
          <w:tcPr>
            <w:tcW w:w="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13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(1,896.2)</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1,768.9</w:t>
            </w:r>
          </w:p>
        </w:tc>
        <w:tc>
          <w:tcPr>
            <w:tcW w:w="300" w:type="dxa"/>
            <w:vAlign w:val="bottom"/>
            <w:vMerge w:val="continue"/>
          </w:tcPr>
          <w:p>
            <w:pPr>
              <w:spacing w:after="0"/>
              <w:rPr>
                <w:sz w:val="9"/>
                <w:szCs w:val="9"/>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3,665.1</w:t>
            </w:r>
          </w:p>
        </w:tc>
        <w:tc>
          <w:tcPr>
            <w:tcW w:w="200" w:type="dxa"/>
            <w:vAlign w:val="bottom"/>
            <w:vMerge w:val="continue"/>
          </w:tcPr>
          <w:p>
            <w:pPr>
              <w:spacing w:after="0"/>
              <w:rPr>
                <w:sz w:val="9"/>
                <w:szCs w:val="9"/>
                <w:color w:val="auto"/>
              </w:rPr>
            </w:pPr>
          </w:p>
        </w:tc>
        <w:tc>
          <w:tcPr>
            <w:tcW w:w="6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(1,794.0)</w:t>
            </w:r>
          </w:p>
        </w:tc>
        <w:tc>
          <w:tcPr>
            <w:tcW w:w="120" w:type="dxa"/>
            <w:vAlign w:val="bottom"/>
          </w:tcPr>
          <w:p>
            <w:pPr>
              <w:jc w:val="right"/>
              <w:ind w:right="12"/>
              <w:spacing w:after="0" w:line="111" w:lineRule="exact"/>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11" w:lineRule="exact"/>
              <w:rPr>
                <w:sz w:val="20"/>
                <w:szCs w:val="20"/>
                <w:color w:val="auto"/>
              </w:rPr>
            </w:pPr>
            <w:r>
              <w:rPr>
                <w:rFonts w:ascii="Arial" w:cs="Arial" w:eastAsia="Arial" w:hAnsi="Arial"/>
                <w:sz w:val="11"/>
                <w:szCs w:val="11"/>
                <w:color w:val="auto"/>
                <w:w w:val="97"/>
              </w:rPr>
              <w:t>1,871.1</w:t>
            </w: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Intangible assets were unchanged as of June 30, 2010 as compared to December 31, 2009, exclusive of the impact of amortization. Our most significant intangible asset is the core technology related to AVONEX. The net book value of this asset as of June 30, 2010 was $1,439.3 million.</w:t>
      </w:r>
    </w:p>
    <w:p>
      <w:pPr>
        <w:spacing w:after="0" w:line="47"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For the three and six months ended June 30, 2010, amortization for acquired intangible assets totaled $53.1 million and $102.0 million, respectively, as compared to $93.2 million and $182.5 million, respectively, for the prior year comparative periods.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Goodwill remained unchanged as of June 30, 2010 as compared to December 31, 2009. As of June 30, 2010, we had no accumulated impairment losses.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p>
      <w:pPr>
        <w:ind w:left="1000" w:hanging="312"/>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4"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January 2010, we adopted a newly issued accounting standard which requires additional disclosure about the amounts of and reasons for significant transfers in and out of Level 1 and Level 2 fair value measurements. This standard also clarifies existing disclosure requirements related to the level of disaggregation of fair value measurements for each class of assets and liabilities and disclosures about inputs and valuation techniques used to measure fair value for both recurring and nonrecurring Level 2 and Level 3 measurements. As this newly issued accounting standard only requires enhanced disclosure, the adoption of this standard did not impact our financial position or results of operations. In addition, effective for interim and annual periods beginning after December 15, 2010, this standard will require additional disclosure and require an entity to present disaggregated information about activity in Level 3 fair value measurements on a gross basis, rather than as one net amount.</w:t>
      </w:r>
    </w:p>
    <w:p>
      <w:pPr>
        <w:spacing w:after="0" w:line="68"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The tables below present information about our assets and liabilities that are measured at fair value on a recurring basis as of June 30, 2010 and December 31, 2009 and indicate the fair value hierarchy of the valuation techniques we utilized to determine such fair value. In general, fair values determined by Level 1 inputs utilize quoted prices (unadjusted) in active markets for identical assets or liabilities. Fair values determined by Level 2 inputs utilize data points from active markets that are observable, such as quoted prices, interest rates and yield curves. Fair values determined by Level 3 inputs utilize unobservable data points for the asset or liability.</w:t>
      </w:r>
    </w:p>
    <w:p>
      <w:pPr>
        <w:spacing w:after="0" w:line="63" w:lineRule="exact"/>
        <w:rPr>
          <w:sz w:val="20"/>
          <w:szCs w:val="20"/>
          <w:color w:val="auto"/>
        </w:rPr>
      </w:pPr>
    </w:p>
    <w:p>
      <w:pPr>
        <w:ind w:left="680" w:right="100" w:firstLine="399"/>
        <w:spacing w:after="0" w:line="290" w:lineRule="auto"/>
        <w:rPr>
          <w:sz w:val="20"/>
          <w:szCs w:val="20"/>
          <w:color w:val="auto"/>
        </w:rPr>
      </w:pPr>
      <w:r>
        <w:rPr>
          <w:rFonts w:ascii="Arial" w:cs="Arial" w:eastAsia="Arial" w:hAnsi="Arial"/>
          <w:sz w:val="12"/>
          <w:szCs w:val="12"/>
          <w:color w:val="auto"/>
        </w:rPr>
        <w:t>A majority of our financial assets and liabilities have been classified as Level 2. Our financial assets and liabilities (which include our cash equivalents, derivative contracts, marketable debt securities, and plan assets for deferred compensation) have been initially valued at the transaction price and subsequently valued, at the end of each reporting period, typically utilizing third party pricing services or other market observable data. The pricing services utilize industry standard valuation models, including both income and market based approaches and observable market inputs to determine value. These observable market inputs include reportable trades, benchmark yields, credit spreads, broker/dealer quotes, bids, offers, current spot rates and other industry and economic events. We validate the prices provided by our third party pricing services by reviewing their pricing methods and matrices, obtaining market values from other pricing sources, analyzing pricing data in certain instances and confirming that the relevant markets are active. After completing our validation procedures, we did not adjust or override any fair value measurements provided by our pricing services as of June 30, 2010 and December 31, 2009.</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strategic investments in publicly traded equity securities are classified as Level 1 assets as their fair values are readily determinable and based on quoted market prices.</w:t>
      </w:r>
    </w:p>
    <w:p>
      <w:pPr>
        <w:spacing w:after="0" w:line="114" w:lineRule="exact"/>
        <w:rPr>
          <w:sz w:val="20"/>
          <w:szCs w:val="20"/>
          <w:color w:val="auto"/>
        </w:rPr>
      </w:pPr>
    </w:p>
    <w:p>
      <w:pPr>
        <w:ind w:left="680" w:right="20" w:firstLine="399"/>
        <w:spacing w:after="0" w:line="290" w:lineRule="auto"/>
        <w:rPr>
          <w:sz w:val="20"/>
          <w:szCs w:val="20"/>
          <w:color w:val="auto"/>
        </w:rPr>
      </w:pPr>
      <w:r>
        <w:rPr>
          <w:rFonts w:ascii="Arial" w:cs="Arial" w:eastAsia="Arial" w:hAnsi="Arial"/>
          <w:sz w:val="12"/>
          <w:szCs w:val="12"/>
          <w:color w:val="auto"/>
        </w:rPr>
        <w:t>Our venture capital investments represent investments in equity securities of certain privately held biotechnology companies or biotechnology oriented venture capital funds which primarily invest in small privately-owned, venture-backed biotechnology companies. These investments are the only assets for which we used Level 3 inputs to determine the fair value and represented approximately 0.3% of total assets as of both June 30, 2010 and December 31, 2009. The fair value of our investments in these venture capital funds has been estimated using the net asset value of the fund. The investments cannot be redeemed within the funds. Distributions from each will be received as the underlying investments of the fund are liquidated. The funds and therefore a majority of the underlying assets of the funds will not be liquidated in the near future. The underlying assets in these funds are initially measured at transaction prices and subsequently valued using the pricing of recent financing or by reviewing the underlying economic fundamentals and liquidation value of the companies. Gains and losses (realized and unrealized) included in earnings for the period are reported in other income (expense), net.</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transfers of assets or liabilities between the fair value measurement classifications.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tables set forth our financial assets and liabilities that were recorded at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4"/>
              </w:rPr>
              <w:t>Balance as of</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6"/>
              </w:rPr>
              <w:t>Quoted Prices in</w:t>
            </w:r>
          </w:p>
        </w:tc>
        <w:tc>
          <w:tcPr>
            <w:tcW w:w="180" w:type="dxa"/>
            <w:vAlign w:val="bottom"/>
          </w:tcPr>
          <w:p>
            <w:pPr>
              <w:spacing w:after="0"/>
              <w:rPr>
                <w:sz w:val="10"/>
                <w:szCs w:val="10"/>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w w:val="87"/>
              </w:rPr>
              <w:t>Significant Other</w:t>
            </w:r>
          </w:p>
        </w:tc>
        <w:tc>
          <w:tcPr>
            <w:tcW w:w="22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Significant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7"/>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6"/>
              </w:rPr>
              <w:t>June 30,</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90"/>
              </w:rPr>
              <w:t>Active Markets</w:t>
            </w:r>
          </w:p>
        </w:tc>
        <w:tc>
          <w:tcPr>
            <w:tcW w:w="180" w:type="dxa"/>
            <w:vAlign w:val="bottom"/>
          </w:tcPr>
          <w:p>
            <w:pPr>
              <w:spacing w:after="0"/>
              <w:rPr>
                <w:sz w:val="9"/>
                <w:szCs w:val="9"/>
                <w:color w:val="auto"/>
              </w:rPr>
            </w:pPr>
          </w:p>
        </w:tc>
        <w:tc>
          <w:tcPr>
            <w:tcW w:w="15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Observable Inputs</w:t>
            </w:r>
          </w:p>
        </w:tc>
        <w:tc>
          <w:tcPr>
            <w:tcW w:w="220" w:type="dxa"/>
            <w:vAlign w:val="bottom"/>
          </w:tcPr>
          <w:p>
            <w:pPr>
              <w:spacing w:after="0"/>
              <w:rPr>
                <w:sz w:val="9"/>
                <w:szCs w:val="9"/>
                <w:color w:val="auto"/>
              </w:rPr>
            </w:pPr>
          </w:p>
        </w:tc>
        <w:tc>
          <w:tcPr>
            <w:tcW w:w="12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0"/>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56"/>
              <w:spacing w:after="0"/>
              <w:rPr>
                <w:sz w:val="20"/>
                <w:szCs w:val="20"/>
                <w:color w:val="auto"/>
              </w:rPr>
            </w:pPr>
            <w:r>
              <w:rPr>
                <w:rFonts w:ascii="Arial" w:cs="Arial" w:eastAsia="Arial" w:hAnsi="Arial"/>
                <w:sz w:val="11"/>
                <w:szCs w:val="11"/>
                <w:b w:val="1"/>
                <w:bCs w:val="1"/>
                <w:color w:val="auto"/>
                <w:w w:val="89"/>
              </w:rPr>
              <w:t>2010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(Level 1)</w:t>
            </w:r>
          </w:p>
        </w:tc>
        <w:tc>
          <w:tcPr>
            <w:tcW w:w="180" w:type="dxa"/>
            <w:vAlign w:val="bottom"/>
          </w:tcPr>
          <w:p>
            <w:pPr>
              <w:spacing w:after="0"/>
              <w:rPr>
                <w:sz w:val="11"/>
                <w:szCs w:val="11"/>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4"/>
              </w:rPr>
              <w:t>(Level 2)</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(Level 3)</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Cash equivalents</w:t>
            </w:r>
          </w:p>
        </w:tc>
        <w:tc>
          <w:tcPr>
            <w:tcW w:w="4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612.8</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612.8</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Marketable debt securities: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249.3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249.3</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securities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469.5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469.5</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Arial" w:cs="Arial" w:eastAsia="Arial" w:hAnsi="Arial"/>
                <w:sz w:val="13"/>
                <w:szCs w:val="13"/>
                <w:color w:val="auto"/>
              </w:rPr>
              <w:t>Mortgage and other asset backed securities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96.0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96.0</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24.0</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Venture capital investments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Plan assets for deferred compensation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14.4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14.4</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1,549.6</w:t>
            </w:r>
          </w:p>
        </w:tc>
        <w:tc>
          <w:tcPr>
            <w:tcW w:w="4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24.0</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1,505.2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Derivative contracts</w:t>
            </w:r>
          </w:p>
        </w:tc>
        <w:tc>
          <w:tcPr>
            <w:tcW w:w="4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0.2</w:t>
            </w:r>
          </w:p>
        </w:tc>
        <w:tc>
          <w:tcPr>
            <w:tcW w:w="4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0.2</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4"/>
              </w:rPr>
              <w:t>Balance as of</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86"/>
              </w:rPr>
              <w:t>Quoted Prices in</w:t>
            </w:r>
          </w:p>
        </w:tc>
        <w:tc>
          <w:tcPr>
            <w:tcW w:w="180" w:type="dxa"/>
            <w:vAlign w:val="bottom"/>
          </w:tcPr>
          <w:p>
            <w:pPr>
              <w:spacing w:after="0"/>
              <w:rPr>
                <w:sz w:val="22"/>
                <w:szCs w:val="2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w w:val="87"/>
              </w:rPr>
              <w:t>Significant Other</w:t>
            </w:r>
          </w:p>
        </w:tc>
        <w:tc>
          <w:tcPr>
            <w:tcW w:w="220" w:type="dxa"/>
            <w:vAlign w:val="bottom"/>
          </w:tcPr>
          <w:p>
            <w:pPr>
              <w:spacing w:after="0"/>
              <w:rPr>
                <w:sz w:val="22"/>
                <w:szCs w:val="2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Significant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7"/>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6"/>
              </w:rPr>
              <w:t>December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90"/>
              </w:rPr>
              <w:t>Active Markets</w:t>
            </w:r>
          </w:p>
        </w:tc>
        <w:tc>
          <w:tcPr>
            <w:tcW w:w="180" w:type="dxa"/>
            <w:vAlign w:val="bottom"/>
          </w:tcPr>
          <w:p>
            <w:pPr>
              <w:spacing w:after="0"/>
              <w:rPr>
                <w:sz w:val="9"/>
                <w:szCs w:val="9"/>
                <w:color w:val="auto"/>
              </w:rPr>
            </w:pPr>
          </w:p>
        </w:tc>
        <w:tc>
          <w:tcPr>
            <w:tcW w:w="154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Observable Inputs</w:t>
            </w:r>
          </w:p>
        </w:tc>
        <w:tc>
          <w:tcPr>
            <w:tcW w:w="220" w:type="dxa"/>
            <w:vAlign w:val="bottom"/>
          </w:tcPr>
          <w:p>
            <w:pPr>
              <w:spacing w:after="0"/>
              <w:rPr>
                <w:sz w:val="9"/>
                <w:szCs w:val="9"/>
                <w:color w:val="auto"/>
              </w:rPr>
            </w:pPr>
          </w:p>
        </w:tc>
        <w:tc>
          <w:tcPr>
            <w:tcW w:w="12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0"/>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56"/>
              <w:spacing w:after="0"/>
              <w:rPr>
                <w:sz w:val="20"/>
                <w:szCs w:val="20"/>
                <w:color w:val="auto"/>
              </w:rPr>
            </w:pPr>
            <w:r>
              <w:rPr>
                <w:rFonts w:ascii="Arial" w:cs="Arial" w:eastAsia="Arial" w:hAnsi="Arial"/>
                <w:sz w:val="11"/>
                <w:szCs w:val="11"/>
                <w:b w:val="1"/>
                <w:bCs w:val="1"/>
                <w:color w:val="auto"/>
                <w:w w:val="89"/>
              </w:rPr>
              <w:t>2009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(Level 1)</w:t>
            </w:r>
          </w:p>
        </w:tc>
        <w:tc>
          <w:tcPr>
            <w:tcW w:w="180" w:type="dxa"/>
            <w:vAlign w:val="bottom"/>
          </w:tcPr>
          <w:p>
            <w:pPr>
              <w:spacing w:after="0"/>
              <w:rPr>
                <w:sz w:val="11"/>
                <w:szCs w:val="11"/>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4"/>
              </w:rPr>
              <w:t>(Level 2)</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(Level 3)</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Cash equivalents</w:t>
            </w:r>
          </w:p>
        </w:tc>
        <w:tc>
          <w:tcPr>
            <w:tcW w:w="4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476.4</w:t>
            </w:r>
          </w:p>
        </w:tc>
        <w:tc>
          <w:tcPr>
            <w:tcW w:w="4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476.4</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Marketable debt securities: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504.1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504.1</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Government securities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1,133.5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1,133.5</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Arial" w:cs="Arial" w:eastAsia="Arial" w:hAnsi="Arial"/>
                <w:sz w:val="13"/>
                <w:szCs w:val="13"/>
                <w:color w:val="auto"/>
              </w:rPr>
              <w:t>Mortgage and other asset backed securities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238.3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238.3</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Venture capital investments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Derivative contracts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15.8</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Plan assets for deferred compensation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13.6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3"/>
                <w:szCs w:val="13"/>
                <w:color w:val="auto"/>
              </w:rPr>
              <w:t>13.6</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2,409.5</w:t>
            </w:r>
          </w:p>
        </w:tc>
        <w:tc>
          <w:tcPr>
            <w:tcW w:w="4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2,381.7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Arial" w:cs="Arial" w:eastAsia="Arial" w:hAnsi="Arial"/>
                <w:sz w:val="13"/>
                <w:szCs w:val="13"/>
                <w:color w:val="auto"/>
              </w:rPr>
              <w:t>Liabilities:</w:t>
            </w: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8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Derivative contracts</w:t>
            </w:r>
          </w:p>
        </w:tc>
        <w:tc>
          <w:tcPr>
            <w:tcW w:w="4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w:t>
            </w:r>
          </w:p>
        </w:tc>
        <w:tc>
          <w:tcPr>
            <w:tcW w:w="4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11.1</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200" w:type="dxa"/>
            <w:vAlign w:val="bottom"/>
          </w:tcPr>
          <w:p>
            <w:pPr>
              <w:ind w:left="280"/>
              <w:spacing w:after="0"/>
              <w:rPr>
                <w:sz w:val="20"/>
                <w:szCs w:val="20"/>
                <w:color w:val="auto"/>
              </w:rPr>
            </w:pPr>
            <w:r>
              <w:rPr>
                <w:rFonts w:ascii="Arial" w:cs="Arial" w:eastAsia="Arial" w:hAnsi="Arial"/>
                <w:sz w:val="13"/>
                <w:szCs w:val="13"/>
                <w:color w:val="auto"/>
              </w:rPr>
              <w:t>Total</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3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34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roll forward of the fair value of our venture capital investments, where fair value is determined by Level 3 inputs: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1"/>
                <w:szCs w:val="11"/>
                <w:b w:val="1"/>
                <w:bCs w:val="1"/>
                <w:color w:val="auto"/>
              </w:rPr>
              <w:t>For the Three Months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28"/>
        </w:trPr>
        <w:tc>
          <w:tcPr>
            <w:tcW w:w="592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1"/>
                <w:szCs w:val="11"/>
                <w:b w:val="1"/>
                <w:bCs w:val="1"/>
                <w:color w:val="auto"/>
              </w:rPr>
              <w:t>Ended June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1"/>
                <w:szCs w:val="11"/>
                <w:b w:val="1"/>
                <w:bCs w:val="1"/>
                <w:color w:val="auto"/>
              </w:rPr>
              <w:t>Ended June 30,</w:t>
            </w:r>
          </w:p>
        </w:tc>
        <w:tc>
          <w:tcPr>
            <w:tcW w:w="0" w:type="dxa"/>
            <w:vAlign w:val="bottom"/>
          </w:tcPr>
          <w:p>
            <w:pPr>
              <w:spacing w:after="0"/>
              <w:rPr>
                <w:sz w:val="1"/>
                <w:szCs w:val="1"/>
                <w:color w:val="auto"/>
              </w:rPr>
            </w:pPr>
          </w:p>
        </w:tc>
      </w:tr>
      <w:tr>
        <w:trPr>
          <w:trHeight w:val="101"/>
        </w:trPr>
        <w:tc>
          <w:tcPr>
            <w:tcW w:w="59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jc w:val="right"/>
              <w:ind w:right="64"/>
              <w:spacing w:after="0" w:line="101" w:lineRule="exact"/>
              <w:rPr>
                <w:sz w:val="20"/>
                <w:szCs w:val="20"/>
                <w:color w:val="auto"/>
              </w:rPr>
            </w:pPr>
            <w:r>
              <w:rPr>
                <w:rFonts w:ascii="Arial" w:cs="Arial" w:eastAsia="Arial" w:hAnsi="Arial"/>
                <w:sz w:val="11"/>
                <w:szCs w:val="11"/>
                <w:b w:val="1"/>
                <w:bCs w:val="1"/>
                <w:color w:val="auto"/>
              </w:rPr>
              <w:t>2010</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2"/>
          </w:tcPr>
          <w:p>
            <w:pPr>
              <w:jc w:val="right"/>
              <w:ind w:right="33"/>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jc w:val="right"/>
              <w:ind w:right="43"/>
              <w:spacing w:after="0" w:line="101" w:lineRule="exact"/>
              <w:rPr>
                <w:sz w:val="20"/>
                <w:szCs w:val="20"/>
                <w:color w:val="auto"/>
              </w:rPr>
            </w:pPr>
            <w:r>
              <w:rPr>
                <w:rFonts w:ascii="Arial" w:cs="Arial" w:eastAsia="Arial" w:hAnsi="Arial"/>
                <w:sz w:val="11"/>
                <w:szCs w:val="11"/>
                <w:b w:val="1"/>
                <w:bCs w:val="1"/>
                <w:color w:val="auto"/>
              </w:rPr>
              <w:t>2010</w:t>
            </w: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9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3"/>
                <w:szCs w:val="13"/>
                <w:color w:val="auto"/>
              </w:rPr>
              <w:t>$ 20.8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$ 24.3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$ 21.9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$ 23.9</w:t>
            </w:r>
          </w:p>
        </w:tc>
        <w:tc>
          <w:tcPr>
            <w:tcW w:w="0" w:type="dxa"/>
            <w:vAlign w:val="bottom"/>
          </w:tcPr>
          <w:p>
            <w:pPr>
              <w:spacing w:after="0"/>
              <w:rPr>
                <w:sz w:val="1"/>
                <w:szCs w:val="1"/>
                <w:color w:val="auto"/>
              </w:rPr>
            </w:pPr>
          </w:p>
        </w:tc>
      </w:tr>
      <w:tr>
        <w:trPr>
          <w:trHeight w:val="161"/>
        </w:trPr>
        <w:tc>
          <w:tcPr>
            <w:tcW w:w="5920" w:type="dxa"/>
            <w:vAlign w:val="bottom"/>
          </w:tcPr>
          <w:p>
            <w:pPr>
              <w:ind w:left="140"/>
              <w:spacing w:after="0"/>
              <w:rPr>
                <w:sz w:val="20"/>
                <w:szCs w:val="20"/>
                <w:color w:val="auto"/>
              </w:rPr>
            </w:pPr>
            <w:r>
              <w:rPr>
                <w:rFonts w:ascii="Arial" w:cs="Arial" w:eastAsia="Arial" w:hAnsi="Arial"/>
                <w:sz w:val="13"/>
                <w:szCs w:val="13"/>
                <w:color w:val="auto"/>
              </w:rPr>
              <w:t>Total net unrealized gains (losses) included in earnings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1"/>
        </w:trPr>
        <w:tc>
          <w:tcPr>
            <w:tcW w:w="5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purchases, issuances and settlements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20"/>
                <w:szCs w:val="20"/>
                <w:color w:val="auto"/>
              </w:rPr>
            </w:pPr>
            <w:r>
              <w:rPr>
                <w:rFonts w:ascii="Arial" w:cs="Arial" w:eastAsia="Arial" w:hAnsi="Arial"/>
                <w:sz w:val="13"/>
                <w:szCs w:val="13"/>
                <w:color w:val="auto"/>
              </w:rPr>
              <w:t>Ending balance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3"/>
                <w:szCs w:val="13"/>
                <w:color w:val="auto"/>
                <w:w w:val="88"/>
              </w:rPr>
              <w:t>$ 20.4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$ 21.6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$ 20.4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400"/>
              <w:spacing w:after="0"/>
              <w:rPr>
                <w:sz w:val="20"/>
                <w:szCs w:val="20"/>
                <w:color w:val="auto"/>
              </w:rPr>
            </w:pPr>
            <w:r>
              <w:rPr>
                <w:rFonts w:ascii="Arial" w:cs="Arial" w:eastAsia="Arial" w:hAnsi="Arial"/>
                <w:sz w:val="13"/>
                <w:szCs w:val="13"/>
                <w:color w:val="auto"/>
              </w:rPr>
              <w:t>The fair and carrying value of our debt instruments are summarized as follows:</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1"/>
                <w:szCs w:val="11"/>
                <w:b w:val="1"/>
                <w:bCs w:val="1"/>
                <w:color w:val="auto"/>
                <w:w w:val="99"/>
              </w:rPr>
              <w:t>As of June 30, 2010</w:t>
            </w:r>
          </w:p>
        </w:tc>
        <w:tc>
          <w:tcPr>
            <w:tcW w:w="140" w:type="dxa"/>
            <w:vAlign w:val="bottom"/>
          </w:tcPr>
          <w:p>
            <w:pPr>
              <w:spacing w:after="0"/>
              <w:rPr>
                <w:sz w:val="18"/>
                <w:szCs w:val="18"/>
                <w:color w:val="auto"/>
              </w:rPr>
            </w:pPr>
          </w:p>
        </w:tc>
        <w:tc>
          <w:tcPr>
            <w:tcW w:w="1540" w:type="dxa"/>
            <w:vAlign w:val="bottom"/>
            <w:gridSpan w:val="7"/>
          </w:tcPr>
          <w:p>
            <w:pPr>
              <w:jc w:val="right"/>
              <w:ind w:right="320"/>
              <w:spacing w:after="0"/>
              <w:rPr>
                <w:sz w:val="20"/>
                <w:szCs w:val="20"/>
                <w:color w:val="auto"/>
              </w:rPr>
            </w:pPr>
            <w:r>
              <w:rPr>
                <w:rFonts w:ascii="Arial" w:cs="Arial" w:eastAsia="Arial" w:hAnsi="Arial"/>
                <w:sz w:val="11"/>
                <w:szCs w:val="11"/>
                <w:b w:val="1"/>
                <w:bCs w:val="1"/>
                <w:color w:val="auto"/>
                <w:w w:val="92"/>
              </w:rPr>
              <w:t>As of December 31, 2009</w:t>
            </w:r>
          </w:p>
        </w:tc>
        <w:tc>
          <w:tcPr>
            <w:tcW w:w="0" w:type="dxa"/>
            <w:vAlign w:val="bottom"/>
          </w:tcPr>
          <w:p>
            <w:pPr>
              <w:spacing w:after="0"/>
              <w:rPr>
                <w:sz w:val="1"/>
                <w:szCs w:val="1"/>
                <w:color w:val="auto"/>
              </w:rPr>
            </w:pPr>
          </w:p>
        </w:tc>
      </w:tr>
      <w:tr>
        <w:trPr>
          <w:trHeight w:val="84"/>
        </w:trPr>
        <w:tc>
          <w:tcPr>
            <w:tcW w:w="592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tcPr>
          <w:p>
            <w:pPr>
              <w:jc w:val="right"/>
              <w:ind w:right="600"/>
              <w:spacing w:after="0" w:line="84" w:lineRule="exact"/>
              <w:rPr>
                <w:sz w:val="20"/>
                <w:szCs w:val="20"/>
                <w:color w:val="auto"/>
              </w:rPr>
            </w:pPr>
            <w:r>
              <w:rPr>
                <w:rFonts w:ascii="Arial" w:cs="Arial" w:eastAsia="Arial" w:hAnsi="Arial"/>
                <w:sz w:val="9"/>
                <w:szCs w:val="9"/>
                <w:b w:val="1"/>
                <w:bCs w:val="1"/>
                <w:color w:val="auto"/>
              </w:rPr>
              <w:t>Fair</w:t>
            </w: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right"/>
              <w:ind w:right="13"/>
              <w:spacing w:after="0" w:line="84" w:lineRule="exact"/>
              <w:rPr>
                <w:sz w:val="20"/>
                <w:szCs w:val="20"/>
                <w:color w:val="auto"/>
              </w:rPr>
            </w:pPr>
            <w:r>
              <w:rPr>
                <w:rFonts w:ascii="Arial" w:cs="Arial" w:eastAsia="Arial" w:hAnsi="Arial"/>
                <w:sz w:val="9"/>
                <w:szCs w:val="9"/>
                <w:b w:val="1"/>
                <w:bCs w:val="1"/>
                <w:color w:val="auto"/>
              </w:rPr>
              <w:t>Carrying</w:t>
            </w: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3"/>
          </w:tcPr>
          <w:p>
            <w:pPr>
              <w:jc w:val="right"/>
              <w:ind w:right="580"/>
              <w:spacing w:after="0" w:line="84" w:lineRule="exact"/>
              <w:rPr>
                <w:sz w:val="20"/>
                <w:szCs w:val="20"/>
                <w:color w:val="auto"/>
              </w:rPr>
            </w:pPr>
            <w:r>
              <w:rPr>
                <w:rFonts w:ascii="Arial" w:cs="Arial" w:eastAsia="Arial" w:hAnsi="Arial"/>
                <w:sz w:val="9"/>
                <w:szCs w:val="9"/>
                <w:b w:val="1"/>
                <w:bCs w:val="1"/>
                <w:color w:val="auto"/>
              </w:rPr>
              <w:t>Fair</w:t>
            </w: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right"/>
              <w:ind w:right="13"/>
              <w:spacing w:after="0" w:line="84" w:lineRule="exact"/>
              <w:rPr>
                <w:sz w:val="20"/>
                <w:szCs w:val="20"/>
                <w:color w:val="auto"/>
              </w:rPr>
            </w:pPr>
            <w:r>
              <w:rPr>
                <w:rFonts w:ascii="Arial" w:cs="Arial" w:eastAsia="Arial" w:hAnsi="Arial"/>
                <w:sz w:val="9"/>
                <w:szCs w:val="9"/>
                <w:b w:val="1"/>
                <w:bCs w:val="1"/>
                <w:color w:val="auto"/>
              </w:rPr>
              <w:t>Carrying</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w w:val="95"/>
              </w:rPr>
              <w:t>Value</w:t>
            </w:r>
          </w:p>
        </w:tc>
        <w:tc>
          <w:tcPr>
            <w:tcW w:w="80" w:type="dxa"/>
            <w:vAlign w:val="bottom"/>
          </w:tcPr>
          <w:p>
            <w:pPr>
              <w:spacing w:after="0"/>
              <w:rPr>
                <w:sz w:val="11"/>
                <w:szCs w:val="11"/>
                <w:color w:val="auto"/>
              </w:rPr>
            </w:pPr>
          </w:p>
        </w:tc>
        <w:tc>
          <w:tcPr>
            <w:tcW w:w="920" w:type="dxa"/>
            <w:vAlign w:val="bottom"/>
            <w:gridSpan w:val="3"/>
          </w:tcPr>
          <w:p>
            <w:pPr>
              <w:jc w:val="right"/>
              <w:ind w:right="560"/>
              <w:spacing w:after="0"/>
              <w:rPr>
                <w:sz w:val="20"/>
                <w:szCs w:val="20"/>
                <w:color w:val="auto"/>
              </w:rPr>
            </w:pPr>
            <w:r>
              <w:rPr>
                <w:rFonts w:ascii="Arial" w:cs="Arial" w:eastAsia="Arial" w:hAnsi="Arial"/>
                <w:sz w:val="11"/>
                <w:szCs w:val="11"/>
                <w:b w:val="1"/>
                <w:bCs w:val="1"/>
                <w:color w:val="auto"/>
              </w:rPr>
              <w:t>Value</w:t>
            </w:r>
          </w:p>
        </w:tc>
        <w:tc>
          <w:tcPr>
            <w:tcW w:w="140" w:type="dxa"/>
            <w:vAlign w:val="bottom"/>
          </w:tcPr>
          <w:p>
            <w:pPr>
              <w:spacing w:after="0"/>
              <w:rPr>
                <w:sz w:val="11"/>
                <w:szCs w:val="11"/>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1"/>
                <w:szCs w:val="11"/>
                <w:b w:val="1"/>
                <w:bCs w:val="1"/>
                <w:color w:val="auto"/>
                <w:w w:val="95"/>
              </w:rPr>
              <w:t>Value</w:t>
            </w:r>
          </w:p>
        </w:tc>
        <w:tc>
          <w:tcPr>
            <w:tcW w:w="80" w:type="dxa"/>
            <w:vAlign w:val="bottom"/>
          </w:tcPr>
          <w:p>
            <w:pPr>
              <w:spacing w:after="0"/>
              <w:rPr>
                <w:sz w:val="11"/>
                <w:szCs w:val="1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30"/>
        </w:trPr>
        <w:tc>
          <w:tcPr>
            <w:tcW w:w="59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Credit line from Dompé</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20"/>
                <w:szCs w:val="20"/>
                <w:color w:val="auto"/>
              </w:rPr>
            </w:pPr>
            <w:r>
              <w:rPr>
                <w:rFonts w:ascii="Arial" w:cs="Arial" w:eastAsia="Arial" w:hAnsi="Arial"/>
                <w:sz w:val="13"/>
                <w:szCs w:val="13"/>
                <w:color w:val="auto"/>
              </w:rPr>
              <w:t>Notes payable to Fumedica</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3"/>
                <w:szCs w:val="13"/>
                <w:color w:val="auto"/>
              </w:rPr>
              <w:t>31.3</w:t>
            </w:r>
          </w:p>
        </w:tc>
        <w:tc>
          <w:tcPr>
            <w:tcW w:w="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3"/>
                <w:szCs w:val="13"/>
                <w:color w:val="auto"/>
              </w:rPr>
              <w:t>6.0% Senior Notes due 2013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492.9</w:t>
            </w: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449.7</w:t>
            </w: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475.7</w:t>
            </w: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20"/>
                <w:szCs w:val="20"/>
                <w:color w:val="auto"/>
              </w:rPr>
            </w:pPr>
            <w:r>
              <w:rPr>
                <w:rFonts w:ascii="Arial" w:cs="Arial" w:eastAsia="Arial" w:hAnsi="Arial"/>
                <w:sz w:val="13"/>
                <w:szCs w:val="13"/>
                <w:color w:val="auto"/>
              </w:rPr>
              <w:t>6.875% Senior Notes due 2018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3"/>
                <w:szCs w:val="13"/>
                <w:color w:val="auto"/>
              </w:rPr>
              <w:t>619.3</w:t>
            </w:r>
          </w:p>
        </w:tc>
        <w:tc>
          <w:tcPr>
            <w:tcW w:w="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3"/>
                <w:szCs w:val="13"/>
                <w:color w:val="auto"/>
              </w:rPr>
              <w:t>600.6</w:t>
            </w:r>
          </w:p>
        </w:tc>
        <w:tc>
          <w:tcPr>
            <w:tcW w:w="14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3"/>
                <w:szCs w:val="13"/>
                <w:color w:val="auto"/>
              </w:rPr>
              <w:t>589.1</w:t>
            </w:r>
          </w:p>
        </w:tc>
        <w:tc>
          <w:tcPr>
            <w:tcW w:w="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1,144.4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1,079.8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1,113.3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fair values of our credit line from Dompé and our note payable to Fumedica were estimated using an income-based approach with market observable inputs including current interest and foreign currency exchange rates. The fair value of our Senior Notes was determined through a market-based approach using observable and corroborated sources; within the hierarchy of fair value measurements, these are classified as Level 2 fair values.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5980" w:type="dxa"/>
            <w:vAlign w:val="bottom"/>
            <w:gridSpan w:val="2"/>
          </w:tcPr>
          <w:p>
            <w:pPr>
              <w:ind w:left="200"/>
              <w:spacing w:after="0"/>
              <w:rPr>
                <w:sz w:val="20"/>
                <w:szCs w:val="20"/>
                <w:color w:val="auto"/>
              </w:rPr>
            </w:pPr>
            <w:r>
              <w:rPr>
                <w:rFonts w:ascii="Arial" w:cs="Arial" w:eastAsia="Arial" w:hAnsi="Arial"/>
                <w:sz w:val="13"/>
                <w:szCs w:val="13"/>
                <w:b w:val="1"/>
                <w:bCs w:val="1"/>
                <w:color w:val="auto"/>
              </w:rPr>
              <w:t>Financial Instruments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5980" w:type="dxa"/>
            <w:vAlign w:val="bottom"/>
            <w:gridSpan w:val="2"/>
          </w:tcPr>
          <w:p>
            <w:pPr>
              <w:ind w:left="80"/>
              <w:spacing w:after="0"/>
              <w:rPr>
                <w:sz w:val="20"/>
                <w:szCs w:val="20"/>
                <w:color w:val="auto"/>
              </w:rPr>
            </w:pPr>
            <w:r>
              <w:rPr>
                <w:rFonts w:ascii="Arial" w:cs="Arial" w:eastAsia="Arial" w:hAnsi="Arial"/>
                <w:sz w:val="13"/>
                <w:szCs w:val="13"/>
                <w:b w:val="1"/>
                <w:bCs w:val="1"/>
                <w:i w:val="1"/>
                <w:iCs w:val="1"/>
                <w:color w:val="auto"/>
              </w:rPr>
              <w:t>Marketable Securities, including Strategic Investments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5980" w:type="dxa"/>
            <w:vAlign w:val="bottom"/>
            <w:gridSpan w:val="2"/>
          </w:tcPr>
          <w:p>
            <w:pPr>
              <w:ind w:left="280"/>
              <w:spacing w:after="0"/>
              <w:rPr>
                <w:sz w:val="20"/>
                <w:szCs w:val="20"/>
                <w:color w:val="auto"/>
              </w:rPr>
            </w:pPr>
            <w:r>
              <w:rPr>
                <w:rFonts w:ascii="Arial" w:cs="Arial" w:eastAsia="Arial" w:hAnsi="Arial"/>
                <w:sz w:val="13"/>
                <w:szCs w:val="13"/>
                <w:color w:val="auto"/>
              </w:rPr>
              <w:t>The following tables summarize our marketable securities and strategic investments:</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16"/>
                <w:szCs w:val="16"/>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1"/>
              </w:rPr>
              <w:t>Gross</w:t>
            </w:r>
          </w:p>
        </w:tc>
        <w:tc>
          <w:tcPr>
            <w:tcW w:w="80" w:type="dxa"/>
            <w:vAlign w:val="bottom"/>
          </w:tcPr>
          <w:p>
            <w:pPr>
              <w:spacing w:after="0"/>
              <w:rPr>
                <w:sz w:val="16"/>
                <w:szCs w:val="16"/>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1"/>
              </w:rPr>
              <w:t>Gross</w:t>
            </w: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Amortized</w:t>
            </w:r>
          </w:p>
        </w:tc>
        <w:tc>
          <w:tcPr>
            <w:tcW w:w="0" w:type="dxa"/>
            <w:vAlign w:val="bottom"/>
          </w:tcPr>
          <w:p>
            <w:pPr>
              <w:spacing w:after="0"/>
              <w:rPr>
                <w:sz w:val="1"/>
                <w:szCs w:val="1"/>
                <w:color w:val="auto"/>
              </w:rPr>
            </w:pPr>
          </w:p>
        </w:tc>
      </w:tr>
      <w:tr>
        <w:trPr>
          <w:trHeight w:val="111"/>
        </w:trPr>
        <w:tc>
          <w:tcPr>
            <w:tcW w:w="61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As of June 30, 2010 (In millions):</w:t>
            </w:r>
          </w:p>
        </w:tc>
        <w:tc>
          <w:tcPr>
            <w:tcW w:w="2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1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1"/>
                <w:szCs w:val="11"/>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4"/>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40" w:type="dxa"/>
            <w:vAlign w:val="bottom"/>
          </w:tcPr>
          <w:p>
            <w:pPr>
              <w:spacing w:after="0"/>
              <w:rPr>
                <w:sz w:val="11"/>
                <w:szCs w:val="1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0" w:type="dxa"/>
            <w:vAlign w:val="bottom"/>
          </w:tcPr>
          <w:p>
            <w:pPr>
              <w:spacing w:after="0"/>
              <w:rPr>
                <w:sz w:val="1"/>
                <w:szCs w:val="1"/>
                <w:color w:val="auto"/>
              </w:rPr>
            </w:pPr>
          </w:p>
        </w:tc>
      </w:tr>
      <w:tr>
        <w:trPr>
          <w:trHeight w:val="30"/>
        </w:trPr>
        <w:tc>
          <w:tcPr>
            <w:tcW w:w="120" w:type="dxa"/>
            <w:vAlign w:val="bottom"/>
            <w:tcBorders>
              <w:top w:val="single" w:sz="8" w:color="auto"/>
            </w:tcBorders>
          </w:tcPr>
          <w:p>
            <w:pPr>
              <w:spacing w:after="0"/>
              <w:rPr>
                <w:sz w:val="2"/>
                <w:szCs w:val="2"/>
                <w:color w:val="auto"/>
              </w:rPr>
            </w:pPr>
          </w:p>
        </w:tc>
        <w:tc>
          <w:tcPr>
            <w:tcW w:w="57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Corporate debt securities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w w:val="87"/>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159.6</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157.0</w:t>
            </w: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Government securities</w:t>
            </w:r>
          </w:p>
        </w:tc>
        <w:tc>
          <w:tcPr>
            <w:tcW w:w="2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153.0</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152.6</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316.5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Mortgage and other asset backed securities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available-for-sale securities</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$ 814.8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806.6</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Other Investments</w:t>
            </w: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4"/>
                <w:szCs w:val="4"/>
                <w:color w:val="auto"/>
                <w:w w:val="87"/>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 w:type="dxa"/>
            <w:vAlign w:val="bottom"/>
          </w:tcPr>
          <w:p>
            <w:pPr>
              <w:spacing w:after="0"/>
              <w:rPr>
                <w:sz w:val="22"/>
                <w:szCs w:val="22"/>
                <w:color w:val="auto"/>
              </w:rPr>
            </w:pPr>
          </w:p>
        </w:tc>
        <w:tc>
          <w:tcPr>
            <w:tcW w:w="5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22"/>
                <w:szCs w:val="22"/>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1"/>
              </w:rPr>
              <w:t>Gross</w:t>
            </w:r>
          </w:p>
        </w:tc>
        <w:tc>
          <w:tcPr>
            <w:tcW w:w="80" w:type="dxa"/>
            <w:vAlign w:val="bottom"/>
          </w:tcPr>
          <w:p>
            <w:pPr>
              <w:spacing w:after="0"/>
              <w:rPr>
                <w:sz w:val="22"/>
                <w:szCs w:val="2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1"/>
              </w:rPr>
              <w:t>Gross</w:t>
            </w: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Amortized</w:t>
            </w:r>
          </w:p>
        </w:tc>
        <w:tc>
          <w:tcPr>
            <w:tcW w:w="0" w:type="dxa"/>
            <w:vAlign w:val="bottom"/>
          </w:tcPr>
          <w:p>
            <w:pPr>
              <w:spacing w:after="0"/>
              <w:rPr>
                <w:sz w:val="1"/>
                <w:szCs w:val="1"/>
                <w:color w:val="auto"/>
              </w:rPr>
            </w:pPr>
          </w:p>
        </w:tc>
      </w:tr>
      <w:tr>
        <w:trPr>
          <w:trHeight w:val="111"/>
        </w:trPr>
        <w:tc>
          <w:tcPr>
            <w:tcW w:w="61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As of December 31, 2009 (In millions):</w:t>
            </w:r>
          </w:p>
        </w:tc>
        <w:tc>
          <w:tcPr>
            <w:tcW w:w="2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80"/>
              <w:spacing w:after="0" w:line="111"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9"/>
              </w:rPr>
              <w:t>Unrealized</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100" w:type="dxa"/>
            <w:vAlign w:val="bottom"/>
            <w:gridSpan w:val="3"/>
            <w:vMerge w:val="continue"/>
          </w:tcPr>
          <w:p>
            <w:pPr>
              <w:spacing w:after="0"/>
              <w:rPr>
                <w:sz w:val="11"/>
                <w:szCs w:val="11"/>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1"/>
                <w:szCs w:val="11"/>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4"/>
              </w:rPr>
              <w:t>Gains</w:t>
            </w:r>
          </w:p>
        </w:tc>
        <w:tc>
          <w:tcPr>
            <w:tcW w:w="8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79"/>
              </w:rPr>
              <w:t>Losses</w:t>
            </w:r>
          </w:p>
        </w:tc>
        <w:tc>
          <w:tcPr>
            <w:tcW w:w="140" w:type="dxa"/>
            <w:vAlign w:val="bottom"/>
          </w:tcPr>
          <w:p>
            <w:pPr>
              <w:spacing w:after="0"/>
              <w:rPr>
                <w:sz w:val="11"/>
                <w:szCs w:val="1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0" w:type="dxa"/>
            <w:vAlign w:val="bottom"/>
          </w:tcPr>
          <w:p>
            <w:pPr>
              <w:spacing w:after="0"/>
              <w:rPr>
                <w:sz w:val="1"/>
                <w:szCs w:val="1"/>
                <w:color w:val="auto"/>
              </w:rPr>
            </w:pPr>
          </w:p>
        </w:tc>
      </w:tr>
      <w:tr>
        <w:trPr>
          <w:trHeight w:val="30"/>
        </w:trPr>
        <w:tc>
          <w:tcPr>
            <w:tcW w:w="120" w:type="dxa"/>
            <w:vAlign w:val="bottom"/>
            <w:tcBorders>
              <w:top w:val="single" w:sz="8" w:color="auto"/>
            </w:tcBorders>
          </w:tcPr>
          <w:p>
            <w:pPr>
              <w:spacing w:after="0"/>
              <w:rPr>
                <w:sz w:val="2"/>
                <w:szCs w:val="2"/>
                <w:color w:val="auto"/>
              </w:rPr>
            </w:pPr>
          </w:p>
        </w:tc>
        <w:tc>
          <w:tcPr>
            <w:tcW w:w="5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Corporate debt securities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177.2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326.9</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321.5</w:t>
            </w: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Government securities</w:t>
            </w:r>
          </w:p>
        </w:tc>
        <w:tc>
          <w:tcPr>
            <w:tcW w:w="26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501.6</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500.4</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631.9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628.3</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3"/>
                <w:szCs w:val="13"/>
                <w:color w:val="auto"/>
              </w:rPr>
              <w:t>Mortgage and other asset backed securities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5980" w:type="dxa"/>
            <w:vAlign w:val="bottom"/>
            <w:gridSpan w:val="2"/>
          </w:tcPr>
          <w:p>
            <w:pPr>
              <w:ind w:left="20"/>
              <w:spacing w:after="0"/>
              <w:rPr>
                <w:sz w:val="20"/>
                <w:szCs w:val="20"/>
                <w:color w:val="auto"/>
              </w:rPr>
            </w:pPr>
            <w:r>
              <w:rPr>
                <w:rFonts w:ascii="Arial" w:cs="Arial" w:eastAsia="Arial" w:hAnsi="Arial"/>
                <w:sz w:val="13"/>
                <w:szCs w:val="13"/>
                <w:color w:val="auto"/>
              </w:rPr>
              <w:t>Non-current</w:t>
            </w:r>
          </w:p>
        </w:tc>
        <w:tc>
          <w:tcPr>
            <w:tcW w:w="26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235.3</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Total available-for-sale securities</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1,875.9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1,860.5</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Other Investments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26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In the tables above, as of June 30, 2010 and December 31, 2009, government securities included $111.3 million and $298.8 million, respectively, of Federal Deposit Insurance Corporation (FDIC) guaranteed senior notes issued by financial institutions under the Temporary Liquidity Guarantee Program.</w:t>
      </w:r>
    </w:p>
    <w:p>
      <w:pPr>
        <w:spacing w:after="0" w:line="47"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Certain commercial paper and short-term debt securities with original maturities of less than 90 days are included in cash and cash equivalents on the accompanying consolidated balance sheets and are not included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280"/>
        <w:spacing w:after="0" w:line="294" w:lineRule="auto"/>
        <w:rPr>
          <w:sz w:val="20"/>
          <w:szCs w:val="20"/>
          <w:color w:val="auto"/>
        </w:rPr>
      </w:pPr>
      <w:r>
        <w:rPr>
          <w:rFonts w:ascii="Arial" w:cs="Arial" w:eastAsia="Arial" w:hAnsi="Arial"/>
          <w:sz w:val="13"/>
          <w:szCs w:val="13"/>
          <w:color w:val="auto"/>
        </w:rPr>
        <w:t>in the tables above. As of June 30, 2010 and December 31, 2009, the commercial paper, including accrued interest, had fair and carrying values of $137.5 million and $76.9 million, respectively, and short-term debt securities had fair and carrying values of $475.3 million and $399.5 million, respectively.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Contractual Maturities: Available-for-Sale Securities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fair value and amortized cost of securities, excluding strategic investments, available-for-sale by contractual maturity are summarized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1"/>
                <w:szCs w:val="11"/>
                <w:b w:val="1"/>
                <w:bCs w:val="1"/>
                <w:color w:val="auto"/>
              </w:rPr>
              <w:t>As of June 30, 2010</w:t>
            </w:r>
          </w:p>
        </w:tc>
        <w:tc>
          <w:tcPr>
            <w:tcW w:w="80" w:type="dxa"/>
            <w:vAlign w:val="bottom"/>
          </w:tcPr>
          <w:p>
            <w:pPr>
              <w:spacing w:after="0"/>
              <w:rPr>
                <w:sz w:val="11"/>
                <w:szCs w:val="11"/>
                <w:color w:val="auto"/>
              </w:rPr>
            </w:pPr>
          </w:p>
        </w:tc>
        <w:tc>
          <w:tcPr>
            <w:tcW w:w="1600" w:type="dxa"/>
            <w:vAlign w:val="bottom"/>
            <w:gridSpan w:val="5"/>
          </w:tcPr>
          <w:p>
            <w:pPr>
              <w:ind w:left="160"/>
              <w:spacing w:after="0"/>
              <w:rPr>
                <w:sz w:val="20"/>
                <w:szCs w:val="20"/>
                <w:color w:val="auto"/>
              </w:rPr>
            </w:pPr>
            <w:r>
              <w:rPr>
                <w:rFonts w:ascii="Arial" w:cs="Arial" w:eastAsia="Arial" w:hAnsi="Arial"/>
                <w:sz w:val="11"/>
                <w:szCs w:val="11"/>
                <w:b w:val="1"/>
                <w:bCs w:val="1"/>
                <w:color w:val="auto"/>
              </w:rPr>
              <w:t>As of December 31, 2009</w:t>
            </w:r>
          </w:p>
        </w:tc>
        <w:tc>
          <w:tcPr>
            <w:tcW w:w="0" w:type="dxa"/>
            <w:vAlign w:val="bottom"/>
          </w:tcPr>
          <w:p>
            <w:pPr>
              <w:spacing w:after="0"/>
              <w:rPr>
                <w:sz w:val="1"/>
                <w:szCs w:val="1"/>
                <w:color w:val="auto"/>
              </w:rPr>
            </w:pPr>
          </w:p>
        </w:tc>
      </w:tr>
      <w:tr>
        <w:trPr>
          <w:trHeight w:val="84"/>
        </w:trPr>
        <w:tc>
          <w:tcPr>
            <w:tcW w:w="6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3"/>
          </w:tcPr>
          <w:p>
            <w:pPr>
              <w:spacing w:after="0" w:line="84" w:lineRule="exact"/>
              <w:rPr>
                <w:sz w:val="20"/>
                <w:szCs w:val="20"/>
                <w:color w:val="auto"/>
              </w:rPr>
            </w:pPr>
            <w:r>
              <w:rPr>
                <w:rFonts w:ascii="Arial" w:cs="Arial" w:eastAsia="Arial" w:hAnsi="Arial"/>
                <w:sz w:val="9"/>
                <w:szCs w:val="9"/>
                <w:b w:val="1"/>
                <w:bCs w:val="1"/>
                <w:color w:val="auto"/>
              </w:rPr>
              <w:t>Estimated</w:t>
            </w:r>
          </w:p>
        </w:tc>
        <w:tc>
          <w:tcPr>
            <w:tcW w:w="600" w:type="dxa"/>
            <w:vAlign w:val="bottom"/>
            <w:tcBorders>
              <w:top w:val="single" w:sz="8" w:color="auto"/>
            </w:tcBorders>
            <w:gridSpan w:val="2"/>
          </w:tcPr>
          <w:p>
            <w:pPr>
              <w:jc w:val="right"/>
              <w:spacing w:after="0" w:line="84" w:lineRule="exact"/>
              <w:rPr>
                <w:sz w:val="20"/>
                <w:szCs w:val="20"/>
                <w:color w:val="auto"/>
              </w:rPr>
            </w:pPr>
            <w:r>
              <w:rPr>
                <w:rFonts w:ascii="Arial" w:cs="Arial" w:eastAsia="Arial" w:hAnsi="Arial"/>
                <w:sz w:val="9"/>
                <w:szCs w:val="9"/>
                <w:b w:val="1"/>
                <w:bCs w:val="1"/>
                <w:color w:val="auto"/>
              </w:rPr>
              <w:t>Amortized</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spacing w:after="0" w:line="84" w:lineRule="exact"/>
              <w:rPr>
                <w:sz w:val="20"/>
                <w:szCs w:val="20"/>
                <w:color w:val="auto"/>
              </w:rPr>
            </w:pPr>
            <w:r>
              <w:rPr>
                <w:rFonts w:ascii="Arial" w:cs="Arial" w:eastAsia="Arial" w:hAnsi="Arial"/>
                <w:sz w:val="9"/>
                <w:szCs w:val="9"/>
                <w:b w:val="1"/>
                <w:bCs w:val="1"/>
                <w:color w:val="auto"/>
              </w:rPr>
              <w:t>Estimated</w:t>
            </w:r>
          </w:p>
        </w:tc>
        <w:tc>
          <w:tcPr>
            <w:tcW w:w="600" w:type="dxa"/>
            <w:vAlign w:val="bottom"/>
            <w:tcBorders>
              <w:top w:val="single" w:sz="8" w:color="auto"/>
            </w:tcBorders>
            <w:gridSpan w:val="2"/>
          </w:tcPr>
          <w:p>
            <w:pPr>
              <w:jc w:val="center"/>
              <w:spacing w:after="0" w:line="84" w:lineRule="exact"/>
              <w:rPr>
                <w:sz w:val="20"/>
                <w:szCs w:val="20"/>
                <w:color w:val="auto"/>
              </w:rPr>
            </w:pPr>
            <w:r>
              <w:rPr>
                <w:rFonts w:ascii="Arial" w:cs="Arial" w:eastAsia="Arial" w:hAnsi="Arial"/>
                <w:sz w:val="9"/>
                <w:szCs w:val="9"/>
                <w:b w:val="1"/>
                <w:bCs w:val="1"/>
                <w:color w:val="auto"/>
              </w:rPr>
              <w:t>Amortized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300" w:type="dxa"/>
            <w:vAlign w:val="bottom"/>
            <w:gridSpan w:val="2"/>
            <w:vMerge w:val="continue"/>
          </w:tcPr>
          <w:p>
            <w:pPr>
              <w:spacing w:after="0"/>
              <w:rPr>
                <w:sz w:val="11"/>
                <w:szCs w:val="11"/>
                <w:color w:val="auto"/>
              </w:rPr>
            </w:pP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1"/>
                <w:szCs w:val="11"/>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Cost</w:t>
            </w:r>
          </w:p>
        </w:tc>
        <w:tc>
          <w:tcPr>
            <w:tcW w:w="1000" w:type="dxa"/>
            <w:vAlign w:val="bottom"/>
            <w:gridSpan w:val="3"/>
          </w:tcPr>
          <w:p>
            <w:pPr>
              <w:ind w:left="8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1"/>
                <w:szCs w:val="11"/>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0" w:type="dxa"/>
            <w:vAlign w:val="bottom"/>
          </w:tcPr>
          <w:p>
            <w:pPr>
              <w:spacing w:after="0"/>
              <w:rPr>
                <w:sz w:val="1"/>
                <w:szCs w:val="1"/>
                <w:color w:val="auto"/>
              </w:rPr>
            </w:pPr>
          </w:p>
        </w:tc>
      </w:tr>
      <w:tr>
        <w:trPr>
          <w:trHeight w:val="30"/>
        </w:trPr>
        <w:tc>
          <w:tcPr>
            <w:tcW w:w="6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205.9</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522.0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519.5</w:t>
            </w:r>
          </w:p>
        </w:tc>
        <w:tc>
          <w:tcPr>
            <w:tcW w:w="0" w:type="dxa"/>
            <w:vAlign w:val="bottom"/>
          </w:tcPr>
          <w:p>
            <w:pPr>
              <w:spacing w:after="0"/>
              <w:rPr>
                <w:sz w:val="1"/>
                <w:szCs w:val="1"/>
                <w:color w:val="auto"/>
              </w:rPr>
            </w:pPr>
          </w:p>
        </w:tc>
      </w:tr>
      <w:tr>
        <w:trPr>
          <w:trHeight w:val="161"/>
        </w:trPr>
        <w:tc>
          <w:tcPr>
            <w:tcW w:w="630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523.3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517.9</w:t>
            </w:r>
          </w:p>
        </w:tc>
        <w:tc>
          <w:tcPr>
            <w:tcW w:w="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1,143.7</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1,133.4</w:t>
            </w:r>
          </w:p>
        </w:tc>
        <w:tc>
          <w:tcPr>
            <w:tcW w:w="0" w:type="dxa"/>
            <w:vAlign w:val="bottom"/>
          </w:tcPr>
          <w:p>
            <w:pPr>
              <w:spacing w:after="0"/>
              <w:rPr>
                <w:sz w:val="1"/>
                <w:szCs w:val="1"/>
                <w:color w:val="auto"/>
              </w:rPr>
            </w:pPr>
          </w:p>
        </w:tc>
      </w:tr>
      <w:tr>
        <w:trPr>
          <w:trHeight w:val="161"/>
        </w:trPr>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Due after five years</w:t>
            </w:r>
          </w:p>
        </w:tc>
        <w:tc>
          <w:tcPr>
            <w:tcW w:w="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85.6</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83.9</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210.2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207.6</w:t>
            </w:r>
          </w:p>
        </w:tc>
        <w:tc>
          <w:tcPr>
            <w:tcW w:w="0" w:type="dxa"/>
            <w:vAlign w:val="bottom"/>
          </w:tcPr>
          <w:p>
            <w:pPr>
              <w:spacing w:after="0"/>
              <w:rPr>
                <w:sz w:val="1"/>
                <w:szCs w:val="1"/>
                <w:color w:val="auto"/>
              </w:rPr>
            </w:pPr>
          </w:p>
        </w:tc>
      </w:tr>
      <w:tr>
        <w:trPr>
          <w:trHeight w:val="161"/>
        </w:trPr>
        <w:tc>
          <w:tcPr>
            <w:tcW w:w="630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814.</w:t>
            </w:r>
            <w:r>
              <w:rPr>
                <w:rFonts w:ascii="Arial" w:cs="Arial" w:eastAsia="Arial" w:hAnsi="Arial"/>
                <w:sz w:val="13"/>
                <w:szCs w:val="13"/>
                <w:u w:val="single" w:color="auto"/>
                <w:color w:val="auto"/>
              </w:rPr>
              <w:t>8</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w:t>
            </w:r>
            <w:r>
              <w:rPr>
                <w:rFonts w:ascii="Arial" w:cs="Arial" w:eastAsia="Arial" w:hAnsi="Arial"/>
                <w:sz w:val="13"/>
                <w:szCs w:val="13"/>
                <w:u w:val="single" w:color="auto"/>
                <w:color w:val="auto"/>
              </w:rPr>
              <w:t>6</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1,875.9</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maturity of our marketable securities as of June 30, 2010 and December 31, 2009 was 12 months and 15 months, respectively.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Proceeds from Marketable Securities, excluding Strategic Investments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The proceeds from maturities and sales of marketable securities, excluding strategic investments, which were primarily reinvested, and resulting realized gains and losses, are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5"/>
          </w:tcPr>
          <w:p>
            <w:pPr>
              <w:jc w:val="right"/>
              <w:ind w:right="296"/>
              <w:spacing w:after="0"/>
              <w:rPr>
                <w:sz w:val="20"/>
                <w:szCs w:val="20"/>
                <w:color w:val="auto"/>
              </w:rPr>
            </w:pPr>
            <w:r>
              <w:rPr>
                <w:rFonts w:ascii="Arial" w:cs="Arial" w:eastAsia="Arial" w:hAnsi="Arial"/>
                <w:sz w:val="11"/>
                <w:szCs w:val="11"/>
                <w:b w:val="1"/>
                <w:bCs w:val="1"/>
                <w:color w:val="auto"/>
              </w:rPr>
              <w:t>For the Three Months</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4"/>
          </w:tcPr>
          <w:p>
            <w:pPr>
              <w:jc w:val="right"/>
              <w:spacing w:after="0"/>
              <w:rPr>
                <w:sz w:val="20"/>
                <w:szCs w:val="20"/>
                <w:color w:val="auto"/>
              </w:rPr>
            </w:pPr>
            <w:r>
              <w:rPr>
                <w:rFonts w:ascii="Arial" w:cs="Arial" w:eastAsia="Arial" w:hAnsi="Arial"/>
                <w:sz w:val="11"/>
                <w:szCs w:val="11"/>
                <w:b w:val="1"/>
                <w:bCs w:val="1"/>
                <w:color w:val="auto"/>
              </w:rPr>
              <w:t>For the Six Months</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6"/>
              </w:rPr>
              <w:t>Ended June 30,</w:t>
            </w: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w w:val="89"/>
              </w:rPr>
              <w:t>Ended June 30,</w:t>
            </w: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97"/>
              </w:rPr>
              <w:t>2010</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jc w:val="right"/>
              <w:ind w:right="176"/>
              <w:spacing w:after="0" w:line="101" w:lineRule="exact"/>
              <w:rPr>
                <w:sz w:val="20"/>
                <w:szCs w:val="20"/>
                <w:color w:val="auto"/>
              </w:rPr>
            </w:pPr>
            <w:r>
              <w:rPr>
                <w:rFonts w:ascii="Arial" w:cs="Arial" w:eastAsia="Arial" w:hAnsi="Arial"/>
                <w:sz w:val="11"/>
                <w:szCs w:val="11"/>
                <w:b w:val="1"/>
                <w:bCs w:val="1"/>
                <w:color w:val="auto"/>
                <w:w w:val="89"/>
              </w:rPr>
              <w:t>2009</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jc w:val="right"/>
              <w:ind w:right="78"/>
              <w:spacing w:after="0" w:line="101" w:lineRule="exact"/>
              <w:rPr>
                <w:sz w:val="20"/>
                <w:szCs w:val="20"/>
                <w:color w:val="auto"/>
              </w:rPr>
            </w:pPr>
            <w:r>
              <w:rPr>
                <w:rFonts w:ascii="Arial" w:cs="Arial" w:eastAsia="Arial" w:hAnsi="Arial"/>
                <w:sz w:val="11"/>
                <w:szCs w:val="11"/>
                <w:b w:val="1"/>
                <w:bCs w:val="1"/>
                <w:color w:val="auto"/>
              </w:rPr>
              <w:t>2010</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96"/>
              <w:spacing w:after="0" w:line="101" w:lineRule="exact"/>
              <w:rPr>
                <w:sz w:val="20"/>
                <w:szCs w:val="20"/>
                <w:color w:val="auto"/>
              </w:rPr>
            </w:pPr>
            <w:r>
              <w:rPr>
                <w:rFonts w:ascii="Arial" w:cs="Arial" w:eastAsia="Arial" w:hAnsi="Arial"/>
                <w:sz w:val="11"/>
                <w:szCs w:val="11"/>
                <w:b w:val="1"/>
                <w:bCs w:val="1"/>
                <w:color w:val="auto"/>
              </w:rPr>
              <w:t>2009</w:t>
            </w:r>
          </w:p>
        </w:tc>
        <w:tc>
          <w:tcPr>
            <w:tcW w:w="0" w:type="dxa"/>
            <w:vAlign w:val="bottom"/>
          </w:tcPr>
          <w:p>
            <w:pPr>
              <w:spacing w:after="0"/>
              <w:rPr>
                <w:sz w:val="1"/>
                <w:szCs w:val="1"/>
                <w:color w:val="auto"/>
              </w:rPr>
            </w:pPr>
          </w:p>
        </w:tc>
      </w:tr>
      <w:tr>
        <w:trPr>
          <w:trHeight w:val="30"/>
        </w:trPr>
        <w:tc>
          <w:tcPr>
            <w:tcW w:w="53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Proceeds from maturities and sales</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973.2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5"/>
              </w:rPr>
              <w:t>579.9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2,002.5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7"/>
              </w:rPr>
              <w:t>1,637.6</w:t>
            </w:r>
          </w:p>
        </w:tc>
        <w:tc>
          <w:tcPr>
            <w:tcW w:w="0" w:type="dxa"/>
            <w:vAlign w:val="bottom"/>
          </w:tcPr>
          <w:p>
            <w:pPr>
              <w:spacing w:after="0"/>
              <w:rPr>
                <w:sz w:val="1"/>
                <w:szCs w:val="1"/>
                <w:color w:val="auto"/>
              </w:rPr>
            </w:pPr>
          </w:p>
        </w:tc>
      </w:tr>
      <w:tr>
        <w:trPr>
          <w:trHeight w:val="161"/>
        </w:trPr>
        <w:tc>
          <w:tcPr>
            <w:tcW w:w="5640" w:type="dxa"/>
            <w:vAlign w:val="bottom"/>
            <w:gridSpan w:val="2"/>
          </w:tcPr>
          <w:p>
            <w:pPr>
              <w:spacing w:after="0"/>
              <w:rPr>
                <w:sz w:val="20"/>
                <w:szCs w:val="20"/>
                <w:color w:val="auto"/>
              </w:rPr>
            </w:pPr>
            <w:r>
              <w:rPr>
                <w:rFonts w:ascii="Arial" w:cs="Arial" w:eastAsia="Arial" w:hAnsi="Arial"/>
                <w:sz w:val="13"/>
                <w:szCs w:val="13"/>
                <w:color w:val="auto"/>
              </w:rPr>
              <w:t>Realized gains</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7.4</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16"/>
              <w:spacing w:after="0"/>
              <w:rPr>
                <w:sz w:val="20"/>
                <w:szCs w:val="20"/>
                <w:color w:val="auto"/>
              </w:rPr>
            </w:pPr>
            <w:r>
              <w:rPr>
                <w:rFonts w:ascii="Arial" w:cs="Arial" w:eastAsia="Arial" w:hAnsi="Arial"/>
                <w:sz w:val="13"/>
                <w:szCs w:val="13"/>
                <w:color w:val="auto"/>
              </w:rPr>
              <w:t>8.2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13.1</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61"/>
        </w:trPr>
        <w:tc>
          <w:tcPr>
            <w:tcW w:w="5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Realized losses</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260" w:firstLine="399"/>
        <w:spacing w:after="0" w:line="338" w:lineRule="auto"/>
        <w:rPr>
          <w:sz w:val="20"/>
          <w:szCs w:val="20"/>
          <w:color w:val="auto"/>
        </w:rPr>
      </w:pPr>
      <w:r>
        <w:rPr>
          <w:rFonts w:ascii="Arial" w:cs="Arial" w:eastAsia="Arial" w:hAnsi="Arial"/>
          <w:sz w:val="12"/>
          <w:szCs w:val="12"/>
          <w:color w:val="auto"/>
        </w:rPr>
        <w:t>Realized losses for the three and six months ended June 30, 2010 primarily relate to the sale of agency mortgage-backed securities and corporate debt securities. The realized losses for the three and six months ended June 30, 2009 primarily relate to losses on the sale of corporate debt securities and non-agency mortgage-backed securities.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Evaluating Investments for Other-than-Temporary Impairments</w:t>
      </w:r>
    </w:p>
    <w:p>
      <w:pPr>
        <w:spacing w:after="0" w:line="102" w:lineRule="exact"/>
        <w:rPr>
          <w:sz w:val="20"/>
          <w:szCs w:val="20"/>
          <w:color w:val="auto"/>
        </w:rPr>
      </w:pPr>
    </w:p>
    <w:p>
      <w:pPr>
        <w:ind w:left="680" w:right="220" w:firstLine="399"/>
        <w:spacing w:after="0" w:line="309" w:lineRule="auto"/>
        <w:rPr>
          <w:sz w:val="20"/>
          <w:szCs w:val="20"/>
          <w:color w:val="auto"/>
        </w:rPr>
      </w:pPr>
      <w:r>
        <w:rPr>
          <w:rFonts w:ascii="Arial" w:cs="Arial" w:eastAsia="Arial" w:hAnsi="Arial"/>
          <w:sz w:val="12"/>
          <w:szCs w:val="12"/>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4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recorded within earnings as an impairment loss.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recorded within earnings as an impairment loss.</w:t>
      </w:r>
    </w:p>
    <w:p>
      <w:pPr>
        <w:spacing w:after="0" w:line="5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For equity securities, when assessing whether a decline in fair value below our cost basis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recorded within earnings as an impairment loss.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Recognition and Measurement of Other-than-Temporary Impairment</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For the three and six months ended June 30, 2010, we recognized $1.2 million and $17.0 million, respectively, in charges for the other-than-temporary impairment of our publicly held strategic investments, venture funds and investments in privately-held companies as compared to $3.5 million and $6.0 million for the prior year comparable periods. The increase in the six month comparative periods was primarily the result of AVEO Pharmaceuticals, Inc., one of our strategic investments, executing an equity offering at a price below our cost basis during the first quarter of 2010.</w:t>
      </w:r>
    </w:p>
    <w:p>
      <w:pPr>
        <w:spacing w:after="0" w:line="63"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We recognized $3.6 million in other-than-temporary impairment charges on our marketable debt securities during the six months ended June 30, 2009. No impairments were recognized related to our marketable debt securities for the three months ended June 30, 2009 or for the three and six months ended June 30, 2010.</w:t>
      </w:r>
    </w:p>
    <w:p>
      <w:pPr>
        <w:spacing w:after="0" w:line="125" w:lineRule="exact"/>
        <w:rPr>
          <w:sz w:val="20"/>
          <w:szCs w:val="20"/>
          <w:color w:val="auto"/>
        </w:rPr>
      </w:pPr>
    </w:p>
    <w:p>
      <w:pPr>
        <w:ind w:left="1000" w:hanging="312"/>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w:t>
      </w:r>
    </w:p>
    <w:p>
      <w:pPr>
        <w:spacing w:after="0" w:line="104"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Our primary market exposure is to foreign exchange rates. We use certain derivative instruments to help manage this exposure. We execute these instruments with financial institutions we judge to be creditworthy and the majority of the foreign currencies are denominated in currencies of major industrial countries. We do not hold or issue derivative instruments for trading or speculative purposes.</w:t>
      </w:r>
    </w:p>
    <w:p>
      <w:pPr>
        <w:spacing w:after="0" w:line="59"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We recognize all derivative instruments as either assets or liabilities at fair value in our consolidated balance sheets. We classify the cash flows from these instruments in the same category as the cash flows from the hedged items.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Forward Contracts</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Due to the global nature of our operations, portions of our revenues are earned in currencies other than the U.S. dollar. The value of revenues measured in U.S. dollars is subject to changes in currency exchange rates. In order to mitigate these changes we use foreign currency forward contracts to lock in exchange rates.</w:t>
      </w:r>
    </w:p>
    <w:p>
      <w:pPr>
        <w:spacing w:after="0" w:line="47"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Foreign currency forward contracts in effect as of June 30, 2010 and December 31, 2009 had remaining durations of 1 to 12 months. These contracts have been designated as cash flow hedges and accordingly, to the extent effective, any unrealized gains or losses on these foreign currency forward contracts are reported in accumulated other comprehensive income. Realized gains and losses for the effective portion of such contracts are recognized in revenue when the sale of product in the currency being hedged is recognized. To the extent ineffective, hedge transaction gains and losses are reported in other income (expense), net at each reporting date.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notional value of foreign currency forward contracts that were entered into to hedge forecasted revenue is summarized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6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Foreign Currency: (In millions)</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80" w:type="dxa"/>
            <w:vAlign w:val="bottom"/>
            <w:gridSpan w:val="4"/>
          </w:tcPr>
          <w:p>
            <w:pPr>
              <w:spacing w:after="0"/>
              <w:rPr>
                <w:sz w:val="20"/>
                <w:szCs w:val="20"/>
                <w:color w:val="auto"/>
              </w:rPr>
            </w:pPr>
            <w:r>
              <w:rPr>
                <w:rFonts w:ascii="Arial" w:cs="Arial" w:eastAsia="Arial" w:hAnsi="Arial"/>
                <w:sz w:val="11"/>
                <w:szCs w:val="11"/>
                <w:b w:val="1"/>
                <w:bCs w:val="1"/>
                <w:color w:val="auto"/>
              </w:rPr>
              <w:t>Notional Amount</w:t>
            </w:r>
          </w:p>
        </w:tc>
        <w:tc>
          <w:tcPr>
            <w:tcW w:w="0" w:type="dxa"/>
            <w:vAlign w:val="bottom"/>
          </w:tcPr>
          <w:p>
            <w:pPr>
              <w:spacing w:after="0"/>
              <w:rPr>
                <w:sz w:val="1"/>
                <w:szCs w:val="1"/>
                <w:color w:val="auto"/>
              </w:rPr>
            </w:pPr>
          </w:p>
        </w:tc>
      </w:tr>
      <w:tr>
        <w:trPr>
          <w:trHeight w:val="101"/>
        </w:trPr>
        <w:tc>
          <w:tcPr>
            <w:tcW w:w="6500" w:type="dxa"/>
            <w:vAlign w:val="bottom"/>
            <w:gridSpan w:val="2"/>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2"/>
              </w:rPr>
              <w:t>As of June 30, 2010</w:t>
            </w: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tcPr>
          <w:p>
            <w:pPr>
              <w:jc w:val="right"/>
              <w:ind w:right="216"/>
              <w:spacing w:after="0" w:line="101" w:lineRule="exact"/>
              <w:rPr>
                <w:sz w:val="20"/>
                <w:szCs w:val="20"/>
                <w:color w:val="auto"/>
              </w:rPr>
            </w:pPr>
            <w:r>
              <w:rPr>
                <w:rFonts w:ascii="Arial" w:cs="Arial" w:eastAsia="Arial" w:hAnsi="Arial"/>
                <w:sz w:val="11"/>
                <w:szCs w:val="11"/>
                <w:b w:val="1"/>
                <w:bCs w:val="1"/>
                <w:color w:val="auto"/>
                <w:w w:val="94"/>
              </w:rPr>
              <w:t>As of December 31, 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Euro</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495.9</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3"/>
                <w:szCs w:val="13"/>
                <w:color w:val="auto"/>
              </w:rPr>
              <w:t>Canadian Dollar</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518.2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00" w:firstLine="399"/>
        <w:spacing w:after="0" w:line="299" w:lineRule="auto"/>
        <w:rPr>
          <w:sz w:val="20"/>
          <w:szCs w:val="20"/>
          <w:color w:val="auto"/>
        </w:rPr>
      </w:pPr>
      <w:r>
        <w:rPr>
          <w:rFonts w:ascii="Arial" w:cs="Arial" w:eastAsia="Arial" w:hAnsi="Arial"/>
          <w:sz w:val="12"/>
          <w:szCs w:val="12"/>
          <w:color w:val="auto"/>
        </w:rPr>
        <w:t>The portion of the fair value of these foreign currency forward contracts that was included in accumulated other comprehensive income within total equity reflected net gains of $62.1 million and $1.2 million as of June 30, 2010 and December 31, 2009, respectively. We expect all contracts to be settled over the next 12 months and any amounts in accumulated other comprehensive income to be reported as revenue. We consider the impact of our and our counterparties’ credit risk on the fair value of the contracts as well as the ability of each party to execute its obligations under the contract. As of June 30, 2010 and December 31, 2009, credit risk did not materially change the fair value of our forward contracts.</w:t>
      </w:r>
    </w:p>
    <w:p>
      <w:pPr>
        <w:spacing w:after="0" w:line="48"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In relation to our foreign currency forward contracts, we recognize gains and losses in earnings due to hedge ineffectiveness. During the three and six months ended June 30, 2010, we recognized net losses of $0.6 million and $0.5 million, respectively, as compared to net gains of $1.7 million and net losses of $0.8 million, respectively, in the prior year comparable periods. In addition, we recognized $19.7 million and $19.9 million of gains in product revenue for the settlement of certain effective cash flow hedge forward contracts for the three and six months ended June 30, 2010, respectively, as compared to losses recognized in the amount of $9.2 million and $12.3 million, respectively, in the prior year comparable periods. These settlements were recorded in the same period as the related forecasted revenue.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Derivatives Designated as Hedging Instruments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fair value and presentation in the consolidated balance sheets for derivatives designated as hedging instruments as of June 30, 2010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2009:</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Foreign Currency Forward Contracts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8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40" w:type="dxa"/>
            <w:vAlign w:val="bottom"/>
            <w:vMerge w:val="restart"/>
          </w:tcPr>
          <w:p>
            <w:pPr>
              <w:spacing w:after="0"/>
              <w:rPr>
                <w:sz w:val="8"/>
                <w:szCs w:val="8"/>
                <w:color w:val="auto"/>
              </w:rPr>
            </w:pPr>
          </w:p>
        </w:tc>
        <w:tc>
          <w:tcPr>
            <w:tcW w:w="2540" w:type="dxa"/>
            <w:vAlign w:val="bottom"/>
            <w:tcBorders>
              <w:bottom w:val="single" w:sz="8" w:color="auto"/>
            </w:tcBorders>
          </w:tcPr>
          <w:p>
            <w:pPr>
              <w:ind w:left="1360"/>
              <w:spacing w:after="0" w:line="101" w:lineRule="exact"/>
              <w:rPr>
                <w:sz w:val="20"/>
                <w:szCs w:val="20"/>
                <w:color w:val="auto"/>
              </w:rPr>
            </w:pPr>
            <w:r>
              <w:rPr>
                <w:rFonts w:ascii="Arial" w:cs="Arial" w:eastAsia="Arial" w:hAnsi="Arial"/>
                <w:sz w:val="11"/>
                <w:szCs w:val="11"/>
                <w:b w:val="1"/>
                <w:bCs w:val="1"/>
                <w:color w:val="auto"/>
              </w:rPr>
              <w:t>Asset Derivatives</w:t>
            </w: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Borders>
              <w:bottom w:val="single" w:sz="8" w:color="auto"/>
            </w:tcBorders>
          </w:tcPr>
          <w:p>
            <w:pPr>
              <w:ind w:left="1460"/>
              <w:spacing w:after="0" w:line="101" w:lineRule="exact"/>
              <w:rPr>
                <w:sz w:val="20"/>
                <w:szCs w:val="20"/>
                <w:color w:val="auto"/>
              </w:rPr>
            </w:pPr>
            <w:r>
              <w:rPr>
                <w:rFonts w:ascii="Arial" w:cs="Arial" w:eastAsia="Arial" w:hAnsi="Arial"/>
                <w:sz w:val="11"/>
                <w:szCs w:val="11"/>
                <w:b w:val="1"/>
                <w:bCs w:val="1"/>
                <w:color w:val="auto"/>
              </w:rPr>
              <w:t>Liability Derivatives</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280" w:type="dxa"/>
            <w:vAlign w:val="bottom"/>
            <w:tcBorders>
              <w:bottom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54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6"/>
              </w:rPr>
              <w:t>Balance Sheet Location</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ind w:right="86"/>
              <w:spacing w:after="0" w:line="101" w:lineRule="exact"/>
              <w:rPr>
                <w:sz w:val="20"/>
                <w:szCs w:val="20"/>
                <w:color w:val="auto"/>
              </w:rPr>
            </w:pPr>
            <w:r>
              <w:rPr>
                <w:rFonts w:ascii="Arial" w:cs="Arial" w:eastAsia="Arial" w:hAnsi="Arial"/>
                <w:sz w:val="11"/>
                <w:szCs w:val="11"/>
                <w:b w:val="1"/>
                <w:bCs w:val="1"/>
                <w:color w:val="auto"/>
              </w:rPr>
              <w:t>Fair Value</w:t>
            </w:r>
          </w:p>
        </w:tc>
        <w:tc>
          <w:tcPr>
            <w:tcW w:w="220" w:type="dxa"/>
            <w:vAlign w:val="bottom"/>
          </w:tcPr>
          <w:p>
            <w:pPr>
              <w:spacing w:after="0"/>
              <w:rPr>
                <w:sz w:val="8"/>
                <w:szCs w:val="8"/>
                <w:color w:val="auto"/>
              </w:rPr>
            </w:pPr>
          </w:p>
        </w:tc>
        <w:tc>
          <w:tcPr>
            <w:tcW w:w="294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6"/>
              </w:rPr>
              <w:t>Balance Sheet Location</w:t>
            </w:r>
          </w:p>
        </w:tc>
        <w:tc>
          <w:tcPr>
            <w:tcW w:w="200" w:type="dxa"/>
            <w:vAlign w:val="bottom"/>
          </w:tcPr>
          <w:p>
            <w:pPr>
              <w:spacing w:after="0"/>
              <w:rPr>
                <w:sz w:val="8"/>
                <w:szCs w:val="8"/>
                <w:color w:val="auto"/>
              </w:rPr>
            </w:pPr>
          </w:p>
        </w:tc>
        <w:tc>
          <w:tcPr>
            <w:tcW w:w="700" w:type="dxa"/>
            <w:vAlign w:val="bottom"/>
            <w:tcBorders>
              <w:bottom w:val="single" w:sz="8" w:color="auto"/>
            </w:tcBorders>
          </w:tcPr>
          <w:p>
            <w:pPr>
              <w:jc w:val="right"/>
              <w:ind w:right="46"/>
              <w:spacing w:after="0" w:line="101" w:lineRule="exact"/>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2420" w:type="dxa"/>
            <w:vAlign w:val="bottom"/>
            <w:gridSpan w:val="2"/>
          </w:tcPr>
          <w:p>
            <w:pPr>
              <w:spacing w:after="0"/>
              <w:rPr>
                <w:sz w:val="20"/>
                <w:szCs w:val="20"/>
                <w:color w:val="auto"/>
              </w:rPr>
            </w:pPr>
            <w:r>
              <w:rPr>
                <w:rFonts w:ascii="Arial" w:cs="Arial" w:eastAsia="Arial" w:hAnsi="Arial"/>
                <w:sz w:val="12"/>
                <w:szCs w:val="12"/>
                <w:color w:val="auto"/>
              </w:rPr>
              <w:t>June 30, 2010</w:t>
            </w:r>
          </w:p>
        </w:tc>
        <w:tc>
          <w:tcPr>
            <w:tcW w:w="2540" w:type="dxa"/>
            <w:vAlign w:val="bottom"/>
          </w:tcPr>
          <w:p>
            <w:pPr>
              <w:jc w:val="center"/>
              <w:spacing w:after="0"/>
              <w:rPr>
                <w:sz w:val="20"/>
                <w:szCs w:val="20"/>
                <w:color w:val="auto"/>
              </w:rPr>
            </w:pPr>
            <w:r>
              <w:rPr>
                <w:rFonts w:ascii="Arial" w:cs="Arial" w:eastAsia="Arial" w:hAnsi="Arial"/>
                <w:sz w:val="12"/>
                <w:szCs w:val="12"/>
                <w:color w:val="auto"/>
                <w:w w:val="90"/>
              </w:rPr>
              <w:t>Other Current Assets</w:t>
            </w:r>
          </w:p>
        </w:tc>
        <w:tc>
          <w:tcPr>
            <w:tcW w:w="960" w:type="dxa"/>
            <w:vAlign w:val="bottom"/>
            <w:gridSpan w:val="2"/>
          </w:tcPr>
          <w:p>
            <w:pPr>
              <w:jc w:val="right"/>
              <w:ind w:right="206"/>
              <w:spacing w:after="0"/>
              <w:rPr>
                <w:sz w:val="20"/>
                <w:szCs w:val="20"/>
                <w:color w:val="auto"/>
              </w:rPr>
            </w:pPr>
            <w:r>
              <w:rPr>
                <w:rFonts w:ascii="Arial" w:cs="Arial" w:eastAsia="Arial" w:hAnsi="Arial"/>
                <w:sz w:val="12"/>
                <w:szCs w:val="12"/>
                <w:color w:val="auto"/>
              </w:rPr>
              <w:t>$61.4</w:t>
            </w:r>
          </w:p>
        </w:tc>
        <w:tc>
          <w:tcPr>
            <w:tcW w:w="22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2"/>
                <w:szCs w:val="12"/>
                <w:color w:val="auto"/>
                <w:w w:val="89"/>
              </w:rPr>
              <w:t>Accrued Expenses and Other</w:t>
            </w:r>
          </w:p>
        </w:tc>
        <w:tc>
          <w:tcPr>
            <w:tcW w:w="900" w:type="dxa"/>
            <w:vAlign w:val="bottom"/>
            <w:gridSpan w:val="2"/>
          </w:tcPr>
          <w:p>
            <w:pPr>
              <w:jc w:val="right"/>
              <w:ind w:right="206"/>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4"/>
        </w:trPr>
        <w:tc>
          <w:tcPr>
            <w:tcW w:w="2420" w:type="dxa"/>
            <w:vAlign w:val="bottom"/>
            <w:gridSpan w:val="2"/>
          </w:tcPr>
          <w:p>
            <w:pPr>
              <w:spacing w:after="0"/>
              <w:rPr>
                <w:sz w:val="20"/>
                <w:szCs w:val="20"/>
                <w:color w:val="auto"/>
              </w:rPr>
            </w:pPr>
            <w:r>
              <w:rPr>
                <w:rFonts w:ascii="Arial" w:cs="Arial" w:eastAsia="Arial" w:hAnsi="Arial"/>
                <w:sz w:val="12"/>
                <w:szCs w:val="12"/>
                <w:color w:val="auto"/>
              </w:rPr>
              <w:t>December 31, 2009</w:t>
            </w:r>
          </w:p>
        </w:tc>
        <w:tc>
          <w:tcPr>
            <w:tcW w:w="2540" w:type="dxa"/>
            <w:vAlign w:val="bottom"/>
          </w:tcPr>
          <w:p>
            <w:pPr>
              <w:jc w:val="center"/>
              <w:spacing w:after="0"/>
              <w:rPr>
                <w:sz w:val="20"/>
                <w:szCs w:val="20"/>
                <w:color w:val="auto"/>
              </w:rPr>
            </w:pPr>
            <w:r>
              <w:rPr>
                <w:rFonts w:ascii="Arial" w:cs="Arial" w:eastAsia="Arial" w:hAnsi="Arial"/>
                <w:sz w:val="12"/>
                <w:szCs w:val="12"/>
                <w:color w:val="auto"/>
                <w:w w:val="90"/>
              </w:rPr>
              <w:t>Other Current Assets</w:t>
            </w:r>
          </w:p>
        </w:tc>
        <w:tc>
          <w:tcPr>
            <w:tcW w:w="960" w:type="dxa"/>
            <w:vAlign w:val="bottom"/>
            <w:gridSpan w:val="2"/>
          </w:tcPr>
          <w:p>
            <w:pPr>
              <w:jc w:val="right"/>
              <w:ind w:right="206"/>
              <w:spacing w:after="0"/>
              <w:rPr>
                <w:sz w:val="20"/>
                <w:szCs w:val="20"/>
                <w:color w:val="auto"/>
              </w:rPr>
            </w:pPr>
            <w:r>
              <w:rPr>
                <w:rFonts w:ascii="Arial" w:cs="Arial" w:eastAsia="Arial" w:hAnsi="Arial"/>
                <w:sz w:val="12"/>
                <w:szCs w:val="12"/>
                <w:color w:val="auto"/>
              </w:rPr>
              <w:t>$10.8</w:t>
            </w:r>
          </w:p>
        </w:tc>
        <w:tc>
          <w:tcPr>
            <w:tcW w:w="220" w:type="dxa"/>
            <w:vAlign w:val="bottom"/>
          </w:tcPr>
          <w:p>
            <w:pPr>
              <w:spacing w:after="0"/>
              <w:rPr>
                <w:sz w:val="13"/>
                <w:szCs w:val="13"/>
                <w:color w:val="auto"/>
              </w:rPr>
            </w:pPr>
          </w:p>
        </w:tc>
        <w:tc>
          <w:tcPr>
            <w:tcW w:w="2940" w:type="dxa"/>
            <w:vAlign w:val="bottom"/>
          </w:tcPr>
          <w:p>
            <w:pPr>
              <w:jc w:val="center"/>
              <w:spacing w:after="0"/>
              <w:rPr>
                <w:sz w:val="20"/>
                <w:szCs w:val="20"/>
                <w:color w:val="auto"/>
              </w:rPr>
            </w:pPr>
            <w:r>
              <w:rPr>
                <w:rFonts w:ascii="Arial" w:cs="Arial" w:eastAsia="Arial" w:hAnsi="Arial"/>
                <w:sz w:val="12"/>
                <w:szCs w:val="12"/>
                <w:color w:val="auto"/>
                <w:w w:val="89"/>
              </w:rPr>
              <w:t>Accrued Expenses and Other</w:t>
            </w:r>
          </w:p>
        </w:tc>
        <w:tc>
          <w:tcPr>
            <w:tcW w:w="900" w:type="dxa"/>
            <w:vAlign w:val="bottom"/>
            <w:gridSpan w:val="2"/>
          </w:tcPr>
          <w:p>
            <w:pPr>
              <w:jc w:val="right"/>
              <w:ind w:right="206"/>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34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 following table summarizes the effect of derivatives designated as hedging instruments on the consolidated statements of income for the three and six months ended June 30, 2010 and 2009:</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ind w:left="44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Recognized in</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3"/>
              </w:rPr>
              <w:t>Reclassified from</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1"/>
              </w:rPr>
              <w:t>Comprehensive</w:t>
            </w: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1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5"/>
              </w:rPr>
              <w:t>Income</w:t>
            </w:r>
          </w:p>
        </w:tc>
        <w:tc>
          <w:tcPr>
            <w:tcW w:w="100" w:type="dxa"/>
            <w:vAlign w:val="bottom"/>
          </w:tcPr>
          <w:p>
            <w:pPr>
              <w:spacing w:after="0"/>
              <w:rPr>
                <w:sz w:val="8"/>
                <w:szCs w:val="8"/>
                <w:color w:val="auto"/>
              </w:rPr>
            </w:pPr>
          </w:p>
        </w:tc>
        <w:tc>
          <w:tcPr>
            <w:tcW w:w="1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Income</w:t>
            </w:r>
          </w:p>
        </w:tc>
        <w:tc>
          <w:tcPr>
            <w:tcW w:w="80" w:type="dxa"/>
            <w:vAlign w:val="bottom"/>
          </w:tcPr>
          <w:p>
            <w:pPr>
              <w:spacing w:after="0"/>
              <w:rPr>
                <w:sz w:val="8"/>
                <w:szCs w:val="8"/>
                <w:color w:val="auto"/>
              </w:rPr>
            </w:pPr>
          </w:p>
        </w:tc>
        <w:tc>
          <w:tcPr>
            <w:tcW w:w="11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Amount of</w:t>
            </w: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on Derivative</w:t>
            </w:r>
          </w:p>
        </w:tc>
        <w:tc>
          <w:tcPr>
            <w:tcW w:w="100" w:type="dxa"/>
            <w:vAlign w:val="bottom"/>
          </w:tcPr>
          <w:p>
            <w:pPr>
              <w:spacing w:after="0"/>
              <w:rPr>
                <w:sz w:val="8"/>
                <w:szCs w:val="8"/>
                <w:color w:val="auto"/>
              </w:rPr>
            </w:pPr>
          </w:p>
        </w:tc>
        <w:tc>
          <w:tcPr>
            <w:tcW w:w="1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Statement</w:t>
            </w:r>
          </w:p>
        </w:tc>
        <w:tc>
          <w:tcPr>
            <w:tcW w:w="80" w:type="dxa"/>
            <w:vAlign w:val="bottom"/>
          </w:tcPr>
          <w:p>
            <w:pPr>
              <w:spacing w:after="0"/>
              <w:rPr>
                <w:sz w:val="8"/>
                <w:szCs w:val="8"/>
                <w:color w:val="auto"/>
              </w:rPr>
            </w:pPr>
          </w:p>
        </w:tc>
        <w:tc>
          <w:tcPr>
            <w:tcW w:w="122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4"/>
              </w:rPr>
              <w:t>into Income</w:t>
            </w:r>
          </w:p>
        </w:tc>
        <w:tc>
          <w:tcPr>
            <w:tcW w:w="100" w:type="dxa"/>
            <w:vAlign w:val="bottom"/>
          </w:tcPr>
          <w:p>
            <w:pPr>
              <w:spacing w:after="0"/>
              <w:rPr>
                <w:sz w:val="8"/>
                <w:szCs w:val="8"/>
                <w:color w:val="auto"/>
              </w:rPr>
            </w:pPr>
          </w:p>
        </w:tc>
        <w:tc>
          <w:tcPr>
            <w:tcW w:w="14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Statement</w:t>
            </w:r>
          </w:p>
        </w:tc>
        <w:tc>
          <w:tcPr>
            <w:tcW w:w="80" w:type="dxa"/>
            <w:vAlign w:val="bottom"/>
          </w:tcPr>
          <w:p>
            <w:pPr>
              <w:spacing w:after="0"/>
              <w:rPr>
                <w:sz w:val="8"/>
                <w:szCs w:val="8"/>
                <w:color w:val="auto"/>
              </w:rPr>
            </w:pPr>
          </w:p>
        </w:tc>
        <w:tc>
          <w:tcPr>
            <w:tcW w:w="11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Gain/(Loss)</w:t>
            </w:r>
          </w:p>
        </w:tc>
        <w:tc>
          <w:tcPr>
            <w:tcW w:w="0" w:type="dxa"/>
            <w:vAlign w:val="bottom"/>
          </w:tcPr>
          <w:p>
            <w:pPr>
              <w:spacing w:after="0"/>
              <w:rPr>
                <w:sz w:val="1"/>
                <w:szCs w:val="1"/>
                <w:color w:val="auto"/>
              </w:rPr>
            </w:pPr>
          </w:p>
        </w:tc>
      </w:tr>
      <w:tr>
        <w:trPr>
          <w:trHeight w:val="103"/>
        </w:trPr>
        <w:tc>
          <w:tcPr>
            <w:tcW w:w="3020" w:type="dxa"/>
            <w:vAlign w:val="bottom"/>
            <w:vMerge w:val="restart"/>
          </w:tcPr>
          <w:p>
            <w:pPr>
              <w:spacing w:after="0"/>
              <w:rPr>
                <w:sz w:val="20"/>
                <w:szCs w:val="20"/>
                <w:color w:val="auto"/>
              </w:rPr>
            </w:pPr>
            <w:r>
              <w:rPr>
                <w:rFonts w:ascii="Arial" w:cs="Arial" w:eastAsia="Arial" w:hAnsi="Arial"/>
                <w:sz w:val="9"/>
                <w:szCs w:val="9"/>
                <w:b w:val="1"/>
                <w:bCs w:val="1"/>
                <w:color w:val="auto"/>
              </w:rPr>
              <w:t>(In millions)</w:t>
            </w:r>
          </w:p>
        </w:tc>
        <w:tc>
          <w:tcPr>
            <w:tcW w:w="100" w:type="dxa"/>
            <w:vAlign w:val="bottom"/>
          </w:tcPr>
          <w:p>
            <w:pPr>
              <w:spacing w:after="0"/>
              <w:rPr>
                <w:sz w:val="8"/>
                <w:szCs w:val="8"/>
                <w:color w:val="auto"/>
              </w:rPr>
            </w:pPr>
          </w:p>
        </w:tc>
        <w:tc>
          <w:tcPr>
            <w:tcW w:w="1200" w:type="dxa"/>
            <w:vAlign w:val="bottom"/>
          </w:tcPr>
          <w:p>
            <w:pPr>
              <w:jc w:val="center"/>
              <w:spacing w:after="0"/>
              <w:rPr>
                <w:sz w:val="20"/>
                <w:szCs w:val="20"/>
                <w:color w:val="auto"/>
              </w:rPr>
            </w:pPr>
            <w:r>
              <w:rPr>
                <w:rFonts w:ascii="Arial" w:cs="Arial" w:eastAsia="Arial" w:hAnsi="Arial"/>
                <w:sz w:val="9"/>
                <w:szCs w:val="9"/>
                <w:b w:val="1"/>
                <w:bCs w:val="1"/>
                <w:color w:val="auto"/>
                <w:w w:val="92"/>
              </w:rPr>
              <w:t>Gain/(Loss)</w:t>
            </w:r>
          </w:p>
        </w:tc>
        <w:tc>
          <w:tcPr>
            <w:tcW w:w="100" w:type="dxa"/>
            <w:vAlign w:val="bottom"/>
          </w:tcPr>
          <w:p>
            <w:pPr>
              <w:spacing w:after="0"/>
              <w:rPr>
                <w:sz w:val="8"/>
                <w:szCs w:val="8"/>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0"/>
              </w:rPr>
              <w:t>Location</w:t>
            </w:r>
          </w:p>
        </w:tc>
        <w:tc>
          <w:tcPr>
            <w:tcW w:w="80" w:type="dxa"/>
            <w:vAlign w:val="bottom"/>
          </w:tcPr>
          <w:p>
            <w:pPr>
              <w:spacing w:after="0"/>
              <w:rPr>
                <w:sz w:val="8"/>
                <w:szCs w:val="8"/>
                <w:color w:val="auto"/>
              </w:rPr>
            </w:pPr>
          </w:p>
        </w:tc>
        <w:tc>
          <w:tcPr>
            <w:tcW w:w="1220" w:type="dxa"/>
            <w:vAlign w:val="bottom"/>
            <w:gridSpan w:val="2"/>
          </w:tcPr>
          <w:p>
            <w:pPr>
              <w:jc w:val="center"/>
              <w:spacing w:after="0"/>
              <w:rPr>
                <w:sz w:val="20"/>
                <w:szCs w:val="20"/>
                <w:color w:val="auto"/>
              </w:rPr>
            </w:pPr>
            <w:r>
              <w:rPr>
                <w:rFonts w:ascii="Arial" w:cs="Arial" w:eastAsia="Arial" w:hAnsi="Arial"/>
                <w:sz w:val="9"/>
                <w:szCs w:val="9"/>
                <w:b w:val="1"/>
                <w:bCs w:val="1"/>
                <w:color w:val="auto"/>
                <w:w w:val="92"/>
              </w:rPr>
              <w:t>Gain/(Loss)</w:t>
            </w:r>
          </w:p>
        </w:tc>
        <w:tc>
          <w:tcPr>
            <w:tcW w:w="100" w:type="dxa"/>
            <w:vAlign w:val="bottom"/>
          </w:tcPr>
          <w:p>
            <w:pPr>
              <w:spacing w:after="0"/>
              <w:rPr>
                <w:sz w:val="8"/>
                <w:szCs w:val="8"/>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5"/>
              </w:rPr>
              <w:t>Location</w:t>
            </w:r>
          </w:p>
        </w:tc>
        <w:tc>
          <w:tcPr>
            <w:tcW w:w="80" w:type="dxa"/>
            <w:vAlign w:val="bottom"/>
          </w:tcPr>
          <w:p>
            <w:pPr>
              <w:spacing w:after="0"/>
              <w:rPr>
                <w:sz w:val="8"/>
                <w:szCs w:val="8"/>
                <w:color w:val="auto"/>
              </w:rPr>
            </w:pPr>
          </w:p>
        </w:tc>
        <w:tc>
          <w:tcPr>
            <w:tcW w:w="1160" w:type="dxa"/>
            <w:vAlign w:val="bottom"/>
          </w:tcPr>
          <w:p>
            <w:pPr>
              <w:jc w:val="center"/>
              <w:spacing w:after="0"/>
              <w:rPr>
                <w:sz w:val="20"/>
                <w:szCs w:val="20"/>
                <w:color w:val="auto"/>
              </w:rPr>
            </w:pPr>
            <w:r>
              <w:rPr>
                <w:rFonts w:ascii="Arial" w:cs="Arial" w:eastAsia="Arial" w:hAnsi="Arial"/>
                <w:sz w:val="9"/>
                <w:szCs w:val="9"/>
                <w:b w:val="1"/>
                <w:bCs w:val="1"/>
                <w:color w:val="auto"/>
                <w:w w:val="91"/>
              </w:rPr>
              <w:t>Recorded</w:t>
            </w:r>
          </w:p>
        </w:tc>
        <w:tc>
          <w:tcPr>
            <w:tcW w:w="0" w:type="dxa"/>
            <w:vAlign w:val="bottom"/>
          </w:tcPr>
          <w:p>
            <w:pPr>
              <w:spacing w:after="0"/>
              <w:rPr>
                <w:sz w:val="1"/>
                <w:szCs w:val="1"/>
                <w:color w:val="auto"/>
              </w:rPr>
            </w:pPr>
          </w:p>
        </w:tc>
      </w:tr>
      <w:tr>
        <w:trPr>
          <w:trHeight w:val="112"/>
        </w:trPr>
        <w:tc>
          <w:tcPr>
            <w:tcW w:w="30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i w:val="1"/>
                <w:iCs w:val="1"/>
                <w:color w:val="auto"/>
                <w:w w:val="92"/>
              </w:rPr>
              <w:t>(Effective Portion)</w:t>
            </w:r>
          </w:p>
        </w:tc>
        <w:tc>
          <w:tcPr>
            <w:tcW w:w="100" w:type="dxa"/>
            <w:vAlign w:val="bottom"/>
          </w:tcPr>
          <w:p>
            <w:pPr>
              <w:spacing w:after="0"/>
              <w:rPr>
                <w:sz w:val="9"/>
                <w:szCs w:val="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i w:val="1"/>
                <w:iCs w:val="1"/>
                <w:color w:val="auto"/>
                <w:w w:val="92"/>
              </w:rPr>
              <w:t>(Effective Portion)</w:t>
            </w:r>
          </w:p>
        </w:tc>
        <w:tc>
          <w:tcPr>
            <w:tcW w:w="80" w:type="dxa"/>
            <w:vAlign w:val="bottom"/>
          </w:tcPr>
          <w:p>
            <w:pPr>
              <w:spacing w:after="0"/>
              <w:rPr>
                <w:sz w:val="9"/>
                <w:szCs w:val="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i w:val="1"/>
                <w:iCs w:val="1"/>
                <w:color w:val="auto"/>
                <w:w w:val="92"/>
              </w:rPr>
              <w:t>(Effective Portion)</w:t>
            </w:r>
          </w:p>
        </w:tc>
        <w:tc>
          <w:tcPr>
            <w:tcW w:w="100" w:type="dxa"/>
            <w:vAlign w:val="bottom"/>
          </w:tcPr>
          <w:p>
            <w:pPr>
              <w:spacing w:after="0"/>
              <w:rPr>
                <w:sz w:val="9"/>
                <w:szCs w:val="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i w:val="1"/>
                <w:iCs w:val="1"/>
                <w:color w:val="auto"/>
                <w:w w:val="94"/>
              </w:rPr>
              <w:t>(Ineffective Portion)</w:t>
            </w:r>
          </w:p>
        </w:tc>
        <w:tc>
          <w:tcPr>
            <w:tcW w:w="80" w:type="dxa"/>
            <w:vAlign w:val="bottom"/>
          </w:tcPr>
          <w:p>
            <w:pPr>
              <w:spacing w:after="0"/>
              <w:rPr>
                <w:sz w:val="9"/>
                <w:szCs w:val="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i w:val="1"/>
                <w:iCs w:val="1"/>
                <w:color w:val="auto"/>
                <w:w w:val="92"/>
              </w:rPr>
              <w:t>(Ineffective Portion)</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302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For the Three Months Ended</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020" w:type="dxa"/>
            <w:vAlign w:val="bottom"/>
          </w:tcPr>
          <w:p>
            <w:pPr>
              <w:spacing w:after="0" w:line="111" w:lineRule="exact"/>
              <w:rPr>
                <w:sz w:val="20"/>
                <w:szCs w:val="20"/>
                <w:color w:val="auto"/>
              </w:rPr>
            </w:pPr>
            <w:r>
              <w:rPr>
                <w:rFonts w:ascii="Arial" w:cs="Arial" w:eastAsia="Arial" w:hAnsi="Arial"/>
                <w:sz w:val="11"/>
                <w:szCs w:val="11"/>
                <w:b w:val="1"/>
                <w:bCs w:val="1"/>
                <w:color w:val="auto"/>
              </w:rPr>
              <w:t>June 30, 2010:</w:t>
            </w: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0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Foreign currency contracts</w:t>
            </w:r>
          </w:p>
        </w:tc>
        <w:tc>
          <w:tcPr>
            <w:tcW w:w="1300" w:type="dxa"/>
            <w:vAlign w:val="bottom"/>
            <w:gridSpan w:val="2"/>
            <w:shd w:val="clear" w:color="auto" w:fill="CCEEFF"/>
          </w:tcPr>
          <w:p>
            <w:pPr>
              <w:ind w:left="540"/>
              <w:spacing w:after="0" w:line="111" w:lineRule="exact"/>
              <w:rPr>
                <w:sz w:val="20"/>
                <w:szCs w:val="20"/>
                <w:color w:val="auto"/>
              </w:rPr>
            </w:pPr>
            <w:r>
              <w:rPr>
                <w:rFonts w:ascii="Arial" w:cs="Arial" w:eastAsia="Arial" w:hAnsi="Arial"/>
                <w:sz w:val="11"/>
                <w:szCs w:val="11"/>
                <w:color w:val="auto"/>
              </w:rPr>
              <w:t>$ 62.1</w:t>
            </w: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Revenue</w:t>
            </w:r>
          </w:p>
        </w:tc>
        <w:tc>
          <w:tcPr>
            <w:tcW w:w="580" w:type="dxa"/>
            <w:vAlign w:val="bottom"/>
            <w:gridSpan w:val="2"/>
            <w:shd w:val="clear" w:color="auto" w:fill="CCEEFF"/>
          </w:tcPr>
          <w:p>
            <w:pPr>
              <w:ind w:left="520"/>
              <w:spacing w:after="0" w:line="111"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446"/>
              <w:spacing w:after="0" w:line="111" w:lineRule="exact"/>
              <w:rPr>
                <w:sz w:val="20"/>
                <w:szCs w:val="20"/>
                <w:color w:val="auto"/>
              </w:rPr>
            </w:pPr>
            <w:r>
              <w:rPr>
                <w:rFonts w:ascii="Arial" w:cs="Arial" w:eastAsia="Arial" w:hAnsi="Arial"/>
                <w:sz w:val="11"/>
                <w:szCs w:val="11"/>
                <w:color w:val="auto"/>
                <w:w w:val="93"/>
              </w:rPr>
              <w:t>19.7</w:t>
            </w: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income (expense)</w:t>
            </w:r>
          </w:p>
        </w:tc>
        <w:tc>
          <w:tcPr>
            <w:tcW w:w="1240" w:type="dxa"/>
            <w:vAlign w:val="bottom"/>
            <w:gridSpan w:val="2"/>
            <w:shd w:val="clear" w:color="auto" w:fill="CCEEFF"/>
          </w:tcPr>
          <w:p>
            <w:pPr>
              <w:ind w:left="520"/>
              <w:spacing w:after="0" w:line="111" w:lineRule="exact"/>
              <w:rPr>
                <w:sz w:val="20"/>
                <w:szCs w:val="20"/>
                <w:color w:val="auto"/>
              </w:rPr>
            </w:pPr>
            <w:r>
              <w:rPr>
                <w:rFonts w:ascii="Arial" w:cs="Arial" w:eastAsia="Arial" w:hAnsi="Arial"/>
                <w:sz w:val="11"/>
                <w:szCs w:val="11"/>
                <w:color w:val="auto"/>
              </w:rPr>
              <w:t>$ (0.6)</w:t>
            </w:r>
          </w:p>
        </w:tc>
        <w:tc>
          <w:tcPr>
            <w:tcW w:w="0" w:type="dxa"/>
            <w:vAlign w:val="bottom"/>
          </w:tcPr>
          <w:p>
            <w:pPr>
              <w:spacing w:after="0"/>
              <w:rPr>
                <w:sz w:val="1"/>
                <w:szCs w:val="1"/>
                <w:color w:val="auto"/>
              </w:rPr>
            </w:pPr>
          </w:p>
        </w:tc>
      </w:tr>
      <w:tr>
        <w:trPr>
          <w:trHeight w:val="111"/>
        </w:trPr>
        <w:tc>
          <w:tcPr>
            <w:tcW w:w="3020" w:type="dxa"/>
            <w:vAlign w:val="bottom"/>
          </w:tcPr>
          <w:p>
            <w:pPr>
              <w:spacing w:after="0" w:line="111" w:lineRule="exact"/>
              <w:rPr>
                <w:sz w:val="20"/>
                <w:szCs w:val="20"/>
                <w:color w:val="auto"/>
              </w:rPr>
            </w:pPr>
            <w:r>
              <w:rPr>
                <w:rFonts w:ascii="Arial" w:cs="Arial" w:eastAsia="Arial" w:hAnsi="Arial"/>
                <w:sz w:val="11"/>
                <w:szCs w:val="11"/>
                <w:b w:val="1"/>
                <w:bCs w:val="1"/>
                <w:color w:val="auto"/>
              </w:rPr>
              <w:t>June 30, 2009:</w:t>
            </w: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0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Foreign currency contracts</w:t>
            </w:r>
          </w:p>
        </w:tc>
        <w:tc>
          <w:tcPr>
            <w:tcW w:w="1300" w:type="dxa"/>
            <w:vAlign w:val="bottom"/>
            <w:gridSpan w:val="2"/>
            <w:shd w:val="clear" w:color="auto" w:fill="CCEEFF"/>
          </w:tcPr>
          <w:p>
            <w:pPr>
              <w:ind w:left="540"/>
              <w:spacing w:after="0" w:line="111" w:lineRule="exact"/>
              <w:rPr>
                <w:sz w:val="20"/>
                <w:szCs w:val="20"/>
                <w:color w:val="auto"/>
              </w:rPr>
            </w:pPr>
            <w:r>
              <w:rPr>
                <w:rFonts w:ascii="Arial" w:cs="Arial" w:eastAsia="Arial" w:hAnsi="Arial"/>
                <w:sz w:val="11"/>
                <w:szCs w:val="11"/>
                <w:color w:val="auto"/>
              </w:rPr>
              <w:t>$ (31.7)</w:t>
            </w: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Revenue</w:t>
            </w:r>
          </w:p>
        </w:tc>
        <w:tc>
          <w:tcPr>
            <w:tcW w:w="580" w:type="dxa"/>
            <w:vAlign w:val="bottom"/>
            <w:gridSpan w:val="2"/>
            <w:shd w:val="clear" w:color="auto" w:fill="CCEEFF"/>
          </w:tcPr>
          <w:p>
            <w:pPr>
              <w:ind w:left="520"/>
              <w:spacing w:after="0" w:line="111"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406"/>
              <w:spacing w:after="0" w:line="111" w:lineRule="exact"/>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income (expense)</w:t>
            </w:r>
          </w:p>
        </w:tc>
        <w:tc>
          <w:tcPr>
            <w:tcW w:w="1240" w:type="dxa"/>
            <w:vAlign w:val="bottom"/>
            <w:gridSpan w:val="2"/>
            <w:shd w:val="clear" w:color="auto" w:fill="CCEEFF"/>
          </w:tcPr>
          <w:p>
            <w:pPr>
              <w:ind w:left="520"/>
              <w:spacing w:after="0" w:line="111" w:lineRule="exact"/>
              <w:rPr>
                <w:sz w:val="20"/>
                <w:szCs w:val="20"/>
                <w:color w:val="auto"/>
              </w:rPr>
            </w:pPr>
            <w:r>
              <w:rPr>
                <w:rFonts w:ascii="Arial" w:cs="Arial" w:eastAsia="Arial" w:hAnsi="Arial"/>
                <w:sz w:val="11"/>
                <w:szCs w:val="11"/>
                <w:color w:val="auto"/>
              </w:rPr>
              <w:t>$ 1.7</w:t>
            </w:r>
          </w:p>
        </w:tc>
        <w:tc>
          <w:tcPr>
            <w:tcW w:w="0" w:type="dxa"/>
            <w:vAlign w:val="bottom"/>
          </w:tcPr>
          <w:p>
            <w:pPr>
              <w:spacing w:after="0"/>
              <w:rPr>
                <w:sz w:val="1"/>
                <w:szCs w:val="1"/>
                <w:color w:val="auto"/>
              </w:rPr>
            </w:pPr>
          </w:p>
        </w:tc>
      </w:tr>
      <w:tr>
        <w:trPr>
          <w:trHeight w:val="111"/>
        </w:trPr>
        <w:tc>
          <w:tcPr>
            <w:tcW w:w="3020" w:type="dxa"/>
            <w:vAlign w:val="bottom"/>
          </w:tcPr>
          <w:p>
            <w:pPr>
              <w:spacing w:after="0" w:line="111" w:lineRule="exact"/>
              <w:rPr>
                <w:sz w:val="20"/>
                <w:szCs w:val="20"/>
                <w:color w:val="auto"/>
              </w:rPr>
            </w:pPr>
            <w:r>
              <w:rPr>
                <w:rFonts w:ascii="Arial" w:cs="Arial" w:eastAsia="Arial" w:hAnsi="Arial"/>
                <w:sz w:val="11"/>
                <w:szCs w:val="11"/>
                <w:b w:val="1"/>
                <w:bCs w:val="1"/>
                <w:color w:val="auto"/>
              </w:rPr>
              <w:t>For the Six Months Ended</w:t>
            </w: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02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June 30, 2010:</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020" w:type="dxa"/>
            <w:vAlign w:val="bottom"/>
          </w:tcPr>
          <w:p>
            <w:pPr>
              <w:spacing w:after="0" w:line="111" w:lineRule="exact"/>
              <w:rPr>
                <w:sz w:val="20"/>
                <w:szCs w:val="20"/>
                <w:color w:val="auto"/>
              </w:rPr>
            </w:pPr>
            <w:r>
              <w:rPr>
                <w:rFonts w:ascii="Arial" w:cs="Arial" w:eastAsia="Arial" w:hAnsi="Arial"/>
                <w:sz w:val="11"/>
                <w:szCs w:val="11"/>
                <w:color w:val="auto"/>
              </w:rPr>
              <w:t>Foreign currency contracts</w:t>
            </w:r>
          </w:p>
        </w:tc>
        <w:tc>
          <w:tcPr>
            <w:tcW w:w="1300" w:type="dxa"/>
            <w:vAlign w:val="bottom"/>
            <w:gridSpan w:val="2"/>
          </w:tcPr>
          <w:p>
            <w:pPr>
              <w:ind w:left="540"/>
              <w:spacing w:after="0" w:line="111" w:lineRule="exact"/>
              <w:rPr>
                <w:sz w:val="20"/>
                <w:szCs w:val="20"/>
                <w:color w:val="auto"/>
              </w:rPr>
            </w:pPr>
            <w:r>
              <w:rPr>
                <w:rFonts w:ascii="Arial" w:cs="Arial" w:eastAsia="Arial" w:hAnsi="Arial"/>
                <w:sz w:val="11"/>
                <w:szCs w:val="11"/>
                <w:color w:val="auto"/>
              </w:rPr>
              <w:t>$ 62.1</w:t>
            </w:r>
          </w:p>
        </w:tc>
        <w:tc>
          <w:tcPr>
            <w:tcW w:w="100" w:type="dxa"/>
            <w:vAlign w:val="bottom"/>
          </w:tcPr>
          <w:p>
            <w:pPr>
              <w:spacing w:after="0"/>
              <w:rPr>
                <w:sz w:val="9"/>
                <w:szCs w:val="9"/>
                <w:color w:val="auto"/>
              </w:rPr>
            </w:pPr>
          </w:p>
        </w:tc>
        <w:tc>
          <w:tcPr>
            <w:tcW w:w="1460" w:type="dxa"/>
            <w:vAlign w:val="bottom"/>
          </w:tcPr>
          <w:p>
            <w:pPr>
              <w:spacing w:after="0" w:line="111" w:lineRule="exact"/>
              <w:rPr>
                <w:sz w:val="20"/>
                <w:szCs w:val="20"/>
                <w:color w:val="auto"/>
              </w:rPr>
            </w:pPr>
            <w:r>
              <w:rPr>
                <w:rFonts w:ascii="Arial" w:cs="Arial" w:eastAsia="Arial" w:hAnsi="Arial"/>
                <w:sz w:val="11"/>
                <w:szCs w:val="11"/>
                <w:color w:val="auto"/>
              </w:rPr>
              <w:t>Revenue</w:t>
            </w:r>
          </w:p>
        </w:tc>
        <w:tc>
          <w:tcPr>
            <w:tcW w:w="580" w:type="dxa"/>
            <w:vAlign w:val="bottom"/>
            <w:gridSpan w:val="2"/>
          </w:tcPr>
          <w:p>
            <w:pPr>
              <w:ind w:left="520"/>
              <w:spacing w:after="0" w:line="111" w:lineRule="exact"/>
              <w:rPr>
                <w:sz w:val="20"/>
                <w:szCs w:val="20"/>
                <w:color w:val="auto"/>
              </w:rPr>
            </w:pPr>
            <w:r>
              <w:rPr>
                <w:rFonts w:ascii="Arial" w:cs="Arial" w:eastAsia="Arial" w:hAnsi="Arial"/>
                <w:sz w:val="10"/>
                <w:szCs w:val="10"/>
                <w:color w:val="auto"/>
                <w:w w:val="71"/>
              </w:rPr>
              <w:t>$</w:t>
            </w:r>
          </w:p>
        </w:tc>
        <w:tc>
          <w:tcPr>
            <w:tcW w:w="720" w:type="dxa"/>
            <w:vAlign w:val="bottom"/>
          </w:tcPr>
          <w:p>
            <w:pPr>
              <w:jc w:val="right"/>
              <w:ind w:right="446"/>
              <w:spacing w:after="0" w:line="111" w:lineRule="exact"/>
              <w:rPr>
                <w:sz w:val="20"/>
                <w:szCs w:val="20"/>
                <w:color w:val="auto"/>
              </w:rPr>
            </w:pPr>
            <w:r>
              <w:rPr>
                <w:rFonts w:ascii="Arial" w:cs="Arial" w:eastAsia="Arial" w:hAnsi="Arial"/>
                <w:sz w:val="11"/>
                <w:szCs w:val="11"/>
                <w:color w:val="auto"/>
                <w:w w:val="93"/>
              </w:rPr>
              <w:t>19.9</w:t>
            </w:r>
          </w:p>
        </w:tc>
        <w:tc>
          <w:tcPr>
            <w:tcW w:w="100" w:type="dxa"/>
            <w:vAlign w:val="bottom"/>
          </w:tcPr>
          <w:p>
            <w:pPr>
              <w:spacing w:after="0"/>
              <w:rPr>
                <w:sz w:val="9"/>
                <w:szCs w:val="9"/>
                <w:color w:val="auto"/>
              </w:rPr>
            </w:pPr>
          </w:p>
        </w:tc>
        <w:tc>
          <w:tcPr>
            <w:tcW w:w="1460" w:type="dxa"/>
            <w:vAlign w:val="bottom"/>
          </w:tcPr>
          <w:p>
            <w:pPr>
              <w:spacing w:after="0" w:line="111" w:lineRule="exact"/>
              <w:rPr>
                <w:sz w:val="20"/>
                <w:szCs w:val="20"/>
                <w:color w:val="auto"/>
              </w:rPr>
            </w:pPr>
            <w:r>
              <w:rPr>
                <w:rFonts w:ascii="Arial" w:cs="Arial" w:eastAsia="Arial" w:hAnsi="Arial"/>
                <w:sz w:val="11"/>
                <w:szCs w:val="11"/>
                <w:color w:val="auto"/>
              </w:rPr>
              <w:t>Other income (expense)</w:t>
            </w:r>
          </w:p>
        </w:tc>
        <w:tc>
          <w:tcPr>
            <w:tcW w:w="1240" w:type="dxa"/>
            <w:vAlign w:val="bottom"/>
            <w:gridSpan w:val="2"/>
          </w:tcPr>
          <w:p>
            <w:pPr>
              <w:ind w:left="520"/>
              <w:spacing w:after="0" w:line="111" w:lineRule="exact"/>
              <w:rPr>
                <w:sz w:val="20"/>
                <w:szCs w:val="20"/>
                <w:color w:val="auto"/>
              </w:rPr>
            </w:pPr>
            <w:r>
              <w:rPr>
                <w:rFonts w:ascii="Arial" w:cs="Arial" w:eastAsia="Arial" w:hAnsi="Arial"/>
                <w:sz w:val="11"/>
                <w:szCs w:val="11"/>
                <w:color w:val="auto"/>
              </w:rPr>
              <w:t>$ (0.5)</w:t>
            </w:r>
          </w:p>
        </w:tc>
        <w:tc>
          <w:tcPr>
            <w:tcW w:w="0" w:type="dxa"/>
            <w:vAlign w:val="bottom"/>
          </w:tcPr>
          <w:p>
            <w:pPr>
              <w:spacing w:after="0"/>
              <w:rPr>
                <w:sz w:val="1"/>
                <w:szCs w:val="1"/>
                <w:color w:val="auto"/>
              </w:rPr>
            </w:pPr>
          </w:p>
        </w:tc>
      </w:tr>
      <w:tr>
        <w:trPr>
          <w:trHeight w:val="111"/>
        </w:trPr>
        <w:tc>
          <w:tcPr>
            <w:tcW w:w="302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June 30, 2009:</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020" w:type="dxa"/>
            <w:vAlign w:val="bottom"/>
          </w:tcPr>
          <w:p>
            <w:pPr>
              <w:spacing w:after="0"/>
              <w:rPr>
                <w:sz w:val="20"/>
                <w:szCs w:val="20"/>
                <w:color w:val="auto"/>
              </w:rPr>
            </w:pPr>
            <w:r>
              <w:rPr>
                <w:rFonts w:ascii="Arial" w:cs="Arial" w:eastAsia="Arial" w:hAnsi="Arial"/>
                <w:sz w:val="11"/>
                <w:szCs w:val="11"/>
                <w:color w:val="auto"/>
              </w:rPr>
              <w:t>Foreign currency contracts</w:t>
            </w:r>
          </w:p>
        </w:tc>
        <w:tc>
          <w:tcPr>
            <w:tcW w:w="1300" w:type="dxa"/>
            <w:vAlign w:val="bottom"/>
            <w:gridSpan w:val="2"/>
          </w:tcPr>
          <w:p>
            <w:pPr>
              <w:ind w:left="540"/>
              <w:spacing w:after="0"/>
              <w:rPr>
                <w:sz w:val="20"/>
                <w:szCs w:val="20"/>
                <w:color w:val="auto"/>
              </w:rPr>
            </w:pPr>
            <w:r>
              <w:rPr>
                <w:rFonts w:ascii="Arial" w:cs="Arial" w:eastAsia="Arial" w:hAnsi="Arial"/>
                <w:sz w:val="11"/>
                <w:szCs w:val="11"/>
                <w:color w:val="auto"/>
              </w:rPr>
              <w:t>$(31.7)</w:t>
            </w:r>
          </w:p>
        </w:tc>
        <w:tc>
          <w:tcPr>
            <w:tcW w:w="100" w:type="dxa"/>
            <w:vAlign w:val="bottom"/>
          </w:tcPr>
          <w:p>
            <w:pPr>
              <w:spacing w:after="0"/>
              <w:rPr>
                <w:sz w:val="11"/>
                <w:szCs w:val="11"/>
                <w:color w:val="auto"/>
              </w:rPr>
            </w:pPr>
          </w:p>
        </w:tc>
        <w:tc>
          <w:tcPr>
            <w:tcW w:w="1460" w:type="dxa"/>
            <w:vAlign w:val="bottom"/>
          </w:tcPr>
          <w:p>
            <w:pPr>
              <w:spacing w:after="0"/>
              <w:rPr>
                <w:sz w:val="20"/>
                <w:szCs w:val="20"/>
                <w:color w:val="auto"/>
              </w:rPr>
            </w:pPr>
            <w:r>
              <w:rPr>
                <w:rFonts w:ascii="Arial" w:cs="Arial" w:eastAsia="Arial" w:hAnsi="Arial"/>
                <w:sz w:val="11"/>
                <w:szCs w:val="11"/>
                <w:color w:val="auto"/>
              </w:rPr>
              <w:t>Revenue</w:t>
            </w:r>
          </w:p>
        </w:tc>
        <w:tc>
          <w:tcPr>
            <w:tcW w:w="58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406"/>
              <w:spacing w:after="0"/>
              <w:rPr>
                <w:sz w:val="20"/>
                <w:szCs w:val="20"/>
                <w:color w:val="auto"/>
              </w:rPr>
            </w:pPr>
            <w:r>
              <w:rPr>
                <w:rFonts w:ascii="Arial" w:cs="Arial" w:eastAsia="Arial" w:hAnsi="Arial"/>
                <w:sz w:val="11"/>
                <w:szCs w:val="11"/>
                <w:color w:val="auto"/>
                <w:w w:val="83"/>
              </w:rPr>
              <w:t>(12.3)</w:t>
            </w:r>
          </w:p>
        </w:tc>
        <w:tc>
          <w:tcPr>
            <w:tcW w:w="100" w:type="dxa"/>
            <w:vAlign w:val="bottom"/>
          </w:tcPr>
          <w:p>
            <w:pPr>
              <w:spacing w:after="0"/>
              <w:rPr>
                <w:sz w:val="11"/>
                <w:szCs w:val="11"/>
                <w:color w:val="auto"/>
              </w:rPr>
            </w:pPr>
          </w:p>
        </w:tc>
        <w:tc>
          <w:tcPr>
            <w:tcW w:w="1460" w:type="dxa"/>
            <w:vAlign w:val="bottom"/>
          </w:tcPr>
          <w:p>
            <w:pPr>
              <w:spacing w:after="0"/>
              <w:rPr>
                <w:sz w:val="20"/>
                <w:szCs w:val="20"/>
                <w:color w:val="auto"/>
              </w:rPr>
            </w:pPr>
            <w:r>
              <w:rPr>
                <w:rFonts w:ascii="Arial" w:cs="Arial" w:eastAsia="Arial" w:hAnsi="Arial"/>
                <w:sz w:val="11"/>
                <w:szCs w:val="11"/>
                <w:color w:val="auto"/>
              </w:rPr>
              <w:t>Other income (expense)</w:t>
            </w:r>
          </w:p>
        </w:tc>
        <w:tc>
          <w:tcPr>
            <w:tcW w:w="1240" w:type="dxa"/>
            <w:vAlign w:val="bottom"/>
            <w:gridSpan w:val="2"/>
          </w:tcPr>
          <w:p>
            <w:pPr>
              <w:ind w:left="520"/>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Derivatives</w:t>
      </w:r>
    </w:p>
    <w:p>
      <w:pPr>
        <w:spacing w:after="0" w:line="102" w:lineRule="exact"/>
        <w:rPr>
          <w:sz w:val="20"/>
          <w:szCs w:val="20"/>
          <w:color w:val="auto"/>
        </w:rPr>
      </w:pPr>
    </w:p>
    <w:p>
      <w:pPr>
        <w:ind w:left="680" w:right="200" w:firstLine="399"/>
        <w:spacing w:after="0" w:line="267" w:lineRule="auto"/>
        <w:rPr>
          <w:sz w:val="20"/>
          <w:szCs w:val="20"/>
          <w:color w:val="auto"/>
        </w:rPr>
      </w:pPr>
      <w:r>
        <w:rPr>
          <w:rFonts w:ascii="Arial" w:cs="Arial" w:eastAsia="Arial" w:hAnsi="Arial"/>
          <w:sz w:val="13"/>
          <w:szCs w:val="13"/>
          <w:color w:val="auto"/>
        </w:rPr>
        <w:t>We enter into foreign currency forward contracts, with one month durations, to mitigate the foreign currency risk related to certain balance sheet items. We have not elected hedge accounting for these transactions. As of June 30, 2010, the aggregate notional amount of our outstanding foreign currency contracts was $189.0 million. The fair value of these contracts was a net gain of $1.7 million. Net gains of $7.9 million and $13.1 million related to these contracts were recognized as a component of other income (expense), net, in the three and six months ended June 30, 2010, respectively. We recognized net gains of $1.4 million as a component of other income (expense), net for the three and six months ended June 30, 2009.</w:t>
      </w:r>
    </w:p>
    <w:p>
      <w:pPr>
        <w:spacing w:after="0" w:line="144" w:lineRule="exact"/>
        <w:rPr>
          <w:sz w:val="20"/>
          <w:szCs w:val="20"/>
          <w:color w:val="auto"/>
        </w:rPr>
      </w:pPr>
    </w:p>
    <w:p>
      <w:pPr>
        <w:ind w:left="1000" w:hanging="312"/>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Shareholders’ Equity</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Shareholders’ equity decreased $1,050.6 million as of June 30, 2010 as compared to December 31, 2009.</w:t>
      </w:r>
    </w:p>
    <w:p>
      <w:pPr>
        <w:spacing w:after="0" w:line="10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During the six months ended June 30, 2010, we repurchased approximately 31.3 million shares at a cost of approximately $1,609.3 million under our 2010 and 2009 stock repurchase authorizations. We retired all of these shares as they were acquired. In connection with this retirement, in accordance with our policy, we recorded an approximately $1,609.3 million reduction in additional paid-in-capital.</w:t>
      </w:r>
    </w:p>
    <w:p>
      <w:pPr>
        <w:spacing w:after="0" w:line="59"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This decline in stockholders’ equity was offset by net income of $514.6 million and the increase to additional paid in capital resulting from the amortization of expense associated with our share-based compensation programs of $95.5 million.</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From July 1, 2010 through July 16, 2010, we repurchased an additional 4.7 million shares under the 2010 repurchase program at a total cost of approximately $233.2 million, all of which were retired. Approximately $235.0 million remains available for repurchase of our common stock under the 2010 program. The number of</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240"/>
        <w:spacing w:after="0" w:line="294" w:lineRule="auto"/>
        <w:rPr>
          <w:sz w:val="20"/>
          <w:szCs w:val="20"/>
          <w:color w:val="auto"/>
        </w:rPr>
      </w:pPr>
      <w:r>
        <w:rPr>
          <w:rFonts w:ascii="Arial" w:cs="Arial" w:eastAsia="Arial" w:hAnsi="Arial"/>
          <w:sz w:val="13"/>
          <w:szCs w:val="13"/>
          <w:color w:val="auto"/>
        </w:rPr>
        <w:t>remaining shares that may be purchased under this program will vary based on price fluctuations of our common stock. The 2009 repurchase program was completed during the first quarter of 2010.</w:t>
      </w:r>
    </w:p>
    <w:p>
      <w:pPr>
        <w:spacing w:after="0" w:line="125" w:lineRule="exact"/>
        <w:rPr>
          <w:sz w:val="20"/>
          <w:szCs w:val="20"/>
          <w:color w:val="auto"/>
        </w:rPr>
      </w:pPr>
    </w:p>
    <w:p>
      <w:pPr>
        <w:ind w:left="1200" w:hanging="512"/>
        <w:spacing w:after="0"/>
        <w:tabs>
          <w:tab w:leader="none" w:pos="12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Property, Plant and Equipment</w:t>
      </w:r>
    </w:p>
    <w:p>
      <w:pPr>
        <w:spacing w:after="0" w:line="104"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Property, plant and equipment are recorded at historical cost, net of accumulated depreciation. Accumulated depreciation on property, plant and equipment was $703.6 million at June 30, 2010 and $642.5 million at December 31, 2009.</w:t>
      </w:r>
    </w:p>
    <w:p>
      <w:pPr>
        <w:spacing w:after="0" w:line="47"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We own or lease real estate primarily consisting of buildings that contain research laboratories, office space, and biologic manufacturing operations, some of which are located in markets that are experiencing high vacancy rates and decreasing property values. If we decide to consolidate, co-locate or dispose of certain aspects of our business operations, for strategic or other operational reasons, we may dispose of one or more of our properties. Due to reduced expectations of product demand, improved yields on production and other factors, we may not fully utilize our manufacturing facilities at normal levels resulting in idle time at facilities or substantial excess manufacturing capacity. We are always evaluating our current facility utilization strategy and assessing alternatives. In June 2010, we decided to delay completion of our manufacturing facility in Hillerød, Denmark upon completion of the facility’s operational qualification activities in the fourth quarter of 2010.</w:t>
      </w:r>
    </w:p>
    <w:p>
      <w:pPr>
        <w:spacing w:after="0" w:line="6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any of our owned properties are held for sale and we determine that the fair value of the properties is lower than their book value, we may not realize the full investment in these properties and incur impairment charges which may be significant. In addition, if we decide to fully or partially vacate a leased property, we may incur significant costs, including lease termination fees, rent expense in excess of sublease income and impairment of leasehold improvements.</w:t>
      </w:r>
    </w:p>
    <w:p>
      <w:pPr>
        <w:spacing w:after="0" w:line="137" w:lineRule="exact"/>
        <w:rPr>
          <w:sz w:val="20"/>
          <w:szCs w:val="20"/>
          <w:color w:val="auto"/>
        </w:rPr>
      </w:pPr>
    </w:p>
    <w:p>
      <w:pPr>
        <w:ind w:left="1200" w:hanging="512"/>
        <w:spacing w:after="0"/>
        <w:tabs>
          <w:tab w:leader="none" w:pos="12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4"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The following tables reflect the activity in comprehensive income included within equity attributable to the shareholders of Biogen Idec, equity attributable to noncontrolling interests, and total shareholders’ equity:</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0"/>
              </w:rPr>
              <w:t>For the 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w w:val="94"/>
              </w:rPr>
              <w:t>For the 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w w:val="88"/>
              </w:rPr>
              <w:t>Ended June 30, 2010</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Ended June 30, 2009</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220"/>
              <w:spacing w:after="0" w:line="84" w:lineRule="exact"/>
              <w:rPr>
                <w:sz w:val="20"/>
                <w:szCs w:val="20"/>
                <w:color w:val="auto"/>
              </w:rPr>
            </w:pPr>
            <w:r>
              <w:rPr>
                <w:rFonts w:ascii="Arial" w:cs="Arial" w:eastAsia="Arial" w:hAnsi="Arial"/>
                <w:sz w:val="9"/>
                <w:szCs w:val="9"/>
                <w:b w:val="1"/>
                <w:bCs w:val="1"/>
                <w:color w:val="auto"/>
              </w:rPr>
              <w:t>Biogen Idec</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86"/>
              </w:rPr>
              <w:t>Noncontrolling</w:t>
            </w:r>
          </w:p>
        </w:tc>
        <w:tc>
          <w:tcPr>
            <w:tcW w:w="100" w:type="dxa"/>
            <w:vAlign w:val="bottom"/>
          </w:tcPr>
          <w:p>
            <w:pPr>
              <w:spacing w:after="0"/>
              <w:rPr>
                <w:sz w:val="7"/>
                <w:szCs w:val="7"/>
                <w:color w:val="auto"/>
              </w:rPr>
            </w:pPr>
          </w:p>
        </w:tc>
        <w:tc>
          <w:tcPr>
            <w:tcW w:w="800" w:type="dxa"/>
            <w:vAlign w:val="bottom"/>
          </w:tcPr>
          <w:p>
            <w:pPr>
              <w:jc w:val="center"/>
              <w:ind w:right="23"/>
              <w:spacing w:after="0" w:line="84" w:lineRule="exact"/>
              <w:rPr>
                <w:sz w:val="20"/>
                <w:szCs w:val="20"/>
                <w:color w:val="auto"/>
              </w:rPr>
            </w:pPr>
            <w:r>
              <w:rPr>
                <w:rFonts w:ascii="Arial" w:cs="Arial" w:eastAsia="Arial" w:hAnsi="Arial"/>
                <w:sz w:val="9"/>
                <w:szCs w:val="9"/>
                <w:b w:val="1"/>
                <w:bCs w:val="1"/>
                <w:color w:val="auto"/>
              </w:rPr>
              <w:t>Total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180"/>
              <w:spacing w:after="0" w:line="84" w:lineRule="exact"/>
              <w:rPr>
                <w:sz w:val="20"/>
                <w:szCs w:val="20"/>
                <w:color w:val="auto"/>
              </w:rPr>
            </w:pPr>
            <w:r>
              <w:rPr>
                <w:rFonts w:ascii="Arial" w:cs="Arial" w:eastAsia="Arial" w:hAnsi="Arial"/>
                <w:sz w:val="9"/>
                <w:szCs w:val="9"/>
                <w:b w:val="1"/>
                <w:bCs w:val="1"/>
                <w:color w:val="auto"/>
              </w:rPr>
              <w:t>Biogen Idec</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1"/>
              </w:rPr>
              <w:t>Noncontrolling</w:t>
            </w:r>
          </w:p>
        </w:tc>
        <w:tc>
          <w:tcPr>
            <w:tcW w:w="100" w:type="dxa"/>
            <w:vAlign w:val="bottom"/>
          </w:tcPr>
          <w:p>
            <w:pPr>
              <w:spacing w:after="0"/>
              <w:rPr>
                <w:sz w:val="7"/>
                <w:szCs w:val="7"/>
                <w:color w:val="auto"/>
              </w:rPr>
            </w:pPr>
          </w:p>
        </w:tc>
        <w:tc>
          <w:tcPr>
            <w:tcW w:w="800" w:type="dxa"/>
            <w:vAlign w:val="bottom"/>
          </w:tcPr>
          <w:p>
            <w:pPr>
              <w:jc w:val="center"/>
              <w:ind w:right="43"/>
              <w:spacing w:after="0" w:line="84"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9"/>
                <w:szCs w:val="9"/>
                <w:color w:val="auto"/>
              </w:rPr>
            </w:pPr>
          </w:p>
        </w:tc>
        <w:tc>
          <w:tcPr>
            <w:tcW w:w="92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100" w:type="dxa"/>
            <w:vAlign w:val="bottom"/>
          </w:tcPr>
          <w:p>
            <w:pPr>
              <w:spacing w:after="0"/>
              <w:rPr>
                <w:sz w:val="9"/>
                <w:szCs w:val="9"/>
                <w:color w:val="auto"/>
              </w:rPr>
            </w:pPr>
          </w:p>
        </w:tc>
        <w:tc>
          <w:tcPr>
            <w:tcW w:w="92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128"/>
        </w:trPr>
        <w:tc>
          <w:tcPr>
            <w:tcW w:w="3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30"/>
        </w:trPr>
        <w:tc>
          <w:tcPr>
            <w:tcW w:w="3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293.4</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294.6</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142.9</w:t>
            </w:r>
          </w:p>
        </w:tc>
        <w:tc>
          <w:tcPr>
            <w:tcW w:w="20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144.9</w:t>
            </w: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gains(losses) on investments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w w:val="94"/>
              </w:rPr>
              <w:t>Unrealized gains(losses) on foreign currency forward contracts</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26.5</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44"/>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(Over) underfunded status of pension and post-retirement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benefit plans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rPr>
              <w:t>Translation adjustments</w:t>
            </w:r>
          </w:p>
        </w:tc>
        <w:tc>
          <w:tcPr>
            <w:tcW w:w="10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(71.8)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(75.2)</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239.2</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4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For the Six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w w:val="90"/>
              </w:rPr>
              <w:t>For the Six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w w:val="88"/>
              </w:rPr>
              <w:t>Ended June 30, 2010</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Ended June 30, 2009</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300"/>
              <w:spacing w:after="0" w:line="84" w:lineRule="exact"/>
              <w:rPr>
                <w:sz w:val="20"/>
                <w:szCs w:val="20"/>
                <w:color w:val="auto"/>
              </w:rPr>
            </w:pPr>
            <w:r>
              <w:rPr>
                <w:rFonts w:ascii="Arial" w:cs="Arial" w:eastAsia="Arial" w:hAnsi="Arial"/>
                <w:sz w:val="9"/>
                <w:szCs w:val="9"/>
                <w:b w:val="1"/>
                <w:bCs w:val="1"/>
                <w:color w:val="auto"/>
              </w:rPr>
              <w:t>Biogen Idec</w:t>
            </w:r>
          </w:p>
        </w:tc>
        <w:tc>
          <w:tcPr>
            <w:tcW w:w="80" w:type="dxa"/>
            <w:vAlign w:val="bottom"/>
          </w:tcPr>
          <w:p>
            <w:pPr>
              <w:spacing w:after="0"/>
              <w:rPr>
                <w:sz w:val="7"/>
                <w:szCs w:val="7"/>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6"/>
              </w:rPr>
              <w:t>Noncontrolling</w:t>
            </w:r>
          </w:p>
        </w:tc>
        <w:tc>
          <w:tcPr>
            <w:tcW w:w="100" w:type="dxa"/>
            <w:vAlign w:val="bottom"/>
          </w:tcPr>
          <w:p>
            <w:pPr>
              <w:spacing w:after="0"/>
              <w:rPr>
                <w:sz w:val="7"/>
                <w:szCs w:val="7"/>
                <w:color w:val="auto"/>
              </w:rPr>
            </w:pPr>
          </w:p>
        </w:tc>
        <w:tc>
          <w:tcPr>
            <w:tcW w:w="800" w:type="dxa"/>
            <w:vAlign w:val="bottom"/>
          </w:tcPr>
          <w:p>
            <w:pPr>
              <w:jc w:val="center"/>
              <w:ind w:right="23"/>
              <w:spacing w:after="0" w:line="84" w:lineRule="exact"/>
              <w:rPr>
                <w:sz w:val="20"/>
                <w:szCs w:val="20"/>
                <w:color w:val="auto"/>
              </w:rPr>
            </w:pPr>
            <w:r>
              <w:rPr>
                <w:rFonts w:ascii="Arial" w:cs="Arial" w:eastAsia="Arial" w:hAnsi="Arial"/>
                <w:sz w:val="9"/>
                <w:szCs w:val="9"/>
                <w:b w:val="1"/>
                <w:bCs w:val="1"/>
                <w:color w:val="auto"/>
              </w:rPr>
              <w:t>Total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Biogen Idec</w:t>
            </w:r>
          </w:p>
        </w:tc>
        <w:tc>
          <w:tcPr>
            <w:tcW w:w="100" w:type="dxa"/>
            <w:vAlign w:val="bottom"/>
          </w:tcPr>
          <w:p>
            <w:pPr>
              <w:spacing w:after="0"/>
              <w:rPr>
                <w:sz w:val="7"/>
                <w:szCs w:val="7"/>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w w:val="91"/>
              </w:rPr>
              <w:t>Noncontrolling</w:t>
            </w:r>
          </w:p>
        </w:tc>
        <w:tc>
          <w:tcPr>
            <w:tcW w:w="100" w:type="dxa"/>
            <w:vAlign w:val="bottom"/>
          </w:tcPr>
          <w:p>
            <w:pPr>
              <w:spacing w:after="0"/>
              <w:rPr>
                <w:sz w:val="7"/>
                <w:szCs w:val="7"/>
                <w:color w:val="auto"/>
              </w:rPr>
            </w:pPr>
          </w:p>
        </w:tc>
        <w:tc>
          <w:tcPr>
            <w:tcW w:w="800" w:type="dxa"/>
            <w:vAlign w:val="bottom"/>
          </w:tcPr>
          <w:p>
            <w:pPr>
              <w:jc w:val="center"/>
              <w:ind w:right="43"/>
              <w:spacing w:after="0" w:line="84" w:lineRule="exact"/>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100" w:type="dxa"/>
            <w:vAlign w:val="bottom"/>
          </w:tcPr>
          <w:p>
            <w:pPr>
              <w:spacing w:after="0"/>
              <w:rPr>
                <w:sz w:val="9"/>
                <w:szCs w:val="9"/>
                <w:color w:val="auto"/>
              </w:rPr>
            </w:pPr>
          </w:p>
        </w:tc>
        <w:tc>
          <w:tcPr>
            <w:tcW w:w="102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7"/>
              </w:rPr>
              <w:t>Shareholders’</w:t>
            </w: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128"/>
        </w:trPr>
        <w:tc>
          <w:tcPr>
            <w:tcW w:w="3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Equity</w:t>
            </w:r>
          </w:p>
        </w:tc>
        <w:tc>
          <w:tcPr>
            <w:tcW w:w="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1"/>
                <w:szCs w:val="11"/>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Interest</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30"/>
        </w:trPr>
        <w:tc>
          <w:tcPr>
            <w:tcW w:w="3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510.9</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514.7</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386.8</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391.4</w:t>
            </w: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Unrealized gains(losses) on investments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w w:val="94"/>
              </w:rPr>
              <w:t>Unrealized gains(losses) on foreign currency forward contracts</w:t>
            </w:r>
          </w:p>
        </w:tc>
        <w:tc>
          <w:tcPr>
            <w:tcW w:w="10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54.3</w:t>
            </w:r>
          </w:p>
        </w:tc>
        <w:tc>
          <w:tcPr>
            <w:tcW w:w="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54.3</w:t>
            </w:r>
          </w:p>
        </w:tc>
        <w:tc>
          <w:tcPr>
            <w:tcW w:w="10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(Over) underfunded status of pension and post-retirement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benefit plans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300" w:type="dxa"/>
            <w:vAlign w:val="bottom"/>
            <w:gridSpan w:val="2"/>
          </w:tcPr>
          <w:p>
            <w:pPr>
              <w:ind w:left="120"/>
              <w:spacing w:after="0"/>
              <w:rPr>
                <w:sz w:val="20"/>
                <w:szCs w:val="20"/>
                <w:color w:val="auto"/>
              </w:rPr>
            </w:pPr>
            <w:r>
              <w:rPr>
                <w:rFonts w:ascii="Arial" w:cs="Arial" w:eastAsia="Arial" w:hAnsi="Arial"/>
                <w:sz w:val="12"/>
                <w:szCs w:val="12"/>
                <w:color w:val="auto"/>
              </w:rPr>
              <w:t>Translation adjustments</w:t>
            </w:r>
          </w:p>
        </w:tc>
        <w:tc>
          <w:tcPr>
            <w:tcW w:w="1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(124.2)</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(130.2)</w:t>
            </w:r>
          </w:p>
        </w:tc>
        <w:tc>
          <w:tcPr>
            <w:tcW w:w="10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431.3</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429.1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409.2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00" w:firstLine="399"/>
        <w:spacing w:after="0" w:line="294" w:lineRule="auto"/>
        <w:rPr>
          <w:sz w:val="20"/>
          <w:szCs w:val="20"/>
          <w:color w:val="auto"/>
        </w:rPr>
      </w:pPr>
      <w:r>
        <w:rPr>
          <w:rFonts w:ascii="Arial" w:cs="Arial" w:eastAsia="Arial" w:hAnsi="Arial"/>
          <w:sz w:val="13"/>
          <w:szCs w:val="13"/>
          <w:color w:val="auto"/>
        </w:rPr>
        <w:t>Unrealized holding gains (losses) on investments are shown net of tax of $3.8 million and $5.5 million for the three and six months ended June 30, 2010, respectively, as compared to $0.8 million and $2.0 million for the prior year comparative periods.</w:t>
      </w:r>
    </w:p>
    <w:p>
      <w:pPr>
        <w:spacing w:after="0" w:line="47" w:lineRule="exact"/>
        <w:rPr>
          <w:sz w:val="20"/>
          <w:szCs w:val="20"/>
          <w:color w:val="auto"/>
        </w:rPr>
      </w:pPr>
    </w:p>
    <w:p>
      <w:pPr>
        <w:ind w:left="680" w:right="540" w:firstLine="399"/>
        <w:spacing w:after="0" w:line="294" w:lineRule="auto"/>
        <w:rPr>
          <w:sz w:val="20"/>
          <w:szCs w:val="20"/>
          <w:color w:val="auto"/>
        </w:rPr>
      </w:pPr>
      <w:r>
        <w:rPr>
          <w:rFonts w:ascii="Arial" w:cs="Arial" w:eastAsia="Arial" w:hAnsi="Arial"/>
          <w:sz w:val="13"/>
          <w:szCs w:val="13"/>
          <w:color w:val="auto"/>
        </w:rPr>
        <w:t>Unrealized gains (losses) on foreign currency forward contracts are shown net of tax of $3.6 million, and $6.5 million for the three and six months ended June 30, 2010, respectively, as compared to $2.6 million and $0.5 million for the prior year comparative periods.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(over) underfunded status of pension and post-retirement benefit plans is shown net of tax as of June 30, 2010 and June 30, 2009. Tax for both years was immaterial.</w:t>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reconciles equity attributable to noncontrolling interest: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gridSpan w:val="5"/>
          </w:tcPr>
          <w:p>
            <w:pPr>
              <w:jc w:val="right"/>
              <w:ind w:right="840"/>
              <w:spacing w:after="0"/>
              <w:rPr>
                <w:sz w:val="20"/>
                <w:szCs w:val="20"/>
                <w:color w:val="auto"/>
              </w:rPr>
            </w:pPr>
            <w:r>
              <w:rPr>
                <w:rFonts w:ascii="Arial" w:cs="Arial" w:eastAsia="Arial" w:hAnsi="Arial"/>
                <w:sz w:val="11"/>
                <w:szCs w:val="11"/>
                <w:b w:val="1"/>
                <w:bCs w:val="1"/>
                <w:color w:val="auto"/>
              </w:rPr>
              <w:t>For the Three Months</w:t>
            </w:r>
          </w:p>
        </w:tc>
        <w:tc>
          <w:tcPr>
            <w:tcW w:w="14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For the Six Months</w:t>
            </w:r>
          </w:p>
        </w:tc>
        <w:tc>
          <w:tcPr>
            <w:tcW w:w="0" w:type="dxa"/>
            <w:vAlign w:val="bottom"/>
          </w:tcPr>
          <w:p>
            <w:pPr>
              <w:spacing w:after="0"/>
              <w:rPr>
                <w:sz w:val="1"/>
                <w:szCs w:val="1"/>
                <w:color w:val="auto"/>
              </w:rPr>
            </w:pPr>
          </w:p>
        </w:tc>
      </w:tr>
      <w:tr>
        <w:trPr>
          <w:trHeight w:val="128"/>
        </w:trPr>
        <w:tc>
          <w:tcPr>
            <w:tcW w:w="6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2040" w:type="dxa"/>
            <w:vAlign w:val="bottom"/>
            <w:gridSpan w:val="5"/>
          </w:tcPr>
          <w:p>
            <w:pPr>
              <w:jc w:val="right"/>
              <w:ind w:right="1000"/>
              <w:spacing w:after="0"/>
              <w:rPr>
                <w:sz w:val="20"/>
                <w:szCs w:val="20"/>
                <w:color w:val="auto"/>
              </w:rPr>
            </w:pPr>
            <w:r>
              <w:rPr>
                <w:rFonts w:ascii="Arial" w:cs="Arial" w:eastAsia="Arial" w:hAnsi="Arial"/>
                <w:sz w:val="11"/>
                <w:szCs w:val="11"/>
                <w:b w:val="1"/>
                <w:bCs w:val="1"/>
                <w:color w:val="auto"/>
              </w:rPr>
              <w:t>Ended June 30,</w:t>
            </w:r>
          </w:p>
        </w:tc>
        <w:tc>
          <w:tcPr>
            <w:tcW w:w="14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9"/>
              </w:rPr>
              <w:t>Ended June 30,</w:t>
            </w:r>
          </w:p>
        </w:tc>
        <w:tc>
          <w:tcPr>
            <w:tcW w:w="0" w:type="dxa"/>
            <w:vAlign w:val="bottom"/>
          </w:tcPr>
          <w:p>
            <w:pPr>
              <w:spacing w:after="0"/>
              <w:rPr>
                <w:sz w:val="1"/>
                <w:szCs w:val="1"/>
                <w:color w:val="auto"/>
              </w:rPr>
            </w:pPr>
          </w:p>
        </w:tc>
      </w:tr>
      <w:tr>
        <w:trPr>
          <w:trHeight w:val="101"/>
        </w:trPr>
        <w:tc>
          <w:tcPr>
            <w:tcW w:w="6500" w:type="dxa"/>
            <w:vAlign w:val="bottom"/>
            <w:gridSpan w:val="2"/>
            <w:vMerge w:val="continue"/>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680" w:type="dxa"/>
            <w:vAlign w:val="bottom"/>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6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9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 beginning of period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8"/>
              </w:rPr>
              <w:t>$ 41.2</w:t>
            </w:r>
          </w:p>
        </w:tc>
        <w:tc>
          <w:tcPr>
            <w:tcW w:w="6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8"/>
              </w:rPr>
              <w:t>$ 32.6</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8"/>
              </w:rPr>
              <w:t>$ 40.4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$ 27.9</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3"/>
                <w:szCs w:val="13"/>
                <w:color w:val="auto"/>
              </w:rPr>
              <w:t>Net income attributable to noncontrolling interest</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660" w:type="dxa"/>
            <w:vAlign w:val="bottom"/>
          </w:tcPr>
          <w:p>
            <w:pPr>
              <w:spacing w:after="0"/>
              <w:rPr>
                <w:sz w:val="14"/>
                <w:szCs w:val="1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3"/>
                <w:szCs w:val="13"/>
                <w:color w:val="auto"/>
              </w:rPr>
              <w:t>2.0</w:t>
            </w:r>
          </w:p>
        </w:tc>
        <w:tc>
          <w:tcPr>
            <w:tcW w:w="1020" w:type="dxa"/>
            <w:vAlign w:val="bottom"/>
            <w:gridSpan w:val="2"/>
          </w:tcPr>
          <w:p>
            <w:pPr>
              <w:jc w:val="right"/>
              <w:ind w:right="680"/>
              <w:spacing w:after="0"/>
              <w:rPr>
                <w:sz w:val="20"/>
                <w:szCs w:val="20"/>
                <w:color w:val="auto"/>
              </w:rPr>
            </w:pPr>
            <w:r>
              <w:rPr>
                <w:rFonts w:ascii="Arial" w:cs="Arial" w:eastAsia="Arial" w:hAnsi="Arial"/>
                <w:sz w:val="13"/>
                <w:szCs w:val="13"/>
                <w:color w:val="auto"/>
              </w:rPr>
              <w:t>3.8</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Translation adjustments</w:t>
            </w:r>
          </w:p>
        </w:tc>
        <w:tc>
          <w:tcPr>
            <w:tcW w:w="102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(3.4)</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(1.4)</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(6.0)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3"/>
                <w:szCs w:val="13"/>
                <w:color w:val="auto"/>
              </w:rPr>
              <w:t>Distributions to noncontrolling interest</w:t>
            </w:r>
          </w:p>
        </w:tc>
        <w:tc>
          <w:tcPr>
            <w:tcW w:w="102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contributions from noncontrolling interest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w:t>
            </w:r>
          </w:p>
        </w:tc>
        <w:tc>
          <w:tcPr>
            <w:tcW w:w="6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3"/>
                <w:szCs w:val="13"/>
                <w:color w:val="auto"/>
              </w:rPr>
              <w:t>Noncontrolling interest, end of period</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$ 40.4</w:t>
            </w:r>
          </w:p>
        </w:tc>
        <w:tc>
          <w:tcPr>
            <w:tcW w:w="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$ 33.2</w:t>
            </w:r>
          </w:p>
        </w:tc>
        <w:tc>
          <w:tcPr>
            <w:tcW w:w="6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$ 40.4</w:t>
            </w:r>
          </w:p>
        </w:tc>
        <w:tc>
          <w:tcPr>
            <w:tcW w:w="6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8"/>
              </w:rPr>
              <w:t>$ 33.2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distributions to us from our joint ventures were negligible for the three and six months ended June 30, 2010 and 2009.</w:t>
      </w:r>
    </w:p>
    <w:p>
      <w:pPr>
        <w:spacing w:after="0" w:line="15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220" w:type="dxa"/>
            <w:vAlign w:val="bottom"/>
          </w:tcPr>
          <w:p>
            <w:pPr>
              <w:spacing w:after="0"/>
              <w:rPr>
                <w:sz w:val="20"/>
                <w:szCs w:val="20"/>
                <w:color w:val="auto"/>
              </w:rPr>
            </w:pPr>
            <w:r>
              <w:rPr>
                <w:rFonts w:ascii="Arial" w:cs="Arial" w:eastAsia="Arial" w:hAnsi="Arial"/>
                <w:sz w:val="13"/>
                <w:szCs w:val="13"/>
                <w:b w:val="1"/>
                <w:bCs w:val="1"/>
                <w:color w:val="auto"/>
              </w:rPr>
              <w:t>12.</w:t>
            </w:r>
          </w:p>
        </w:tc>
        <w:tc>
          <w:tcPr>
            <w:tcW w:w="5980" w:type="dxa"/>
            <w:vAlign w:val="bottom"/>
            <w:gridSpan w:val="2"/>
          </w:tcPr>
          <w:p>
            <w:pPr>
              <w:ind w:left="3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5980" w:type="dxa"/>
            <w:vAlign w:val="bottom"/>
            <w:gridSpan w:val="2"/>
          </w:tcPr>
          <w:p>
            <w:pPr>
              <w:ind w:left="180"/>
              <w:spacing w:after="0"/>
              <w:rPr>
                <w:sz w:val="20"/>
                <w:szCs w:val="20"/>
                <w:color w:val="auto"/>
              </w:rPr>
            </w:pPr>
            <w:r>
              <w:rPr>
                <w:rFonts w:ascii="Arial" w:cs="Arial" w:eastAsia="Arial" w:hAnsi="Arial"/>
                <w:sz w:val="13"/>
                <w:szCs w:val="13"/>
                <w:color w:val="auto"/>
              </w:rPr>
              <w:t>Basic and diluted earnings per share are calculated as follows:</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gridSpan w:val="4"/>
          </w:tcPr>
          <w:p>
            <w:pPr>
              <w:jc w:val="right"/>
              <w:ind w:right="940"/>
              <w:spacing w:after="0"/>
              <w:rPr>
                <w:sz w:val="20"/>
                <w:szCs w:val="20"/>
                <w:color w:val="auto"/>
              </w:rPr>
            </w:pPr>
            <w:r>
              <w:rPr>
                <w:rFonts w:ascii="Arial" w:cs="Arial" w:eastAsia="Arial" w:hAnsi="Arial"/>
                <w:sz w:val="11"/>
                <w:szCs w:val="11"/>
                <w:b w:val="1"/>
                <w:bCs w:val="1"/>
                <w:color w:val="auto"/>
              </w:rPr>
              <w:t>For the Three Months</w:t>
            </w:r>
          </w:p>
        </w:tc>
        <w:tc>
          <w:tcPr>
            <w:tcW w:w="1560" w:type="dxa"/>
            <w:vAlign w:val="bottom"/>
            <w:gridSpan w:val="4"/>
          </w:tcPr>
          <w:p>
            <w:pPr>
              <w:jc w:val="right"/>
              <w:ind w:right="380"/>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28"/>
        </w:trPr>
        <w:tc>
          <w:tcPr>
            <w:tcW w:w="6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w w:val="84"/>
              </w:rPr>
              <w:t>Ended June 30,</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Ended June 30,</w:t>
            </w:r>
          </w:p>
        </w:tc>
        <w:tc>
          <w:tcPr>
            <w:tcW w:w="0" w:type="dxa"/>
            <w:vAlign w:val="bottom"/>
          </w:tcPr>
          <w:p>
            <w:pPr>
              <w:spacing w:after="0"/>
              <w:rPr>
                <w:sz w:val="1"/>
                <w:szCs w:val="1"/>
                <w:color w:val="auto"/>
              </w:rPr>
            </w:pPr>
          </w:p>
        </w:tc>
      </w:tr>
      <w:tr>
        <w:trPr>
          <w:trHeight w:val="101"/>
        </w:trPr>
        <w:tc>
          <w:tcPr>
            <w:tcW w:w="6200" w:type="dxa"/>
            <w:vAlign w:val="bottom"/>
            <w:gridSpan w:val="3"/>
            <w:vMerge w:val="continue"/>
          </w:tcPr>
          <w:p>
            <w:pPr>
              <w:spacing w:after="0"/>
              <w:rPr>
                <w:sz w:val="8"/>
                <w:szCs w:val="8"/>
                <w:color w:val="auto"/>
              </w:rPr>
            </w:pPr>
          </w:p>
        </w:tc>
        <w:tc>
          <w:tcPr>
            <w:tcW w:w="420" w:type="dxa"/>
            <w:vAlign w:val="bottom"/>
            <w:tcBorders>
              <w:top w:val="single" w:sz="8" w:color="auto"/>
            </w:tcBorders>
          </w:tcPr>
          <w:p>
            <w:pPr>
              <w:jc w:val="right"/>
              <w:ind w:right="35"/>
              <w:spacing w:after="0" w:line="101" w:lineRule="exact"/>
              <w:rPr>
                <w:sz w:val="20"/>
                <w:szCs w:val="20"/>
                <w:color w:val="auto"/>
              </w:rPr>
            </w:pPr>
            <w:r>
              <w:rPr>
                <w:rFonts w:ascii="Arial" w:cs="Arial" w:eastAsia="Arial" w:hAnsi="Arial"/>
                <w:sz w:val="11"/>
                <w:szCs w:val="11"/>
                <w:b w:val="1"/>
                <w:bCs w:val="1"/>
                <w:color w:val="auto"/>
              </w:rPr>
              <w:t>2010</w:t>
            </w:r>
          </w:p>
        </w:tc>
        <w:tc>
          <w:tcPr>
            <w:tcW w:w="7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2009</w:t>
            </w:r>
          </w:p>
        </w:tc>
        <w:tc>
          <w:tcPr>
            <w:tcW w:w="680" w:type="dxa"/>
            <w:vAlign w:val="bottom"/>
          </w:tcPr>
          <w:p>
            <w:pPr>
              <w:spacing w:after="0"/>
              <w:rPr>
                <w:sz w:val="8"/>
                <w:szCs w:val="8"/>
                <w:color w:val="auto"/>
              </w:rPr>
            </w:pPr>
          </w:p>
        </w:tc>
        <w:tc>
          <w:tcPr>
            <w:tcW w:w="400" w:type="dxa"/>
            <w:vAlign w:val="bottom"/>
            <w:tcBorders>
              <w:top w:val="single" w:sz="8" w:color="auto"/>
            </w:tcBorders>
          </w:tcPr>
          <w:p>
            <w:pPr>
              <w:jc w:val="right"/>
              <w:ind w:right="36"/>
              <w:spacing w:after="0" w:line="101" w:lineRule="exact"/>
              <w:rPr>
                <w:sz w:val="20"/>
                <w:szCs w:val="20"/>
                <w:color w:val="auto"/>
              </w:rPr>
            </w:pPr>
            <w:r>
              <w:rPr>
                <w:rFonts w:ascii="Arial" w:cs="Arial" w:eastAsia="Arial" w:hAnsi="Arial"/>
                <w:sz w:val="11"/>
                <w:szCs w:val="11"/>
                <w:b w:val="1"/>
                <w:bCs w:val="1"/>
                <w:color w:val="auto"/>
              </w:rPr>
              <w:t>2010</w:t>
            </w:r>
          </w:p>
        </w:tc>
        <w:tc>
          <w:tcPr>
            <w:tcW w:w="6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20" w:type="dxa"/>
            <w:vAlign w:val="bottom"/>
            <w:tcBorders>
              <w:top w:val="single" w:sz="8" w:color="auto"/>
            </w:tcBorders>
          </w:tcPr>
          <w:p>
            <w:pPr>
              <w:spacing w:after="0"/>
              <w:rPr>
                <w:sz w:val="2"/>
                <w:szCs w:val="2"/>
                <w:color w:val="auto"/>
              </w:rPr>
            </w:pPr>
          </w:p>
        </w:tc>
        <w:tc>
          <w:tcPr>
            <w:tcW w:w="53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Numerator:</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Net income attributable to Biogen Idec</w:t>
            </w:r>
          </w:p>
        </w:tc>
        <w:tc>
          <w:tcPr>
            <w:tcW w:w="1120" w:type="dxa"/>
            <w:vAlign w:val="bottom"/>
            <w:gridSpan w:val="2"/>
          </w:tcPr>
          <w:p>
            <w:pPr>
              <w:jc w:val="right"/>
              <w:ind w:right="646"/>
              <w:spacing w:after="0"/>
              <w:rPr>
                <w:sz w:val="20"/>
                <w:szCs w:val="20"/>
                <w:color w:val="auto"/>
              </w:rPr>
            </w:pPr>
            <w:r>
              <w:rPr>
                <w:rFonts w:ascii="Arial" w:cs="Arial" w:eastAsia="Arial" w:hAnsi="Arial"/>
                <w:sz w:val="13"/>
                <w:szCs w:val="13"/>
                <w:color w:val="auto"/>
                <w:w w:val="92"/>
              </w:rPr>
              <w:t>$ 293.4</w:t>
            </w:r>
          </w:p>
        </w:tc>
        <w:tc>
          <w:tcPr>
            <w:tcW w:w="1100" w:type="dxa"/>
            <w:vAlign w:val="bottom"/>
            <w:gridSpan w:val="2"/>
          </w:tcPr>
          <w:p>
            <w:pPr>
              <w:jc w:val="right"/>
              <w:ind w:right="680"/>
              <w:spacing w:after="0"/>
              <w:rPr>
                <w:sz w:val="20"/>
                <w:szCs w:val="20"/>
                <w:color w:val="auto"/>
              </w:rPr>
            </w:pPr>
            <w:r>
              <w:rPr>
                <w:rFonts w:ascii="Arial" w:cs="Arial" w:eastAsia="Arial" w:hAnsi="Arial"/>
                <w:sz w:val="13"/>
                <w:szCs w:val="13"/>
                <w:color w:val="auto"/>
                <w:w w:val="92"/>
              </w:rPr>
              <w:t>$ 142.8</w:t>
            </w: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w w:val="87"/>
              </w:rPr>
              <w:t>$ 510.9</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87"/>
              </w:rPr>
              <w:t>$ 386.8</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Adjustment for net income allocable to preferred shares</w:t>
            </w:r>
          </w:p>
        </w:tc>
        <w:tc>
          <w:tcPr>
            <w:tcW w:w="1120" w:type="dxa"/>
            <w:vAlign w:val="bottom"/>
            <w:gridSpan w:val="2"/>
            <w:shd w:val="clear" w:color="auto" w:fill="CCEEFF"/>
          </w:tcPr>
          <w:p>
            <w:pPr>
              <w:jc w:val="right"/>
              <w:ind w:right="606"/>
              <w:spacing w:after="0"/>
              <w:rPr>
                <w:sz w:val="20"/>
                <w:szCs w:val="20"/>
                <w:color w:val="auto"/>
              </w:rPr>
            </w:pPr>
            <w:r>
              <w:rPr>
                <w:rFonts w:ascii="Arial" w:cs="Arial" w:eastAsia="Arial" w:hAnsi="Arial"/>
                <w:sz w:val="13"/>
                <w:szCs w:val="13"/>
                <w:color w:val="auto"/>
              </w:rPr>
              <w:t>(0.6)</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(0.2)</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(0.9)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5980" w:type="dxa"/>
            <w:vAlign w:val="bottom"/>
            <w:gridSpan w:val="2"/>
          </w:tcPr>
          <w:p>
            <w:pPr>
              <w:ind w:left="60"/>
              <w:spacing w:after="0"/>
              <w:rPr>
                <w:sz w:val="20"/>
                <w:szCs w:val="20"/>
                <w:color w:val="auto"/>
              </w:rPr>
            </w:pPr>
            <w:r>
              <w:rPr>
                <w:rFonts w:ascii="Arial" w:cs="Arial" w:eastAsia="Arial" w:hAnsi="Arial"/>
                <w:sz w:val="13"/>
                <w:szCs w:val="13"/>
                <w:color w:val="auto"/>
              </w:rPr>
              <w:t>Net income used in calculating basic and diluted earnings per share</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$ 292.8</w:t>
            </w:r>
          </w:p>
        </w:tc>
        <w:tc>
          <w:tcPr>
            <w:tcW w:w="7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$ 142.6</w:t>
            </w:r>
          </w:p>
        </w:tc>
        <w:tc>
          <w:tcPr>
            <w:tcW w:w="6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$ 510.0</w:t>
            </w:r>
          </w:p>
        </w:tc>
        <w:tc>
          <w:tcPr>
            <w:tcW w:w="6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$ 386.1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1120" w:type="dxa"/>
            <w:vAlign w:val="bottom"/>
            <w:gridSpan w:val="2"/>
          </w:tcPr>
          <w:p>
            <w:pPr>
              <w:jc w:val="right"/>
              <w:ind w:right="646"/>
              <w:spacing w:after="0"/>
              <w:rPr>
                <w:sz w:val="20"/>
                <w:szCs w:val="20"/>
                <w:color w:val="auto"/>
              </w:rPr>
            </w:pPr>
            <w:r>
              <w:rPr>
                <w:rFonts w:ascii="Arial" w:cs="Arial" w:eastAsia="Arial" w:hAnsi="Arial"/>
                <w:sz w:val="13"/>
                <w:szCs w:val="13"/>
                <w:color w:val="auto"/>
              </w:rPr>
              <w:t>259.9</w:t>
            </w:r>
          </w:p>
        </w:tc>
        <w:tc>
          <w:tcPr>
            <w:tcW w:w="1100" w:type="dxa"/>
            <w:vAlign w:val="bottom"/>
            <w:gridSpan w:val="2"/>
          </w:tcPr>
          <w:p>
            <w:pPr>
              <w:jc w:val="right"/>
              <w:ind w:right="680"/>
              <w:spacing w:after="0"/>
              <w:rPr>
                <w:sz w:val="20"/>
                <w:szCs w:val="20"/>
                <w:color w:val="auto"/>
              </w:rPr>
            </w:pPr>
            <w:r>
              <w:rPr>
                <w:rFonts w:ascii="Arial" w:cs="Arial" w:eastAsia="Arial" w:hAnsi="Arial"/>
                <w:sz w:val="13"/>
                <w:szCs w:val="13"/>
                <w:color w:val="auto"/>
              </w:rPr>
              <w:t>288.6</w:t>
            </w: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265.0</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288.2</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Effect of dilutive securities:</w:t>
            </w: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gridSpan w:val="3"/>
          </w:tcPr>
          <w:p>
            <w:pPr>
              <w:ind w:left="140"/>
              <w:spacing w:after="0"/>
              <w:rPr>
                <w:sz w:val="20"/>
                <w:szCs w:val="20"/>
                <w:color w:val="auto"/>
              </w:rPr>
            </w:pPr>
            <w:r>
              <w:rPr>
                <w:rFonts w:ascii="Arial" w:cs="Arial" w:eastAsia="Arial" w:hAnsi="Arial"/>
                <w:sz w:val="13"/>
                <w:szCs w:val="13"/>
                <w:color w:val="auto"/>
              </w:rPr>
              <w:t>Stock options and employee stock purchase plan</w:t>
            </w:r>
          </w:p>
        </w:tc>
        <w:tc>
          <w:tcPr>
            <w:tcW w:w="1120" w:type="dxa"/>
            <w:vAlign w:val="bottom"/>
            <w:gridSpan w:val="2"/>
          </w:tcPr>
          <w:p>
            <w:pPr>
              <w:jc w:val="right"/>
              <w:ind w:right="646"/>
              <w:spacing w:after="0"/>
              <w:rPr>
                <w:sz w:val="20"/>
                <w:szCs w:val="20"/>
                <w:color w:val="auto"/>
              </w:rPr>
            </w:pPr>
            <w:r>
              <w:rPr>
                <w:rFonts w:ascii="Arial" w:cs="Arial" w:eastAsia="Arial" w:hAnsi="Arial"/>
                <w:sz w:val="13"/>
                <w:szCs w:val="13"/>
                <w:color w:val="auto"/>
              </w:rPr>
              <w:t>0.8</w:t>
            </w:r>
          </w:p>
        </w:tc>
        <w:tc>
          <w:tcPr>
            <w:tcW w:w="1100" w:type="dxa"/>
            <w:vAlign w:val="bottom"/>
            <w:gridSpan w:val="2"/>
          </w:tcPr>
          <w:p>
            <w:pPr>
              <w:jc w:val="right"/>
              <w:ind w:right="680"/>
              <w:spacing w:after="0"/>
              <w:rPr>
                <w:sz w:val="20"/>
                <w:szCs w:val="20"/>
                <w:color w:val="auto"/>
              </w:rPr>
            </w:pPr>
            <w:r>
              <w:rPr>
                <w:rFonts w:ascii="Arial" w:cs="Arial" w:eastAsia="Arial" w:hAnsi="Arial"/>
                <w:sz w:val="13"/>
                <w:szCs w:val="13"/>
                <w:color w:val="auto"/>
              </w:rPr>
              <w:t>0.7</w:t>
            </w: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0.9</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Time-vested restricted stock units</w:t>
            </w:r>
          </w:p>
        </w:tc>
        <w:tc>
          <w:tcPr>
            <w:tcW w:w="1120" w:type="dxa"/>
            <w:vAlign w:val="bottom"/>
            <w:gridSpan w:val="2"/>
            <w:shd w:val="clear" w:color="auto" w:fill="CCEEFF"/>
          </w:tcPr>
          <w:p>
            <w:pPr>
              <w:jc w:val="right"/>
              <w:ind w:right="646"/>
              <w:spacing w:after="0"/>
              <w:rPr>
                <w:sz w:val="20"/>
                <w:szCs w:val="20"/>
                <w:color w:val="auto"/>
              </w:rPr>
            </w:pPr>
            <w:r>
              <w:rPr>
                <w:rFonts w:ascii="Arial" w:cs="Arial" w:eastAsia="Arial" w:hAnsi="Arial"/>
                <w:sz w:val="13"/>
                <w:szCs w:val="13"/>
                <w:color w:val="auto"/>
              </w:rPr>
              <w:t>1.0</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1.1</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1.4</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6200" w:type="dxa"/>
            <w:vAlign w:val="bottom"/>
            <w:gridSpan w:val="3"/>
          </w:tcPr>
          <w:p>
            <w:pPr>
              <w:ind w:left="140"/>
              <w:spacing w:after="0"/>
              <w:rPr>
                <w:sz w:val="20"/>
                <w:szCs w:val="20"/>
                <w:color w:val="auto"/>
              </w:rPr>
            </w:pPr>
            <w:r>
              <w:rPr>
                <w:rFonts w:ascii="Arial" w:cs="Arial" w:eastAsia="Arial" w:hAnsi="Arial"/>
                <w:sz w:val="13"/>
                <w:szCs w:val="13"/>
                <w:color w:val="auto"/>
              </w:rPr>
              <w:t>Market stock units</w:t>
            </w:r>
          </w:p>
        </w:tc>
        <w:tc>
          <w:tcPr>
            <w:tcW w:w="1120" w:type="dxa"/>
            <w:vAlign w:val="bottom"/>
            <w:gridSpan w:val="2"/>
          </w:tcPr>
          <w:p>
            <w:pPr>
              <w:jc w:val="right"/>
              <w:ind w:right="646"/>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Performance-vested restricted stock units settled in shares</w:t>
            </w:r>
          </w:p>
        </w:tc>
        <w:tc>
          <w:tcPr>
            <w:tcW w:w="1120" w:type="dxa"/>
            <w:vAlign w:val="bottom"/>
            <w:gridSpan w:val="2"/>
            <w:shd w:val="clear" w:color="auto" w:fill="CCEEFF"/>
          </w:tcPr>
          <w:p>
            <w:pPr>
              <w:jc w:val="right"/>
              <w:ind w:right="646"/>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200" w:type="dxa"/>
            <w:vAlign w:val="bottom"/>
            <w:gridSpan w:val="3"/>
          </w:tcPr>
          <w:p>
            <w:pPr>
              <w:spacing w:after="0"/>
              <w:rPr>
                <w:sz w:val="20"/>
                <w:szCs w:val="20"/>
                <w:color w:val="auto"/>
              </w:rPr>
            </w:pPr>
            <w:r>
              <w:rPr>
                <w:rFonts w:ascii="Arial" w:cs="Arial" w:eastAsia="Arial" w:hAnsi="Arial"/>
                <w:sz w:val="13"/>
                <w:szCs w:val="13"/>
                <w:color w:val="auto"/>
              </w:rPr>
              <w:t>Dilutive potential common shares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7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6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6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Shares used in calculating diluted earnings per share</w:t>
            </w:r>
          </w:p>
        </w:tc>
        <w:tc>
          <w:tcPr>
            <w:tcW w:w="1120" w:type="dxa"/>
            <w:vAlign w:val="bottom"/>
            <w:gridSpan w:val="2"/>
            <w:shd w:val="clear" w:color="auto" w:fill="CCEEFF"/>
          </w:tcPr>
          <w:p>
            <w:pPr>
              <w:jc w:val="right"/>
              <w:ind w:right="646"/>
              <w:spacing w:after="0"/>
              <w:rPr>
                <w:sz w:val="20"/>
                <w:szCs w:val="20"/>
                <w:color w:val="auto"/>
              </w:rPr>
            </w:pPr>
            <w:r>
              <w:rPr>
                <w:rFonts w:ascii="Arial" w:cs="Arial" w:eastAsia="Arial" w:hAnsi="Arial"/>
                <w:sz w:val="13"/>
                <w:szCs w:val="13"/>
                <w:color w:val="auto"/>
              </w:rPr>
              <w:t>261.7</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290.4</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267.3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amounts were not included in the calculation of net income per diluted share because their effects were anti-dilutive: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gridSpan w:val="4"/>
          </w:tcPr>
          <w:p>
            <w:pPr>
              <w:ind w:left="120"/>
              <w:spacing w:after="0"/>
              <w:rPr>
                <w:sz w:val="20"/>
                <w:szCs w:val="20"/>
                <w:color w:val="auto"/>
              </w:rPr>
            </w:pPr>
            <w:r>
              <w:rPr>
                <w:rFonts w:ascii="Arial" w:cs="Arial" w:eastAsia="Arial" w:hAnsi="Arial"/>
                <w:sz w:val="11"/>
                <w:szCs w:val="11"/>
                <w:b w:val="1"/>
                <w:bCs w:val="1"/>
                <w:color w:val="auto"/>
              </w:rPr>
              <w:t>For the Three Months</w:t>
            </w:r>
          </w:p>
        </w:tc>
        <w:tc>
          <w:tcPr>
            <w:tcW w:w="120" w:type="dxa"/>
            <w:vAlign w:val="bottom"/>
          </w:tcPr>
          <w:p>
            <w:pPr>
              <w:spacing w:after="0"/>
              <w:rPr>
                <w:sz w:val="10"/>
                <w:szCs w:val="1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For the Six Months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640" w:type="dxa"/>
            <w:vAlign w:val="bottom"/>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Ended June 30,</w:t>
            </w:r>
          </w:p>
        </w:tc>
        <w:tc>
          <w:tcPr>
            <w:tcW w:w="2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Ended June 30,</w:t>
            </w: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640" w:type="dxa"/>
            <w:vAlign w:val="bottom"/>
            <w:tcBorders>
              <w:bottom w:val="single" w:sz="8" w:color="auto"/>
            </w:tcBorders>
            <w:vMerge w:val="continue"/>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7"/>
              <w:spacing w:after="0" w:line="101" w:lineRule="exact"/>
              <w:rPr>
                <w:sz w:val="20"/>
                <w:szCs w:val="20"/>
                <w:color w:val="auto"/>
              </w:rPr>
            </w:pPr>
            <w:r>
              <w:rPr>
                <w:rFonts w:ascii="Arial" w:cs="Arial" w:eastAsia="Arial" w:hAnsi="Arial"/>
                <w:sz w:val="11"/>
                <w:szCs w:val="11"/>
                <w:b w:val="1"/>
                <w:bCs w:val="1"/>
                <w:color w:val="auto"/>
                <w:w w:val="97"/>
              </w:rPr>
              <w:t>2010</w:t>
            </w:r>
          </w:p>
        </w:tc>
        <w:tc>
          <w:tcPr>
            <w:tcW w:w="700" w:type="dxa"/>
            <w:vAlign w:val="bottom"/>
          </w:tcPr>
          <w:p>
            <w:pPr>
              <w:spacing w:after="0"/>
              <w:rPr>
                <w:sz w:val="8"/>
                <w:szCs w:val="8"/>
                <w:color w:val="auto"/>
              </w:rPr>
            </w:pPr>
          </w:p>
        </w:tc>
        <w:tc>
          <w:tcPr>
            <w:tcW w:w="2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2009</w:t>
            </w: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101" w:lineRule="exact"/>
              <w:rPr>
                <w:sz w:val="20"/>
                <w:szCs w:val="20"/>
                <w:color w:val="auto"/>
              </w:rPr>
            </w:pPr>
            <w:r>
              <w:rPr>
                <w:rFonts w:ascii="Arial" w:cs="Arial" w:eastAsia="Arial" w:hAnsi="Arial"/>
                <w:sz w:val="11"/>
                <w:szCs w:val="11"/>
                <w:b w:val="1"/>
                <w:bCs w:val="1"/>
                <w:color w:val="auto"/>
              </w:rPr>
              <w:t>2010</w:t>
            </w:r>
          </w:p>
        </w:tc>
        <w:tc>
          <w:tcPr>
            <w:tcW w:w="68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2009</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Net income allocable to preferred shares</w:t>
            </w:r>
          </w:p>
        </w:tc>
        <w:tc>
          <w:tcPr>
            <w:tcW w:w="25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700"/>
              <w:spacing w:after="0"/>
              <w:rPr>
                <w:sz w:val="20"/>
                <w:szCs w:val="20"/>
                <w:color w:val="auto"/>
              </w:rPr>
            </w:pPr>
            <w:r>
              <w:rPr>
                <w:rFonts w:ascii="Arial" w:cs="Arial" w:eastAsia="Arial" w:hAnsi="Arial"/>
                <w:sz w:val="13"/>
                <w:szCs w:val="13"/>
                <w:color w:val="auto"/>
              </w:rPr>
              <w:t>0.6</w:t>
            </w:r>
          </w:p>
        </w:tc>
        <w:tc>
          <w:tcPr>
            <w:tcW w:w="1040" w:type="dxa"/>
            <w:vAlign w:val="bottom"/>
            <w:gridSpan w:val="2"/>
          </w:tcPr>
          <w:p>
            <w:pPr>
              <w:jc w:val="right"/>
              <w:ind w:right="780"/>
              <w:spacing w:after="0"/>
              <w:rPr>
                <w:sz w:val="20"/>
                <w:szCs w:val="20"/>
                <w:color w:val="auto"/>
              </w:rPr>
            </w:pPr>
            <w:r>
              <w:rPr>
                <w:rFonts w:ascii="Arial" w:cs="Arial" w:eastAsia="Arial" w:hAnsi="Arial"/>
                <w:sz w:val="13"/>
                <w:szCs w:val="13"/>
                <w:color w:val="auto"/>
                <w:w w:val="82"/>
              </w:rPr>
              <w:t>$ 0.2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80"/>
              <w:spacing w:after="0"/>
              <w:rPr>
                <w:sz w:val="20"/>
                <w:szCs w:val="20"/>
                <w:color w:val="auto"/>
              </w:rPr>
            </w:pPr>
            <w:r>
              <w:rPr>
                <w:rFonts w:ascii="Arial" w:cs="Arial" w:eastAsia="Arial" w:hAnsi="Arial"/>
                <w:sz w:val="13"/>
                <w:szCs w:val="13"/>
                <w:color w:val="auto"/>
              </w:rPr>
              <w:t>0.9</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$ 0.7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spacing w:after="0"/>
              <w:rPr>
                <w:sz w:val="12"/>
                <w:szCs w:val="12"/>
                <w:color w:val="auto"/>
              </w:rPr>
            </w:pPr>
          </w:p>
        </w:tc>
        <w:tc>
          <w:tcPr>
            <w:tcW w:w="36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Denominator:</w:t>
            </w:r>
          </w:p>
        </w:tc>
        <w:tc>
          <w:tcPr>
            <w:tcW w:w="1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3"/>
                <w:szCs w:val="13"/>
                <w:color w:val="auto"/>
              </w:rPr>
              <w:t>5.3</w:t>
            </w:r>
          </w:p>
        </w:tc>
        <w:tc>
          <w:tcPr>
            <w:tcW w:w="1040" w:type="dxa"/>
            <w:vAlign w:val="bottom"/>
            <w:gridSpan w:val="2"/>
          </w:tcPr>
          <w:p>
            <w:pPr>
              <w:jc w:val="right"/>
              <w:ind w:right="78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3"/>
                <w:szCs w:val="13"/>
                <w:color w:val="auto"/>
              </w:rPr>
              <w:t>5.1</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Time-vested restricted stock units</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1.4</w:t>
            </w: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Market stock units</w:t>
            </w: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Performance-vested restricted stock units</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Convertible preferred stock</w:t>
            </w:r>
          </w:p>
        </w:tc>
        <w:tc>
          <w:tcPr>
            <w:tcW w:w="1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3"/>
                <w:szCs w:val="13"/>
                <w:color w:val="auto"/>
              </w:rPr>
              <w:t>0.5</w:t>
            </w:r>
          </w:p>
        </w:tc>
        <w:tc>
          <w:tcPr>
            <w:tcW w:w="1040" w:type="dxa"/>
            <w:vAlign w:val="bottom"/>
            <w:gridSpan w:val="2"/>
          </w:tcPr>
          <w:p>
            <w:pPr>
              <w:jc w:val="right"/>
              <w:ind w:right="780"/>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3"/>
                <w:szCs w:val="13"/>
                <w:color w:val="auto"/>
              </w:rPr>
              <w:t>0.5</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7.2</w:t>
            </w: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6.6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vMerge w:val="restart"/>
          </w:tcPr>
          <w:p>
            <w:pPr>
              <w:jc w:val="right"/>
              <w:ind w:right="313"/>
              <w:spacing w:after="0"/>
              <w:rPr>
                <w:sz w:val="20"/>
                <w:szCs w:val="20"/>
                <w:color w:val="auto"/>
              </w:rPr>
            </w:pPr>
            <w:r>
              <w:rPr>
                <w:rFonts w:ascii="Arial" w:cs="Arial" w:eastAsia="Arial" w:hAnsi="Arial"/>
                <w:sz w:val="13"/>
                <w:szCs w:val="13"/>
                <w:color w:val="auto"/>
              </w:rPr>
              <w:t>22</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18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p>
      <w:pPr>
        <w:ind w:left="1200" w:hanging="512"/>
        <w:spacing w:after="0"/>
        <w:tabs>
          <w:tab w:leader="none" w:pos="12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share-based compensation expense included within our consolidated statements of income: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6"/>
          </w:tcPr>
          <w:p>
            <w:pPr>
              <w:jc w:val="right"/>
              <w:ind w:right="920"/>
              <w:spacing w:after="0"/>
              <w:rPr>
                <w:sz w:val="20"/>
                <w:szCs w:val="20"/>
                <w:color w:val="auto"/>
              </w:rPr>
            </w:pPr>
            <w:r>
              <w:rPr>
                <w:rFonts w:ascii="Arial" w:cs="Arial" w:eastAsia="Arial" w:hAnsi="Arial"/>
                <w:sz w:val="11"/>
                <w:szCs w:val="11"/>
                <w:b w:val="1"/>
                <w:bCs w:val="1"/>
                <w:color w:val="auto"/>
                <w:w w:val="90"/>
              </w:rPr>
              <w:t>For the Three Months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For the Six Months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6"/>
              </w:rPr>
              <w:t>Ended June 30,</w:t>
            </w: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Ended June 30,</w:t>
            </w: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3"/>
          </w:tcPr>
          <w:p>
            <w:pPr>
              <w:jc w:val="right"/>
              <w:ind w:right="15"/>
              <w:spacing w:after="0" w:line="101" w:lineRule="exact"/>
              <w:rPr>
                <w:sz w:val="20"/>
                <w:szCs w:val="20"/>
                <w:color w:val="auto"/>
              </w:rPr>
            </w:pPr>
            <w:r>
              <w:rPr>
                <w:rFonts w:ascii="Arial" w:cs="Arial" w:eastAsia="Arial" w:hAnsi="Arial"/>
                <w:sz w:val="11"/>
                <w:szCs w:val="11"/>
                <w:b w:val="1"/>
                <w:bCs w:val="1"/>
                <w:color w:val="auto"/>
                <w:w w:val="89"/>
              </w:rPr>
              <w:t>2010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gridSpan w:val="2"/>
          </w:tcPr>
          <w:p>
            <w:pPr>
              <w:jc w:val="right"/>
              <w:ind w:right="33"/>
              <w:spacing w:after="0" w:line="101" w:lineRule="exact"/>
              <w:rPr>
                <w:sz w:val="20"/>
                <w:szCs w:val="20"/>
                <w:color w:val="auto"/>
              </w:rPr>
            </w:pPr>
            <w:r>
              <w:rPr>
                <w:rFonts w:ascii="Arial" w:cs="Arial" w:eastAsia="Arial" w:hAnsi="Arial"/>
                <w:sz w:val="11"/>
                <w:szCs w:val="11"/>
                <w:b w:val="1"/>
                <w:bCs w:val="1"/>
                <w:color w:val="auto"/>
              </w:rPr>
              <w:t>2009</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15"/>
              <w:spacing w:after="0" w:line="101" w:lineRule="exact"/>
              <w:rPr>
                <w:sz w:val="20"/>
                <w:szCs w:val="20"/>
                <w:color w:val="auto"/>
              </w:rPr>
            </w:pPr>
            <w:r>
              <w:rPr>
                <w:rFonts w:ascii="Arial" w:cs="Arial" w:eastAsia="Arial" w:hAnsi="Arial"/>
                <w:sz w:val="11"/>
                <w:szCs w:val="11"/>
                <w:b w:val="1"/>
                <w:bCs w:val="1"/>
                <w:color w:val="auto"/>
                <w:w w:val="89"/>
              </w:rPr>
              <w:t>2010</w:t>
            </w:r>
          </w:p>
        </w:tc>
        <w:tc>
          <w:tcPr>
            <w:tcW w:w="700" w:type="dxa"/>
            <w:vAlign w:val="bottom"/>
          </w:tcPr>
          <w:p>
            <w:pPr>
              <w:spacing w:after="0"/>
              <w:rPr>
                <w:sz w:val="8"/>
                <w:szCs w:val="8"/>
                <w:color w:val="auto"/>
              </w:rPr>
            </w:pPr>
          </w:p>
        </w:tc>
        <w:tc>
          <w:tcPr>
            <w:tcW w:w="380" w:type="dxa"/>
            <w:vAlign w:val="bottom"/>
            <w:gridSpan w:val="2"/>
          </w:tcPr>
          <w:p>
            <w:pPr>
              <w:jc w:val="right"/>
              <w:ind w:right="33"/>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6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4"/>
            <w:shd w:val="clear" w:color="auto" w:fill="CCEEFF"/>
          </w:tcPr>
          <w:p>
            <w:pPr>
              <w:jc w:val="right"/>
              <w:ind w:right="26"/>
              <w:spacing w:after="0"/>
              <w:rPr>
                <w:sz w:val="20"/>
                <w:szCs w:val="20"/>
                <w:color w:val="auto"/>
              </w:rPr>
            </w:pPr>
            <w:r>
              <w:rPr>
                <w:rFonts w:ascii="Arial" w:cs="Arial" w:eastAsia="Arial" w:hAnsi="Arial"/>
                <w:sz w:val="13"/>
                <w:szCs w:val="13"/>
                <w:color w:val="auto"/>
              </w:rPr>
              <w:t>15.4</w:t>
            </w:r>
          </w:p>
        </w:tc>
        <w:tc>
          <w:tcPr>
            <w:tcW w:w="6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14.1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CCEEFF"/>
            </w:tcBorders>
            <w:gridSpan w:val="2"/>
            <w:shd w:val="clear" w:color="auto" w:fill="CCEEFF"/>
          </w:tcPr>
          <w:p>
            <w:pPr>
              <w:jc w:val="right"/>
              <w:ind w:right="646"/>
              <w:spacing w:after="0"/>
              <w:rPr>
                <w:sz w:val="20"/>
                <w:szCs w:val="20"/>
                <w:color w:val="auto"/>
              </w:rPr>
            </w:pPr>
            <w:r>
              <w:rPr>
                <w:rFonts w:ascii="Arial" w:cs="Arial" w:eastAsia="Arial" w:hAnsi="Arial"/>
                <w:sz w:val="13"/>
                <w:szCs w:val="13"/>
                <w:color w:val="auto"/>
              </w:rPr>
              <w:t>32.1</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30.4</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tcPr>
          <w:p>
            <w:pPr>
              <w:spacing w:after="0"/>
              <w:rPr>
                <w:sz w:val="14"/>
                <w:szCs w:val="14"/>
                <w:color w:val="auto"/>
              </w:rPr>
            </w:pPr>
          </w:p>
        </w:tc>
        <w:tc>
          <w:tcPr>
            <w:tcW w:w="400" w:type="dxa"/>
            <w:vAlign w:val="bottom"/>
            <w:gridSpan w:val="4"/>
          </w:tcPr>
          <w:p>
            <w:pPr>
              <w:jc w:val="right"/>
              <w:ind w:right="26"/>
              <w:spacing w:after="0"/>
              <w:rPr>
                <w:sz w:val="20"/>
                <w:szCs w:val="20"/>
                <w:color w:val="auto"/>
              </w:rPr>
            </w:pPr>
            <w:r>
              <w:rPr>
                <w:rFonts w:ascii="Arial" w:cs="Arial" w:eastAsia="Arial" w:hAnsi="Arial"/>
                <w:sz w:val="13"/>
                <w:szCs w:val="13"/>
                <w:color w:val="auto"/>
              </w:rPr>
              <w:t>34.0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60"/>
              <w:spacing w:after="0"/>
              <w:rPr>
                <w:sz w:val="20"/>
                <w:szCs w:val="20"/>
                <w:color w:val="auto"/>
              </w:rPr>
            </w:pPr>
            <w:r>
              <w:rPr>
                <w:rFonts w:ascii="Arial" w:cs="Arial" w:eastAsia="Arial" w:hAnsi="Arial"/>
                <w:sz w:val="13"/>
                <w:szCs w:val="13"/>
                <w:color w:val="auto"/>
              </w:rPr>
              <w:t>28.4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646"/>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51.6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Subtotal</w:t>
            </w:r>
          </w:p>
        </w:tc>
        <w:tc>
          <w:tcPr>
            <w:tcW w:w="8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26"/>
              <w:spacing w:after="0"/>
              <w:rPr>
                <w:sz w:val="20"/>
                <w:szCs w:val="20"/>
                <w:color w:val="auto"/>
              </w:rPr>
            </w:pPr>
            <w:r>
              <w:rPr>
                <w:rFonts w:ascii="Arial" w:cs="Arial" w:eastAsia="Arial" w:hAnsi="Arial"/>
                <w:sz w:val="13"/>
                <w:szCs w:val="13"/>
                <w:color w:val="auto"/>
              </w:rPr>
              <w:t>49.4</w:t>
            </w:r>
          </w:p>
        </w:tc>
        <w:tc>
          <w:tcPr>
            <w:tcW w:w="6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646"/>
              <w:spacing w:after="0"/>
              <w:rPr>
                <w:sz w:val="20"/>
                <w:szCs w:val="20"/>
                <w:color w:val="auto"/>
              </w:rPr>
            </w:pPr>
            <w:r>
              <w:rPr>
                <w:rFonts w:ascii="Arial" w:cs="Arial" w:eastAsia="Arial" w:hAnsi="Arial"/>
                <w:sz w:val="13"/>
                <w:szCs w:val="13"/>
                <w:color w:val="auto"/>
                <w:w w:val="92"/>
              </w:rPr>
              <w:t>102.3</w:t>
            </w:r>
          </w:p>
        </w:tc>
        <w:tc>
          <w:tcPr>
            <w:tcW w:w="1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82.0</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Capitalized share-based payment costs</w:t>
            </w:r>
          </w:p>
        </w:tc>
        <w:tc>
          <w:tcPr>
            <w:tcW w:w="80" w:type="dxa"/>
            <w:vAlign w:val="bottom"/>
          </w:tcPr>
          <w:p>
            <w:pPr>
              <w:spacing w:after="0"/>
              <w:rPr>
                <w:sz w:val="14"/>
                <w:szCs w:val="14"/>
                <w:color w:val="auto"/>
              </w:rPr>
            </w:pPr>
          </w:p>
        </w:tc>
        <w:tc>
          <w:tcPr>
            <w:tcW w:w="400" w:type="dxa"/>
            <w:vAlign w:val="bottom"/>
            <w:gridSpan w:val="4"/>
          </w:tcPr>
          <w:p>
            <w:pPr>
              <w:jc w:val="right"/>
              <w:spacing w:after="0"/>
              <w:rPr>
                <w:sz w:val="20"/>
                <w:szCs w:val="20"/>
                <w:color w:val="auto"/>
              </w:rPr>
            </w:pPr>
            <w:r>
              <w:rPr>
                <w:rFonts w:ascii="Arial" w:cs="Arial" w:eastAsia="Arial" w:hAnsi="Arial"/>
                <w:sz w:val="13"/>
                <w:szCs w:val="13"/>
                <w:color w:val="auto"/>
              </w:rPr>
              <w:t>(0.7)</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86"/>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 included in total costs and expenses</w:t>
            </w:r>
          </w:p>
        </w:tc>
        <w:tc>
          <w:tcPr>
            <w:tcW w:w="8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26"/>
              <w:spacing w:after="0"/>
              <w:rPr>
                <w:sz w:val="20"/>
                <w:szCs w:val="20"/>
                <w:color w:val="auto"/>
              </w:rPr>
            </w:pPr>
            <w:r>
              <w:rPr>
                <w:rFonts w:ascii="Arial" w:cs="Arial" w:eastAsia="Arial" w:hAnsi="Arial"/>
                <w:sz w:val="13"/>
                <w:szCs w:val="13"/>
                <w:color w:val="auto"/>
              </w:rPr>
              <w:t>48.7</w:t>
            </w:r>
          </w:p>
        </w:tc>
        <w:tc>
          <w:tcPr>
            <w:tcW w:w="6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2"/>
            <w:shd w:val="clear" w:color="auto" w:fill="CCEEFF"/>
          </w:tcPr>
          <w:p>
            <w:pPr>
              <w:jc w:val="right"/>
              <w:ind w:right="646"/>
              <w:spacing w:after="0"/>
              <w:rPr>
                <w:sz w:val="20"/>
                <w:szCs w:val="20"/>
                <w:color w:val="auto"/>
              </w:rPr>
            </w:pPr>
            <w:r>
              <w:rPr>
                <w:rFonts w:ascii="Arial" w:cs="Arial" w:eastAsia="Arial" w:hAnsi="Arial"/>
                <w:sz w:val="13"/>
                <w:szCs w:val="13"/>
                <w:color w:val="auto"/>
                <w:w w:val="92"/>
              </w:rPr>
              <w:t>100.7</w:t>
            </w:r>
          </w:p>
        </w:tc>
        <w:tc>
          <w:tcPr>
            <w:tcW w:w="1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78.9</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Income tax effect</w:t>
            </w:r>
          </w:p>
        </w:tc>
        <w:tc>
          <w:tcPr>
            <w:tcW w:w="80" w:type="dxa"/>
            <w:vAlign w:val="bottom"/>
          </w:tcPr>
          <w:p>
            <w:pPr>
              <w:spacing w:after="0"/>
              <w:rPr>
                <w:sz w:val="14"/>
                <w:szCs w:val="14"/>
                <w:color w:val="auto"/>
              </w:rPr>
            </w:pPr>
          </w:p>
        </w:tc>
        <w:tc>
          <w:tcPr>
            <w:tcW w:w="400" w:type="dxa"/>
            <w:vAlign w:val="bottom"/>
            <w:gridSpan w:val="4"/>
          </w:tcPr>
          <w:p>
            <w:pPr>
              <w:jc w:val="right"/>
              <w:spacing w:after="0"/>
              <w:rPr>
                <w:sz w:val="20"/>
                <w:szCs w:val="20"/>
                <w:color w:val="auto"/>
              </w:rPr>
            </w:pPr>
            <w:r>
              <w:rPr>
                <w:rFonts w:ascii="Arial" w:cs="Arial" w:eastAsia="Arial" w:hAnsi="Arial"/>
                <w:sz w:val="13"/>
                <w:szCs w:val="13"/>
                <w:color w:val="auto"/>
              </w:rPr>
              <w:t>(15.7)</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3"/>
                <w:szCs w:val="13"/>
                <w:color w:val="auto"/>
                <w:w w:val="88"/>
              </w:rPr>
              <w:t>(12.7)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86"/>
              <w:spacing w:after="0"/>
              <w:rPr>
                <w:sz w:val="20"/>
                <w:szCs w:val="20"/>
                <w:color w:val="auto"/>
              </w:rPr>
            </w:pPr>
            <w:r>
              <w:rPr>
                <w:rFonts w:ascii="Arial" w:cs="Arial" w:eastAsia="Arial" w:hAnsi="Arial"/>
                <w:sz w:val="13"/>
                <w:szCs w:val="13"/>
                <w:color w:val="auto"/>
              </w:rPr>
              <w:t>(32.4)</w:t>
            </w:r>
          </w:p>
        </w:tc>
        <w:tc>
          <w:tcPr>
            <w:tcW w:w="460" w:type="dxa"/>
            <w:vAlign w:val="bottom"/>
            <w:gridSpan w:val="3"/>
          </w:tcPr>
          <w:p>
            <w:pPr>
              <w:jc w:val="right"/>
              <w:ind w:right="4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 included in net income attributable to Biogen Idec</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4"/>
            <w:shd w:val="clear" w:color="auto" w:fill="CCEEFF"/>
          </w:tcPr>
          <w:p>
            <w:pPr>
              <w:jc w:val="right"/>
              <w:ind w:right="26"/>
              <w:spacing w:after="0"/>
              <w:rPr>
                <w:sz w:val="20"/>
                <w:szCs w:val="20"/>
                <w:color w:val="auto"/>
              </w:rPr>
            </w:pPr>
            <w:r>
              <w:rPr>
                <w:rFonts w:ascii="Arial" w:cs="Arial" w:eastAsia="Arial" w:hAnsi="Arial"/>
                <w:sz w:val="13"/>
                <w:szCs w:val="13"/>
                <w:color w:val="auto"/>
              </w:rPr>
              <w:t>33.0</w:t>
            </w:r>
          </w:p>
        </w:tc>
        <w:tc>
          <w:tcPr>
            <w:tcW w:w="6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28.4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CCEEFF"/>
            </w:tcBorders>
            <w:gridSpan w:val="2"/>
            <w:shd w:val="clear" w:color="auto" w:fill="CCEEFF"/>
          </w:tcPr>
          <w:p>
            <w:pPr>
              <w:jc w:val="right"/>
              <w:ind w:right="646"/>
              <w:spacing w:after="0"/>
              <w:rPr>
                <w:sz w:val="20"/>
                <w:szCs w:val="20"/>
                <w:color w:val="auto"/>
              </w:rPr>
            </w:pPr>
            <w:r>
              <w:rPr>
                <w:rFonts w:ascii="Arial" w:cs="Arial" w:eastAsia="Arial" w:hAnsi="Arial"/>
                <w:sz w:val="13"/>
                <w:szCs w:val="13"/>
                <w:color w:val="auto"/>
              </w:rPr>
              <w:t>68.3</w:t>
            </w:r>
          </w:p>
        </w:tc>
        <w:tc>
          <w:tcPr>
            <w:tcW w:w="12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54.7</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380" w:type="dxa"/>
            <w:vAlign w:val="bottom"/>
            <w:gridSpan w:val="12"/>
          </w:tcPr>
          <w:p>
            <w:pPr>
              <w:ind w:left="400"/>
              <w:spacing w:after="0"/>
              <w:rPr>
                <w:sz w:val="20"/>
                <w:szCs w:val="20"/>
                <w:color w:val="auto"/>
              </w:rPr>
            </w:pPr>
            <w:r>
              <w:rPr>
                <w:rFonts w:ascii="Arial" w:cs="Arial" w:eastAsia="Arial" w:hAnsi="Arial"/>
                <w:sz w:val="13"/>
                <w:szCs w:val="13"/>
                <w:color w:val="auto"/>
              </w:rPr>
              <w:t>The following table summarizes share-based compensation expense associated with each of our share-based compensation programs: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right"/>
              <w:ind w:right="860"/>
              <w:spacing w:after="0"/>
              <w:rPr>
                <w:sz w:val="20"/>
                <w:szCs w:val="20"/>
                <w:color w:val="auto"/>
              </w:rPr>
            </w:pPr>
            <w:r>
              <w:rPr>
                <w:rFonts w:ascii="Arial" w:cs="Arial" w:eastAsia="Arial" w:hAnsi="Arial"/>
                <w:sz w:val="11"/>
                <w:szCs w:val="11"/>
                <w:b w:val="1"/>
                <w:bCs w:val="1"/>
                <w:color w:val="auto"/>
                <w:w w:val="95"/>
              </w:rPr>
              <w:t>For the Three Months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
              <w:spacing w:after="0"/>
              <w:rPr>
                <w:sz w:val="20"/>
                <w:szCs w:val="20"/>
                <w:color w:val="auto"/>
              </w:rPr>
            </w:pPr>
            <w:r>
              <w:rPr>
                <w:rFonts w:ascii="Arial" w:cs="Arial" w:eastAsia="Arial" w:hAnsi="Arial"/>
                <w:sz w:val="11"/>
                <w:szCs w:val="11"/>
                <w:b w:val="1"/>
                <w:bCs w:val="1"/>
                <w:color w:val="auto"/>
              </w:rPr>
              <w:t>For the Six Months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w w:val="94"/>
              </w:rPr>
              <w:t>Ended June 30,</w:t>
            </w:r>
          </w:p>
        </w:tc>
        <w:tc>
          <w:tcPr>
            <w:tcW w:w="2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Ended June 30,</w:t>
            </w: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3"/>
          </w:tcPr>
          <w:p>
            <w:pPr>
              <w:jc w:val="right"/>
              <w:ind w:right="6"/>
              <w:spacing w:after="0" w:line="101" w:lineRule="exact"/>
              <w:rPr>
                <w:sz w:val="20"/>
                <w:szCs w:val="20"/>
                <w:color w:val="auto"/>
              </w:rPr>
            </w:pPr>
            <w:r>
              <w:rPr>
                <w:rFonts w:ascii="Arial" w:cs="Arial" w:eastAsia="Arial" w:hAnsi="Arial"/>
                <w:sz w:val="11"/>
                <w:szCs w:val="11"/>
                <w:b w:val="1"/>
                <w:bCs w:val="1"/>
                <w:color w:val="auto"/>
              </w:rPr>
              <w:t>2010</w:t>
            </w:r>
          </w:p>
        </w:tc>
        <w:tc>
          <w:tcPr>
            <w:tcW w:w="640" w:type="dxa"/>
            <w:vAlign w:val="bottom"/>
          </w:tcPr>
          <w:p>
            <w:pPr>
              <w:spacing w:after="0"/>
              <w:rPr>
                <w:sz w:val="8"/>
                <w:szCs w:val="8"/>
                <w:color w:val="auto"/>
              </w:rPr>
            </w:pPr>
          </w:p>
        </w:tc>
        <w:tc>
          <w:tcPr>
            <w:tcW w:w="400" w:type="dxa"/>
            <w:vAlign w:val="bottom"/>
            <w:gridSpan w:val="2"/>
          </w:tcPr>
          <w:p>
            <w:pPr>
              <w:jc w:val="right"/>
              <w:ind w:right="13"/>
              <w:spacing w:after="0" w:line="101" w:lineRule="exact"/>
              <w:rPr>
                <w:sz w:val="20"/>
                <w:szCs w:val="20"/>
                <w:color w:val="auto"/>
              </w:rPr>
            </w:pPr>
            <w:r>
              <w:rPr>
                <w:rFonts w:ascii="Arial" w:cs="Arial" w:eastAsia="Arial" w:hAnsi="Arial"/>
                <w:sz w:val="11"/>
                <w:szCs w:val="11"/>
                <w:b w:val="1"/>
                <w:bCs w:val="1"/>
                <w:color w:val="auto"/>
              </w:rPr>
              <w:t>2009</w:t>
            </w:r>
          </w:p>
        </w:tc>
        <w:tc>
          <w:tcPr>
            <w:tcW w:w="660" w:type="dxa"/>
            <w:vAlign w:val="bottom"/>
          </w:tcPr>
          <w:p>
            <w:pPr>
              <w:spacing w:after="0"/>
              <w:rPr>
                <w:sz w:val="8"/>
                <w:szCs w:val="8"/>
                <w:color w:val="auto"/>
              </w:rPr>
            </w:pPr>
          </w:p>
        </w:tc>
        <w:tc>
          <w:tcPr>
            <w:tcW w:w="440" w:type="dxa"/>
            <w:vAlign w:val="bottom"/>
            <w:gridSpan w:val="3"/>
          </w:tcPr>
          <w:p>
            <w:pPr>
              <w:jc w:val="right"/>
              <w:ind w:right="75"/>
              <w:spacing w:after="0" w:line="101" w:lineRule="exact"/>
              <w:rPr>
                <w:sz w:val="20"/>
                <w:szCs w:val="20"/>
                <w:color w:val="auto"/>
              </w:rPr>
            </w:pPr>
            <w:r>
              <w:rPr>
                <w:rFonts w:ascii="Arial" w:cs="Arial" w:eastAsia="Arial" w:hAnsi="Arial"/>
                <w:sz w:val="11"/>
                <w:szCs w:val="11"/>
                <w:b w:val="1"/>
                <w:bCs w:val="1"/>
                <w:color w:val="auto"/>
              </w:rPr>
              <w:t>2010</w:t>
            </w:r>
          </w:p>
        </w:tc>
        <w:tc>
          <w:tcPr>
            <w:tcW w:w="700" w:type="dxa"/>
            <w:vAlign w:val="bottom"/>
          </w:tcPr>
          <w:p>
            <w:pPr>
              <w:spacing w:after="0"/>
              <w:rPr>
                <w:sz w:val="8"/>
                <w:szCs w:val="8"/>
                <w:color w:val="auto"/>
              </w:rPr>
            </w:pPr>
          </w:p>
        </w:tc>
        <w:tc>
          <w:tcPr>
            <w:tcW w:w="38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6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 options</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9.3</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6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11.2</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Market stock units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64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5.5</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Time-vested restricted stock units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w w:val="94"/>
              </w:rPr>
              <w:t>32.3</w:t>
            </w:r>
          </w:p>
        </w:tc>
        <w:tc>
          <w:tcPr>
            <w:tcW w:w="12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33.9</w:t>
            </w: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65.4</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Performance-vested restricted stock units settled in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64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2.2</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3.7</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Performance-vested restricted stock units settled in cash</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4.2</w:t>
            </w:r>
          </w:p>
        </w:tc>
        <w:tc>
          <w:tcPr>
            <w:tcW w:w="120" w:type="dxa"/>
            <w:vAlign w:val="bottom"/>
            <w:tcBorders>
              <w:lef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Employee stock purchase plan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0.4</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6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Subtotal</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w w:val="94"/>
              </w:rPr>
              <w:t>49.4</w:t>
            </w:r>
          </w:p>
        </w:tc>
        <w:tc>
          <w:tcPr>
            <w:tcW w:w="12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42.5</w:t>
            </w:r>
          </w:p>
        </w:tc>
        <w:tc>
          <w:tcPr>
            <w:tcW w:w="66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102.3</w:t>
            </w: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82.0</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3"/>
                <w:szCs w:val="13"/>
                <w:color w:val="auto"/>
              </w:rPr>
              <w:t>Capitalized share-based payment costs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600"/>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(1.6)</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1"/>
        </w:trPr>
        <w:tc>
          <w:tcPr>
            <w:tcW w:w="62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 included in total costs and expenses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4"/>
              </w:rPr>
              <w:t>48.7</w:t>
            </w:r>
          </w:p>
        </w:tc>
        <w:tc>
          <w:tcPr>
            <w:tcW w:w="64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41.1</w:t>
            </w:r>
          </w:p>
        </w:tc>
        <w:tc>
          <w:tcPr>
            <w:tcW w:w="660" w:type="dxa"/>
            <w:vAlign w:val="bottom"/>
            <w:shd w:val="clear" w:color="auto" w:fill="CCEEFF"/>
          </w:tcPr>
          <w:p>
            <w:pPr>
              <w:spacing w:after="0"/>
              <w:rPr>
                <w:sz w:val="14"/>
                <w:szCs w:val="14"/>
                <w:color w:val="auto"/>
              </w:rPr>
            </w:pPr>
          </w:p>
        </w:tc>
        <w:tc>
          <w:tcPr>
            <w:tcW w:w="4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7"/>
              </w:rPr>
              <w:t>$ 100.7</w:t>
            </w: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78.9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102"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During the six months ended June 30, 2010, approximately 124,000 stock options were granted with a weighted average exercise price of $57.38 and weighted average grant date fair value of $16.52. In the six months ended June 30, 2009, approximately 996,000 stock options were granted with a weighted average exercise price of $50.05 and weighted average grant date fair value of $18.03. The fair values of our stock option grants are estimated as of the date of grant using the Black-Scholes option valuation model. The estimated fair values of the stock options, including the effect of estimated forfeitures, are then expensed over the options’ requisite service period, which is typically the vesting period.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Stock Units and Cash Settled Performance Shares</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Beginning in the first quarter of 2010, we revised our long term incentive program to include two new forms of equity-based compensation awards to certain employees: restricted stock units which will vest based on stock price performance, referred to as Market Stock Units (MSUs), and performance-vested restricted stock units which will be settled in cash, referred to as Cash Settled Performance Shares (CSPSs). We will apply forfeiture rate assumptions to these types of awards similar to those utilized by us when accounting for our other share-based compensation programs.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 Stock Units</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During the six months ended June 30, 2010, approximately 334,000 MSUs were granted with a weighted average grant date fair value of $61.87. MSU awards vest in four equal annual increments beginning on the anniversary of the grant date. The vesting of these awards is subject to the respective employee’s continued employment. The number of MSUs reflected as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Participants may ultimately earn between 0% and 150% of the target number of units granted based on actual stock performance. Accordingly, additional MSUs may be issued or currently outstanding MSUs may be cancelled upon final determination of the number of awards earned.</w:t>
      </w:r>
    </w:p>
    <w:p>
      <w:pPr>
        <w:spacing w:after="0" w:line="6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valued the granted MSUs using a lattice model with a Monte Carlo simulation. This valuation methodology utilizes several key assumptions, including the 60 calendar day average closing stock price on grant date, expected volatility of our stock price, risk-free rates of return and expected dividend yield. The assumptions used in our valuation are summarized as follows: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100" w:type="dxa"/>
            <w:vAlign w:val="bottom"/>
            <w:gridSpan w:val="2"/>
            <w:shd w:val="clear" w:color="auto" w:fill="CCEEFF"/>
          </w:tcPr>
          <w:p>
            <w:pPr>
              <w:jc w:val="right"/>
              <w:ind w:right="693"/>
              <w:spacing w:after="0"/>
              <w:rPr>
                <w:sz w:val="20"/>
                <w:szCs w:val="20"/>
                <w:color w:val="auto"/>
              </w:rPr>
            </w:pPr>
            <w:r>
              <w:rPr>
                <w:rFonts w:ascii="Arial" w:cs="Arial" w:eastAsia="Arial" w:hAnsi="Arial"/>
                <w:sz w:val="13"/>
                <w:szCs w:val="13"/>
                <w:color w:val="auto"/>
              </w:rPr>
              <w:t>0%</w:t>
            </w:r>
          </w:p>
        </w:tc>
      </w:tr>
      <w:tr>
        <w:trPr>
          <w:trHeight w:val="161"/>
        </w:trPr>
        <w:tc>
          <w:tcPr>
            <w:tcW w:w="5880" w:type="dxa"/>
            <w:vAlign w:val="bottom"/>
          </w:tcPr>
          <w:p>
            <w:pPr>
              <w:spacing w:after="0"/>
              <w:rPr>
                <w:sz w:val="20"/>
                <w:szCs w:val="20"/>
                <w:color w:val="auto"/>
              </w:rPr>
            </w:pPr>
            <w:r>
              <w:rPr>
                <w:rFonts w:ascii="Arial" w:cs="Arial" w:eastAsia="Arial" w:hAnsi="Arial"/>
                <w:sz w:val="13"/>
                <w:szCs w:val="13"/>
                <w:color w:val="auto"/>
              </w:rPr>
              <w:t>Range of expected stock price volatility</w:t>
            </w:r>
          </w:p>
        </w:tc>
        <w:tc>
          <w:tcPr>
            <w:tcW w:w="3220" w:type="dxa"/>
            <w:vAlign w:val="bottom"/>
          </w:tcPr>
          <w:p>
            <w:pPr>
              <w:jc w:val="right"/>
              <w:spacing w:after="0"/>
              <w:rPr>
                <w:sz w:val="20"/>
                <w:szCs w:val="20"/>
                <w:color w:val="auto"/>
              </w:rPr>
            </w:pPr>
            <w:r>
              <w:rPr>
                <w:rFonts w:ascii="Arial" w:cs="Arial" w:eastAsia="Arial" w:hAnsi="Arial"/>
                <w:sz w:val="13"/>
                <w:szCs w:val="13"/>
                <w:color w:val="auto"/>
              </w:rPr>
              <w:t>28.60%</w:t>
            </w:r>
          </w:p>
        </w:tc>
        <w:tc>
          <w:tcPr>
            <w:tcW w:w="880" w:type="dxa"/>
            <w:vAlign w:val="bottom"/>
          </w:tcPr>
          <w:p>
            <w:pPr>
              <w:ind w:left="20"/>
              <w:spacing w:after="0"/>
              <w:rPr>
                <w:sz w:val="20"/>
                <w:szCs w:val="20"/>
                <w:color w:val="auto"/>
              </w:rPr>
            </w:pPr>
            <w:r>
              <w:rPr>
                <w:rFonts w:ascii="Arial" w:cs="Arial" w:eastAsia="Arial" w:hAnsi="Arial"/>
                <w:sz w:val="13"/>
                <w:szCs w:val="13"/>
                <w:color w:val="auto"/>
              </w:rPr>
              <w:t>- 36.48%</w:t>
            </w: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color w:val="auto"/>
              </w:rPr>
              <w:t>Range of risk-free rates of return</w:t>
            </w:r>
          </w:p>
        </w:tc>
        <w:tc>
          <w:tcPr>
            <w:tcW w:w="3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- 1.98%</w:t>
            </w:r>
          </w:p>
        </w:tc>
      </w:tr>
      <w:tr>
        <w:trPr>
          <w:trHeight w:val="172"/>
        </w:trPr>
        <w:tc>
          <w:tcPr>
            <w:tcW w:w="5880" w:type="dxa"/>
            <w:vAlign w:val="bottom"/>
          </w:tcPr>
          <w:p>
            <w:pPr>
              <w:spacing w:after="0"/>
              <w:rPr>
                <w:sz w:val="20"/>
                <w:szCs w:val="20"/>
                <w:color w:val="auto"/>
              </w:rPr>
            </w:pPr>
            <w:r>
              <w:rPr>
                <w:rFonts w:ascii="Arial" w:cs="Arial" w:eastAsia="Arial" w:hAnsi="Arial"/>
                <w:sz w:val="13"/>
                <w:szCs w:val="13"/>
                <w:color w:val="auto"/>
              </w:rPr>
              <w:t>60 calendar day average closing stock price on grant date</w:t>
            </w:r>
          </w:p>
        </w:tc>
        <w:tc>
          <w:tcPr>
            <w:tcW w:w="4100" w:type="dxa"/>
            <w:vAlign w:val="bottom"/>
            <w:gridSpan w:val="2"/>
          </w:tcPr>
          <w:p>
            <w:pPr>
              <w:jc w:val="right"/>
              <w:ind w:right="593"/>
              <w:spacing w:after="0"/>
              <w:rPr>
                <w:sz w:val="20"/>
                <w:szCs w:val="20"/>
                <w:color w:val="auto"/>
              </w:rPr>
            </w:pPr>
            <w:r>
              <w:rPr>
                <w:rFonts w:ascii="Arial" w:cs="Arial" w:eastAsia="Arial" w:hAnsi="Arial"/>
                <w:sz w:val="13"/>
                <w:szCs w:val="13"/>
                <w:color w:val="auto"/>
              </w:rPr>
              <w:t>$54.12</w:t>
            </w:r>
          </w:p>
        </w:tc>
      </w:tr>
    </w:tbl>
    <w:p>
      <w:pPr>
        <w:spacing w:after="0" w:line="69"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We apply a graded vesting expense methodology when accounting for MSUs. The probability of actual shares expected to be earned is considered in the grant date valuation, therefore the expense will not be adjusted to reflect the actual units earned.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Settled Performance Shares</w:t>
      </w:r>
    </w:p>
    <w:p>
      <w:pPr>
        <w:spacing w:after="0" w:line="102" w:lineRule="exact"/>
        <w:rPr>
          <w:sz w:val="20"/>
          <w:szCs w:val="20"/>
          <w:color w:val="auto"/>
        </w:rPr>
      </w:pPr>
    </w:p>
    <w:p>
      <w:pPr>
        <w:jc w:val="both"/>
        <w:ind w:left="680" w:right="20" w:firstLine="399"/>
        <w:spacing w:after="0" w:line="286" w:lineRule="auto"/>
        <w:rPr>
          <w:sz w:val="20"/>
          <w:szCs w:val="20"/>
          <w:color w:val="auto"/>
        </w:rPr>
      </w:pPr>
      <w:r>
        <w:rPr>
          <w:rFonts w:ascii="Arial" w:cs="Arial" w:eastAsia="Arial" w:hAnsi="Arial"/>
          <w:sz w:val="12"/>
          <w:szCs w:val="12"/>
          <w:color w:val="auto"/>
        </w:rPr>
        <w:t>During the six months ended June 30, 2010, approximately 373,000 CSPSs were granted. CSPS awards vest in three equal annual increments beginning on the anniversary of the grant date. The vesting of these awards is subject to the respective employee’s continued employment. The number of CSPSs reflected as granted in 2010 represents the target number of units that are eligible to be earned based on the attainment of certain performance measures established at the beginning of the performance period, which ends December 31, 2010.</w:t>
      </w:r>
    </w:p>
    <w:p>
      <w:pPr>
        <w:spacing w:after="0" w:line="1" w:lineRule="exact"/>
        <w:rPr>
          <w:sz w:val="20"/>
          <w:szCs w:val="20"/>
          <w:color w:val="auto"/>
        </w:rPr>
      </w:pPr>
    </w:p>
    <w:p>
      <w:pPr>
        <w:ind w:left="680" w:right="120"/>
        <w:spacing w:after="0" w:line="268" w:lineRule="auto"/>
        <w:rPr>
          <w:sz w:val="20"/>
          <w:szCs w:val="20"/>
          <w:color w:val="auto"/>
        </w:rPr>
      </w:pPr>
      <w:r>
        <w:rPr>
          <w:rFonts w:ascii="Arial" w:cs="Arial" w:eastAsia="Arial" w:hAnsi="Arial"/>
          <w:sz w:val="13"/>
          <w:szCs w:val="13"/>
          <w:color w:val="auto"/>
        </w:rPr>
        <w:t>Participants may ultimately earn between 0% and 200% of the target number of units granted based on the degree of actual performance metric achievement. Accordingly, additional CSPSs may be issued or currently outstanding CSPSs may be cancelled upon final determination of the number of units earned. CSPSs are settled in cash based on the 60 calendar day average closing stock price through each vesting date once the actual vested and earned number of units is known.</w:t>
      </w:r>
    </w:p>
    <w:p>
      <w:pPr>
        <w:spacing w:after="0" w:line="63" w:lineRule="exact"/>
        <w:rPr>
          <w:sz w:val="20"/>
          <w:szCs w:val="20"/>
          <w:color w:val="auto"/>
        </w:rPr>
      </w:pPr>
    </w:p>
    <w:p>
      <w:pPr>
        <w:ind w:left="680" w:right="340" w:firstLine="399"/>
        <w:spacing w:after="0" w:line="294" w:lineRule="auto"/>
        <w:rPr>
          <w:sz w:val="20"/>
          <w:szCs w:val="20"/>
          <w:color w:val="auto"/>
        </w:rPr>
      </w:pPr>
      <w:r>
        <w:rPr>
          <w:rFonts w:ascii="Arial" w:cs="Arial" w:eastAsia="Arial" w:hAnsi="Arial"/>
          <w:sz w:val="13"/>
          <w:szCs w:val="13"/>
          <w:color w:val="auto"/>
        </w:rPr>
        <w:t>We apply a graded vesting expense methodology when accounting for the CSPSs and the fair value of the liability is remeasured at the end of each reporting period through expected cash settlement. Compensation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expense associated with CSPS awards is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Time-Vested Restricted Stock Units</w:t>
      </w:r>
    </w:p>
    <w:p>
      <w:pPr>
        <w:spacing w:after="0" w:line="102" w:lineRule="exact"/>
        <w:rPr>
          <w:sz w:val="20"/>
          <w:szCs w:val="20"/>
          <w:color w:val="auto"/>
        </w:rPr>
      </w:pPr>
    </w:p>
    <w:p>
      <w:pPr>
        <w:ind w:left="680" w:firstLine="399"/>
        <w:spacing w:after="0" w:line="309" w:lineRule="auto"/>
        <w:rPr>
          <w:sz w:val="20"/>
          <w:szCs w:val="20"/>
          <w:color w:val="auto"/>
        </w:rPr>
      </w:pPr>
      <w:r>
        <w:rPr>
          <w:rFonts w:ascii="Arial" w:cs="Arial" w:eastAsia="Arial" w:hAnsi="Arial"/>
          <w:sz w:val="12"/>
          <w:szCs w:val="12"/>
          <w:color w:val="auto"/>
        </w:rPr>
        <w:t>The fair values of our time-vested restricted stock units (RSUs) are based on the market value of our stock on the date of grant and are recognized over the applicable service period, adjusted for the effect of estimated forfeitures. During the six months ended June 30, 2010, approximately 1.7 million RSUs were granted with a weighted average grant date fair value of $56.44, as compared to approximately 2.4 million RSUs granted during the prior year comparative period with a weighted average grant date fair value of $49.37.</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Performance-Vested Restricted Stock Units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During the six months ended June 30, 2009, approximately 318,000 PVRSUs were granted with a weighted average grant date fair value of $49.48. The number of PVRSUs earned was subject to the attainment of certain performance criteria during 2009. Based on our 2009 performance, 99% of the granted PVRSUs were earned. These awards vest in three equal increments on (1) the later of the first anniversary of the grant date or the date of results determination; (2) the second anniversary of the grant date; and (3) the third anniversary of the grant date, and are also subject to the respective employee’s continued employment.</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apply a graded vesting expense methodology when accounting for our PVRSUs. Compensation expense associated with PVRSU awards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102"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The purchase price of common stock under the employee stock purchase plan (ESPP) is equal to 85% of the lower of (i) the market value per share of the common stock on the participant’s entry date into an offering period or (ii) the market value per share of the common stock on the purchase date. However, for each participant whose entry date is other than the start date of the offering period, the amount shall in no event be less than the market value per share of the common stock as of the beginning of the related offering period. The fair value of the discounted purchases made under the ESPP is calculated using the Black-Scholes model. The fair value of the look-back provision plus the 15% discount is recognized as compensation expense over the purchase period. We apply a graded vesting approach since our ESPP provides for multiple purchase periods and is, in substance, a series of linked awards.</w:t>
      </w:r>
    </w:p>
    <w:p>
      <w:pPr>
        <w:spacing w:after="0" w:line="68"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During six months ended June 30, 2010, a total of approximately 335,000 shares were issued under the ESPP as compared to a total of approximately 315,000 shares issued during the prior year comparative period.</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CEO Agreements</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On June 30, 2010, we announced that George A. Scangos, Ph.D., was appointed Chief Executive Officer and a member of the Board of Directors, effective July 15, 2010. Under the terms of his Employment Agreement with the Company, Dr. Scangos received a grant of 63,165 RSUs valued at approximately</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80"/>
        <w:spacing w:after="0" w:line="270" w:lineRule="auto"/>
        <w:rPr>
          <w:sz w:val="20"/>
          <w:szCs w:val="20"/>
          <w:color w:val="auto"/>
        </w:rPr>
      </w:pPr>
      <w:r>
        <w:rPr>
          <w:rFonts w:ascii="Arial" w:cs="Arial" w:eastAsia="Arial" w:hAnsi="Arial"/>
          <w:sz w:val="13"/>
          <w:szCs w:val="13"/>
          <w:color w:val="auto"/>
        </w:rPr>
        <w:t>$3,375,000 and a grant of 56,905 MSUs also valued at approximately $3,375,000. Both grants were made under the Biogen Idec Inc. 2008 Omnibus Equity Plan on July 15, 2010. The number of RSUs and MSUs subject to each award was determined based on the closing price of Biogen Idec common stock on that date. If Dr. Scangos retires from the Company after reaching the age of 65, any outstanding and unvested RSUs and CSPSs, if granted, will continue to vest as if Dr. Scangos continued to be employed by the Company. Dr. Scangos succeeds James C. Mullen.</w:t>
      </w:r>
    </w:p>
    <w:p>
      <w:pPr>
        <w:spacing w:after="0" w:line="63"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On June 8, 2010, James C. Mullen retired as our President and Chief Executive Officer. Under the terms of the transition agreement we entered into with Mr. Mullen dated January 4, 2010, we agreed, amongst other provisions, to vest all of Mr. Mullen’s then-unvested equity awards on the date of his retirement and allow Mr. Mullen to exercise his vested stock options until June 8, 2013 or their expiration, whichever is earlier. The modifications to Mr. Mullen’s existing stock options, RSUs and PVRSUs resulted in an incremental charge of approximately $18.6 million, which was recognized evenly over the service period from January 4, 2010 to June 8, 2010 as per the terms of the transition agreement.</w:t>
      </w:r>
    </w:p>
    <w:p>
      <w:pPr>
        <w:spacing w:after="0" w:line="127" w:lineRule="exact"/>
        <w:rPr>
          <w:sz w:val="20"/>
          <w:szCs w:val="20"/>
          <w:color w:val="auto"/>
        </w:rPr>
      </w:pPr>
    </w:p>
    <w:p>
      <w:pPr>
        <w:ind w:left="1200" w:hanging="512"/>
        <w:spacing w:after="0"/>
        <w:tabs>
          <w:tab w:leader="none" w:pos="12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Our effective tax rates were 25.8% and 25.7% for the three and six months ended June 30, 2010, respectively, compared to 39.0% and 28.7%, respectively, for the prior year comparative periods.</w:t>
      </w:r>
    </w:p>
    <w:p>
      <w:pPr>
        <w:spacing w:after="0" w:line="47"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Our income tax rate for the three and six months ended June 30, 2010 was favorably impacted, compared to the same periods in 2009, by a higher percentage of our profits being earned in lower rate international jurisdictions. This change in the location of our relative profits was caused by the growth of our international operations, a benefit related to transfer pricing between our international affiliates and lower 2010 domestic earnings as a proportion of total consolidated earnings due to U.S. healthcare reform legislation enacted in March 2010.</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During 2010, we also experienced a favorable impact from a statutory increase in the U.S. manufacturers’ tax deduction and an increase in expenditures eligible for our orphan drug credit offset by the 2009 expiration of the federal research and development tax credit. In addition, our 2009 effective tax rate for the three and six months ended June 30, 2009 was increased by 7.5% and 2.3%, respectively, as a result of the $110.0 million upfront payment incurred in connection with the collaboration and license agreement entered into with Acorda Therapeutics, Inc. (Acorda) in the second quarter of 2009. Our effective tax rate for the six months ended June 30, 2009 was also favorably impacted by 5.5% for changes in tax law which became effective during the first quarter of 2009 in certain state jurisdictions in which we operate and resulted in a $30.3 million reduction of our tax expense for the six months ended June 30, 2009.</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Reconciliation between the U.S. federal statutory tax rate and our effective tax rate is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b w:val="1"/>
                <w:bCs w:val="1"/>
                <w:color w:val="auto"/>
              </w:rPr>
              <w:t>For the Three Months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jc w:val="right"/>
              <w:spacing w:after="0"/>
              <w:rPr>
                <w:sz w:val="20"/>
                <w:szCs w:val="20"/>
                <w:color w:val="auto"/>
              </w:rPr>
            </w:pPr>
            <w:r>
              <w:rPr>
                <w:rFonts w:ascii="Arial" w:cs="Arial" w:eastAsia="Arial" w:hAnsi="Arial"/>
                <w:sz w:val="11"/>
                <w:szCs w:val="11"/>
                <w:b w:val="1"/>
                <w:bCs w:val="1"/>
                <w:color w:val="auto"/>
              </w:rPr>
              <w:t>For the Six Months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8"/>
        </w:trPr>
        <w:tc>
          <w:tcPr>
            <w:tcW w:w="59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6"/>
              </w:rPr>
              <w:t>Ended June 30,</w:t>
            </w:r>
          </w:p>
        </w:tc>
        <w:tc>
          <w:tcPr>
            <w:tcW w:w="2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4"/>
              </w:rPr>
              <w:t>Ended June 30,</w:t>
            </w: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5980" w:type="dxa"/>
            <w:vAlign w:val="bottom"/>
          </w:tcPr>
          <w:p>
            <w:pPr>
              <w:spacing w:after="0"/>
              <w:rPr>
                <w:sz w:val="8"/>
                <w:szCs w:val="8"/>
                <w:color w:val="auto"/>
              </w:rPr>
            </w:pPr>
          </w:p>
        </w:tc>
        <w:tc>
          <w:tcPr>
            <w:tcW w:w="36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2010</w:t>
            </w:r>
          </w:p>
        </w:tc>
        <w:tc>
          <w:tcPr>
            <w:tcW w:w="96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2009</w:t>
            </w:r>
          </w:p>
        </w:tc>
        <w:tc>
          <w:tcPr>
            <w:tcW w:w="68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2010</w:t>
            </w:r>
          </w:p>
        </w:tc>
        <w:tc>
          <w:tcPr>
            <w:tcW w:w="880" w:type="dxa"/>
            <w:vAlign w:val="bottom"/>
          </w:tcPr>
          <w:p>
            <w:pPr>
              <w:spacing w:after="0"/>
              <w:rPr>
                <w:sz w:val="8"/>
                <w:szCs w:val="8"/>
                <w:color w:val="auto"/>
              </w:rPr>
            </w:pPr>
          </w:p>
        </w:tc>
        <w:tc>
          <w:tcPr>
            <w:tcW w:w="3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8"/>
                <w:szCs w:val="8"/>
                <w:color w:val="auto"/>
              </w:rPr>
            </w:pPr>
          </w:p>
        </w:tc>
      </w:tr>
      <w:tr>
        <w:trPr>
          <w:trHeight w:val="30"/>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1320" w:type="dxa"/>
            <w:vAlign w:val="bottom"/>
            <w:tcBorders>
              <w:right w:val="single" w:sz="8" w:color="CCEEFF"/>
            </w:tcBorders>
            <w:gridSpan w:val="2"/>
            <w:shd w:val="clear" w:color="auto" w:fill="CCEEFF"/>
          </w:tcPr>
          <w:p>
            <w:pPr>
              <w:jc w:val="right"/>
              <w:ind w:right="786"/>
              <w:spacing w:after="0"/>
              <w:rPr>
                <w:sz w:val="20"/>
                <w:szCs w:val="20"/>
                <w:color w:val="auto"/>
              </w:rPr>
            </w:pPr>
            <w:r>
              <w:rPr>
                <w:rFonts w:ascii="Arial" w:cs="Arial" w:eastAsia="Arial" w:hAnsi="Arial"/>
                <w:sz w:val="13"/>
                <w:szCs w:val="13"/>
                <w:color w:val="auto"/>
              </w:rPr>
              <w:t>35.0%</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35.0%</w:t>
            </w:r>
          </w:p>
        </w:tc>
        <w:tc>
          <w:tcPr>
            <w:tcW w:w="1260" w:type="dxa"/>
            <w:vAlign w:val="bottom"/>
            <w:gridSpan w:val="2"/>
            <w:shd w:val="clear" w:color="auto" w:fill="CCEEFF"/>
          </w:tcPr>
          <w:p>
            <w:pPr>
              <w:jc w:val="right"/>
              <w:ind w:right="726"/>
              <w:spacing w:after="0"/>
              <w:rPr>
                <w:sz w:val="20"/>
                <w:szCs w:val="20"/>
                <w:color w:val="auto"/>
              </w:rPr>
            </w:pPr>
            <w:r>
              <w:rPr>
                <w:rFonts w:ascii="Arial" w:cs="Arial" w:eastAsia="Arial" w:hAnsi="Arial"/>
                <w:sz w:val="13"/>
                <w:szCs w:val="13"/>
                <w:color w:val="auto"/>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61"/>
        </w:trPr>
        <w:tc>
          <w:tcPr>
            <w:tcW w:w="5980" w:type="dxa"/>
            <w:vAlign w:val="bottom"/>
          </w:tcPr>
          <w:p>
            <w:pPr>
              <w:spacing w:after="0"/>
              <w:rPr>
                <w:sz w:val="20"/>
                <w:szCs w:val="20"/>
                <w:color w:val="auto"/>
              </w:rPr>
            </w:pPr>
            <w:r>
              <w:rPr>
                <w:rFonts w:ascii="Arial" w:cs="Arial" w:eastAsia="Arial" w:hAnsi="Arial"/>
                <w:sz w:val="13"/>
                <w:szCs w:val="13"/>
                <w:color w:val="auto"/>
              </w:rPr>
              <w:t>State taxes</w:t>
            </w:r>
          </w:p>
        </w:tc>
        <w:tc>
          <w:tcPr>
            <w:tcW w:w="1320" w:type="dxa"/>
            <w:vAlign w:val="bottom"/>
            <w:gridSpan w:val="2"/>
          </w:tcPr>
          <w:p>
            <w:pPr>
              <w:jc w:val="right"/>
              <w:ind w:right="906"/>
              <w:spacing w:after="0"/>
              <w:rPr>
                <w:sz w:val="20"/>
                <w:szCs w:val="20"/>
                <w:color w:val="auto"/>
              </w:rPr>
            </w:pPr>
            <w:r>
              <w:rPr>
                <w:rFonts w:ascii="Arial" w:cs="Arial" w:eastAsia="Arial" w:hAnsi="Arial"/>
                <w:sz w:val="13"/>
                <w:szCs w:val="13"/>
                <w:color w:val="auto"/>
              </w:rPr>
              <w:t>1.9</w:t>
            </w:r>
          </w:p>
        </w:tc>
        <w:tc>
          <w:tcPr>
            <w:tcW w:w="960" w:type="dxa"/>
            <w:vAlign w:val="bottom"/>
            <w:gridSpan w:val="2"/>
          </w:tcPr>
          <w:p>
            <w:pPr>
              <w:jc w:val="right"/>
              <w:ind w:right="680"/>
              <w:spacing w:after="0"/>
              <w:rPr>
                <w:sz w:val="20"/>
                <w:szCs w:val="20"/>
                <w:color w:val="auto"/>
              </w:rPr>
            </w:pPr>
            <w:r>
              <w:rPr>
                <w:rFonts w:ascii="Arial" w:cs="Arial" w:eastAsia="Arial" w:hAnsi="Arial"/>
                <w:sz w:val="13"/>
                <w:szCs w:val="13"/>
                <w:color w:val="auto"/>
              </w:rPr>
              <w:t>4.1</w:t>
            </w:r>
          </w:p>
        </w:tc>
        <w:tc>
          <w:tcPr>
            <w:tcW w:w="1260" w:type="dxa"/>
            <w:vAlign w:val="bottom"/>
            <w:gridSpan w:val="2"/>
          </w:tcPr>
          <w:p>
            <w:pPr>
              <w:jc w:val="right"/>
              <w:ind w:right="826"/>
              <w:spacing w:after="0"/>
              <w:rPr>
                <w:sz w:val="20"/>
                <w:szCs w:val="20"/>
                <w:color w:val="auto"/>
              </w:rPr>
            </w:pPr>
            <w:r>
              <w:rPr>
                <w:rFonts w:ascii="Arial" w:cs="Arial" w:eastAsia="Arial" w:hAnsi="Arial"/>
                <w:sz w:val="13"/>
                <w:szCs w:val="13"/>
                <w:color w:val="auto"/>
              </w:rPr>
              <w:t>1.9</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r>
      <w:tr>
        <w:trPr>
          <w:trHeight w:val="161"/>
        </w:trPr>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Taxes on foreign earnings</w:t>
            </w:r>
          </w:p>
        </w:tc>
        <w:tc>
          <w:tcPr>
            <w:tcW w:w="1320" w:type="dxa"/>
            <w:vAlign w:val="bottom"/>
            <w:tcBorders>
              <w:right w:val="single" w:sz="8" w:color="CCEEFF"/>
            </w:tcBorders>
            <w:gridSpan w:val="2"/>
            <w:shd w:val="clear" w:color="auto" w:fill="CCEEFF"/>
          </w:tcPr>
          <w:p>
            <w:pPr>
              <w:jc w:val="right"/>
              <w:ind w:right="846"/>
              <w:spacing w:after="0"/>
              <w:rPr>
                <w:sz w:val="20"/>
                <w:szCs w:val="20"/>
                <w:color w:val="auto"/>
              </w:rPr>
            </w:pPr>
            <w:r>
              <w:rPr>
                <w:rFonts w:ascii="Arial" w:cs="Arial" w:eastAsia="Arial" w:hAnsi="Arial"/>
                <w:sz w:val="13"/>
                <w:szCs w:val="13"/>
                <w:color w:val="auto"/>
              </w:rPr>
              <w:t>(10.3)</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(2.7)</w:t>
            </w:r>
          </w:p>
        </w:tc>
        <w:tc>
          <w:tcPr>
            <w:tcW w:w="1260" w:type="dxa"/>
            <w:vAlign w:val="bottom"/>
            <w:gridSpan w:val="2"/>
            <w:shd w:val="clear" w:color="auto" w:fill="CCEEFF"/>
          </w:tcPr>
          <w:p>
            <w:pPr>
              <w:jc w:val="right"/>
              <w:ind w:right="786"/>
              <w:spacing w:after="0"/>
              <w:rPr>
                <w:sz w:val="20"/>
                <w:szCs w:val="20"/>
                <w:color w:val="auto"/>
              </w:rPr>
            </w:pPr>
            <w:r>
              <w:rPr>
                <w:rFonts w:ascii="Arial" w:cs="Arial" w:eastAsia="Arial" w:hAnsi="Arial"/>
                <w:sz w:val="13"/>
                <w:szCs w:val="13"/>
                <w:color w:val="auto"/>
              </w:rPr>
              <w:t>(10.1)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w:t>
            </w:r>
          </w:p>
        </w:tc>
      </w:tr>
      <w:tr>
        <w:trPr>
          <w:trHeight w:val="161"/>
        </w:trPr>
        <w:tc>
          <w:tcPr>
            <w:tcW w:w="5980" w:type="dxa"/>
            <w:vAlign w:val="bottom"/>
          </w:tcPr>
          <w:p>
            <w:pPr>
              <w:spacing w:after="0"/>
              <w:rPr>
                <w:sz w:val="20"/>
                <w:szCs w:val="20"/>
                <w:color w:val="auto"/>
              </w:rPr>
            </w:pPr>
            <w:r>
              <w:rPr>
                <w:rFonts w:ascii="Arial" w:cs="Arial" w:eastAsia="Arial" w:hAnsi="Arial"/>
                <w:sz w:val="13"/>
                <w:szCs w:val="13"/>
                <w:color w:val="auto"/>
              </w:rPr>
              <w:t>Credits and net operating loss utilization</w:t>
            </w:r>
          </w:p>
        </w:tc>
        <w:tc>
          <w:tcPr>
            <w:tcW w:w="1320" w:type="dxa"/>
            <w:vAlign w:val="bottom"/>
            <w:gridSpan w:val="2"/>
          </w:tcPr>
          <w:p>
            <w:pPr>
              <w:jc w:val="right"/>
              <w:ind w:right="846"/>
              <w:spacing w:after="0"/>
              <w:rPr>
                <w:sz w:val="20"/>
                <w:szCs w:val="20"/>
                <w:color w:val="auto"/>
              </w:rPr>
            </w:pPr>
            <w:r>
              <w:rPr>
                <w:rFonts w:ascii="Arial" w:cs="Arial" w:eastAsia="Arial" w:hAnsi="Arial"/>
                <w:sz w:val="13"/>
                <w:szCs w:val="13"/>
                <w:color w:val="auto"/>
              </w:rPr>
              <w:t>(1.6)</w:t>
            </w:r>
          </w:p>
        </w:tc>
        <w:tc>
          <w:tcPr>
            <w:tcW w:w="960" w:type="dxa"/>
            <w:vAlign w:val="bottom"/>
            <w:gridSpan w:val="2"/>
          </w:tcPr>
          <w:p>
            <w:pPr>
              <w:jc w:val="right"/>
              <w:ind w:right="620"/>
              <w:spacing w:after="0"/>
              <w:rPr>
                <w:sz w:val="20"/>
                <w:szCs w:val="20"/>
                <w:color w:val="auto"/>
              </w:rPr>
            </w:pPr>
            <w:r>
              <w:rPr>
                <w:rFonts w:ascii="Arial" w:cs="Arial" w:eastAsia="Arial" w:hAnsi="Arial"/>
                <w:sz w:val="13"/>
                <w:szCs w:val="13"/>
                <w:color w:val="auto"/>
              </w:rPr>
              <w:t>(1.3)</w:t>
            </w:r>
          </w:p>
        </w:tc>
        <w:tc>
          <w:tcPr>
            <w:tcW w:w="1260" w:type="dxa"/>
            <w:vAlign w:val="bottom"/>
            <w:gridSpan w:val="2"/>
          </w:tcPr>
          <w:p>
            <w:pPr>
              <w:jc w:val="right"/>
              <w:ind w:right="786"/>
              <w:spacing w:after="0"/>
              <w:rPr>
                <w:sz w:val="20"/>
                <w:szCs w:val="20"/>
                <w:color w:val="auto"/>
              </w:rPr>
            </w:pPr>
            <w:r>
              <w:rPr>
                <w:rFonts w:ascii="Arial" w:cs="Arial" w:eastAsia="Arial" w:hAnsi="Arial"/>
                <w:sz w:val="13"/>
                <w:szCs w:val="13"/>
                <w:color w:val="auto"/>
              </w:rPr>
              <w:t>(1.6)</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(5.9)</w:t>
            </w:r>
          </w:p>
        </w:tc>
      </w:tr>
      <w:tr>
        <w:trPr>
          <w:trHeight w:val="161"/>
        </w:trPr>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Purchased intangible assets</w:t>
            </w:r>
          </w:p>
        </w:tc>
        <w:tc>
          <w:tcPr>
            <w:tcW w:w="1320" w:type="dxa"/>
            <w:vAlign w:val="bottom"/>
            <w:tcBorders>
              <w:right w:val="single" w:sz="8" w:color="CCEEFF"/>
            </w:tcBorders>
            <w:gridSpan w:val="2"/>
            <w:shd w:val="clear" w:color="auto" w:fill="CCEEFF"/>
          </w:tcPr>
          <w:p>
            <w:pPr>
              <w:jc w:val="right"/>
              <w:ind w:right="906"/>
              <w:spacing w:after="0"/>
              <w:rPr>
                <w:sz w:val="20"/>
                <w:szCs w:val="20"/>
                <w:color w:val="auto"/>
              </w:rPr>
            </w:pPr>
            <w:r>
              <w:rPr>
                <w:rFonts w:ascii="Arial" w:cs="Arial" w:eastAsia="Arial" w:hAnsi="Arial"/>
                <w:sz w:val="13"/>
                <w:szCs w:val="13"/>
                <w:color w:val="auto"/>
              </w:rPr>
              <w:t>1.5</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4.4</w:t>
            </w:r>
          </w:p>
        </w:tc>
        <w:tc>
          <w:tcPr>
            <w:tcW w:w="1260" w:type="dxa"/>
            <w:vAlign w:val="bottom"/>
            <w:gridSpan w:val="2"/>
            <w:shd w:val="clear" w:color="auto" w:fill="CCEEFF"/>
          </w:tcPr>
          <w:p>
            <w:pPr>
              <w:jc w:val="right"/>
              <w:ind w:right="826"/>
              <w:spacing w:after="0"/>
              <w:rPr>
                <w:sz w:val="20"/>
                <w:szCs w:val="20"/>
                <w:color w:val="auto"/>
              </w:rPr>
            </w:pPr>
            <w:r>
              <w:rPr>
                <w:rFonts w:ascii="Arial" w:cs="Arial" w:eastAsia="Arial" w:hAnsi="Arial"/>
                <w:sz w:val="13"/>
                <w:szCs w:val="13"/>
                <w:color w:val="auto"/>
              </w:rPr>
              <w:t>1.5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r>
      <w:tr>
        <w:trPr>
          <w:trHeight w:val="161"/>
        </w:trPr>
        <w:tc>
          <w:tcPr>
            <w:tcW w:w="5980" w:type="dxa"/>
            <w:vAlign w:val="bottom"/>
          </w:tcPr>
          <w:p>
            <w:pPr>
              <w:spacing w:after="0"/>
              <w:rPr>
                <w:sz w:val="20"/>
                <w:szCs w:val="20"/>
                <w:color w:val="auto"/>
              </w:rPr>
            </w:pPr>
            <w:r>
              <w:rPr>
                <w:rFonts w:ascii="Arial" w:cs="Arial" w:eastAsia="Arial" w:hAnsi="Arial"/>
                <w:sz w:val="13"/>
                <w:szCs w:val="13"/>
                <w:color w:val="auto"/>
              </w:rPr>
              <w:t>IPR&amp;D</w:t>
            </w:r>
          </w:p>
        </w:tc>
        <w:tc>
          <w:tcPr>
            <w:tcW w:w="1320" w:type="dxa"/>
            <w:vAlign w:val="bottom"/>
            <w:gridSpan w:val="2"/>
          </w:tcPr>
          <w:p>
            <w:pPr>
              <w:jc w:val="right"/>
              <w:ind w:right="906"/>
              <w:spacing w:after="0"/>
              <w:rPr>
                <w:sz w:val="20"/>
                <w:szCs w:val="20"/>
                <w:color w:val="auto"/>
              </w:rPr>
            </w:pPr>
            <w:r>
              <w:rPr>
                <w:rFonts w:ascii="Arial" w:cs="Arial" w:eastAsia="Arial" w:hAnsi="Arial"/>
                <w:sz w:val="13"/>
                <w:szCs w:val="13"/>
                <w:color w:val="auto"/>
              </w:rPr>
              <w:t>0.8</w:t>
            </w:r>
          </w:p>
        </w:tc>
        <w:tc>
          <w:tcPr>
            <w:tcW w:w="960" w:type="dxa"/>
            <w:vAlign w:val="bottom"/>
            <w:gridSpan w:val="2"/>
          </w:tcPr>
          <w:p>
            <w:pPr>
              <w:jc w:val="right"/>
              <w:ind w:right="680"/>
              <w:spacing w:after="0"/>
              <w:rPr>
                <w:sz w:val="20"/>
                <w:szCs w:val="20"/>
                <w:color w:val="auto"/>
              </w:rPr>
            </w:pPr>
            <w:r>
              <w:rPr>
                <w:rFonts w:ascii="Arial" w:cs="Arial" w:eastAsia="Arial" w:hAnsi="Arial"/>
                <w:sz w:val="13"/>
                <w:szCs w:val="13"/>
                <w:color w:val="auto"/>
              </w:rPr>
              <w:t>1.4</w:t>
            </w:r>
          </w:p>
        </w:tc>
        <w:tc>
          <w:tcPr>
            <w:tcW w:w="1260" w:type="dxa"/>
            <w:vAlign w:val="bottom"/>
            <w:gridSpan w:val="2"/>
          </w:tcPr>
          <w:p>
            <w:pPr>
              <w:jc w:val="right"/>
              <w:ind w:right="826"/>
              <w:spacing w:after="0"/>
              <w:rPr>
                <w:sz w:val="20"/>
                <w:szCs w:val="20"/>
                <w:color w:val="auto"/>
              </w:rPr>
            </w:pPr>
            <w:r>
              <w:rPr>
                <w:rFonts w:ascii="Arial" w:cs="Arial" w:eastAsia="Arial" w:hAnsi="Arial"/>
                <w:sz w:val="13"/>
                <w:szCs w:val="13"/>
                <w:color w:val="auto"/>
              </w:rPr>
              <w:t>0.8</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r>
      <w:tr>
        <w:trPr>
          <w:trHeight w:val="161"/>
        </w:trPr>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1320" w:type="dxa"/>
            <w:vAlign w:val="bottom"/>
            <w:tcBorders>
              <w:right w:val="single" w:sz="8" w:color="CCEEFF"/>
            </w:tcBorders>
            <w:gridSpan w:val="2"/>
            <w:shd w:val="clear" w:color="auto" w:fill="CCEEFF"/>
          </w:tcPr>
          <w:p>
            <w:pPr>
              <w:jc w:val="right"/>
              <w:ind w:right="846"/>
              <w:spacing w:after="0"/>
              <w:rPr>
                <w:sz w:val="20"/>
                <w:szCs w:val="20"/>
                <w:color w:val="auto"/>
              </w:rPr>
            </w:pPr>
            <w:r>
              <w:rPr>
                <w:rFonts w:ascii="Arial" w:cs="Arial" w:eastAsia="Arial" w:hAnsi="Arial"/>
                <w:sz w:val="13"/>
                <w:szCs w:val="13"/>
                <w:color w:val="auto"/>
              </w:rPr>
              <w:t>(1.7)</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(2.6)</w:t>
            </w:r>
          </w:p>
        </w:tc>
        <w:tc>
          <w:tcPr>
            <w:tcW w:w="1260" w:type="dxa"/>
            <w:vAlign w:val="bottom"/>
            <w:gridSpan w:val="2"/>
            <w:shd w:val="clear" w:color="auto" w:fill="CCEEFF"/>
          </w:tcPr>
          <w:p>
            <w:pPr>
              <w:jc w:val="right"/>
              <w:ind w:right="786"/>
              <w:spacing w:after="0"/>
              <w:rPr>
                <w:sz w:val="20"/>
                <w:szCs w:val="20"/>
                <w:color w:val="auto"/>
              </w:rPr>
            </w:pPr>
            <w:r>
              <w:rPr>
                <w:rFonts w:ascii="Arial" w:cs="Arial" w:eastAsia="Arial" w:hAnsi="Arial"/>
                <w:sz w:val="13"/>
                <w:szCs w:val="13"/>
                <w:color w:val="auto"/>
              </w:rPr>
              <w:t>(1.7)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w:t>
            </w:r>
          </w:p>
        </w:tc>
      </w:tr>
      <w:tr>
        <w:trPr>
          <w:trHeight w:val="161"/>
        </w:trPr>
        <w:tc>
          <w:tcPr>
            <w:tcW w:w="5980" w:type="dxa"/>
            <w:vAlign w:val="bottom"/>
          </w:tcPr>
          <w:p>
            <w:pPr>
              <w:spacing w:after="0"/>
              <w:rPr>
                <w:sz w:val="20"/>
                <w:szCs w:val="20"/>
                <w:color w:val="auto"/>
              </w:rPr>
            </w:pPr>
            <w:r>
              <w:rPr>
                <w:rFonts w:ascii="Arial" w:cs="Arial" w:eastAsia="Arial" w:hAnsi="Arial"/>
                <w:sz w:val="13"/>
                <w:szCs w:val="13"/>
                <w:color w:val="auto"/>
              </w:rPr>
              <w:t>Other</w:t>
            </w:r>
          </w:p>
        </w:tc>
        <w:tc>
          <w:tcPr>
            <w:tcW w:w="1320" w:type="dxa"/>
            <w:vAlign w:val="bottom"/>
            <w:gridSpan w:val="2"/>
          </w:tcPr>
          <w:p>
            <w:pPr>
              <w:jc w:val="right"/>
              <w:ind w:right="906"/>
              <w:spacing w:after="0"/>
              <w:rPr>
                <w:sz w:val="20"/>
                <w:szCs w:val="20"/>
                <w:color w:val="auto"/>
              </w:rPr>
            </w:pPr>
            <w:r>
              <w:rPr>
                <w:rFonts w:ascii="Arial" w:cs="Arial" w:eastAsia="Arial" w:hAnsi="Arial"/>
                <w:sz w:val="13"/>
                <w:szCs w:val="13"/>
                <w:color w:val="auto"/>
              </w:rPr>
              <w:t>0.2</w:t>
            </w:r>
          </w:p>
        </w:tc>
        <w:tc>
          <w:tcPr>
            <w:tcW w:w="960" w:type="dxa"/>
            <w:vAlign w:val="bottom"/>
            <w:gridSpan w:val="2"/>
          </w:tcPr>
          <w:p>
            <w:pPr>
              <w:jc w:val="right"/>
              <w:ind w:right="680"/>
              <w:spacing w:after="0"/>
              <w:rPr>
                <w:sz w:val="20"/>
                <w:szCs w:val="20"/>
                <w:color w:val="auto"/>
              </w:rPr>
            </w:pPr>
            <w:r>
              <w:rPr>
                <w:rFonts w:ascii="Arial" w:cs="Arial" w:eastAsia="Arial" w:hAnsi="Arial"/>
                <w:sz w:val="13"/>
                <w:szCs w:val="13"/>
                <w:color w:val="auto"/>
              </w:rPr>
              <w:t>0.7</w:t>
            </w:r>
          </w:p>
        </w:tc>
        <w:tc>
          <w:tcPr>
            <w:tcW w:w="1260" w:type="dxa"/>
            <w:vAlign w:val="bottom"/>
            <w:gridSpan w:val="2"/>
          </w:tcPr>
          <w:p>
            <w:pPr>
              <w:jc w:val="right"/>
              <w:ind w:right="786"/>
              <w:spacing w:after="0"/>
              <w:rPr>
                <w:sz w:val="20"/>
                <w:szCs w:val="20"/>
                <w:color w:val="auto"/>
              </w:rPr>
            </w:pPr>
            <w:r>
              <w:rPr>
                <w:rFonts w:ascii="Arial" w:cs="Arial" w:eastAsia="Arial" w:hAnsi="Arial"/>
                <w:sz w:val="13"/>
                <w:szCs w:val="13"/>
                <w:color w:val="auto"/>
              </w:rPr>
              <w:t>(0.1)</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59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Effective tax rate</w:t>
            </w:r>
          </w:p>
        </w:tc>
        <w:tc>
          <w:tcPr>
            <w:tcW w:w="1320" w:type="dxa"/>
            <w:vAlign w:val="bottom"/>
            <w:tcBorders>
              <w:right w:val="single" w:sz="8" w:color="CCEEFF"/>
            </w:tcBorders>
            <w:gridSpan w:val="2"/>
            <w:shd w:val="clear" w:color="auto" w:fill="CCEEFF"/>
          </w:tcPr>
          <w:p>
            <w:pPr>
              <w:jc w:val="right"/>
              <w:ind w:right="786"/>
              <w:spacing w:after="0"/>
              <w:rPr>
                <w:sz w:val="20"/>
                <w:szCs w:val="20"/>
                <w:color w:val="auto"/>
              </w:rPr>
            </w:pPr>
            <w:r>
              <w:rPr>
                <w:rFonts w:ascii="Arial" w:cs="Arial" w:eastAsia="Arial" w:hAnsi="Arial"/>
                <w:sz w:val="13"/>
                <w:szCs w:val="13"/>
                <w:color w:val="auto"/>
              </w:rPr>
              <w:t>25.8%</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39.0%</w:t>
            </w:r>
          </w:p>
        </w:tc>
        <w:tc>
          <w:tcPr>
            <w:tcW w:w="1260" w:type="dxa"/>
            <w:vAlign w:val="bottom"/>
            <w:gridSpan w:val="2"/>
            <w:shd w:val="clear" w:color="auto" w:fill="CCEEFF"/>
          </w:tcPr>
          <w:p>
            <w:pPr>
              <w:jc w:val="right"/>
              <w:ind w:right="726"/>
              <w:spacing w:after="0"/>
              <w:rPr>
                <w:sz w:val="20"/>
                <w:szCs w:val="20"/>
                <w:color w:val="auto"/>
              </w:rPr>
            </w:pPr>
            <w:r>
              <w:rPr>
                <w:rFonts w:ascii="Arial" w:cs="Arial" w:eastAsia="Arial" w:hAnsi="Arial"/>
                <w:sz w:val="13"/>
                <w:szCs w:val="13"/>
                <w:color w:val="auto"/>
              </w:rPr>
              <w:t>25.7%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28.7%</w:t>
            </w: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Uncertainty in Income Taxes</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our subsidiaries are routinely examined by various taxing authorities. We file income tax returns in the U.S. federal jurisdiction, and various states and foreign jurisdictions. With few exceptions, we are no longer subject to U.S. federal tax examination for years before 2007 or state, local, or non-U.S. income tax examinations by tax authorities for years before 2001.</w:t>
      </w:r>
    </w:p>
    <w:p>
      <w:pPr>
        <w:spacing w:after="0" w:line="5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In 2006, the Massachusetts Department of Revenue (DOR) issued a Notice of Assessment against Biogen Idec MA Inc. (BIMA), one of our wholly-owned subsidiaries, for $38.9 million of corporate excise tax for 2002, which includes associated interest and penalties. The assessment asserts that the portion of sales attributable to Massachusetts, the computation of BIMA’s research and development credits and the availability of certain claimed deductions were not appropriate, resulting in unpaid taxes for 2002. In December 2006, we filed an abatement application with the DOR, seeking abatement for 2001-2003, which was denied. In July 2007, we filed a petition with the Massachusetts Appellate Tax Board, seeking among other items, abatements of corporate excise tax for 2001-2003 and adjustments in certain credits and credit carryforwards for 2001-2003. We anticipate that the hearing on our petition will take place in the fourth quarter of 2010. On June 8, 2010, we received Notices of Assessment from the DOR against BIMA for $103.5 million of corporate excise tax, including associated interest and penalties, related to our 2004, 2005 and 2006 tax filings. The asserted basis for these assessments is consistent with that for 2002. Including associated interest and penalties, assessments related to periods under dispute totaled $142.4 million. We believe that positions taken in our tax filings are valid and believe that we have meritorious defenses in these disputes. We intend to contest these matters vigorously.</w:t>
      </w:r>
    </w:p>
    <w:p>
      <w:pPr>
        <w:spacing w:after="0" w:line="5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Our tax filings for 2007 and 2008 have not yet been audited by the DOR but have been prepared in a manner consistent with prior filings which may result in an assessment for those years. Due to tax law changes effective January 1, 2009, the computation and deductions at issue in previous tax filings will not be part of our tax filings in Massachusetts starting in 2009.</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believe that these assessments do not impact the level of liabilities for income tax contingencies. However, there is a possibility that we may not prevail in defending all of our assertions with the DOR. If these matters are resolved unfavorably in the future, the resolution could have a material adverse impact on our future effective tax rate and our results of operations.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220" w:type="dxa"/>
            <w:vAlign w:val="bottom"/>
          </w:tcPr>
          <w:p>
            <w:pPr>
              <w:spacing w:after="0"/>
              <w:rPr>
                <w:sz w:val="20"/>
                <w:szCs w:val="20"/>
                <w:color w:val="auto"/>
              </w:rPr>
            </w:pPr>
            <w:r>
              <w:rPr>
                <w:rFonts w:ascii="Arial" w:cs="Arial" w:eastAsia="Arial" w:hAnsi="Arial"/>
                <w:sz w:val="13"/>
                <w:szCs w:val="13"/>
                <w:b w:val="1"/>
                <w:bCs w:val="1"/>
                <w:color w:val="auto"/>
              </w:rPr>
              <w:t>15.</w:t>
            </w:r>
          </w:p>
        </w:tc>
        <w:tc>
          <w:tcPr>
            <w:tcW w:w="5780" w:type="dxa"/>
            <w:vAlign w:val="bottom"/>
            <w:gridSpan w:val="2"/>
          </w:tcPr>
          <w:p>
            <w:pPr>
              <w:ind w:left="300"/>
              <w:spacing w:after="0"/>
              <w:rPr>
                <w:sz w:val="20"/>
                <w:szCs w:val="20"/>
                <w:color w:val="auto"/>
              </w:rPr>
            </w:pPr>
            <w:r>
              <w:rPr>
                <w:rFonts w:ascii="Arial" w:cs="Arial" w:eastAsia="Arial" w:hAnsi="Arial"/>
                <w:sz w:val="13"/>
                <w:szCs w:val="13"/>
                <w:b w:val="1"/>
                <w:bCs w:val="1"/>
                <w:color w:val="auto"/>
              </w:rPr>
              <w:t>Other Income (Expense), Net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5780" w:type="dxa"/>
            <w:vAlign w:val="bottom"/>
            <w:gridSpan w:val="2"/>
          </w:tcPr>
          <w:p>
            <w:pPr>
              <w:ind w:left="180"/>
              <w:spacing w:after="0"/>
              <w:rPr>
                <w:sz w:val="20"/>
                <w:szCs w:val="20"/>
                <w:color w:val="auto"/>
              </w:rPr>
            </w:pPr>
            <w:r>
              <w:rPr>
                <w:rFonts w:ascii="Arial" w:cs="Arial" w:eastAsia="Arial" w:hAnsi="Arial"/>
                <w:sz w:val="13"/>
                <w:szCs w:val="13"/>
                <w:color w:val="auto"/>
              </w:rPr>
              <w:t>Components of other income (expense), net, are summarized as follows: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5"/>
          </w:tcPr>
          <w:p>
            <w:pPr>
              <w:jc w:val="right"/>
              <w:ind w:right="960"/>
              <w:spacing w:after="0"/>
              <w:rPr>
                <w:sz w:val="20"/>
                <w:szCs w:val="20"/>
                <w:color w:val="auto"/>
              </w:rPr>
            </w:pPr>
            <w:r>
              <w:rPr>
                <w:rFonts w:ascii="Arial" w:cs="Arial" w:eastAsia="Arial" w:hAnsi="Arial"/>
                <w:sz w:val="11"/>
                <w:szCs w:val="11"/>
                <w:b w:val="1"/>
                <w:bCs w:val="1"/>
                <w:color w:val="auto"/>
              </w:rPr>
              <w:t>For the Three Months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w w:val="88"/>
              </w:rPr>
              <w:t>For the Six Months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0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3"/>
          </w:tcPr>
          <w:p>
            <w:pPr>
              <w:jc w:val="right"/>
              <w:ind w:right="1100"/>
              <w:spacing w:after="0"/>
              <w:rPr>
                <w:sz w:val="20"/>
                <w:szCs w:val="20"/>
                <w:color w:val="auto"/>
              </w:rPr>
            </w:pPr>
            <w:r>
              <w:rPr>
                <w:rFonts w:ascii="Arial" w:cs="Arial" w:eastAsia="Arial" w:hAnsi="Arial"/>
                <w:sz w:val="11"/>
                <w:szCs w:val="11"/>
                <w:b w:val="1"/>
                <w:bCs w:val="1"/>
                <w:color w:val="auto"/>
                <w:w w:val="89"/>
              </w:rPr>
              <w:t>Ended June 30,</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b w:val="1"/>
                <w:bCs w:val="1"/>
                <w:color w:val="auto"/>
                <w:w w:val="96"/>
              </w:rPr>
              <w:t>Ended June 30,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00" w:type="dxa"/>
            <w:vAlign w:val="bottom"/>
            <w:gridSpan w:val="3"/>
            <w:vMerge w:val="continue"/>
          </w:tcPr>
          <w:p>
            <w:pPr>
              <w:spacing w:after="0"/>
              <w:rPr>
                <w:sz w:val="8"/>
                <w:szCs w:val="8"/>
                <w:color w:val="auto"/>
              </w:rPr>
            </w:pPr>
          </w:p>
        </w:tc>
        <w:tc>
          <w:tcPr>
            <w:tcW w:w="3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6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w w:val="81"/>
              </w:rPr>
              <w:t>2010</w:t>
            </w:r>
          </w:p>
        </w:tc>
        <w:tc>
          <w:tcPr>
            <w:tcW w:w="9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35"/>
              <w:spacing w:after="0" w:line="101" w:lineRule="exact"/>
              <w:rPr>
                <w:sz w:val="20"/>
                <w:szCs w:val="20"/>
                <w:color w:val="auto"/>
              </w:rPr>
            </w:pPr>
            <w:r>
              <w:rPr>
                <w:rFonts w:ascii="Arial" w:cs="Arial" w:eastAsia="Arial" w:hAnsi="Arial"/>
                <w:sz w:val="11"/>
                <w:szCs w:val="11"/>
                <w:b w:val="1"/>
                <w:bCs w:val="1"/>
                <w:color w:val="auto"/>
                <w:w w:val="81"/>
              </w:rPr>
              <w:t>2009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20" w:type="dxa"/>
            <w:vAlign w:val="bottom"/>
            <w:tcBorders>
              <w:top w:val="single" w:sz="8" w:color="auto"/>
            </w:tcBorders>
          </w:tcPr>
          <w:p>
            <w:pPr>
              <w:spacing w:after="0"/>
              <w:rPr>
                <w:sz w:val="2"/>
                <w:szCs w:val="2"/>
                <w:color w:val="auto"/>
              </w:rPr>
            </w:pPr>
          </w:p>
        </w:tc>
        <w:tc>
          <w:tcPr>
            <w:tcW w:w="51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w:t>
            </w:r>
          </w:p>
        </w:tc>
        <w:tc>
          <w:tcPr>
            <w:tcW w:w="184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$ 12.1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CCEEFF"/>
            </w:tcBorders>
            <w:gridSpan w:val="2"/>
            <w:shd w:val="clear" w:color="auto" w:fill="CCEEFF"/>
          </w:tcPr>
          <w:p>
            <w:pPr>
              <w:jc w:val="right"/>
              <w:ind w:right="846"/>
              <w:spacing w:after="0"/>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(9.0)</w:t>
            </w:r>
          </w:p>
        </w:tc>
        <w:tc>
          <w:tcPr>
            <w:tcW w:w="1840" w:type="dxa"/>
            <w:vAlign w:val="bottom"/>
            <w:gridSpan w:val="3"/>
          </w:tcPr>
          <w:p>
            <w:pPr>
              <w:jc w:val="right"/>
              <w:ind w:right="640"/>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4"/>
                <w:szCs w:val="14"/>
                <w:color w:val="auto"/>
              </w:rPr>
            </w:pPr>
          </w:p>
        </w:tc>
        <w:tc>
          <w:tcPr>
            <w:tcW w:w="1200" w:type="dxa"/>
            <w:vAlign w:val="bottom"/>
            <w:gridSpan w:val="2"/>
          </w:tcPr>
          <w:p>
            <w:pPr>
              <w:jc w:val="right"/>
              <w:ind w:right="806"/>
              <w:spacing w:after="0"/>
              <w:rPr>
                <w:sz w:val="20"/>
                <w:szCs w:val="20"/>
                <w:color w:val="auto"/>
              </w:rPr>
            </w:pPr>
            <w:r>
              <w:rPr>
                <w:rFonts w:ascii="Arial" w:cs="Arial" w:eastAsia="Arial" w:hAnsi="Arial"/>
                <w:sz w:val="13"/>
                <w:szCs w:val="13"/>
                <w:color w:val="auto"/>
                <w:w w:val="94"/>
              </w:rPr>
              <w:t>(17.3)</w:t>
            </w:r>
          </w:p>
        </w:tc>
        <w:tc>
          <w:tcPr>
            <w:tcW w:w="6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w w:val="99"/>
              </w:rPr>
              <w:t>(19.2)</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Impairments of investments (Note 7)</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(1.2)</w:t>
            </w:r>
          </w:p>
        </w:tc>
        <w:tc>
          <w:tcPr>
            <w:tcW w:w="1840" w:type="dxa"/>
            <w:vAlign w:val="bottom"/>
            <w:gridSpan w:val="3"/>
            <w:shd w:val="clear" w:color="auto" w:fill="CCEEFF"/>
          </w:tcPr>
          <w:p>
            <w:pPr>
              <w:jc w:val="right"/>
              <w:ind w:right="64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806"/>
              <w:spacing w:after="0"/>
              <w:rPr>
                <w:sz w:val="20"/>
                <w:szCs w:val="20"/>
                <w:color w:val="auto"/>
              </w:rPr>
            </w:pPr>
            <w:r>
              <w:rPr>
                <w:rFonts w:ascii="Arial" w:cs="Arial" w:eastAsia="Arial" w:hAnsi="Arial"/>
                <w:sz w:val="13"/>
                <w:szCs w:val="13"/>
                <w:color w:val="auto"/>
                <w:w w:val="94"/>
              </w:rPr>
              <w:t>(17.0)</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Net gains(losses) on foreign currency transactions</w:t>
            </w:r>
          </w:p>
        </w:tc>
        <w:tc>
          <w:tcPr>
            <w:tcW w:w="1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(0.7)</w:t>
            </w:r>
          </w:p>
        </w:tc>
        <w:tc>
          <w:tcPr>
            <w:tcW w:w="1840" w:type="dxa"/>
            <w:vAlign w:val="bottom"/>
            <w:gridSpan w:val="3"/>
          </w:tcPr>
          <w:p>
            <w:pPr>
              <w:jc w:val="right"/>
              <w:ind w:right="68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200" w:type="dxa"/>
            <w:vAlign w:val="bottom"/>
            <w:gridSpan w:val="2"/>
          </w:tcPr>
          <w:p>
            <w:pPr>
              <w:jc w:val="right"/>
              <w:ind w:right="846"/>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1"/>
        </w:trPr>
        <w:tc>
          <w:tcPr>
            <w:tcW w:w="6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realized gains on marketable securities</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w:t>
            </w:r>
          </w:p>
        </w:tc>
        <w:tc>
          <w:tcPr>
            <w:tcW w:w="184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846"/>
              <w:spacing w:after="0"/>
              <w:rPr>
                <w:sz w:val="20"/>
                <w:szCs w:val="20"/>
                <w:color w:val="auto"/>
              </w:rPr>
            </w:pPr>
            <w:r>
              <w:rPr>
                <w:rFonts w:ascii="Arial" w:cs="Arial" w:eastAsia="Arial" w:hAnsi="Arial"/>
                <w:sz w:val="13"/>
                <w:szCs w:val="13"/>
                <w:color w:val="auto"/>
              </w:rPr>
              <w:t>11.3</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w w:val="97"/>
              </w:rPr>
              <w:t>(1.1)</w:t>
            </w:r>
          </w:p>
        </w:tc>
        <w:tc>
          <w:tcPr>
            <w:tcW w:w="1840" w:type="dxa"/>
            <w:vAlign w:val="bottom"/>
            <w:gridSpan w:val="3"/>
          </w:tcPr>
          <w:p>
            <w:pPr>
              <w:jc w:val="right"/>
              <w:ind w:right="68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1200" w:type="dxa"/>
            <w:vAlign w:val="bottom"/>
            <w:gridSpan w:val="2"/>
          </w:tcPr>
          <w:p>
            <w:pPr>
              <w:jc w:val="right"/>
              <w:ind w:right="806"/>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0" w:type="dxa"/>
            <w:vAlign w:val="bottom"/>
            <w:shd w:val="clear" w:color="auto" w:fill="CCEEFF"/>
          </w:tcPr>
          <w:p>
            <w:pPr>
              <w:spacing w:after="0"/>
              <w:rPr>
                <w:sz w:val="14"/>
                <w:szCs w:val="14"/>
                <w:color w:val="auto"/>
              </w:rPr>
            </w:pPr>
          </w:p>
        </w:tc>
        <w:tc>
          <w:tcPr>
            <w:tcW w:w="57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other income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$ 14.7</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right w:val="single" w:sz="8" w:color="CCEEFF"/>
            </w:tcBorders>
            <w:gridSpan w:val="2"/>
            <w:shd w:val="clear" w:color="auto" w:fill="CCEEFF"/>
          </w:tcPr>
          <w:p>
            <w:pPr>
              <w:jc w:val="right"/>
              <w:ind w:right="806"/>
              <w:spacing w:after="0"/>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00" w:hanging="512"/>
        <w:spacing w:after="0"/>
        <w:tabs>
          <w:tab w:leader="none" w:pos="12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Investments in Variable Interest Entities</w:t>
      </w:r>
    </w:p>
    <w:p>
      <w:pPr>
        <w:spacing w:after="0" w:line="104"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Effective January 1, 2010, we adopted a newly issued accounting standard which provides guidance for the consolidation of variable interest entities and requires an enterprise to determine whether its variable interest or interests give it a controlling financial interest in a variable interest entity. This new consolidation guidance for variable interest entities replaces the prior quantitative approach for identifying which enterprise should consolidate a variable interest entity, which was based on which enterprise was exposed to a majority of the risks and rewards, with a qualitative approach, based on which enterprise has both (1) the power to direct the economically significant activities of the entity and (2) the obligation to absorb losses of, or the right to receive benefits from, the entity that could potentially be significant to the variable interest entity. The adoption of this standard did not have an impact on our financial position or results of operations. Determination about whether an enterprise should consolidate a variable interest entity is required to be evaluated continuously as changes to existing relationships or future transactions may result in us consolidating or deconsolidating our partner(s) to collaborations and other arrangements.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consolidated financial statements include the financial results of variable interest entities in which we are the primary beneficiary.</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Investments in Joint Ventures</w:t>
      </w:r>
    </w:p>
    <w:p>
      <w:pPr>
        <w:spacing w:after="0" w:line="102"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We consolidate the operations of Biogen Dompé SRL and Biogen Dompé Switzerland GmbH, our respective sales affiliates in Italy and Switzerland, as we retain the contractual power to direct the activities of these entities which most significantly and directly impact their economic performance. The activity of each of these joint ventures is significant to our overall operations. The assets of these joint ventures are restricted, from the standpoint of Biogen Idec, in that they are not available for our general business use outside the context of each joint venture. The holders of the liabilities of each joint venture, including the credit line from Dompé described in our 2009 Form 10-K, have no recourse to Biogen Idec.</w:t>
      </w:r>
    </w:p>
    <w:p>
      <w:pPr>
        <w:spacing w:after="0" w:line="48"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Included within our consolidated balance sheet at June 30, 2010 are total joint venture assets and liabilities of $139.4 million and $55.2 million, respectively. The joint venture’s most significant assets are accounts receivable from the ordinary course of business of $99.2 million.</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provided no financing to these joint ventures other than previously contractually required amounts.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Neurimmune</w:t>
      </w:r>
    </w:p>
    <w:p>
      <w:pPr>
        <w:spacing w:after="0" w:line="10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We have a collaboration agreement with Neurimmune SubOne AG (Neurimmune), a subsidiary of Neurimmune Therapeutics AG, for the development and commercialization of antibodies for the treatment of Alzheimer’s disease. Neurimmune conducts research to identify potential therapeutic antibodies and we are responsible for the development, manufacturing and commercialization of all products. Based upon our current development plans, we may pay Neurimmune up to $360.0 million in remaining milestone payments, as well as royalties on sales of any resulting commercial products.</w:t>
      </w:r>
    </w:p>
    <w:p>
      <w:pPr>
        <w:spacing w:after="0" w:line="63"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We have determined that we are the primary beneficiary of Neurimmune because we control the activities of the collaboration and are required to fund 100% of the research and development costs incurred in support of the collaboration agreement. As such, we consolidate the results of Neurimmune. The assets and liabilities of Neurimmune are not significant as it is a research and development organization. Amounts that we reimburse Neurimmune for research and development expense incurred in support of the collaboration are reflected in research and development expense in our consolidated statements of income.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For the Three Months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ind w:right="196"/>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28"/>
        </w:trPr>
        <w:tc>
          <w:tcPr>
            <w:tcW w:w="6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w w:val="89"/>
              </w:rPr>
              <w:t>Ended June 30,</w:t>
            </w: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6"/>
              </w:rPr>
              <w:t>Ended June 30,</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580" w:type="dxa"/>
            <w:vAlign w:val="bottom"/>
            <w:gridSpan w:val="2"/>
            <w:vMerge w:val="continue"/>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140" w:type="dxa"/>
            <w:vAlign w:val="bottom"/>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9"/>
              </w:rPr>
              <w:t>2010</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36"/>
              <w:spacing w:after="0" w:line="101" w:lineRule="exact"/>
              <w:rPr>
                <w:sz w:val="20"/>
                <w:szCs w:val="20"/>
                <w:color w:val="auto"/>
              </w:rPr>
            </w:pPr>
            <w:r>
              <w:rPr>
                <w:rFonts w:ascii="Arial" w:cs="Arial" w:eastAsia="Arial" w:hAnsi="Arial"/>
                <w:sz w:val="11"/>
                <w:szCs w:val="11"/>
                <w:b w:val="1"/>
                <w:bCs w:val="1"/>
                <w:color w:val="auto"/>
                <w:w w:val="81"/>
              </w:rPr>
              <w:t>2009</w:t>
            </w:r>
          </w:p>
        </w:tc>
        <w:tc>
          <w:tcPr>
            <w:tcW w:w="0" w:type="dxa"/>
            <w:vAlign w:val="bottom"/>
          </w:tcPr>
          <w:p>
            <w:pPr>
              <w:spacing w:after="0"/>
              <w:rPr>
                <w:sz w:val="1"/>
                <w:szCs w:val="1"/>
                <w:color w:val="auto"/>
              </w:rPr>
            </w:pPr>
          </w:p>
        </w:tc>
      </w:tr>
      <w:tr>
        <w:trPr>
          <w:trHeight w:val="30"/>
        </w:trPr>
        <w:tc>
          <w:tcPr>
            <w:tcW w:w="6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Milestone payments made to Neurimumune</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1"/>
        </w:trPr>
        <w:tc>
          <w:tcPr>
            <w:tcW w:w="6580" w:type="dxa"/>
            <w:vAlign w:val="bottom"/>
            <w:gridSpan w:val="2"/>
          </w:tcPr>
          <w:p>
            <w:pPr>
              <w:spacing w:after="0"/>
              <w:rPr>
                <w:sz w:val="20"/>
                <w:szCs w:val="20"/>
                <w:color w:val="auto"/>
              </w:rPr>
            </w:pPr>
            <w:r>
              <w:rPr>
                <w:rFonts w:ascii="Arial" w:cs="Arial" w:eastAsia="Arial" w:hAnsi="Arial"/>
                <w:sz w:val="13"/>
                <w:szCs w:val="13"/>
                <w:color w:val="auto"/>
              </w:rPr>
              <w:t>Total development expense incurred by the collaboration</w:t>
            </w:r>
          </w:p>
        </w:tc>
        <w:tc>
          <w:tcPr>
            <w:tcW w:w="360" w:type="dxa"/>
            <w:vAlign w:val="bottom"/>
          </w:tcPr>
          <w:p>
            <w:pPr>
              <w:ind w:left="40"/>
              <w:spacing w:after="0"/>
              <w:rPr>
                <w:sz w:val="20"/>
                <w:szCs w:val="20"/>
                <w:color w:val="auto"/>
              </w:rPr>
            </w:pPr>
            <w:r>
              <w:rPr>
                <w:rFonts w:ascii="Arial" w:cs="Arial" w:eastAsia="Arial" w:hAnsi="Arial"/>
                <w:sz w:val="13"/>
                <w:szCs w:val="13"/>
                <w:color w:val="auto"/>
              </w:rPr>
              <w:t>$5.3</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6"/>
              </w:rPr>
              <w:t>10.4</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6"/>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1"/>
        </w:trPr>
        <w:tc>
          <w:tcPr>
            <w:tcW w:w="6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expense reflected within our consolidated statements of income</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$5.3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6"/>
              </w:rPr>
              <w:t>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provided no financing to Neurimmune other than previously contractually required amounts.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Cardiokine</w:t>
      </w:r>
    </w:p>
    <w:p>
      <w:pPr>
        <w:spacing w:after="0" w:line="10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collaborate with Cardiokine Biopharma LLC (Cardiokine), a subsidiary of Cardiokine Inc., on the joint development of Lixivaptan, an oral compound for the potential treatment of hyponatremia in patients with congestive heart failure. Based upon our current development plans, we may pay up to $100.0 million in remaining development milestone payments, as well as royalties on commercial sales under the terms of our collaboration agreement.</w:t>
      </w:r>
    </w:p>
    <w:p>
      <w:pPr>
        <w:spacing w:after="0" w:line="59"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We have determined that we are the primary beneficiary of Cardiokine because we control the activities of the collaboration and are required to fund 90% of the development costs under the collaboration agreement. As such, we consolidate the results of Cardiokine. The assets and liabilities of Cardiokine are not significant as it is a research and development organization. Amounts that we reimburse Cardiokine for research and development expense incurred in support of the collaboration are reflected in research and development expense in our consolidated statements of income.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activity related to this collaboration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tcPr>
          <w:p>
            <w:pPr>
              <w:jc w:val="right"/>
              <w:ind w:right="156"/>
              <w:spacing w:after="0"/>
              <w:rPr>
                <w:sz w:val="20"/>
                <w:szCs w:val="20"/>
                <w:color w:val="auto"/>
              </w:rPr>
            </w:pPr>
            <w:r>
              <w:rPr>
                <w:rFonts w:ascii="Arial" w:cs="Arial" w:eastAsia="Arial" w:hAnsi="Arial"/>
                <w:sz w:val="11"/>
                <w:szCs w:val="11"/>
                <w:b w:val="1"/>
                <w:bCs w:val="1"/>
                <w:color w:val="auto"/>
                <w:w w:val="97"/>
              </w:rPr>
              <w:t>For the Three Months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4"/>
          </w:tcPr>
          <w:p>
            <w:pPr>
              <w:jc w:val="right"/>
              <w:ind w:right="156"/>
              <w:spacing w:after="0"/>
              <w:rPr>
                <w:sz w:val="20"/>
                <w:szCs w:val="20"/>
                <w:color w:val="auto"/>
              </w:rPr>
            </w:pPr>
            <w:r>
              <w:rPr>
                <w:rFonts w:ascii="Arial" w:cs="Arial" w:eastAsia="Arial" w:hAnsi="Arial"/>
                <w:sz w:val="11"/>
                <w:szCs w:val="11"/>
                <w:b w:val="1"/>
                <w:bCs w:val="1"/>
                <w:color w:val="auto"/>
              </w:rPr>
              <w:t>For the Six Months</w:t>
            </w:r>
          </w:p>
        </w:tc>
        <w:tc>
          <w:tcPr>
            <w:tcW w:w="0" w:type="dxa"/>
            <w:vAlign w:val="bottom"/>
          </w:tcPr>
          <w:p>
            <w:pPr>
              <w:spacing w:after="0"/>
              <w:rPr>
                <w:sz w:val="1"/>
                <w:szCs w:val="1"/>
                <w:color w:val="auto"/>
              </w:rPr>
            </w:pPr>
          </w:p>
        </w:tc>
      </w:tr>
      <w:tr>
        <w:trPr>
          <w:trHeight w:val="128"/>
        </w:trPr>
        <w:tc>
          <w:tcPr>
            <w:tcW w:w="6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86"/>
              </w:rPr>
              <w:t>Ended June 30,</w:t>
            </w: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1"/>
                <w:szCs w:val="11"/>
                <w:b w:val="1"/>
                <w:bCs w:val="1"/>
                <w:color w:val="auto"/>
              </w:rPr>
              <w:t>Ended June 30,</w:t>
            </w:r>
          </w:p>
        </w:tc>
        <w:tc>
          <w:tcPr>
            <w:tcW w:w="0" w:type="dxa"/>
            <w:vAlign w:val="bottom"/>
          </w:tcPr>
          <w:p>
            <w:pPr>
              <w:spacing w:after="0"/>
              <w:rPr>
                <w:sz w:val="1"/>
                <w:szCs w:val="1"/>
                <w:color w:val="auto"/>
              </w:rPr>
            </w:pPr>
          </w:p>
        </w:tc>
      </w:tr>
      <w:tr>
        <w:trPr>
          <w:trHeight w:val="101"/>
        </w:trPr>
        <w:tc>
          <w:tcPr>
            <w:tcW w:w="6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81"/>
              </w:rPr>
              <w:t>2010</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36"/>
              <w:spacing w:after="0" w:line="101" w:lineRule="exact"/>
              <w:rPr>
                <w:sz w:val="20"/>
                <w:szCs w:val="20"/>
                <w:color w:val="auto"/>
              </w:rPr>
            </w:pPr>
            <w:r>
              <w:rPr>
                <w:rFonts w:ascii="Arial" w:cs="Arial" w:eastAsia="Arial" w:hAnsi="Arial"/>
                <w:sz w:val="11"/>
                <w:szCs w:val="11"/>
                <w:b w:val="1"/>
                <w:bCs w:val="1"/>
                <w:color w:val="auto"/>
                <w:w w:val="81"/>
              </w:rPr>
              <w:t>2009</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39"/>
              <w:spacing w:after="0" w:line="101" w:lineRule="exact"/>
              <w:rPr>
                <w:sz w:val="20"/>
                <w:szCs w:val="20"/>
                <w:color w:val="auto"/>
              </w:rPr>
            </w:pPr>
            <w:r>
              <w:rPr>
                <w:rFonts w:ascii="Arial" w:cs="Arial" w:eastAsia="Arial" w:hAnsi="Arial"/>
                <w:sz w:val="11"/>
                <w:szCs w:val="11"/>
                <w:b w:val="1"/>
                <w:bCs w:val="1"/>
                <w:color w:val="auto"/>
                <w:w w:val="81"/>
              </w:rPr>
              <w:t>2010</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36"/>
              <w:spacing w:after="0" w:line="101" w:lineRule="exact"/>
              <w:rPr>
                <w:sz w:val="20"/>
                <w:szCs w:val="20"/>
                <w:color w:val="auto"/>
              </w:rPr>
            </w:pPr>
            <w:r>
              <w:rPr>
                <w:rFonts w:ascii="Arial" w:cs="Arial" w:eastAsia="Arial" w:hAnsi="Arial"/>
                <w:sz w:val="11"/>
                <w:szCs w:val="11"/>
                <w:b w:val="1"/>
                <w:bCs w:val="1"/>
                <w:color w:val="auto"/>
                <w:w w:val="81"/>
              </w:rPr>
              <w:t>2009</w:t>
            </w:r>
          </w:p>
        </w:tc>
        <w:tc>
          <w:tcPr>
            <w:tcW w:w="0" w:type="dxa"/>
            <w:vAlign w:val="bottom"/>
          </w:tcPr>
          <w:p>
            <w:pPr>
              <w:spacing w:after="0"/>
              <w:rPr>
                <w:sz w:val="1"/>
                <w:szCs w:val="1"/>
                <w:color w:val="auto"/>
              </w:rPr>
            </w:pPr>
          </w:p>
        </w:tc>
      </w:tr>
      <w:tr>
        <w:trPr>
          <w:trHeight w:val="30"/>
        </w:trPr>
        <w:tc>
          <w:tcPr>
            <w:tcW w:w="67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Milestone payments made to Cardiokine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6920" w:type="dxa"/>
            <w:vAlign w:val="bottom"/>
            <w:gridSpan w:val="2"/>
          </w:tcPr>
          <w:p>
            <w:pPr>
              <w:spacing w:after="0"/>
              <w:rPr>
                <w:sz w:val="20"/>
                <w:szCs w:val="20"/>
                <w:color w:val="auto"/>
              </w:rPr>
            </w:pPr>
            <w:r>
              <w:rPr>
                <w:rFonts w:ascii="Arial" w:cs="Arial" w:eastAsia="Arial" w:hAnsi="Arial"/>
                <w:sz w:val="13"/>
                <w:szCs w:val="13"/>
                <w:color w:val="auto"/>
              </w:rPr>
              <w:t>Total development expense incurred by the collaboration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6"/>
              </w:rPr>
              <w:t>19.0</w:t>
            </w: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6"/>
              <w:spacing w:after="0"/>
              <w:rPr>
                <w:sz w:val="20"/>
                <w:szCs w:val="20"/>
                <w:color w:val="auto"/>
              </w:rPr>
            </w:pPr>
            <w:r>
              <w:rPr>
                <w:rFonts w:ascii="Arial" w:cs="Arial" w:eastAsia="Arial" w:hAnsi="Arial"/>
                <w:sz w:val="13"/>
                <w:szCs w:val="13"/>
                <w:color w:val="auto"/>
                <w:w w:val="86"/>
              </w:rPr>
              <w:t>17.5</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9"/>
              <w:spacing w:after="0"/>
              <w:rPr>
                <w:sz w:val="20"/>
                <w:szCs w:val="20"/>
                <w:color w:val="auto"/>
              </w:rPr>
            </w:pPr>
            <w:r>
              <w:rPr>
                <w:rFonts w:ascii="Arial" w:cs="Arial" w:eastAsia="Arial" w:hAnsi="Arial"/>
                <w:sz w:val="13"/>
                <w:szCs w:val="13"/>
                <w:color w:val="auto"/>
                <w:w w:val="86"/>
              </w:rPr>
              <w:t>36.4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6"/>
              <w:spacing w:after="0"/>
              <w:rPr>
                <w:sz w:val="20"/>
                <w:szCs w:val="20"/>
                <w:color w:val="auto"/>
              </w:rPr>
            </w:pPr>
            <w:r>
              <w:rPr>
                <w:rFonts w:ascii="Arial" w:cs="Arial" w:eastAsia="Arial" w:hAnsi="Arial"/>
                <w:sz w:val="13"/>
                <w:szCs w:val="13"/>
                <w:color w:val="auto"/>
                <w:w w:val="86"/>
              </w:rPr>
              <w:t>31.2</w:t>
            </w:r>
          </w:p>
        </w:tc>
        <w:tc>
          <w:tcPr>
            <w:tcW w:w="0" w:type="dxa"/>
            <w:vAlign w:val="bottom"/>
          </w:tcPr>
          <w:p>
            <w:pPr>
              <w:spacing w:after="0"/>
              <w:rPr>
                <w:sz w:val="1"/>
                <w:szCs w:val="1"/>
                <w:color w:val="auto"/>
              </w:rPr>
            </w:pPr>
          </w:p>
        </w:tc>
      </w:tr>
      <w:tr>
        <w:trPr>
          <w:trHeight w:val="161"/>
        </w:trPr>
        <w:tc>
          <w:tcPr>
            <w:tcW w:w="6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Biogen Idec’s share of expense reflected within our consolidated statements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17.1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6"/>
              </w:rPr>
              <w:t>15.8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6"/>
              </w:rPr>
              <w:t>32.8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6"/>
              </w:rPr>
              <w:t>28.1</w:t>
            </w:r>
          </w:p>
        </w:tc>
        <w:tc>
          <w:tcPr>
            <w:tcW w:w="0" w:type="dxa"/>
            <w:vAlign w:val="bottom"/>
          </w:tcPr>
          <w:p>
            <w:pPr>
              <w:spacing w:after="0"/>
              <w:rPr>
                <w:sz w:val="1"/>
                <w:szCs w:val="1"/>
                <w:color w:val="auto"/>
              </w:rPr>
            </w:pPr>
          </w:p>
        </w:tc>
      </w:tr>
      <w:tr>
        <w:trPr>
          <w:trHeight w:val="172"/>
        </w:trPr>
        <w:tc>
          <w:tcPr>
            <w:tcW w:w="6920" w:type="dxa"/>
            <w:vAlign w:val="bottom"/>
            <w:gridSpan w:val="2"/>
          </w:tcPr>
          <w:p>
            <w:pPr>
              <w:spacing w:after="0"/>
              <w:rPr>
                <w:sz w:val="20"/>
                <w:szCs w:val="20"/>
                <w:color w:val="auto"/>
              </w:rPr>
            </w:pPr>
            <w:r>
              <w:rPr>
                <w:rFonts w:ascii="Arial" w:cs="Arial" w:eastAsia="Arial" w:hAnsi="Arial"/>
                <w:sz w:val="13"/>
                <w:szCs w:val="13"/>
                <w:color w:val="auto"/>
              </w:rPr>
              <w:t>Collaboration expense allocated to noncontrolling interests, net of tax</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1.9</w:t>
            </w:r>
          </w:p>
        </w:tc>
        <w:tc>
          <w:tcPr>
            <w:tcW w:w="7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9"/>
              <w:spacing w:after="0"/>
              <w:rPr>
                <w:sz w:val="20"/>
                <w:szCs w:val="20"/>
                <w:color w:val="auto"/>
              </w:rPr>
            </w:pPr>
            <w:r>
              <w:rPr>
                <w:rFonts w:ascii="Arial" w:cs="Arial" w:eastAsia="Arial" w:hAnsi="Arial"/>
                <w:sz w:val="13"/>
                <w:szCs w:val="13"/>
                <w:color w:val="auto"/>
              </w:rPr>
              <w:t>3.6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provided no financing to Cardiokine other than previously contractually required amounts.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Unconsolidated Variable Interest Entities</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We have relationships with other variable interest entities which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47"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At June 30, 2010 the total carrying value of our investments in biotechnology companies that we have determined to be variable interest entities is $22.3 million. Our maximum exposure to loss related to these variable interest entities is limited to the carrying value of our investments.</w:t>
      </w:r>
    </w:p>
    <w:p>
      <w:pPr>
        <w:spacing w:after="0" w:line="47"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We have entered into research collaborations with certain variable interest entities where we are required to share or fund certain development activities. These development activities are included in research and development expense within our consolidated statements of income, as they are incurred. Depending on the collaborative arrangement, we may record funding receivables or payable balances with our partners, based on the nature of the cost-sharing mechanism and activity within the collaboration. At June 30, 2010 we have recorded a receivable of $6.5 million related to a cost sharing arrangement with one of our collaborative relationships.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provided no financing to these variable interest entities other than previously contractually required amounts.</w:t>
      </w:r>
    </w:p>
    <w:p>
      <w:pPr>
        <w:spacing w:after="0" w:line="241" w:lineRule="exact"/>
        <w:rPr>
          <w:sz w:val="20"/>
          <w:szCs w:val="20"/>
          <w:color w:val="auto"/>
        </w:rPr>
      </w:pPr>
    </w:p>
    <w:p>
      <w:pPr>
        <w:ind w:left="1200" w:hanging="512"/>
        <w:spacing w:after="0"/>
        <w:tabs>
          <w:tab w:leader="none" w:pos="12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125"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Along with several other major pharmaceutical and biotechnology companies, Biogen, Inc. (now BIMA) or, in some cases, Biogen Idec Inc., was named as a defendant in lawsuits filed by the City of New York and numerous Counties of the State of New York. All of the cases — except for cases filed by the County of Erie, County of Oswego and County of Schenectady (Three County Actions) — are the subject of a Consolidated Complaint, first filed on September 15, 2005 in the U.S. District Court for the District of Massachusetts in Multi-District Litigation No. 1456 (MDL proceedings). The complaints allege that the defendants (i) fraudulently reported (or caused others to report incorrectly)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 (iii) 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spacing w:after="0" w:line="299" w:lineRule="auto"/>
        <w:rPr>
          <w:sz w:val="20"/>
          <w:szCs w:val="20"/>
          <w:color w:val="auto"/>
        </w:rPr>
      </w:pPr>
      <w:r>
        <w:rPr>
          <w:rFonts w:ascii="Arial" w:cs="Arial" w:eastAsia="Arial" w:hAnsi="Arial"/>
          <w:sz w:val="12"/>
          <w:szCs w:val="12"/>
          <w:color w:val="auto"/>
        </w:rPr>
        <w:t>Secretary of Health and Human Services pursuant to rebate agreements, and excluded from their reporting certain discounts and other rebates that would have reduced the “best price.” With respect to the MDL proceedings, some of the plaintiffs’ claims were dismissed, and the parties, including Biogen Idec, began a mediation of the outstanding claims on July 1, 2008. We have not formed an opinion that an unfavorable outcome is either “probable” or “remote” in any of these cases, and do not express an opinion at this time as to their likely outcome or as to the magnitude or range of any potential loss. We believe that we have good and valid defenses to each of these complaints and are vigorously defending against them.</w:t>
      </w:r>
    </w:p>
    <w:p>
      <w:pPr>
        <w:spacing w:after="0" w:line="48" w:lineRule="exact"/>
        <w:rPr>
          <w:sz w:val="20"/>
          <w:szCs w:val="20"/>
          <w:color w:val="auto"/>
        </w:rPr>
      </w:pPr>
    </w:p>
    <w:p>
      <w:pPr>
        <w:ind w:left="680" w:right="240" w:firstLine="399"/>
        <w:spacing w:after="0" w:line="290" w:lineRule="auto"/>
        <w:rPr>
          <w:sz w:val="20"/>
          <w:szCs w:val="20"/>
          <w:color w:val="auto"/>
        </w:rPr>
      </w:pPr>
      <w:r>
        <w:rPr>
          <w:rFonts w:ascii="Arial" w:cs="Arial" w:eastAsia="Arial" w:hAnsi="Arial"/>
          <w:sz w:val="12"/>
          <w:szCs w:val="12"/>
          <w:color w:val="auto"/>
        </w:rPr>
        <w:t>In 2006, the Massachusetts Department of Revenue (DOR) issued a Notice of Assessment against BIMA for $38.9 million of corporate excise tax for 2002, which includes associated interest and penalties. The assessment asserts that the portion of sales attributable to Massachusetts, the computation of BIMA’s research and development credits and the availability of certain claimed deductions were not appropriate, resulting in unpaid taxes for 2002. On December 6, 2006, we filed an abatement application with the DOR, seeking abatements for 2001, 2002 and 2003. The abatement application was denied on July 24, 2007. On July 25, 2007, we filed a petition with the Massachusetts Appellate Tax Board, seeking, among other items, abatements of corporate excise tax for 2001, 2002 and 2003 and adjustments in certain credits and credit carry forwards for 2001, 2002 and 2003. Issues before the Board include the computation of BIMA’s sales factor for 2001, 2002 and 2003, computation of BIMA’s research credits for those same years, and the availability of deductions for certain expenses and partnership flow-through items. We anticipate that the hearing on our petition will take place in the fourth quarter of 2010.</w:t>
      </w:r>
    </w:p>
    <w:p>
      <w:pPr>
        <w:spacing w:after="0" w:line="52"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On June 8, 2010, we received Notices of Assessment from the DOR against BIMA for $103.5 million of corporate excise tax, including associated interest and penalties, related to our 2004, 2005 and 2006 tax filings. The asserted basis for these assessments is consistent with that for 2002. For all periods under dispute, we believe that positions taken in our tax filings are valid and believe that we have meritorious defenses in these disputes. We intend to contest these matters vigorously.</w:t>
      </w:r>
    </w:p>
    <w:p>
      <w:pPr>
        <w:spacing w:after="0" w:line="59"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On October 27, 2008, Sanofi-Aventis Deutschland GmbH (Sanofi) filed suit against Genentech and Biogen Idec in federal court in Texas (E.D. Tex.) (Texas Action) claiming that RITUXAN and certain other Genentech products infringe U.S. Patents 5,849,522 (‘522 patent) and 6,218,140 (‘140 patent). Sanofi seeks preliminary and permanent injunctions, compensatory and exemplary damages, and other relief. The same day Genentech and Biogen Idec filed a complaint against Sanofi, Sanofi-Aventis U.S. LLC, and Sanofi-Aventis U.S., Inc. in federal court in California (N.D. Cal.) (California Action) seeking a declaratory judgment that RITUXAN and other Genentech products do not infringe the ‘522 patent or the ‘140 patent and a declaratory judgment that those patents are invalid. (Sanofi-Aventis U.S. LLC and Sanofi-Aventis U.S., Inc. were later dismissed voluntarily.) The Texas Action was ordered transferred to the federal court in the Northern District of California and consolidated with the California Action and we refer to the two actions together as the Consolidated Actions. We have not formed an opinion that an unfavorable outcome in the Consolidated Actions is either “probable” or “remote,” and do not express an opinion at this time as to the likely outcome of the matters or as to the magnitude or range of any potential loss. We believe that we have good and valid defenses and are vigorously defending against the allegations.</w:t>
      </w:r>
    </w:p>
    <w:p>
      <w:pPr>
        <w:spacing w:after="0" w:line="56"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On October 24, 2008, Hoechst GmbH filed with the ICC International Court of Arbitration (Paris) a request for arbitration against Genentech, relating to a terminated license agreement between Hoechst’s predecessor and Genentech that pertained to the above-referenced patents and related patents outside the U.S. The license was entered as of January 1, 1991 and was terminated by Genentech on October 27, 2008. We understand that Hoechst seeks payment of royalties on sales of Genentech products, including RITUXAN, damages for breach of contract, and other relief. We estimate, based solely on our understanding of Hoechst’s claims and not on any evaluation of the merits of the claims, that royalties and interest, if awarded in connection with RITUXAN, could total $100 million based on the 0.5% royalty rate set forth in the agreement</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 xml:space="preserve">and historical RITUXAN net sales. Although we are not a party to the arbitration, any damages awarded to Hoechst based on sales of RITUXAN may be a cost charged to our collaboration with Genentech.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to our Consolidated Financial Statements included within our 2009 Form 10-K, for a description of our collaboration with Genentech.</w:t>
      </w:r>
    </w:p>
    <w:p>
      <w:pPr>
        <w:spacing w:after="0" w:line="59"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On September 15, 2009, we were issued U.S. patent No. 7,588,755, which claims the use of beta interferon for immunomodulation or treating a viral condition, viral disease, cancers or tumors. This patent, which expires in September 2026, covers, among other things, the treatment of MS with our product AVONEX. On May 27, 2010, Bayer Healthcare Pharmaceuticals Inc. (“Bayer”) filed a lawsuit against us in federal court in the District of New Jersey seeking a declatory judgment of patent invalidity and noninfringement and seeking monetary relief in the form of attorneys’ fees, costs and expenses. On May 28, 2010 we filed a lawsuit in federal court in the District of New Jersey alleging infringement of the ‘755 patent by EMD Serono, Inc. (manufacturer, marketer and seller of REBIF), Pfizer, Inc. (co-marketer of REBIF), Bayer (manufacturer, marketer and seller of BETASERON and manufacturer of EXTAVIA), and Novartis Pharmaceuticals Corp. (marketer and seller of EXTAVIA) and seeking monetary damages, including lost profits and royalties.</w:t>
      </w:r>
    </w:p>
    <w:p>
      <w:pPr>
        <w:spacing w:after="0" w:line="51"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On March 23, 2010, we and Genentech were issued U.S. Patent No. 7,682,612 (the ‘612 patent) relating to a method of treating chronic lymphocytic leukemia (CLL) using an anti-CD20 antibody. The patent which expires in November 2019, covers, among other things, the treatment of CLL with RITUXAN. On March 23, 2010, we filed a lawsuit in federal court in the Southern District of California against Glaxo Group Limited and GlaxoSmithKline LLC (collectively, GSK) alleging infringement of that patent based upon GSK’s manufacture, marketing and sale of ARZERRA. We seek damages, including a royalty and lost profits, and injunctive relief. On May 14, 2010, GSK filed a counterclaim seeking a declaratory judgment of patent invalidity and noninfringement, and seeking monetary relief in the form of costs and attorneys’ fees.</w:t>
      </w:r>
    </w:p>
    <w:p>
      <w:pPr>
        <w:spacing w:after="0" w:line="65" w:lineRule="exact"/>
        <w:rPr>
          <w:sz w:val="20"/>
          <w:szCs w:val="20"/>
          <w:color w:val="auto"/>
        </w:rPr>
      </w:pPr>
    </w:p>
    <w:p>
      <w:pPr>
        <w:ind w:left="680" w:right="40" w:firstLine="399"/>
        <w:spacing w:after="0" w:line="338" w:lineRule="auto"/>
        <w:rPr>
          <w:sz w:val="20"/>
          <w:szCs w:val="20"/>
          <w:color w:val="auto"/>
        </w:rPr>
      </w:pPr>
      <w:r>
        <w:rPr>
          <w:rFonts w:ascii="Arial" w:cs="Arial" w:eastAsia="Arial" w:hAnsi="Arial"/>
          <w:sz w:val="12"/>
          <w:szCs w:val="12"/>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conditions.</w:t>
      </w:r>
    </w:p>
    <w:p>
      <w:pPr>
        <w:spacing w:after="0" w:line="103" w:lineRule="exact"/>
        <w:rPr>
          <w:sz w:val="20"/>
          <w:szCs w:val="20"/>
          <w:color w:val="auto"/>
        </w:rPr>
      </w:pPr>
    </w:p>
    <w:p>
      <w:pPr>
        <w:ind w:left="1200" w:hanging="512"/>
        <w:spacing w:after="0"/>
        <w:tabs>
          <w:tab w:leader="none" w:pos="12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4"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3"/>
          <w:szCs w:val="13"/>
          <w:color w:val="auto"/>
        </w:rPr>
        <w:t>We operate in one business segment, which is the business of development, manufacturing and commercialization of innovative therapies for human health care and therefore, our chief operating decision-maker manages the operation of our Company as a single operating segment.</w:t>
      </w:r>
    </w:p>
    <w:p>
      <w:pPr>
        <w:spacing w:after="0" w:line="125" w:lineRule="exact"/>
        <w:rPr>
          <w:sz w:val="20"/>
          <w:szCs w:val="20"/>
          <w:color w:val="auto"/>
        </w:rPr>
      </w:pPr>
    </w:p>
    <w:p>
      <w:pPr>
        <w:ind w:left="1200" w:hanging="512"/>
        <w:spacing w:after="0"/>
        <w:tabs>
          <w:tab w:leader="none" w:pos="12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4"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From time to time, new accounting pronouncements are issued by the Financial Accounting Standards Board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In April 2010, the FASB issued Accounting Standards Update (ASU) No. 2010-17, </w:t>
      </w:r>
      <w:r>
        <w:rPr>
          <w:rFonts w:ascii="Arial" w:cs="Arial" w:eastAsia="Arial" w:hAnsi="Arial"/>
          <w:sz w:val="13"/>
          <w:szCs w:val="13"/>
          <w:i w:val="1"/>
          <w:iCs w:val="1"/>
          <w:color w:val="auto"/>
        </w:rPr>
        <w:t>Revenue Recognition — Milestone Method</w:t>
      </w:r>
      <w:r>
        <w:rPr>
          <w:rFonts w:ascii="Arial" w:cs="Arial" w:eastAsia="Arial" w:hAnsi="Arial"/>
          <w:sz w:val="13"/>
          <w:szCs w:val="13"/>
          <w:color w:val="auto"/>
        </w:rPr>
        <w:t xml:space="preserve"> (ASU 2010-017). ASU 2010-017 provides guidance in applying the milestone method of revenue recognition to research or development arrangements. Under this guidance management may recognize revenue contingent upon the achievement of a milestone in its entirety, in the period in which the milestone is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i w:val="1"/>
          <w:iCs w:val="1"/>
          <w:color w:val="auto"/>
        </w:rPr>
        <w:t>(unaudited, continued)</w:t>
      </w:r>
    </w:p>
    <w:p>
      <w:pPr>
        <w:spacing w:after="0" w:line="253"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achieved, only if the milestone meets all the criteria within the guidance to be considered substantive. This ASU is effective on a prospective basis for research and development milestones achieved in fiscal years, beginning on or after June 15, 2010, which for Biogen Idec means fiscal 2011. Early adoption is permitted; however, adoption of this guidance as of a date other than January 1, 2011 will require us to apply this guidance retrospectively effective as of January 1, 2010 and will require disclosure of the effect of this guidance as applied to all previously reported interim periods in the fiscal year of adoption. As we plan to implement ASU No. 2010-17 prospectively, the effect of this guidance will be limited to future transactions. We do not expect adoption of this standard to have a material impact on our financial position or results of operations as we have no material research and development arrangements which will be accounted for under the milestone method.</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should be read in conjunction with our consolidated financial statements and related notes beginning on page 3 of this quarterly report on Form 10-Q.</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Introduction</w:t>
      </w:r>
    </w:p>
    <w:p>
      <w:pPr>
        <w:spacing w:after="0" w:line="10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Biogen Idec is a global biotechnology company that discovers, develops, manufactures and commercializes innovative therapies for human health care. Our business strategy is focused on discovering and developing first-in-class or best-in-class products that we can deliver to specialty markets globally. Patients around the world benefit from Biogen Idec’s significant products that address medical needs in the areas of neurology, oncology and immunology.</w:t>
      </w:r>
    </w:p>
    <w:p>
      <w:pPr>
        <w:spacing w:after="0" w:line="59" w:lineRule="exact"/>
        <w:rPr>
          <w:sz w:val="20"/>
          <w:szCs w:val="20"/>
          <w:color w:val="auto"/>
        </w:rPr>
      </w:pPr>
    </w:p>
    <w:p>
      <w:pPr>
        <w:ind w:left="680" w:right="100" w:firstLine="399"/>
        <w:spacing w:after="0" w:line="267" w:lineRule="auto"/>
        <w:rPr>
          <w:sz w:val="20"/>
          <w:szCs w:val="20"/>
          <w:color w:val="auto"/>
        </w:rPr>
      </w:pPr>
      <w:r>
        <w:rPr>
          <w:rFonts w:ascii="Arial" w:cs="Arial" w:eastAsia="Arial" w:hAnsi="Arial"/>
          <w:sz w:val="13"/>
          <w:szCs w:val="13"/>
          <w:color w:val="auto"/>
        </w:rPr>
        <w:t>In the near term, we are dependent upon continued sales of AVONEX, RITUXAN and TYSABRI to drive our revenue growth. In the longer term, our revenue growth will also be dependent upon the successful clinical development, regulatory approval and launch of new commercial products. As part of our ongoing research and development efforts, we have also incurred significant expenditures related to conducting clinical studies to develop new pharmaceutical products and explore the utility of our existing products in treating disorders beyond those currently approved in their labels. We continue to focus our research and development efforts within our core and emergent areas of neurology, oncology, immunology, cardiopulmonary and hemophilia.</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Highlights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is a summary of results achieved: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8"/>
              </w:rPr>
              <w:t>For the Three Months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 share amounts and percentages)</w:t>
            </w: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w w:val="89"/>
              </w:rPr>
              <w:t>Ended June 30,</w:t>
            </w: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96"/>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29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880" w:type="dxa"/>
            <w:vAlign w:val="bottom"/>
          </w:tcPr>
          <w:p>
            <w:pPr>
              <w:jc w:val="right"/>
              <w:ind w:right="136"/>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30"/>
        </w:trPr>
        <w:tc>
          <w:tcPr>
            <w:tcW w:w="6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7"/>
              </w:rPr>
              <w:t>1,212.7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7"/>
              </w:rPr>
              <w:t>1,093.3</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1"/>
        </w:trPr>
        <w:tc>
          <w:tcPr>
            <w:tcW w:w="6700" w:type="dxa"/>
            <w:vAlign w:val="bottom"/>
            <w:gridSpan w:val="2"/>
          </w:tcPr>
          <w:p>
            <w:pPr>
              <w:spacing w:after="0"/>
              <w:rPr>
                <w:sz w:val="20"/>
                <w:szCs w:val="20"/>
                <w:color w:val="auto"/>
              </w:rPr>
            </w:pPr>
            <w:r>
              <w:rPr>
                <w:rFonts w:ascii="Arial" w:cs="Arial" w:eastAsia="Arial" w:hAnsi="Arial"/>
                <w:sz w:val="13"/>
                <w:szCs w:val="13"/>
                <w:color w:val="auto"/>
              </w:rPr>
              <w:t>Income from operations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395.9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222.9</w:t>
            </w:r>
          </w:p>
        </w:tc>
        <w:tc>
          <w:tcPr>
            <w:tcW w:w="26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61"/>
        </w:trPr>
        <w:tc>
          <w:tcPr>
            <w:tcW w:w="6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Biogen Idec</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293.4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142.8</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105.4%</w:t>
            </w:r>
          </w:p>
        </w:tc>
        <w:tc>
          <w:tcPr>
            <w:tcW w:w="0" w:type="dxa"/>
            <w:vAlign w:val="bottom"/>
          </w:tcPr>
          <w:p>
            <w:pPr>
              <w:spacing w:after="0"/>
              <w:rPr>
                <w:sz w:val="1"/>
                <w:szCs w:val="1"/>
                <w:color w:val="auto"/>
              </w:rPr>
            </w:pPr>
          </w:p>
        </w:tc>
      </w:tr>
      <w:tr>
        <w:trPr>
          <w:trHeight w:val="172"/>
        </w:trPr>
        <w:tc>
          <w:tcPr>
            <w:tcW w:w="6700" w:type="dxa"/>
            <w:vAlign w:val="bottom"/>
            <w:gridSpan w:val="2"/>
          </w:tcPr>
          <w:p>
            <w:pPr>
              <w:spacing w:after="0"/>
              <w:rPr>
                <w:sz w:val="20"/>
                <w:szCs w:val="20"/>
                <w:color w:val="auto"/>
              </w:rPr>
            </w:pPr>
            <w:r>
              <w:rPr>
                <w:rFonts w:ascii="Arial" w:cs="Arial" w:eastAsia="Arial" w:hAnsi="Arial"/>
                <w:sz w:val="13"/>
                <w:szCs w:val="13"/>
                <w:color w:val="auto"/>
              </w:rPr>
              <w:t>Diluted earnings per share attributable to Biogen Idec</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1.12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6"/>
              <w:spacing w:after="0"/>
              <w:rPr>
                <w:sz w:val="20"/>
                <w:szCs w:val="20"/>
                <w:color w:val="auto"/>
              </w:rPr>
            </w:pPr>
            <w:r>
              <w:rPr>
                <w:rFonts w:ascii="Arial" w:cs="Arial" w:eastAsia="Arial" w:hAnsi="Arial"/>
                <w:sz w:val="13"/>
                <w:szCs w:val="13"/>
                <w:color w:val="auto"/>
              </w:rPr>
              <w:t>0.49</w:t>
            </w:r>
          </w:p>
        </w:tc>
        <w:tc>
          <w:tcPr>
            <w:tcW w:w="26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described below under Results of Operations, our operating results for the three months ended June 30, 2010 were primarily driven by:</w:t>
      </w:r>
    </w:p>
    <w:p>
      <w:pPr>
        <w:spacing w:after="0" w:line="102" w:lineRule="exact"/>
        <w:rPr>
          <w:sz w:val="20"/>
          <w:szCs w:val="20"/>
          <w:color w:val="auto"/>
        </w:rPr>
      </w:pPr>
    </w:p>
    <w:p>
      <w:pPr>
        <w:ind w:left="1300" w:hanging="208"/>
        <w:spacing w:after="0"/>
        <w:tabs>
          <w:tab w:leader="none" w:pos="1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Increased AVONEX worldwide revenue. AVONEX revenues totaled $628.1 million in the second quarter 2010, representing a 6.3% increase over the same period in 2009.</w:t>
      </w:r>
    </w:p>
    <w:p>
      <w:pPr>
        <w:spacing w:after="0" w:line="103" w:lineRule="exact"/>
        <w:rPr>
          <w:rFonts w:ascii="Arial" w:cs="Arial" w:eastAsia="Arial" w:hAnsi="Arial"/>
          <w:sz w:val="12"/>
          <w:szCs w:val="12"/>
          <w:color w:val="auto"/>
        </w:rPr>
      </w:pPr>
    </w:p>
    <w:p>
      <w:pPr>
        <w:ind w:left="1300" w:hanging="208"/>
        <w:spacing w:after="0" w:line="294"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Continued TYSABRI growth. Our share of TYSABRI revenues totaled $219.2 million for the second quarter of 2010, representing an increase of 16.8% over the same period in 2009.</w:t>
      </w:r>
    </w:p>
    <w:p>
      <w:pPr>
        <w:spacing w:after="0" w:line="36" w:lineRule="exact"/>
        <w:rPr>
          <w:rFonts w:ascii="Arial" w:cs="Arial" w:eastAsia="Arial" w:hAnsi="Arial"/>
          <w:sz w:val="13"/>
          <w:szCs w:val="13"/>
          <w:color w:val="auto"/>
        </w:rPr>
      </w:pPr>
    </w:p>
    <w:p>
      <w:pPr>
        <w:ind w:left="1300" w:right="100" w:hanging="208"/>
        <w:spacing w:after="0" w:line="295" w:lineRule="auto"/>
        <w:tabs>
          <w:tab w:leader="none" w:pos="13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share of RITUXAN revenues in the second quarter of 2010 totaled $306.4 million, representing an increase of 11.2% over the same period in 2009. Included within this amount is our share of co-promotion profits in the U.S. totaling $228.1 million, representing an increase of 14.9% over the same period in 2009. This is based upon $707.1 million of U.S. in-market sales of RITUXAN during the second quarter of 2010. Our share of revenue on sales of RITUXAN in the rest of world remained flat at $60.7 million, which includes a $21.3 million cumulative underpayment of royalties owed to us by Genentech. Selling and development expenses incurred by us and reimbursed by Genentech, which are also included within our total unconsolidated joint business revenues, increased 5.4% to $17.6 million.</w:t>
      </w:r>
    </w:p>
    <w:p>
      <w:pPr>
        <w:spacing w:after="0" w:line="38" w:lineRule="exact"/>
        <w:rPr>
          <w:rFonts w:ascii="Arial" w:cs="Arial" w:eastAsia="Arial" w:hAnsi="Arial"/>
          <w:sz w:val="12"/>
          <w:szCs w:val="12"/>
          <w:color w:val="auto"/>
        </w:rPr>
      </w:pPr>
    </w:p>
    <w:p>
      <w:pPr>
        <w:ind w:left="1300" w:right="140" w:hanging="208"/>
        <w:spacing w:after="0" w:line="276" w:lineRule="auto"/>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Total costs and expenses decreased 6.2% in the second quarter of 2010 compared to the same period in 2009. This decrease was driven by a 20.4% decrease in research and development expense and a 43.0% decrease in amortization of acquired intangible assets. These decreases were offset by a 27.6% increase in collaboration profit sharing expense due to TYSABRI revenue growth, a 17.9% increase in cost of</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sales, excluding amortization of acquired tangible assets and an 18.8% increase in selling, general and administrative costs.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six months ended June 30, 2010 we also generated $765.4 million of net cash flows from operations which were primarily driven by our current earnings.</w:t>
      </w:r>
    </w:p>
    <w:p>
      <w:pPr>
        <w:spacing w:after="0" w:line="102" w:lineRule="exact"/>
        <w:rPr>
          <w:sz w:val="20"/>
          <w:szCs w:val="20"/>
          <w:color w:val="auto"/>
        </w:rPr>
      </w:pPr>
    </w:p>
    <w:p>
      <w:pPr>
        <w:ind w:left="680" w:right="900" w:firstLine="399"/>
        <w:spacing w:after="0" w:line="309" w:lineRule="auto"/>
        <w:rPr>
          <w:sz w:val="20"/>
          <w:szCs w:val="20"/>
          <w:color w:val="auto"/>
        </w:rPr>
      </w:pPr>
      <w:r>
        <w:rPr>
          <w:rFonts w:ascii="Arial" w:cs="Arial" w:eastAsia="Arial" w:hAnsi="Arial"/>
          <w:sz w:val="12"/>
          <w:szCs w:val="12"/>
          <w:color w:val="auto"/>
        </w:rPr>
        <w:t>In April 2010, we announced that our Board of Directors authorized the repurchase of up to $1.5 billion of our common stock, with repurchased shares being retired. During the second quarter of 2010, we repurchased approximately 20.8 million shares at a cost of approximately $1.0 billion under this share repurchase program. From July 1, 2010 through July 16, 2010, we repurchased approximately an additional 4.7 million shares under this program at a cost of $233.2 million, all of which were also retired.</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and cash equivalents and marketable securities totaled approximately $1,535.8 million as of June 30, 2010.</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11"/>
          </w:tcPr>
          <w:p>
            <w:pPr>
              <w:jc w:val="center"/>
              <w:ind w:right="340"/>
              <w:spacing w:after="0"/>
              <w:rPr>
                <w:sz w:val="20"/>
                <w:szCs w:val="20"/>
                <w:color w:val="auto"/>
              </w:rPr>
            </w:pPr>
            <w:r>
              <w:rPr>
                <w:rFonts w:ascii="Arial" w:cs="Arial" w:eastAsia="Arial" w:hAnsi="Arial"/>
                <w:sz w:val="11"/>
                <w:szCs w:val="11"/>
                <w:b w:val="1"/>
                <w:bCs w:val="1"/>
                <w:color w:val="auto"/>
                <w:w w:val="90"/>
              </w:rPr>
              <w:t>For the Three Months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11"/>
          </w:tcPr>
          <w:p>
            <w:pPr>
              <w:jc w:val="center"/>
              <w:ind w:right="440"/>
              <w:spacing w:after="0"/>
              <w:rPr>
                <w:sz w:val="20"/>
                <w:szCs w:val="20"/>
                <w:color w:val="auto"/>
              </w:rPr>
            </w:pPr>
            <w:r>
              <w:rPr>
                <w:rFonts w:ascii="Arial" w:cs="Arial" w:eastAsia="Arial" w:hAnsi="Arial"/>
                <w:sz w:val="11"/>
                <w:szCs w:val="11"/>
                <w:b w:val="1"/>
                <w:bCs w:val="1"/>
                <w:color w:val="auto"/>
                <w:w w:val="90"/>
              </w:rPr>
              <w:t>For the Six Months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1"/>
                <w:szCs w:val="11"/>
                <w:b w:val="1"/>
                <w:bCs w:val="1"/>
                <w:color w:val="auto"/>
                <w:w w:val="86"/>
              </w:rPr>
              <w:t>Ended June 30,</w:t>
            </w: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11"/>
          </w:tcPr>
          <w:p>
            <w:pPr>
              <w:jc w:val="center"/>
              <w:ind w:right="440"/>
              <w:spacing w:after="0"/>
              <w:rPr>
                <w:sz w:val="20"/>
                <w:szCs w:val="20"/>
                <w:color w:val="auto"/>
              </w:rPr>
            </w:pPr>
            <w:r>
              <w:rPr>
                <w:rFonts w:ascii="Arial" w:cs="Arial" w:eastAsia="Arial" w:hAnsi="Arial"/>
                <w:sz w:val="11"/>
                <w:szCs w:val="11"/>
                <w:b w:val="1"/>
                <w:bCs w:val="1"/>
                <w:color w:val="auto"/>
                <w:w w:val="86"/>
              </w:rPr>
              <w:t>Ended June 30,</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4"/>
          </w:tcPr>
          <w:p>
            <w:pPr>
              <w:jc w:val="right"/>
              <w:ind w:right="100"/>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5"/>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4"/>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5"/>
          </w:tcPr>
          <w:p>
            <w:pPr>
              <w:jc w:val="right"/>
              <w:ind w:right="54"/>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tcPr>
          <w:p>
            <w:pPr>
              <w:ind w:left="140"/>
              <w:spacing w:after="0"/>
              <w:rPr>
                <w:sz w:val="20"/>
                <w:szCs w:val="20"/>
                <w:color w:val="auto"/>
              </w:rPr>
            </w:pPr>
            <w:r>
              <w:rPr>
                <w:rFonts w:ascii="Arial" w:cs="Arial" w:eastAsia="Arial" w:hAnsi="Arial"/>
                <w:sz w:val="13"/>
                <w:szCs w:val="13"/>
                <w:color w:val="auto"/>
              </w:rPr>
              <w:t>United States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433.0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35.7%</w:t>
            </w:r>
          </w:p>
        </w:tc>
        <w:tc>
          <w:tcPr>
            <w:tcW w:w="180" w:type="dxa"/>
            <w:vAlign w:val="bottom"/>
          </w:tcPr>
          <w:p>
            <w:pPr>
              <w:spacing w:after="0"/>
              <w:rPr>
                <w:sz w:val="14"/>
                <w:szCs w:val="14"/>
                <w:color w:val="auto"/>
              </w:rPr>
            </w:pPr>
          </w:p>
        </w:tc>
        <w:tc>
          <w:tcPr>
            <w:tcW w:w="80" w:type="dxa"/>
            <w:vAlign w:val="bottom"/>
            <w:gridSpan w:val="2"/>
          </w:tcPr>
          <w:p>
            <w:pPr>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423.1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38.7%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843.5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w w:val="97"/>
              </w:rPr>
              <w:t>36.3%</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120"/>
              <w:spacing w:after="0"/>
              <w:rPr>
                <w:sz w:val="20"/>
                <w:szCs w:val="20"/>
                <w:color w:val="auto"/>
              </w:rPr>
            </w:pPr>
            <w:r>
              <w:rPr>
                <w:rFonts w:ascii="Arial" w:cs="Arial" w:eastAsia="Arial" w:hAnsi="Arial"/>
                <w:sz w:val="13"/>
                <w:szCs w:val="13"/>
                <w:color w:val="auto"/>
              </w:rPr>
              <w:t>816.0</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38.3%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426.2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35.1%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367.9</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w w:val="97"/>
              </w:rPr>
              <w:t>36.2%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708.4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product revenues</w:t>
            </w: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859.2</w:t>
            </w:r>
          </w:p>
        </w:tc>
        <w:tc>
          <w:tcPr>
            <w:tcW w:w="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70.8%</w:t>
            </w:r>
          </w:p>
        </w:tc>
        <w:tc>
          <w:tcPr>
            <w:tcW w:w="1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791.0</w:t>
            </w: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1,683.5</w:t>
            </w:r>
          </w:p>
        </w:tc>
        <w:tc>
          <w:tcPr>
            <w:tcW w:w="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w w:val="97"/>
              </w:rPr>
              <w:t>72.5%</w:t>
            </w: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1,524.4</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Unconsolidated joint business</w:t>
            </w:r>
          </w:p>
        </w:tc>
        <w:tc>
          <w:tcPr>
            <w:tcW w:w="1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306.4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275.6</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561.3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w w:val="97"/>
              </w:rPr>
              <w:t>24.2%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554.4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47.1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3.9%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26.7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76.8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3"/>
                <w:szCs w:val="13"/>
                <w:color w:val="auto"/>
              </w:rPr>
              <w:t>51.0</w:t>
            </w: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1,212.7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1,093.3</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2,321.6</w:t>
            </w:r>
          </w:p>
        </w:tc>
        <w:tc>
          <w:tcPr>
            <w:tcW w:w="86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2,129.8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Product Revenues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3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3660" w:type="dxa"/>
            <w:vAlign w:val="bottom"/>
            <w:gridSpan w:val="2"/>
          </w:tcPr>
          <w:p>
            <w:pPr>
              <w:ind w:left="400"/>
              <w:spacing w:after="0"/>
              <w:rPr>
                <w:sz w:val="20"/>
                <w:szCs w:val="20"/>
                <w:color w:val="auto"/>
              </w:rPr>
            </w:pPr>
            <w:r>
              <w:rPr>
                <w:rFonts w:ascii="Arial" w:cs="Arial" w:eastAsia="Arial" w:hAnsi="Arial"/>
                <w:sz w:val="13"/>
                <w:szCs w:val="13"/>
                <w:color w:val="auto"/>
              </w:rPr>
              <w:t>Product revenues are summarized as follows: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11"/>
          </w:tcPr>
          <w:p>
            <w:pPr>
              <w:jc w:val="center"/>
              <w:ind w:right="260"/>
              <w:spacing w:after="0"/>
              <w:rPr>
                <w:sz w:val="20"/>
                <w:szCs w:val="20"/>
                <w:color w:val="auto"/>
              </w:rPr>
            </w:pPr>
            <w:r>
              <w:rPr>
                <w:rFonts w:ascii="Arial" w:cs="Arial" w:eastAsia="Arial" w:hAnsi="Arial"/>
                <w:sz w:val="11"/>
                <w:szCs w:val="11"/>
                <w:b w:val="1"/>
                <w:bCs w:val="1"/>
                <w:color w:val="auto"/>
                <w:w w:val="90"/>
              </w:rPr>
              <w:t>For the Three Months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13"/>
          </w:tcPr>
          <w:p>
            <w:pPr>
              <w:jc w:val="right"/>
              <w:ind w:right="560"/>
              <w:spacing w:after="0"/>
              <w:rPr>
                <w:sz w:val="20"/>
                <w:szCs w:val="20"/>
                <w:color w:val="auto"/>
              </w:rPr>
            </w:pPr>
            <w:r>
              <w:rPr>
                <w:rFonts w:ascii="Arial" w:cs="Arial" w:eastAsia="Arial" w:hAnsi="Arial"/>
                <w:sz w:val="11"/>
                <w:szCs w:val="11"/>
                <w:b w:val="1"/>
                <w:bCs w:val="1"/>
                <w:color w:val="auto"/>
                <w:w w:val="92"/>
              </w:rPr>
              <w:t>For the Six Months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10"/>
          </w:tcPr>
          <w:p>
            <w:pPr>
              <w:jc w:val="center"/>
              <w:ind w:right="440"/>
              <w:spacing w:after="0"/>
              <w:rPr>
                <w:sz w:val="20"/>
                <w:szCs w:val="20"/>
                <w:color w:val="auto"/>
              </w:rPr>
            </w:pPr>
            <w:r>
              <w:rPr>
                <w:rFonts w:ascii="Arial" w:cs="Arial" w:eastAsia="Arial" w:hAnsi="Arial"/>
                <w:sz w:val="11"/>
                <w:szCs w:val="11"/>
                <w:b w:val="1"/>
                <w:bCs w:val="1"/>
                <w:color w:val="auto"/>
                <w:w w:val="86"/>
              </w:rPr>
              <w:t>Ended June 30,</w:t>
            </w: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w w:val="86"/>
              </w:rPr>
              <w:t>Ended June 30,</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660" w:type="dxa"/>
            <w:vAlign w:val="bottom"/>
            <w:tcBorders>
              <w:bottom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gridSpan w:val="4"/>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4"/>
          </w:tcPr>
          <w:p>
            <w:pPr>
              <w:jc w:val="right"/>
              <w:ind w:right="2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4"/>
          </w:tcPr>
          <w:p>
            <w:pPr>
              <w:jc w:val="right"/>
              <w:ind w:right="20"/>
              <w:spacing w:after="0" w:line="101" w:lineRule="exact"/>
              <w:rPr>
                <w:sz w:val="20"/>
                <w:szCs w:val="20"/>
                <w:color w:val="auto"/>
              </w:rPr>
            </w:pPr>
            <w:r>
              <w:rPr>
                <w:rFonts w:ascii="Arial" w:cs="Arial" w:eastAsia="Arial" w:hAnsi="Arial"/>
                <w:sz w:val="11"/>
                <w:szCs w:val="11"/>
                <w:b w:val="1"/>
                <w:bCs w:val="1"/>
                <w:color w:val="auto"/>
              </w:rPr>
              <w:t>2009</w:t>
            </w: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AVONEX</w:t>
            </w:r>
          </w:p>
        </w:tc>
        <w:tc>
          <w:tcPr>
            <w:tcW w:w="1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$ 628.1</w:t>
            </w:r>
          </w:p>
        </w:tc>
        <w:tc>
          <w:tcPr>
            <w:tcW w:w="2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73.1%</w:t>
            </w:r>
          </w:p>
        </w:tc>
        <w:tc>
          <w:tcPr>
            <w:tcW w:w="180" w:type="dxa"/>
            <w:vAlign w:val="bottom"/>
            <w:shd w:val="clear" w:color="auto" w:fill="CCEEFF"/>
          </w:tcPr>
          <w:p>
            <w:pPr>
              <w:spacing w:after="0"/>
              <w:rPr>
                <w:sz w:val="14"/>
                <w:szCs w:val="14"/>
                <w:color w:val="auto"/>
              </w:rPr>
            </w:pPr>
          </w:p>
        </w:tc>
        <w:tc>
          <w:tcPr>
            <w:tcW w:w="600" w:type="dxa"/>
            <w:vAlign w:val="bottom"/>
            <w:gridSpan w:val="5"/>
            <w:shd w:val="clear" w:color="auto" w:fill="CCEEFF"/>
          </w:tcPr>
          <w:p>
            <w:pPr>
              <w:jc w:val="right"/>
              <w:ind w:right="200"/>
              <w:spacing w:after="0"/>
              <w:rPr>
                <w:sz w:val="20"/>
                <w:szCs w:val="20"/>
                <w:color w:val="auto"/>
              </w:rPr>
            </w:pPr>
            <w:r>
              <w:rPr>
                <w:rFonts w:ascii="Arial" w:cs="Arial" w:eastAsia="Arial" w:hAnsi="Arial"/>
                <w:sz w:val="13"/>
                <w:szCs w:val="13"/>
                <w:color w:val="auto"/>
                <w:w w:val="87"/>
              </w:rPr>
              <w:t>$ 591.2</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46"/>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146"/>
              <w:spacing w:after="0"/>
              <w:rPr>
                <w:sz w:val="20"/>
                <w:szCs w:val="20"/>
                <w:color w:val="auto"/>
              </w:rPr>
            </w:pPr>
            <w:r>
              <w:rPr>
                <w:rFonts w:ascii="Arial" w:cs="Arial" w:eastAsia="Arial" w:hAnsi="Arial"/>
                <w:sz w:val="13"/>
                <w:szCs w:val="13"/>
                <w:color w:val="auto"/>
                <w:w w:val="92"/>
              </w:rPr>
              <w:t>1,220.7</w:t>
            </w:r>
          </w:p>
        </w:tc>
        <w:tc>
          <w:tcPr>
            <w:tcW w:w="40" w:type="dxa"/>
            <w:vAlign w:val="bottom"/>
            <w:shd w:val="clear" w:color="auto" w:fill="CCEEFF"/>
          </w:tcPr>
          <w:p>
            <w:pPr>
              <w:spacing w:after="0"/>
              <w:rPr>
                <w:sz w:val="14"/>
                <w:szCs w:val="14"/>
                <w:color w:val="auto"/>
              </w:rPr>
            </w:pPr>
          </w:p>
        </w:tc>
        <w:tc>
          <w:tcPr>
            <w:tcW w:w="720" w:type="dxa"/>
            <w:vAlign w:val="bottom"/>
            <w:gridSpan w:val="7"/>
            <w:shd w:val="clear" w:color="auto" w:fill="CCEEFF"/>
          </w:tcPr>
          <w:p>
            <w:pPr>
              <w:jc w:val="right"/>
              <w:ind w:right="26"/>
              <w:spacing w:after="0"/>
              <w:rPr>
                <w:sz w:val="20"/>
                <w:szCs w:val="20"/>
                <w:color w:val="auto"/>
              </w:rPr>
            </w:pPr>
            <w:r>
              <w:rPr>
                <w:rFonts w:ascii="Arial" w:cs="Arial" w:eastAsia="Arial" w:hAnsi="Arial"/>
                <w:sz w:val="13"/>
                <w:szCs w:val="13"/>
                <w:color w:val="auto"/>
              </w:rPr>
              <w:t>72.5%</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2"/>
              </w:rPr>
              <w:t>1,146.5</w:t>
            </w: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3"/>
                <w:szCs w:val="13"/>
                <w:color w:val="auto"/>
              </w:rPr>
              <w:t>TYSABRI</w:t>
            </w:r>
          </w:p>
        </w:tc>
        <w:tc>
          <w:tcPr>
            <w:tcW w:w="180" w:type="dxa"/>
            <w:vAlign w:val="bottom"/>
          </w:tcPr>
          <w:p>
            <w:pPr>
              <w:spacing w:after="0"/>
              <w:rPr>
                <w:sz w:val="14"/>
                <w:szCs w:val="1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219.2</w:t>
            </w: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25.5%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3"/>
                <w:szCs w:val="13"/>
                <w:color w:val="auto"/>
                <w:w w:val="92"/>
              </w:rPr>
              <w:t>187.6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46"/>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46"/>
              <w:spacing w:after="0"/>
              <w:rPr>
                <w:sz w:val="20"/>
                <w:szCs w:val="20"/>
                <w:color w:val="auto"/>
              </w:rPr>
            </w:pPr>
            <w:r>
              <w:rPr>
                <w:rFonts w:ascii="Arial" w:cs="Arial" w:eastAsia="Arial" w:hAnsi="Arial"/>
                <w:sz w:val="13"/>
                <w:szCs w:val="13"/>
                <w:color w:val="auto"/>
                <w:w w:val="85"/>
              </w:rPr>
              <w:t>437.9</w:t>
            </w:r>
          </w:p>
        </w:tc>
        <w:tc>
          <w:tcPr>
            <w:tcW w:w="40" w:type="dxa"/>
            <w:vAlign w:val="bottom"/>
          </w:tcPr>
          <w:p>
            <w:pPr>
              <w:spacing w:after="0"/>
              <w:rPr>
                <w:sz w:val="14"/>
                <w:szCs w:val="14"/>
                <w:color w:val="auto"/>
              </w:rPr>
            </w:pPr>
          </w:p>
        </w:tc>
        <w:tc>
          <w:tcPr>
            <w:tcW w:w="720" w:type="dxa"/>
            <w:vAlign w:val="bottom"/>
            <w:gridSpan w:val="7"/>
          </w:tcPr>
          <w:p>
            <w:pPr>
              <w:jc w:val="right"/>
              <w:ind w:right="26"/>
              <w:spacing w:after="0"/>
              <w:rPr>
                <w:sz w:val="20"/>
                <w:szCs w:val="20"/>
                <w:color w:val="auto"/>
              </w:rPr>
            </w:pPr>
            <w:r>
              <w:rPr>
                <w:rFonts w:ascii="Arial" w:cs="Arial" w:eastAsia="Arial" w:hAnsi="Arial"/>
                <w:sz w:val="13"/>
                <w:szCs w:val="13"/>
                <w:color w:val="auto"/>
              </w:rPr>
              <w:t>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352.8</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11.9</w:t>
            </w:r>
          </w:p>
        </w:tc>
        <w:tc>
          <w:tcPr>
            <w:tcW w:w="20" w:type="dxa"/>
            <w:vAlign w:val="bottom"/>
            <w:shd w:val="clear" w:color="auto" w:fill="CCEEFF"/>
          </w:tcPr>
          <w:p>
            <w:pPr>
              <w:spacing w:after="0"/>
              <w:rPr>
                <w:sz w:val="14"/>
                <w:szCs w:val="14"/>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12.2</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46"/>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6"/>
              <w:spacing w:after="0"/>
              <w:rPr>
                <w:sz w:val="20"/>
                <w:szCs w:val="20"/>
                <w:color w:val="auto"/>
              </w:rPr>
            </w:pPr>
            <w:r>
              <w:rPr>
                <w:rFonts w:ascii="Arial" w:cs="Arial" w:eastAsia="Arial" w:hAnsi="Arial"/>
                <w:sz w:val="13"/>
                <w:szCs w:val="13"/>
                <w:color w:val="auto"/>
              </w:rPr>
              <w:t>24.9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auto"/>
                <w:w w:val="87"/>
              </w:rPr>
              <w:t>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25.1</w:t>
            </w: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product revenues</w:t>
            </w: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2"/>
              </w:rPr>
              <w:t>$ 859.2</w:t>
            </w: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100.0%</w:t>
            </w:r>
          </w:p>
        </w:tc>
        <w:tc>
          <w:tcPr>
            <w:tcW w:w="180" w:type="dxa"/>
            <w:vAlign w:val="bottom"/>
          </w:tcPr>
          <w:p>
            <w:pPr>
              <w:spacing w:after="0"/>
              <w:rPr>
                <w:sz w:val="14"/>
                <w:szCs w:val="14"/>
                <w:color w:val="auto"/>
              </w:rPr>
            </w:pPr>
          </w:p>
        </w:tc>
        <w:tc>
          <w:tcPr>
            <w:tcW w:w="380" w:type="dxa"/>
            <w:vAlign w:val="bottom"/>
            <w:gridSpan w:val="4"/>
          </w:tcPr>
          <w:p>
            <w:pPr>
              <w:spacing w:after="0"/>
              <w:rPr>
                <w:sz w:val="20"/>
                <w:szCs w:val="20"/>
                <w:color w:val="auto"/>
              </w:rPr>
            </w:pPr>
            <w:r>
              <w:rPr>
                <w:rFonts w:ascii="Arial" w:cs="Arial" w:eastAsia="Arial" w:hAnsi="Arial"/>
                <w:sz w:val="13"/>
                <w:szCs w:val="13"/>
                <w:color w:val="auto"/>
                <w:w w:val="82"/>
              </w:rPr>
              <w:t>$ 791.0</w:t>
            </w: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46"/>
              <w:spacing w:after="0"/>
              <w:rPr>
                <w:sz w:val="20"/>
                <w:szCs w:val="20"/>
                <w:color w:val="auto"/>
              </w:rPr>
            </w:pPr>
            <w:r>
              <w:rPr>
                <w:rFonts w:ascii="Arial" w:cs="Arial" w:eastAsia="Arial" w:hAnsi="Arial"/>
                <w:sz w:val="13"/>
                <w:szCs w:val="13"/>
                <w:color w:val="auto"/>
                <w:w w:val="90"/>
              </w:rPr>
              <w:t>100.0%</w:t>
            </w: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92"/>
              </w:rPr>
              <w:t>1,683.</w:t>
            </w:r>
            <w:r>
              <w:rPr>
                <w:rFonts w:ascii="Arial" w:cs="Arial" w:eastAsia="Arial" w:hAnsi="Arial"/>
                <w:sz w:val="13"/>
                <w:szCs w:val="13"/>
                <w:u w:val="single" w:color="auto"/>
                <w:color w:val="auto"/>
                <w:w w:val="92"/>
              </w:rPr>
              <w:t>5</w:t>
            </w:r>
          </w:p>
        </w:tc>
        <w:tc>
          <w:tcPr>
            <w:tcW w:w="2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6"/>
          </w:tcPr>
          <w:p>
            <w:pPr>
              <w:jc w:val="right"/>
              <w:ind w:right="26"/>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1,524.4</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60" w:type="dxa"/>
            <w:vAlign w:val="bottom"/>
            <w:gridSpan w:val="2"/>
            <w:vMerge w:val="restart"/>
          </w:tcPr>
          <w:p>
            <w:pPr>
              <w:ind w:left="200"/>
              <w:spacing w:after="0"/>
              <w:rPr>
                <w:sz w:val="20"/>
                <w:szCs w:val="20"/>
                <w:color w:val="auto"/>
              </w:rPr>
            </w:pPr>
            <w:r>
              <w:rPr>
                <w:rFonts w:ascii="Arial" w:cs="Arial" w:eastAsia="Arial" w:hAnsi="Arial"/>
                <w:sz w:val="13"/>
                <w:szCs w:val="13"/>
                <w:b w:val="1"/>
                <w:bCs w:val="1"/>
                <w:i w:val="1"/>
                <w:iCs w:val="1"/>
                <w:color w:val="auto"/>
              </w:rPr>
              <w:t>AVONEX</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80" w:type="dxa"/>
            <w:vAlign w:val="bottom"/>
          </w:tcPr>
          <w:p>
            <w:pPr>
              <w:spacing w:after="0"/>
              <w:rPr>
                <w:sz w:val="24"/>
                <w:szCs w:val="24"/>
                <w:color w:val="auto"/>
              </w:rPr>
            </w:pPr>
          </w:p>
        </w:tc>
        <w:tc>
          <w:tcPr>
            <w:tcW w:w="3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Pr>
          <w:p>
            <w:pPr>
              <w:spacing w:after="0"/>
              <w:rPr>
                <w:sz w:val="21"/>
                <w:szCs w:val="21"/>
                <w:color w:val="auto"/>
              </w:rPr>
            </w:pPr>
          </w:p>
        </w:tc>
        <w:tc>
          <w:tcPr>
            <w:tcW w:w="3660" w:type="dxa"/>
            <w:vAlign w:val="bottom"/>
            <w:gridSpan w:val="2"/>
          </w:tcPr>
          <w:p>
            <w:pPr>
              <w:ind w:left="400"/>
              <w:spacing w:after="0"/>
              <w:rPr>
                <w:sz w:val="20"/>
                <w:szCs w:val="20"/>
                <w:color w:val="auto"/>
              </w:rPr>
            </w:pPr>
            <w:r>
              <w:rPr>
                <w:rFonts w:ascii="Arial" w:cs="Arial" w:eastAsia="Arial" w:hAnsi="Arial"/>
                <w:sz w:val="13"/>
                <w:szCs w:val="13"/>
                <w:color w:val="auto"/>
              </w:rPr>
              <w:t>Revenues from AVONEX are summarized as follows: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10"/>
          </w:tcPr>
          <w:p>
            <w:pPr>
              <w:spacing w:after="0"/>
              <w:rPr>
                <w:sz w:val="20"/>
                <w:szCs w:val="20"/>
                <w:color w:val="auto"/>
              </w:rPr>
            </w:pPr>
            <w:r>
              <w:rPr>
                <w:rFonts w:ascii="Arial" w:cs="Arial" w:eastAsia="Arial" w:hAnsi="Arial"/>
                <w:sz w:val="11"/>
                <w:szCs w:val="11"/>
                <w:b w:val="1"/>
                <w:bCs w:val="1"/>
                <w:color w:val="auto"/>
              </w:rPr>
              <w:t>For the Three Months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10"/>
          </w:tcPr>
          <w:p>
            <w:pPr>
              <w:jc w:val="center"/>
              <w:ind w:right="220"/>
              <w:spacing w:after="0"/>
              <w:rPr>
                <w:sz w:val="20"/>
                <w:szCs w:val="20"/>
                <w:color w:val="auto"/>
              </w:rPr>
            </w:pPr>
            <w:r>
              <w:rPr>
                <w:rFonts w:ascii="Arial" w:cs="Arial" w:eastAsia="Arial" w:hAnsi="Arial"/>
                <w:sz w:val="11"/>
                <w:szCs w:val="11"/>
                <w:b w:val="1"/>
                <w:bCs w:val="1"/>
                <w:color w:val="auto"/>
                <w:w w:val="88"/>
              </w:rPr>
              <w:t>For the Six Months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3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1"/>
                <w:szCs w:val="11"/>
                <w:b w:val="1"/>
                <w:bCs w:val="1"/>
                <w:color w:val="auto"/>
                <w:w w:val="96"/>
              </w:rPr>
              <w:t>Ended June 30,</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1"/>
                <w:szCs w:val="11"/>
                <w:b w:val="1"/>
                <w:bCs w:val="1"/>
                <w:color w:val="auto"/>
                <w:w w:val="86"/>
              </w:rPr>
              <w:t>Ended June 30,</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tcPr>
          <w:p>
            <w:pPr>
              <w:jc w:val="right"/>
              <w:ind w:right="100"/>
              <w:spacing w:after="0" w:line="101" w:lineRule="exact"/>
              <w:rPr>
                <w:sz w:val="20"/>
                <w:szCs w:val="20"/>
                <w:color w:val="auto"/>
              </w:rPr>
            </w:pPr>
            <w:r>
              <w:rPr>
                <w:rFonts w:ascii="Arial" w:cs="Arial" w:eastAsia="Arial" w:hAnsi="Arial"/>
                <w:sz w:val="11"/>
                <w:szCs w:val="11"/>
                <w:b w:val="1"/>
                <w:bCs w:val="1"/>
                <w:color w:val="auto"/>
              </w:rPr>
              <w:t>2010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4"/>
          </w:tcPr>
          <w:p>
            <w:pPr>
              <w:ind w:left="40"/>
              <w:spacing w:after="0" w:line="101" w:lineRule="exact"/>
              <w:rPr>
                <w:sz w:val="20"/>
                <w:szCs w:val="20"/>
                <w:color w:val="auto"/>
              </w:rPr>
            </w:pPr>
            <w:r>
              <w:rPr>
                <w:rFonts w:ascii="Arial" w:cs="Arial" w:eastAsia="Arial" w:hAnsi="Arial"/>
                <w:sz w:val="11"/>
                <w:szCs w:val="11"/>
                <w:b w:val="1"/>
                <w:bCs w:val="1"/>
                <w:color w:val="auto"/>
                <w:w w:val="93"/>
              </w:rPr>
              <w:t>Change %</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gridSpan w:val="4"/>
          </w:tcPr>
          <w:p>
            <w:pPr>
              <w:jc w:val="right"/>
              <w:ind w:right="13"/>
              <w:spacing w:after="0" w:line="101"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4"/>
          </w:tcPr>
          <w:p>
            <w:pPr>
              <w:jc w:val="center"/>
              <w:ind w:right="55"/>
              <w:spacing w:after="0" w:line="101" w:lineRule="exact"/>
              <w:rPr>
                <w:sz w:val="20"/>
                <w:szCs w:val="20"/>
                <w:color w:val="auto"/>
              </w:rPr>
            </w:pPr>
            <w:r>
              <w:rPr>
                <w:rFonts w:ascii="Arial" w:cs="Arial" w:eastAsia="Arial" w:hAnsi="Arial"/>
                <w:sz w:val="11"/>
                <w:szCs w:val="11"/>
                <w:b w:val="1"/>
                <w:bCs w:val="1"/>
                <w:color w:val="auto"/>
                <w:w w:val="89"/>
              </w:rPr>
              <w:t>2009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7"/>
              </w:rPr>
              <w:t>Change %</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4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tcBorders>
              <w:lef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$ 370.9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$ 365.8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w w:val="87"/>
              </w:rPr>
              <w:t>1.4%</w:t>
            </w:r>
          </w:p>
        </w:tc>
        <w:tc>
          <w:tcPr>
            <w:tcW w:w="50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720.9</w:t>
            </w: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5"/>
            <w:shd w:val="clear" w:color="auto" w:fill="CCEEFF"/>
          </w:tcPr>
          <w:p>
            <w:pPr>
              <w:jc w:val="right"/>
              <w:ind w:right="200"/>
              <w:spacing w:after="0"/>
              <w:rPr>
                <w:sz w:val="20"/>
                <w:szCs w:val="20"/>
                <w:color w:val="auto"/>
              </w:rPr>
            </w:pPr>
            <w:r>
              <w:rPr>
                <w:rFonts w:ascii="Arial" w:cs="Arial" w:eastAsia="Arial" w:hAnsi="Arial"/>
                <w:sz w:val="13"/>
                <w:szCs w:val="13"/>
                <w:color w:val="auto"/>
              </w:rPr>
              <w:t>705.7</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3"/>
                <w:szCs w:val="13"/>
                <w:color w:val="auto"/>
              </w:rPr>
              <w:t>Rest of world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257.2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225.4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Arial" w:cs="Arial" w:eastAsia="Arial" w:hAnsi="Arial"/>
                <w:sz w:val="13"/>
                <w:szCs w:val="13"/>
                <w:color w:val="auto"/>
                <w:w w:val="92"/>
              </w:rPr>
              <w:t>14.1%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13"/>
                <w:szCs w:val="13"/>
                <w:color w:val="auto"/>
                <w:w w:val="98"/>
              </w:rPr>
              <w:t>499.8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5"/>
          </w:tcPr>
          <w:p>
            <w:pPr>
              <w:jc w:val="right"/>
              <w:ind w:right="200"/>
              <w:spacing w:after="0"/>
              <w:rPr>
                <w:sz w:val="20"/>
                <w:szCs w:val="20"/>
                <w:color w:val="auto"/>
              </w:rPr>
            </w:pPr>
            <w:r>
              <w:rPr>
                <w:rFonts w:ascii="Arial" w:cs="Arial" w:eastAsia="Arial" w:hAnsi="Arial"/>
                <w:sz w:val="13"/>
                <w:szCs w:val="13"/>
                <w:color w:val="auto"/>
              </w:rPr>
              <w:t>440.8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13.4%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AVONEX revenues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$ 628.1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$ 591.2</w:t>
            </w:r>
          </w:p>
        </w:tc>
        <w:tc>
          <w:tcPr>
            <w:tcW w:w="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w w:val="87"/>
              </w:rPr>
              <w:t>6.3%</w:t>
            </w:r>
          </w:p>
        </w:tc>
        <w:tc>
          <w:tcPr>
            <w:tcW w:w="900" w:type="dxa"/>
            <w:vAlign w:val="bottom"/>
            <w:gridSpan w:val="7"/>
            <w:shd w:val="clear" w:color="auto" w:fill="CCEEFF"/>
          </w:tcPr>
          <w:p>
            <w:pPr>
              <w:jc w:val="right"/>
              <w:ind w:right="20"/>
              <w:spacing w:after="0"/>
              <w:rPr>
                <w:sz w:val="20"/>
                <w:szCs w:val="20"/>
                <w:color w:val="auto"/>
              </w:rPr>
            </w:pPr>
            <w:r>
              <w:rPr>
                <w:rFonts w:ascii="Arial" w:cs="Arial" w:eastAsia="Arial" w:hAnsi="Arial"/>
                <w:sz w:val="13"/>
                <w:szCs w:val="13"/>
                <w:color w:val="auto"/>
              </w:rPr>
              <w:t>$  1,220.7</w:t>
            </w: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5"/>
            <w:shd w:val="clear" w:color="auto" w:fill="CCEEFF"/>
          </w:tcPr>
          <w:p>
            <w:pPr>
              <w:jc w:val="right"/>
              <w:ind w:right="200"/>
              <w:spacing w:after="0"/>
              <w:rPr>
                <w:sz w:val="20"/>
                <w:szCs w:val="20"/>
                <w:color w:val="auto"/>
              </w:rPr>
            </w:pPr>
            <w:r>
              <w:rPr>
                <w:rFonts w:ascii="Arial" w:cs="Arial" w:eastAsia="Arial" w:hAnsi="Arial"/>
                <w:sz w:val="13"/>
                <w:szCs w:val="13"/>
                <w:color w:val="auto"/>
              </w:rPr>
              <w:t>1,146.5</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For the three and six months ended June 30, 2010 compared to the same periods in 2009, the increase in U.S. AVONEX revenue was due to price increases offset by decreased commercial demand. Decreased commercial demand resulted in declines of approximately 7% and 8% in U.S. AVONEX sales volume for the three and six months ended June 30, 2010, respectively, over their prior year comparative periods. In addition, during the three and six months ended June 30, 2010, we experienced higher participation in our Access Program, which provides free product to eligible patients.</w:t>
      </w:r>
    </w:p>
    <w:p>
      <w:pPr>
        <w:spacing w:after="0" w:line="63"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For the three and six months ended June 30, 2010 compared to the same periods in 2009, the increase in rest of world AVONEX revenue was due to increased commercial demand offset by price decreases in some countries. Increased commercial demand resulted in increases of approximately 6% and 5% in rest of world AVONEX sales volume for the three and six months ended June 30, 2010, respectively, over their prior year comparative periods. The increase in rest of world AVONEX revenue for the three month comparative periods was offset by the negative impact of foreign currency exchange rates resulting from the relative strengthening of the U.S. dollar against relevant foreign currencies, primarily the Euro. Despite the negative impact of foreign currency exchange rates experienced during the three month comparative periods, the impact of foreign currency exchange rates remained favorable for the six month comparative periods.</w:t>
      </w:r>
    </w:p>
    <w:p>
      <w:pPr>
        <w:spacing w:after="0" w:line="6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AVONEX rest of world revenues for the three and six months ended June 30, 2010 include gains recognized in relation to the settlement of certain cash flow hedge instruments under our foreign currency hedging program which totaled $15.2 million and $13.9 million, respectively, as compared to losses recognized of $9.2 million and $12.3 million, respectively, in their prior year comparative periods.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expect AVONEX to face increasing competition in the multiple sclerosis (MS) marketplace in both the U.S. and rest of world from existing and new MS treatments, including oral and other alternative formulations developed by our competitors, the continued growth of TYSABRI and the commercialization of our other pipeline product candidates. Increased competition may lead to reduced unit sales of AVONEX as well as increasing price pressure.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10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 xml:space="preserve">We collaborate with Elan Pharma International, Ltd (Elan) an affiliate of Elan Corporation, plc, on the development and commercialization of TYSABRI.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to our Consolidated Financial Statements included within our 2009 Form 10-K for a description of this collaboration. Revenues from TYSABRI are summarized as</w:t>
      </w:r>
      <w:r>
        <w:rPr>
          <w:rFonts w:ascii="Arial" w:cs="Arial" w:eastAsia="Arial" w:hAnsi="Arial"/>
          <w:sz w:val="13"/>
          <w:szCs w:val="13"/>
          <w:i w:val="1"/>
          <w:iCs w:val="1"/>
          <w:color w:val="auto"/>
        </w:rPr>
        <w:t xml:space="preserve"> </w:t>
      </w:r>
      <w:r>
        <w:rPr>
          <w:rFonts w:ascii="Arial" w:cs="Arial" w:eastAsia="Arial" w:hAnsi="Arial"/>
          <w:sz w:val="13"/>
          <w:szCs w:val="13"/>
          <w:color w:val="auto"/>
        </w:rPr>
        <w:t>follows:</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w w:val="90"/>
              </w:rPr>
              <w:t>For the Three Months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left="20"/>
              <w:spacing w:after="0"/>
              <w:rPr>
                <w:sz w:val="20"/>
                <w:szCs w:val="20"/>
                <w:color w:val="auto"/>
              </w:rPr>
            </w:pPr>
            <w:r>
              <w:rPr>
                <w:rFonts w:ascii="Arial" w:cs="Arial" w:eastAsia="Arial" w:hAnsi="Arial"/>
                <w:sz w:val="11"/>
                <w:szCs w:val="11"/>
                <w:b w:val="1"/>
                <w:bCs w:val="1"/>
                <w:color w:val="auto"/>
                <w:w w:val="88"/>
              </w:rPr>
              <w:t>For the Six Months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jc w:val="center"/>
              <w:ind w:left="20"/>
              <w:spacing w:after="0"/>
              <w:rPr>
                <w:sz w:val="20"/>
                <w:szCs w:val="20"/>
                <w:color w:val="auto"/>
              </w:rPr>
            </w:pPr>
            <w:r>
              <w:rPr>
                <w:rFonts w:ascii="Arial" w:cs="Arial" w:eastAsia="Arial" w:hAnsi="Arial"/>
                <w:sz w:val="11"/>
                <w:szCs w:val="11"/>
                <w:b w:val="1"/>
                <w:bCs w:val="1"/>
                <w:color w:val="auto"/>
                <w:w w:val="86"/>
              </w:rPr>
              <w:t>Ended June 30,</w:t>
            </w: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Ended June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ind w:right="36"/>
              <w:spacing w:after="0" w:line="101" w:lineRule="exact"/>
              <w:rPr>
                <w:sz w:val="20"/>
                <w:szCs w:val="20"/>
                <w:color w:val="auto"/>
              </w:rPr>
            </w:pPr>
            <w:r>
              <w:rPr>
                <w:rFonts w:ascii="Arial" w:cs="Arial" w:eastAsia="Arial" w:hAnsi="Arial"/>
                <w:sz w:val="11"/>
                <w:szCs w:val="11"/>
                <w:b w:val="1"/>
                <w:bCs w:val="1"/>
                <w:color w:val="auto"/>
                <w:w w:val="81"/>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36"/>
              <w:spacing w:after="0" w:line="101" w:lineRule="exact"/>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11"/>
                <w:szCs w:val="11"/>
                <w:b w:val="1"/>
                <w:bCs w:val="1"/>
                <w:color w:val="auto"/>
                <w:w w:val="97"/>
              </w:rPr>
              <w:t>Change %</w:t>
            </w:r>
          </w:p>
        </w:tc>
        <w:tc>
          <w:tcPr>
            <w:tcW w:w="400" w:type="dxa"/>
            <w:vAlign w:val="bottom"/>
          </w:tcPr>
          <w:p>
            <w:pPr>
              <w:spacing w:after="0"/>
              <w:rPr>
                <w:sz w:val="8"/>
                <w:szCs w:val="8"/>
                <w:color w:val="auto"/>
              </w:rPr>
            </w:pPr>
          </w:p>
        </w:tc>
        <w:tc>
          <w:tcPr>
            <w:tcW w:w="400" w:type="dxa"/>
            <w:vAlign w:val="bottom"/>
          </w:tcPr>
          <w:p>
            <w:pPr>
              <w:jc w:val="right"/>
              <w:ind w:right="16"/>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660" w:type="dxa"/>
            <w:vAlign w:val="bottom"/>
            <w:gridSpan w:val="2"/>
          </w:tcPr>
          <w:p>
            <w:pPr>
              <w:jc w:val="right"/>
              <w:ind w:right="100"/>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11"/>
                <w:szCs w:val="11"/>
                <w:b w:val="1"/>
                <w:bCs w:val="1"/>
                <w:color w:val="auto"/>
                <w:w w:val="97"/>
              </w:rPr>
              <w:t>Change %</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7"/>
              </w:rPr>
              <w:t>$ 122.6</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$ 110.3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61"/>
        </w:trPr>
        <w:tc>
          <w:tcPr>
            <w:tcW w:w="5100" w:type="dxa"/>
            <w:vAlign w:val="bottom"/>
            <w:gridSpan w:val="2"/>
          </w:tcPr>
          <w:p>
            <w:pPr>
              <w:spacing w:after="0"/>
              <w:rPr>
                <w:sz w:val="20"/>
                <w:szCs w:val="20"/>
                <w:color w:val="auto"/>
              </w:rPr>
            </w:pPr>
            <w:r>
              <w:rPr>
                <w:rFonts w:ascii="Arial" w:cs="Arial" w:eastAsia="Arial" w:hAnsi="Arial"/>
                <w:sz w:val="13"/>
                <w:szCs w:val="13"/>
                <w:color w:val="auto"/>
              </w:rPr>
              <w:t>Rest of world</w:t>
            </w:r>
          </w:p>
        </w:tc>
        <w:tc>
          <w:tcPr>
            <w:tcW w:w="1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157.1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w w:val="98"/>
              </w:rPr>
              <w:t>130.3</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20.6%</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315.3</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242.5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TYSABRI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219.2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8"/>
              </w:rPr>
              <w:t>187.6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7"/>
              </w:rPr>
              <w:t>$ 437.9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$ 352.8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For the three and six months ended June 30, 2010 compared to the same period in 2009, the increase in U.S. TYSABRI revenue was due to the continued increase in the number of patients using TYSABRI in the U.S. Increased commercial demand resulted in increases of approximately 15% in U.S. TYSABRI sales volume for both the three and six months ended June 30, 2010 as compared to the prior year comparative periods. Net sales of TYSABRI from our collaboration partner, Elan, to third-party customers in the U.S. for the three and six months ended June 30, 2010 totaled $144.9 million and $280.1 million, respectively, as compared to $124.5 million and $240.4 million, respectively in prior year comparative periods.</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For the three and six months ended June 30, 2010 compared to the same periods in 2009, the increase in rest of world TYSABRI revenue was due to the continued increase in the number of patients using TYSABRI in our rest of world markets offset by price decreases in some countries. Increased commercial demand resulted in increases of approximately 28% and 30% in rest of world TYSABRI sales volume for the three and six months ended June 30, 2010, respectively, over their prior year comparative periods. The increase in rest of world TYSABRI revenue for the three month comparative periods was offset by the negative impact of foreign currency exchange rates resulting from the relative strengthening of the</w:t>
      </w:r>
    </w:p>
    <w:p>
      <w:pPr>
        <w:spacing w:after="0" w:line="2" w:lineRule="exact"/>
        <w:rPr>
          <w:sz w:val="20"/>
          <w:szCs w:val="20"/>
          <w:color w:val="auto"/>
        </w:rPr>
      </w:pPr>
    </w:p>
    <w:p>
      <w:pPr>
        <w:ind w:left="680" w:right="320"/>
        <w:spacing w:after="0" w:line="277" w:lineRule="auto"/>
        <w:rPr>
          <w:sz w:val="20"/>
          <w:szCs w:val="20"/>
          <w:color w:val="auto"/>
        </w:rPr>
      </w:pPr>
      <w:r>
        <w:rPr>
          <w:rFonts w:ascii="Arial" w:cs="Arial" w:eastAsia="Arial" w:hAnsi="Arial"/>
          <w:sz w:val="13"/>
          <w:szCs w:val="13"/>
          <w:color w:val="auto"/>
        </w:rPr>
        <w:t>U.S. dollar against relevant foreign currencies, primarily the Euro. Despite the negative impact of foreign currency exchange rates experienced during the three month comparative periods, the impact of foreign currency exchange rates remained favorable for the six month comparative periods.</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TYSABRI rest of world revenues for the three and six months ended June 30, 2010 include gains recognized in relation to the settlement of certain cash flow hedge instruments under our foreign currency hedging program which totaled $4.5 million and $6.0 million, respectively. No gains or losses were recognized on the settlement of cash flow hedge instruments for the three and six months ended June 30, 2009 as we did not hedge against TYSABRI rest of world revenues in those periods.</w:t>
      </w:r>
    </w:p>
    <w:p>
      <w:pPr>
        <w:spacing w:after="0" w:line="59" w:lineRule="exact"/>
        <w:rPr>
          <w:sz w:val="20"/>
          <w:szCs w:val="20"/>
          <w:color w:val="auto"/>
        </w:rPr>
      </w:pPr>
    </w:p>
    <w:p>
      <w:pPr>
        <w:ind w:left="680" w:right="20" w:firstLine="399"/>
        <w:spacing w:after="0" w:line="292" w:lineRule="auto"/>
        <w:rPr>
          <w:sz w:val="20"/>
          <w:szCs w:val="20"/>
          <w:color w:val="auto"/>
        </w:rPr>
      </w:pPr>
      <w:r>
        <w:rPr>
          <w:rFonts w:ascii="Arial" w:cs="Arial" w:eastAsia="Arial" w:hAnsi="Arial"/>
          <w:sz w:val="12"/>
          <w:szCs w:val="12"/>
          <w:color w:val="auto"/>
        </w:rPr>
        <w:t>The prescribing information for TYSABRI contains significant safety warnings, including the risk of developing progressive multifocal leukoencephalopathy (PML), a rare but serious brain infection. In July 2010, we filed changes to the existing U.S. TYSABRI label with the U.S. Food and Drug Administration (FDA) to reflect that, in addition to the risks previously outlined, the risk of PML is increased in patients who have been treated with an immunosuppressant prior to receiving TYSABRI and that this increased risk appears to be independent of TYSABRI treatment duration. This label change follows our May 2010 update to the U.S. prescribing information to (1) reflect that if the initial evaluations for PML are negative but clinical suspicion for PML remains high, healthcare providers should continue to withhold TYSABRI dosing and repeat the PML evaluations and (2) update the existing warning to specify that Immune Reconstitution Inflammatory Syndrome (IRIS) can “be rapid, can lead to serious neurological complications or death”.</w:t>
      </w:r>
    </w:p>
    <w:p>
      <w:pPr>
        <w:spacing w:after="0" w:line="51"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In May 2010, the European Medicines Agency (EMA) approved changes to the TYSABRI label in the E.U. to reflect that (1) the risk of PML increases after two years of therapy, (2) the limited experience in patients taking TYSABRI beyond three years means that the risk for PML in these patients cannot currently be estimated, and (3) there is a risk for the occurrence of IRIS in patients with TYSABRI induced PML following discontinuation or removal of TYSABRI by plasma exchange, a process that clears TYSABRI from patients’ blood allowing the immune system to fight the infection. These label changes were consistent with those recommended by the EMA in January 2010. The EMA also recommended that patients have an MRI at baseline and annual MRIs thereafter as well as be informed of the risk of PML through the use of treatment forms at the start of treatment and again after two years of therapy.</w:t>
      </w:r>
    </w:p>
    <w:p>
      <w:pPr>
        <w:spacing w:after="0" w:line="6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We continue to monitor the growth of TYSABRI unit sales, which may be further impacted by the updated prescribing information. We continue to research and develop protocols that may reduce risk and improve outcomes of PML in patients. We are working to identify patient or viral characteristics which contribute to the risk of developing PML, including the presence of asymptomatic JC virus infection with an assay to detect an immune response against the JC virus. Our efforts to improve management of PML by physicians and to improve patient outcomes have included researching plasma exchange to more rapidly remove TYSABRI from a patient, and drug screening that identified mefloquine as an anti-JC virus drug candidate. Specifically with respect to the JC virus antibody assay, we have initiated two clinical studies in the U.S., known as STRATIFY-1 and STRATIFY-2. These studies are intended to define the prevalence of serum JC virus antibody in patients with relapsing MS receiving or considering treatment with TYSABRI and to evaluate the potential to stratify patients into lower or higher risk for developing PML based on antibody status. Our efforts to stratify patients into lower or higher risk for developing PML, including evaluating the potential clinical utility of a JC virus antibody assay, and other ongoing or future clinical trials involving TYSABRI, may have a negative impact on prescribing behavior in at least the short term which may result in decreased product revenues from sales of TYSABRI.</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Unconsolidated Joint Business Revenue</w:t>
      </w:r>
    </w:p>
    <w:p>
      <w:pPr>
        <w:spacing w:after="0" w:line="104"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 xml:space="preserve">We collaborate with Genentech on the development and commercialization of RITUXAN.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to our Consolidated Financial Statements included within our 2009 Form 10-K, for a description of this collaboration. Revenues from unconsolidated joint business are summarized as follows:</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7"/>
          </w:tcPr>
          <w:p>
            <w:pPr>
              <w:jc w:val="right"/>
              <w:ind w:right="580"/>
              <w:spacing w:after="0"/>
              <w:rPr>
                <w:sz w:val="20"/>
                <w:szCs w:val="20"/>
                <w:color w:val="auto"/>
              </w:rPr>
            </w:pPr>
            <w:r>
              <w:rPr>
                <w:rFonts w:ascii="Arial" w:cs="Arial" w:eastAsia="Arial" w:hAnsi="Arial"/>
                <w:sz w:val="11"/>
                <w:szCs w:val="11"/>
                <w:b w:val="1"/>
                <w:bCs w:val="1"/>
                <w:color w:val="auto"/>
              </w:rPr>
              <w:t>For the Three Months</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w w:val="88"/>
              </w:rPr>
              <w:t>For the Six Months</w:t>
            </w:r>
          </w:p>
        </w:tc>
        <w:tc>
          <w:tcPr>
            <w:tcW w:w="0" w:type="dxa"/>
            <w:vAlign w:val="bottom"/>
          </w:tcPr>
          <w:p>
            <w:pPr>
              <w:spacing w:after="0"/>
              <w:rPr>
                <w:sz w:val="1"/>
                <w:szCs w:val="1"/>
                <w:color w:val="auto"/>
              </w:rPr>
            </w:pPr>
          </w:p>
        </w:tc>
      </w:tr>
      <w:tr>
        <w:trPr>
          <w:trHeight w:val="128"/>
        </w:trPr>
        <w:tc>
          <w:tcPr>
            <w:tcW w:w="6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jc w:val="right"/>
              <w:ind w:right="740"/>
              <w:spacing w:after="0"/>
              <w:rPr>
                <w:sz w:val="20"/>
                <w:szCs w:val="20"/>
                <w:color w:val="auto"/>
              </w:rPr>
            </w:pPr>
            <w:r>
              <w:rPr>
                <w:rFonts w:ascii="Arial" w:cs="Arial" w:eastAsia="Arial" w:hAnsi="Arial"/>
                <w:sz w:val="11"/>
                <w:szCs w:val="11"/>
                <w:b w:val="1"/>
                <w:bCs w:val="1"/>
                <w:color w:val="auto"/>
                <w:w w:val="96"/>
              </w:rPr>
              <w:t>Ended June 30,</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5"/>
          </w:tcPr>
          <w:p>
            <w:pPr>
              <w:jc w:val="right"/>
              <w:ind w:right="680"/>
              <w:spacing w:after="0"/>
              <w:rPr>
                <w:sz w:val="20"/>
                <w:szCs w:val="20"/>
                <w:color w:val="auto"/>
              </w:rPr>
            </w:pPr>
            <w:r>
              <w:rPr>
                <w:rFonts w:ascii="Arial" w:cs="Arial" w:eastAsia="Arial" w:hAnsi="Arial"/>
                <w:sz w:val="11"/>
                <w:szCs w:val="11"/>
                <w:b w:val="1"/>
                <w:bCs w:val="1"/>
                <w:color w:val="auto"/>
                <w:w w:val="96"/>
              </w:rPr>
              <w:t>Ended June 30,</w:t>
            </w:r>
          </w:p>
        </w:tc>
        <w:tc>
          <w:tcPr>
            <w:tcW w:w="0" w:type="dxa"/>
            <w:vAlign w:val="bottom"/>
          </w:tcPr>
          <w:p>
            <w:pPr>
              <w:spacing w:after="0"/>
              <w:rPr>
                <w:sz w:val="1"/>
                <w:szCs w:val="1"/>
                <w:color w:val="auto"/>
              </w:rPr>
            </w:pPr>
          </w:p>
        </w:tc>
      </w:tr>
      <w:tr>
        <w:trPr>
          <w:trHeight w:val="101"/>
        </w:trPr>
        <w:tc>
          <w:tcPr>
            <w:tcW w:w="6100" w:type="dxa"/>
            <w:vAlign w:val="bottom"/>
            <w:gridSpan w:val="2"/>
            <w:vMerge w:val="continue"/>
          </w:tcPr>
          <w:p>
            <w:pPr>
              <w:spacing w:after="0"/>
              <w:rPr>
                <w:sz w:val="8"/>
                <w:szCs w:val="8"/>
                <w:color w:val="auto"/>
              </w:rPr>
            </w:pPr>
          </w:p>
        </w:tc>
        <w:tc>
          <w:tcPr>
            <w:tcW w:w="420" w:type="dxa"/>
            <w:vAlign w:val="bottom"/>
            <w:tcBorders>
              <w:top w:val="single" w:sz="8" w:color="auto"/>
            </w:tcBorders>
          </w:tcPr>
          <w:p>
            <w:pPr>
              <w:jc w:val="right"/>
              <w:ind w:right="37"/>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13"/>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3"/>
              </w:rPr>
              <w:t>Change %</w:t>
            </w:r>
          </w:p>
        </w:tc>
        <w:tc>
          <w:tcPr>
            <w:tcW w:w="200" w:type="dxa"/>
            <w:vAlign w:val="bottom"/>
          </w:tcPr>
          <w:p>
            <w:pPr>
              <w:spacing w:after="0"/>
              <w:rPr>
                <w:sz w:val="8"/>
                <w:szCs w:val="8"/>
                <w:color w:val="auto"/>
              </w:rPr>
            </w:pPr>
          </w:p>
        </w:tc>
        <w:tc>
          <w:tcPr>
            <w:tcW w:w="400" w:type="dxa"/>
            <w:vAlign w:val="bottom"/>
            <w:tcBorders>
              <w:top w:val="single" w:sz="8" w:color="auto"/>
            </w:tcBorders>
          </w:tcPr>
          <w:p>
            <w:pPr>
              <w:jc w:val="right"/>
              <w:ind w:right="16"/>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gridSpan w:val="2"/>
          </w:tcPr>
          <w:p>
            <w:pPr>
              <w:jc w:val="right"/>
              <w:ind w:right="33"/>
              <w:spacing w:after="0" w:line="101" w:lineRule="exact"/>
              <w:rPr>
                <w:sz w:val="20"/>
                <w:szCs w:val="20"/>
                <w:color w:val="auto"/>
              </w:rPr>
            </w:pPr>
            <w:r>
              <w:rPr>
                <w:rFonts w:ascii="Arial" w:cs="Arial" w:eastAsia="Arial" w:hAnsi="Arial"/>
                <w:sz w:val="11"/>
                <w:szCs w:val="11"/>
                <w:b w:val="1"/>
                <w:bCs w:val="1"/>
                <w:color w:val="auto"/>
              </w:rPr>
              <w:t>2009</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Biogen Idec’s share of co-promotion profits in the U.S.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$ 228.1</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$ 198.5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$ 428.4</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$ 378.0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1"/>
        </w:trPr>
        <w:tc>
          <w:tcPr>
            <w:tcW w:w="6100" w:type="dxa"/>
            <w:vAlign w:val="bottom"/>
            <w:gridSpan w:val="2"/>
          </w:tcPr>
          <w:p>
            <w:pPr>
              <w:spacing w:after="0"/>
              <w:rPr>
                <w:sz w:val="20"/>
                <w:szCs w:val="20"/>
                <w:color w:val="auto"/>
              </w:rPr>
            </w:pPr>
            <w:r>
              <w:rPr>
                <w:rFonts w:ascii="Arial" w:cs="Arial" w:eastAsia="Arial" w:hAnsi="Arial"/>
                <w:sz w:val="13"/>
                <w:szCs w:val="13"/>
                <w:color w:val="auto"/>
              </w:rPr>
              <w:t>Reimbursement of selling and development expense in the U.S.</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17.6</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16.7</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5.4%</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33.8</w:t>
            </w:r>
          </w:p>
        </w:tc>
        <w:tc>
          <w:tcPr>
            <w:tcW w:w="740" w:type="dxa"/>
            <w:vAlign w:val="bottom"/>
            <w:gridSpan w:val="3"/>
          </w:tcPr>
          <w:p>
            <w:pPr>
              <w:jc w:val="right"/>
              <w:ind w:right="180"/>
              <w:spacing w:after="0"/>
              <w:rPr>
                <w:sz w:val="20"/>
                <w:szCs w:val="20"/>
                <w:color w:val="auto"/>
              </w:rPr>
            </w:pPr>
            <w:r>
              <w:rPr>
                <w:rFonts w:ascii="Arial" w:cs="Arial" w:eastAsia="Arial" w:hAnsi="Arial"/>
                <w:sz w:val="13"/>
                <w:szCs w:val="13"/>
                <w:color w:val="auto"/>
              </w:rPr>
              <w:t>31.7</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1"/>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 on sales of RITUXAN in the rest of world</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99.1</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144.7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unconsolidated joint business revenues</w:t>
            </w: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$ 306.4</w:t>
            </w: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2"/>
              </w:rPr>
              <w:t>$ 275.6</w:t>
            </w:r>
          </w:p>
        </w:tc>
        <w:tc>
          <w:tcPr>
            <w:tcW w:w="200" w:type="dxa"/>
            <w:vAlign w:val="bottom"/>
            <w:vMerge w:val="continue"/>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11.2%</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$ 561.3</w:t>
            </w: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$ 554.4</w:t>
            </w:r>
          </w:p>
        </w:tc>
        <w:tc>
          <w:tcPr>
            <w:tcW w:w="180" w:type="dxa"/>
            <w:vAlign w:val="bottom"/>
            <w:vMerge w:val="continue"/>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summary of amounts comprising our share of co-promotion profits in the U.S.: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rPr>
              <w:t>For the Three Months</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8"/>
              </w:rPr>
              <w:t>For the Six Months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Ended June 30,</w:t>
            </w: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1"/>
                <w:szCs w:val="11"/>
                <w:b w:val="1"/>
                <w:bCs w:val="1"/>
                <w:color w:val="auto"/>
                <w:w w:val="89"/>
              </w:rPr>
              <w:t>Ended June 30,</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00" w:type="dxa"/>
            <w:vAlign w:val="bottom"/>
            <w:gridSpan w:val="2"/>
            <w:vMerge w:val="continue"/>
          </w:tcPr>
          <w:p>
            <w:pPr>
              <w:spacing w:after="0"/>
              <w:rPr>
                <w:sz w:val="8"/>
                <w:szCs w:val="8"/>
                <w:color w:val="auto"/>
              </w:rPr>
            </w:pPr>
          </w:p>
        </w:tc>
        <w:tc>
          <w:tcPr>
            <w:tcW w:w="400" w:type="dxa"/>
            <w:vAlign w:val="bottom"/>
          </w:tcPr>
          <w:p>
            <w:pPr>
              <w:jc w:val="right"/>
              <w:ind w:right="16"/>
              <w:spacing w:after="0" w:line="101" w:lineRule="exact"/>
              <w:rPr>
                <w:sz w:val="20"/>
                <w:szCs w:val="20"/>
                <w:color w:val="auto"/>
              </w:rPr>
            </w:pPr>
            <w:r>
              <w:rPr>
                <w:rFonts w:ascii="Arial" w:cs="Arial" w:eastAsia="Arial" w:hAnsi="Arial"/>
                <w:sz w:val="11"/>
                <w:szCs w:val="11"/>
                <w:b w:val="1"/>
                <w:bCs w:val="1"/>
                <w:color w:val="auto"/>
              </w:rPr>
              <w:t>2010</w:t>
            </w:r>
          </w:p>
        </w:tc>
        <w:tc>
          <w:tcPr>
            <w:tcW w:w="20" w:type="dxa"/>
            <w:vAlign w:val="bottom"/>
          </w:tcPr>
          <w:p>
            <w:pPr>
              <w:spacing w:after="0"/>
              <w:rPr>
                <w:sz w:val="8"/>
                <w:szCs w:val="8"/>
                <w:color w:val="auto"/>
              </w:rPr>
            </w:pPr>
          </w:p>
        </w:tc>
        <w:tc>
          <w:tcPr>
            <w:tcW w:w="760" w:type="dxa"/>
            <w:vAlign w:val="bottom"/>
            <w:gridSpan w:val="2"/>
          </w:tcPr>
          <w:p>
            <w:pPr>
              <w:jc w:val="right"/>
              <w:ind w:right="13"/>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580" w:type="dxa"/>
            <w:vAlign w:val="bottom"/>
          </w:tcPr>
          <w:p>
            <w:pPr>
              <w:ind w:left="60"/>
              <w:spacing w:after="0" w:line="101" w:lineRule="exact"/>
              <w:rPr>
                <w:sz w:val="20"/>
                <w:szCs w:val="20"/>
                <w:color w:val="auto"/>
              </w:rPr>
            </w:pPr>
            <w:r>
              <w:rPr>
                <w:rFonts w:ascii="Arial" w:cs="Arial" w:eastAsia="Arial" w:hAnsi="Arial"/>
                <w:sz w:val="11"/>
                <w:szCs w:val="11"/>
                <w:b w:val="1"/>
                <w:bCs w:val="1"/>
                <w:color w:val="auto"/>
                <w:w w:val="93"/>
              </w:rPr>
              <w:t>Change %</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6"/>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center"/>
              <w:ind w:right="56"/>
              <w:spacing w:after="0" w:line="101" w:lineRule="exact"/>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11"/>
                <w:szCs w:val="11"/>
                <w:b w:val="1"/>
                <w:bCs w:val="1"/>
                <w:color w:val="auto"/>
                <w:w w:val="97"/>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 revenues, net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7"/>
              </w:rPr>
              <w:t>$ 707.1</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$ 695.9</w:t>
            </w:r>
          </w:p>
        </w:tc>
        <w:tc>
          <w:tcPr>
            <w:tcW w:w="104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1,337.6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1"/>
        </w:trPr>
        <w:tc>
          <w:tcPr>
            <w:tcW w:w="47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400" w:type="dxa"/>
            <w:vAlign w:val="bottom"/>
          </w:tcPr>
          <w:p>
            <w:pPr>
              <w:jc w:val="right"/>
              <w:spacing w:after="0"/>
              <w:rPr>
                <w:sz w:val="20"/>
                <w:szCs w:val="20"/>
                <w:color w:val="auto"/>
              </w:rPr>
            </w:pPr>
            <w:r>
              <w:rPr>
                <w:rFonts w:ascii="Arial" w:cs="Arial" w:eastAsia="Arial" w:hAnsi="Arial"/>
                <w:sz w:val="13"/>
                <w:szCs w:val="13"/>
                <w:color w:val="auto"/>
              </w:rPr>
              <w:t>136.8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199.7</w:t>
            </w: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310.2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379.9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Co-promotion profits in the U.S.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570.3</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496.2</w:t>
            </w:r>
          </w:p>
        </w:tc>
        <w:tc>
          <w:tcPr>
            <w:tcW w:w="104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1,083.6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957.7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140"/>
              <w:spacing w:after="0"/>
              <w:rPr>
                <w:sz w:val="20"/>
                <w:szCs w:val="20"/>
                <w:color w:val="auto"/>
              </w:rPr>
            </w:pPr>
            <w:r>
              <w:rPr>
                <w:rFonts w:ascii="Arial" w:cs="Arial" w:eastAsia="Arial" w:hAnsi="Arial"/>
                <w:sz w:val="13"/>
                <w:szCs w:val="13"/>
                <w:color w:val="auto"/>
              </w:rPr>
              <w:t>Biogen Idec’s share of co-promotion profits in the U.S.</w:t>
            </w: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00" w:type="dxa"/>
            <w:vAlign w:val="bottom"/>
            <w:gridSpan w:val="2"/>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$ 228.1</w:t>
            </w:r>
          </w:p>
        </w:tc>
        <w:tc>
          <w:tcPr>
            <w:tcW w:w="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$ 198.5</w:t>
            </w:r>
          </w:p>
        </w:tc>
        <w:tc>
          <w:tcPr>
            <w:tcW w:w="380" w:type="dxa"/>
            <w:vAlign w:val="bottom"/>
            <w:vMerge w:val="continue"/>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14.9%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428.4</w:t>
            </w:r>
          </w:p>
        </w:tc>
        <w:tc>
          <w:tcPr>
            <w:tcW w:w="1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378.0</w:t>
            </w:r>
          </w:p>
        </w:tc>
        <w:tc>
          <w:tcPr>
            <w:tcW w:w="380" w:type="dxa"/>
            <w:vAlign w:val="bottom"/>
            <w:vMerge w:val="continue"/>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For the three and six months ended June 30, 2010 compared to the same periods in 2009, the increase in our share of co-promotion profits in the U.S. was driven by increased U.S. RITUXAN product revenues on sales recorded by Genentech and a reduction of collaboration costs and expenses.</w:t>
      </w:r>
    </w:p>
    <w:p>
      <w:pPr>
        <w:spacing w:after="0" w:line="47"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 xml:space="preserve">The increase in U.S. RITUXAN product revenues for the three and six month comparative periods was primarily due to price increases. The increase for the comparative six month periods was also driven by increased commercial demand. Sales volume for the three month comparative periods remained essentially unchanged. The decrease in collaboration costs and expenses for the three and six month comparative periods primarily resulted from (1) a decline in expenditures for the development of RITUXAN for use in other indications and (2) a change in estimated reserves recorded in the first quarter 2010 related to the newly enacted healthcare reform legislation in the U.S. As discussed more fully below under the sub-section entitled, </w:t>
      </w:r>
      <w:r>
        <w:rPr>
          <w:rFonts w:ascii="Arial" w:cs="Arial" w:eastAsia="Arial" w:hAnsi="Arial"/>
          <w:sz w:val="13"/>
          <w:szCs w:val="13"/>
          <w:i w:val="1"/>
          <w:iCs w:val="1"/>
          <w:color w:val="auto"/>
        </w:rPr>
        <w:t>Provisions for Discounts and Allowances-Healthcare Reform,</w:t>
      </w:r>
      <w:r>
        <w:rPr>
          <w:rFonts w:ascii="Arial" w:cs="Arial" w:eastAsia="Arial" w:hAnsi="Arial"/>
          <w:sz w:val="13"/>
          <w:szCs w:val="13"/>
          <w:color w:val="auto"/>
        </w:rPr>
        <w:t xml:space="preserve"> this change in estimated reserves is primarily driven by our expectation that fewer entities will be eligible for enrollment in the 340(B) program.</w:t>
      </w:r>
    </w:p>
    <w:p>
      <w:pPr>
        <w:spacing w:after="0" w:line="68"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 xml:space="preserve">Under our collaboration agreement, our current pretax co-promotion profit-sharing formula, which resets annually, provides for a 40% share of co-promotion profits if co-promotion operating profits exceed $50.0 million. In 2010 and 2009, the 40% threshold was met during the first quarter. Our agreement with Genentech also provides that the successful development and commercialization of the first New Anti-CD20 Product will decrease our percentage of co-promotion profits of the collaboration. Please read Note 17, </w:t>
      </w:r>
      <w:r>
        <w:rPr>
          <w:rFonts w:ascii="Arial" w:cs="Arial" w:eastAsia="Arial" w:hAnsi="Arial"/>
          <w:sz w:val="13"/>
          <w:szCs w:val="13"/>
          <w:i w:val="1"/>
          <w:iCs w:val="1"/>
          <w:color w:val="auto"/>
        </w:rPr>
        <w:t>Collaborations</w:t>
      </w:r>
      <w:r>
        <w:rPr>
          <w:rFonts w:ascii="Arial" w:cs="Arial" w:eastAsia="Arial" w:hAnsi="Arial"/>
          <w:sz w:val="13"/>
          <w:szCs w:val="13"/>
          <w:color w:val="auto"/>
        </w:rPr>
        <w:t>, to our Consolidated Financial Statements included within our 2009 Form 10-K, for additional information regarding the pretax co-promotion profit sharing formula for RITUXAN and New Anti-CD20 Products sold by us and Genentech following the approval date of the first New Anti-CD20 Product.</w:t>
      </w:r>
    </w:p>
    <w:p>
      <w:pPr>
        <w:spacing w:after="0" w:line="65" w:lineRule="exact"/>
        <w:rPr>
          <w:sz w:val="20"/>
          <w:szCs w:val="20"/>
          <w:color w:val="auto"/>
        </w:rPr>
      </w:pPr>
    </w:p>
    <w:p>
      <w:pPr>
        <w:ind w:left="680" w:right="540" w:firstLine="399"/>
        <w:spacing w:after="0" w:line="338" w:lineRule="auto"/>
        <w:rPr>
          <w:sz w:val="20"/>
          <w:szCs w:val="20"/>
          <w:color w:val="auto"/>
        </w:rPr>
      </w:pPr>
      <w:r>
        <w:rPr>
          <w:rFonts w:ascii="Arial" w:cs="Arial" w:eastAsia="Arial" w:hAnsi="Arial"/>
          <w:sz w:val="12"/>
          <w:szCs w:val="12"/>
          <w:color w:val="auto"/>
        </w:rPr>
        <w:t xml:space="preserve">For the three and six months ended June 30, 2010 compared to the same period in 2009, the increase in selling and development expenses incurred by us in the U.S. and reimbursed by Genentech was primarily the result of our increased sales and marketing activities in support of RITUXAN. As discussed in Note 17, </w:t>
      </w:r>
      <w:r>
        <w:rPr>
          <w:rFonts w:ascii="Arial" w:cs="Arial" w:eastAsia="Arial" w:hAnsi="Arial"/>
          <w:sz w:val="12"/>
          <w:szCs w:val="12"/>
          <w:i w:val="1"/>
          <w:iCs w:val="1"/>
          <w:color w:val="auto"/>
        </w:rPr>
        <w:t>Collaborations</w:t>
      </w:r>
      <w:r>
        <w:rPr>
          <w:rFonts w:ascii="Arial" w:cs="Arial" w:eastAsia="Arial" w:hAnsi="Arial"/>
          <w:sz w:val="12"/>
          <w:szCs w:val="12"/>
          <w:color w:val="auto"/>
        </w:rPr>
        <w:t>,</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95" w:lineRule="auto"/>
        <w:rPr>
          <w:sz w:val="20"/>
          <w:szCs w:val="20"/>
          <w:color w:val="auto"/>
        </w:rPr>
      </w:pPr>
      <w:r>
        <w:rPr>
          <w:rFonts w:ascii="Arial" w:cs="Arial" w:eastAsia="Arial" w:hAnsi="Arial"/>
          <w:sz w:val="12"/>
          <w:szCs w:val="12"/>
          <w:color w:val="auto"/>
        </w:rPr>
        <w:t>to our Consolidated Financial Statements included within our 2009 Form 10-K, Genentech incurs the majority of continuing development costs for RITUXAN. Expenses incurred by Genentech in the development of RITUXAN are not recorded as research and development expense, but rather reduce our share of co-promotion profits recorded as a component of unconsolidated joint business revenue. Costs associated with the development of other anti-CD20 products, such as GA101, are recorded as research and development expense; however, upon achievement of the successful commercialization of these products, additional costs incurred in their continuing development will no longer be recorded as research and development expense but will instead reduce our share of co-promotion profits recorded as a component of unconsolidated joint business revenue.</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on sales of RITUXAN in the rest of world consists of our share of pretax co-promotion profits in Canada and royalty revenue on sales of RITUXAN outside the</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and Canada. Revenues on sales of RITUXAN in the rest of world continue to decline due to royalty expirations in certain of our rest of world markets. The royalty period for sales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the rest of world with respect to all products is 11 years from the first commercial sale of such product on a country-by-country basis. Specifically, the royalty periods with respect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sales in France, Spain, Germany and the United Kingdom expired in 2009. The royalty period with respect to sales in Italy expired earlier this year. The royalty periods for substantially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all of the remaining royalty-bearing sales of RITUXAN in the rest of the world will subsequently expire through 2012. As a result of these expirations, we expect royalty revenues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derived from sales of RITUXAN in the rest of world to continue to decline in future periods. The decreases experienced during the three and six months ended June 30, 2010, were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offset by a cumulative underpayment of royalties owed to us on sales of RITUXAN in the rest of world by Genentech totaling $21.3 million. These unpaid royalties are expected to be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received during the third quarter of 2010.</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Revenues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revenues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5"/>
          </w:tcPr>
          <w:p>
            <w:pPr>
              <w:jc w:val="right"/>
              <w:ind w:right="900"/>
              <w:spacing w:after="0"/>
              <w:rPr>
                <w:sz w:val="20"/>
                <w:szCs w:val="20"/>
                <w:color w:val="auto"/>
              </w:rPr>
            </w:pPr>
            <w:r>
              <w:rPr>
                <w:rFonts w:ascii="Arial" w:cs="Arial" w:eastAsia="Arial" w:hAnsi="Arial"/>
                <w:sz w:val="11"/>
                <w:szCs w:val="11"/>
                <w:b w:val="1"/>
                <w:bCs w:val="1"/>
                <w:color w:val="auto"/>
                <w:w w:val="95"/>
              </w:rPr>
              <w:t>For the Three Months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left="40"/>
              <w:spacing w:after="0"/>
              <w:rPr>
                <w:sz w:val="20"/>
                <w:szCs w:val="20"/>
                <w:color w:val="auto"/>
              </w:rPr>
            </w:pPr>
            <w:r>
              <w:rPr>
                <w:rFonts w:ascii="Arial" w:cs="Arial" w:eastAsia="Arial" w:hAnsi="Arial"/>
                <w:sz w:val="11"/>
                <w:szCs w:val="11"/>
                <w:b w:val="1"/>
                <w:bCs w:val="1"/>
                <w:color w:val="auto"/>
                <w:w w:val="88"/>
              </w:rPr>
              <w:t>For the Six Months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Ended June 30,</w:t>
            </w: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1"/>
                <w:szCs w:val="11"/>
                <w:b w:val="1"/>
                <w:bCs w:val="1"/>
                <w:color w:val="auto"/>
                <w:w w:val="86"/>
              </w:rPr>
              <w:t>Ended June 30,</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420" w:type="dxa"/>
            <w:vAlign w:val="bottom"/>
            <w:gridSpan w:val="2"/>
            <w:vMerge w:val="continue"/>
          </w:tcPr>
          <w:p>
            <w:pPr>
              <w:spacing w:after="0"/>
              <w:rPr>
                <w:sz w:val="8"/>
                <w:szCs w:val="8"/>
                <w:color w:val="auto"/>
              </w:rPr>
            </w:pPr>
          </w:p>
        </w:tc>
        <w:tc>
          <w:tcPr>
            <w:tcW w:w="32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8"/>
                <w:szCs w:val="8"/>
                <w:color w:val="auto"/>
              </w:rPr>
            </w:pPr>
          </w:p>
        </w:tc>
        <w:tc>
          <w:tcPr>
            <w:tcW w:w="620" w:type="dxa"/>
            <w:vAlign w:val="bottom"/>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97"/>
              </w:rPr>
              <w:t>Change %</w:t>
            </w:r>
          </w:p>
        </w:tc>
        <w:tc>
          <w:tcPr>
            <w:tcW w:w="400" w:type="dxa"/>
            <w:vAlign w:val="bottom"/>
          </w:tcPr>
          <w:p>
            <w:pPr>
              <w:spacing w:after="0"/>
              <w:rPr>
                <w:sz w:val="8"/>
                <w:szCs w:val="8"/>
                <w:color w:val="auto"/>
              </w:rPr>
            </w:pPr>
          </w:p>
        </w:tc>
        <w:tc>
          <w:tcPr>
            <w:tcW w:w="34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600" w:type="dxa"/>
            <w:vAlign w:val="bottom"/>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8"/>
                <w:szCs w:val="8"/>
                <w:color w:val="auto"/>
              </w:rPr>
            </w:pPr>
          </w:p>
        </w:tc>
        <w:tc>
          <w:tcPr>
            <w:tcW w:w="540" w:type="dxa"/>
            <w:vAlign w:val="bottom"/>
          </w:tcPr>
          <w:p>
            <w:pPr>
              <w:spacing w:after="0" w:line="101" w:lineRule="exact"/>
              <w:rPr>
                <w:sz w:val="20"/>
                <w:szCs w:val="20"/>
                <w:color w:val="auto"/>
              </w:rPr>
            </w:pPr>
            <w:r>
              <w:rPr>
                <w:rFonts w:ascii="Arial" w:cs="Arial" w:eastAsia="Arial" w:hAnsi="Arial"/>
                <w:sz w:val="11"/>
                <w:szCs w:val="11"/>
                <w:b w:val="1"/>
                <w:bCs w:val="1"/>
                <w:color w:val="auto"/>
                <w:w w:val="97"/>
              </w:rPr>
              <w:t>Change %</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Royalty revenues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$ 30.1</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$ 25.0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20.4%</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8"/>
              </w:rPr>
              <w:t>$ 56.1</w:t>
            </w: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$ 49.1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61"/>
        </w:trPr>
        <w:tc>
          <w:tcPr>
            <w:tcW w:w="5420" w:type="dxa"/>
            <w:vAlign w:val="bottom"/>
            <w:gridSpan w:val="2"/>
          </w:tcPr>
          <w:p>
            <w:pPr>
              <w:spacing w:after="0"/>
              <w:rPr>
                <w:sz w:val="20"/>
                <w:szCs w:val="20"/>
                <w:color w:val="auto"/>
              </w:rPr>
            </w:pPr>
            <w:r>
              <w:rPr>
                <w:rFonts w:ascii="Arial" w:cs="Arial" w:eastAsia="Arial" w:hAnsi="Arial"/>
                <w:sz w:val="13"/>
                <w:szCs w:val="13"/>
                <w:color w:val="auto"/>
              </w:rPr>
              <w:t>Corporate partner revenues</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17.0</w:t>
            </w: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899.9%</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20.7</w:t>
            </w:r>
          </w:p>
        </w:tc>
        <w:tc>
          <w:tcPr>
            <w:tcW w:w="1020" w:type="dxa"/>
            <w:vAlign w:val="bottom"/>
            <w:gridSpan w:val="3"/>
          </w:tcPr>
          <w:p>
            <w:pPr>
              <w:jc w:val="right"/>
              <w:ind w:right="420"/>
              <w:spacing w:after="0"/>
              <w:rPr>
                <w:sz w:val="20"/>
                <w:szCs w:val="20"/>
                <w:color w:val="auto"/>
              </w:rPr>
            </w:pPr>
            <w:r>
              <w:rPr>
                <w:rFonts w:ascii="Arial" w:cs="Arial" w:eastAsia="Arial" w:hAnsi="Arial"/>
                <w:sz w:val="13"/>
                <w:szCs w:val="13"/>
                <w:color w:val="auto"/>
              </w:rPr>
              <w:t>1.9</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988.8%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other revenues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$ 47.1</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$ 26.7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76.4%</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8"/>
              </w:rPr>
              <w:t>$ 76.8</w:t>
            </w: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$ 51.0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receive royalties on sales by our licensees of a number of products covered under patents we own. For the three and six months ended June 30, 2010 compared to the same periods in 2009, total royalty revenues were favorably impacted by approximately $3.3 million due to a one-time government purchase of Hepatitis B vaccine for which we are entitled to royalties.</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Our most significant source of royalty revenue is derived from sales of ANGIOMAX by The Medicines Company (TMC). TMC sells ANGIOMAX in the U.S., Europe, Canada, and Latin America. Royalty revenues related to the sales of ANGIOMAX are recognized in an amount equal to the level of net sales achieved during a calendar year multiplied by the royalty rate in effect for that tier under our agreement with TMC. The royalty rate increases based upon which tier of total net sales are earned in any calendar year. The increased royalty rate is applied retroactively to the first dollar of net sales achieved during the year. This formula has the effect of increasing the amount of royalty revenue to be recognized in later quarters. Accordingly, an adjustment is recorded in the period in which an increase in royalty rate has been achieved.</w:t>
      </w:r>
    </w:p>
    <w:p>
      <w:pPr>
        <w:spacing w:after="0" w:line="65" w:lineRule="exact"/>
        <w:rPr>
          <w:sz w:val="20"/>
          <w:szCs w:val="20"/>
          <w:color w:val="auto"/>
        </w:rPr>
      </w:pPr>
    </w:p>
    <w:p>
      <w:pPr>
        <w:ind w:left="680" w:right="140" w:firstLine="399"/>
        <w:spacing w:after="0" w:line="267" w:lineRule="auto"/>
        <w:rPr>
          <w:sz w:val="20"/>
          <w:szCs w:val="20"/>
          <w:color w:val="auto"/>
        </w:rPr>
      </w:pPr>
      <w:r>
        <w:rPr>
          <w:rFonts w:ascii="Arial" w:cs="Arial" w:eastAsia="Arial" w:hAnsi="Arial"/>
          <w:sz w:val="13"/>
          <w:szCs w:val="13"/>
          <w:color w:val="auto"/>
        </w:rPr>
        <w:t>Under the terms of our agreement, TMC is obligated to pay us royalties earned, on a country-by-country basis, until the later of (1) twelve years from the date of the first commercial sale of ANGIOMAX in such country and (2) the date upon which the product is no longer covered by a patent in such country. The annual royalty rate is reduced by a specified percentage in any country where the product is no longer covered by a patent and where sales have been reduced to a certain volume-based market share. TMC began selling ANGIOMAX in the U.S. in January 2001. The principal U.S. patent that covers ANGIOMAX was due to expire in March 2010 and TMC applied for an extension of the term of this patent. The United States Patent and</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265" w:lineRule="auto"/>
        <w:rPr>
          <w:sz w:val="20"/>
          <w:szCs w:val="20"/>
          <w:color w:val="auto"/>
        </w:rPr>
      </w:pPr>
      <w:r>
        <w:rPr>
          <w:rFonts w:ascii="Arial" w:cs="Arial" w:eastAsia="Arial" w:hAnsi="Arial"/>
          <w:sz w:val="13"/>
          <w:szCs w:val="13"/>
          <w:color w:val="auto"/>
        </w:rPr>
        <w:t>Trademark Office (PTO) rejected TMC’s application because in its view the application was not timely filed. TMC is in legal proceedings in federal district court against the PTO seeking to extend to December 2014 the term of the principal U.S. patent. Pursuant to court order, the PTO has issued an interim extension extending the term of the patent through and including the day ten days after the district court issues an order deciding the pending cross-motions for summary judgment in the proceedings. In the event that TMC is unsuccessful in obtaining such a patent term extension and third parties sell products comparable to ANGIOMAX after the period of marketing exclusivity expires (the FDA granted TMC an additional six-month period of marketing exclusivity for ANGIOMAX for having investigated its use in pediatric patients), we would expect a significant decrease in royalty revenues due to both lower royalty rates and increased competition.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Partner Revenues</w:t>
      </w:r>
    </w:p>
    <w:p>
      <w:pPr>
        <w:spacing w:after="0" w:line="102"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color w:val="auto"/>
        </w:rPr>
        <w:t>For the three and six months ended June 30, 2010, the increase in corporate partner revenues is primarily related to amounts earned under the terms of our 2006 contract manufacturing agreement with Astellas Pharma US, Inc. for the supply of AMEVIVE.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 for Discounts and Allowances</w:t>
      </w:r>
    </w:p>
    <w:p>
      <w:pPr>
        <w:spacing w:after="0" w:line="10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Revenues from product sales are recorded net of applicable allowances for trade term discounts, wholesaler incentives, Medicaid rebates, Veterans Administration (VA) and Public Health Service (PHS) discounts, managed care rebates, product returns, and other applicable allowances. Reserves established for these discounts and allowances are classified as reductions of accounts receivable (if the amount is payable to our customer) or a liability (if the amount is payable to a party other than our customer). Reserves for discounts, contractual adjustments and returns that reduced gross product revenues are summarized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For the Three Months</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8"/>
              </w:rPr>
              <w:t>For the Six Months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6"/>
              </w:rPr>
              <w:t>Ended June 30,</w:t>
            </w: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1"/>
                <w:szCs w:val="11"/>
                <w:b w:val="1"/>
                <w:bCs w:val="1"/>
                <w:color w:val="auto"/>
                <w:w w:val="86"/>
              </w:rPr>
              <w:t>Ended June 30,</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5"/>
              <w:spacing w:after="0" w:line="101" w:lineRule="exact"/>
              <w:rPr>
                <w:sz w:val="20"/>
                <w:szCs w:val="20"/>
                <w:color w:val="auto"/>
              </w:rPr>
            </w:pPr>
            <w:r>
              <w:rPr>
                <w:rFonts w:ascii="Arial" w:cs="Arial" w:eastAsia="Arial" w:hAnsi="Arial"/>
                <w:sz w:val="11"/>
                <w:szCs w:val="11"/>
                <w:b w:val="1"/>
                <w:bCs w:val="1"/>
                <w:color w:val="auto"/>
                <w:w w:val="81"/>
              </w:rPr>
              <w:t>2010</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5"/>
              <w:spacing w:after="0" w:line="101" w:lineRule="exact"/>
              <w:rPr>
                <w:sz w:val="20"/>
                <w:szCs w:val="20"/>
                <w:color w:val="auto"/>
              </w:rPr>
            </w:pPr>
            <w:r>
              <w:rPr>
                <w:rFonts w:ascii="Arial" w:cs="Arial" w:eastAsia="Arial" w:hAnsi="Arial"/>
                <w:sz w:val="11"/>
                <w:szCs w:val="11"/>
                <w:b w:val="1"/>
                <w:bCs w:val="1"/>
                <w:color w:val="auto"/>
                <w:w w:val="81"/>
              </w:rPr>
              <w:t>2009</w:t>
            </w:r>
          </w:p>
        </w:tc>
        <w:tc>
          <w:tcPr>
            <w:tcW w:w="420" w:type="dxa"/>
            <w:vAlign w:val="bottom"/>
          </w:tcPr>
          <w:p>
            <w:pPr>
              <w:spacing w:after="0"/>
              <w:rPr>
                <w:sz w:val="8"/>
                <w:szCs w:val="8"/>
                <w:color w:val="auto"/>
              </w:rPr>
            </w:pPr>
          </w:p>
        </w:tc>
        <w:tc>
          <w:tcPr>
            <w:tcW w:w="580" w:type="dxa"/>
            <w:vAlign w:val="bottom"/>
          </w:tcPr>
          <w:p>
            <w:pPr>
              <w:ind w:left="60"/>
              <w:spacing w:after="0" w:line="101" w:lineRule="exact"/>
              <w:rPr>
                <w:sz w:val="20"/>
                <w:szCs w:val="20"/>
                <w:color w:val="auto"/>
              </w:rPr>
            </w:pPr>
            <w:r>
              <w:rPr>
                <w:rFonts w:ascii="Arial" w:cs="Arial" w:eastAsia="Arial" w:hAnsi="Arial"/>
                <w:sz w:val="11"/>
                <w:szCs w:val="11"/>
                <w:b w:val="1"/>
                <w:bCs w:val="1"/>
                <w:color w:val="auto"/>
                <w:w w:val="93"/>
              </w:rPr>
              <w:t>Change %</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5"/>
              <w:spacing w:after="0" w:line="101" w:lineRule="exact"/>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center"/>
              <w:ind w:right="55"/>
              <w:spacing w:after="0" w:line="101" w:lineRule="exact"/>
              <w:rPr>
                <w:sz w:val="20"/>
                <w:szCs w:val="20"/>
                <w:color w:val="auto"/>
              </w:rPr>
            </w:pPr>
            <w:r>
              <w:rPr>
                <w:rFonts w:ascii="Arial" w:cs="Arial" w:eastAsia="Arial" w:hAnsi="Arial"/>
                <w:sz w:val="11"/>
                <w:szCs w:val="11"/>
                <w:b w:val="1"/>
                <w:bCs w:val="1"/>
                <w:color w:val="auto"/>
                <w:w w:val="89"/>
              </w:rPr>
              <w:t>2009</w:t>
            </w:r>
          </w:p>
        </w:tc>
        <w:tc>
          <w:tcPr>
            <w:tcW w:w="42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11"/>
                <w:szCs w:val="11"/>
                <w:b w:val="1"/>
                <w:bCs w:val="1"/>
                <w:color w:val="auto"/>
                <w:w w:val="97"/>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1"/>
        </w:trPr>
        <w:tc>
          <w:tcPr>
            <w:tcW w:w="4600" w:type="dxa"/>
            <w:vAlign w:val="bottom"/>
            <w:gridSpan w:val="2"/>
          </w:tcPr>
          <w:p>
            <w:pPr>
              <w:spacing w:after="0"/>
              <w:rPr>
                <w:sz w:val="20"/>
                <w:szCs w:val="20"/>
                <w:color w:val="auto"/>
              </w:rPr>
            </w:pPr>
            <w:r>
              <w:rPr>
                <w:rFonts w:ascii="Arial" w:cs="Arial" w:eastAsia="Arial" w:hAnsi="Arial"/>
                <w:sz w:val="13"/>
                <w:szCs w:val="13"/>
                <w:color w:val="auto"/>
              </w:rPr>
              <w:t>Contractual adjustments</w:t>
            </w:r>
          </w:p>
        </w:tc>
        <w:tc>
          <w:tcPr>
            <w:tcW w:w="8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66.4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50.9</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122.3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92.7</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61"/>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Returns</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reserves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88.4</w:t>
            </w:r>
          </w:p>
        </w:tc>
        <w:tc>
          <w:tcPr>
            <w:tcW w:w="1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center"/>
              <w:ind w:left="15"/>
              <w:spacing w:after="0"/>
              <w:rPr>
                <w:sz w:val="20"/>
                <w:szCs w:val="20"/>
                <w:color w:val="auto"/>
              </w:rPr>
            </w:pPr>
            <w:r>
              <w:rPr>
                <w:rFonts w:ascii="Arial" w:cs="Arial" w:eastAsia="Arial" w:hAnsi="Arial"/>
                <w:sz w:val="13"/>
                <w:szCs w:val="13"/>
                <w:color w:val="auto"/>
                <w:w w:val="86"/>
              </w:rPr>
              <w:t>73.7</w:t>
            </w:r>
          </w:p>
        </w:tc>
        <w:tc>
          <w:tcPr>
            <w:tcW w:w="420" w:type="dxa"/>
            <w:vAlign w:val="bottom"/>
            <w:vMerge w:val="continue"/>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19.9%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168.2</w:t>
            </w:r>
          </w:p>
        </w:tc>
        <w:tc>
          <w:tcPr>
            <w:tcW w:w="2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138.6</w:t>
            </w:r>
          </w:p>
        </w:tc>
        <w:tc>
          <w:tcPr>
            <w:tcW w:w="420" w:type="dxa"/>
            <w:vAlign w:val="bottom"/>
            <w:vMerge w:val="continue"/>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Gross product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w w:val="85"/>
              </w:rPr>
              <w:t>947.6</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w w:val="92"/>
              </w:rPr>
              <w:t>864.7</w:t>
            </w:r>
          </w:p>
        </w:tc>
        <w:tc>
          <w:tcPr>
            <w:tcW w:w="104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1,851.7</w:t>
            </w:r>
          </w:p>
        </w:tc>
        <w:tc>
          <w:tcPr>
            <w:tcW w:w="340" w:type="dxa"/>
            <w:vAlign w:val="bottom"/>
            <w:gridSpan w:val="2"/>
            <w:shd w:val="clear" w:color="auto" w:fill="CCEEFF"/>
          </w:tcPr>
          <w:p>
            <w:pPr>
              <w:jc w:val="right"/>
              <w:ind w:right="10"/>
              <w:spacing w:after="0" w:line="142"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3"/>
                <w:szCs w:val="13"/>
                <w:color w:val="auto"/>
              </w:rPr>
              <w:t>1,663.0</w:t>
            </w:r>
          </w:p>
        </w:tc>
        <w:tc>
          <w:tcPr>
            <w:tcW w:w="7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9.3%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Arial" w:cs="Arial" w:eastAsia="Arial" w:hAnsi="Arial"/>
                <w:sz w:val="13"/>
                <w:szCs w:val="13"/>
                <w:color w:val="auto"/>
              </w:rPr>
              <w:t>8.5%</w:t>
            </w:r>
          </w:p>
        </w:tc>
        <w:tc>
          <w:tcPr>
            <w:tcW w:w="104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9.4%</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3"/>
                <w:szCs w:val="13"/>
                <w:color w:val="auto"/>
              </w:rPr>
              <w:t>8.3%</w:t>
            </w:r>
          </w:p>
        </w:tc>
        <w:tc>
          <w:tcPr>
            <w:tcW w:w="7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Discount reserves include trade term discounts and wholesaler incentives. For the three and six months ended June 30, 2010 compared to the same periods in 2009, the increase in discounts was primarily driven by increases in trade term discounts and wholesaler incentives as a result of increased sales.</w:t>
      </w:r>
    </w:p>
    <w:p>
      <w:pPr>
        <w:spacing w:after="0" w:line="47" w:lineRule="exact"/>
        <w:rPr>
          <w:sz w:val="20"/>
          <w:szCs w:val="20"/>
          <w:color w:val="auto"/>
        </w:rPr>
      </w:pPr>
    </w:p>
    <w:p>
      <w:pPr>
        <w:ind w:left="680" w:right="400" w:firstLine="399"/>
        <w:spacing w:after="0" w:line="309" w:lineRule="auto"/>
        <w:rPr>
          <w:sz w:val="20"/>
          <w:szCs w:val="20"/>
          <w:color w:val="auto"/>
        </w:rPr>
      </w:pPr>
      <w:r>
        <w:rPr>
          <w:rFonts w:ascii="Arial" w:cs="Arial" w:eastAsia="Arial" w:hAnsi="Arial"/>
          <w:sz w:val="12"/>
          <w:szCs w:val="12"/>
          <w:color w:val="auto"/>
        </w:rPr>
        <w:t>Contractual adjustment reserves relate to Medicaid and managed care rebates, VA and PHS discounts and other applicable allowances. For the three and six months ended June 30, 2010 compared to the same periods in 2009, contractual adjustments increased primarily due to the impact of higher contractual rebates and discounts resulting from U.S. healthcare reform legislation passed in March 2010, increased activity under managed care programs and increased rebates and discounts resulting from U.S. price increases.</w:t>
      </w:r>
    </w:p>
    <w:p>
      <w:pPr>
        <w:spacing w:after="0" w:line="41" w:lineRule="exact"/>
        <w:rPr>
          <w:sz w:val="20"/>
          <w:szCs w:val="20"/>
          <w:color w:val="auto"/>
        </w:rPr>
      </w:pPr>
    </w:p>
    <w:p>
      <w:pPr>
        <w:jc w:val="both"/>
        <w:ind w:left="680" w:right="260" w:firstLine="399"/>
        <w:spacing w:after="0" w:line="276" w:lineRule="auto"/>
        <w:rPr>
          <w:sz w:val="20"/>
          <w:szCs w:val="20"/>
          <w:color w:val="auto"/>
        </w:rPr>
      </w:pPr>
      <w:r>
        <w:rPr>
          <w:rFonts w:ascii="Arial" w:cs="Arial" w:eastAsia="Arial" w:hAnsi="Arial"/>
          <w:sz w:val="13"/>
          <w:szCs w:val="13"/>
          <w:color w:val="auto"/>
        </w:rPr>
        <w:t>Product return reserves are established for returns made by wholesalers. In accordance with contractual terms, wholesalers are permitted to return product for reasons such as damaged or expired product. We also accept returns from our patients for various reasons. For the three and six months ended June 30, 2010 compared to the same periods in 2009, return reserves remained relatively unchanged.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Healthcare Reform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March 2010, healthcare reform legislation was enacted in the U.S. This legislation contains several provisions that impact our business.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Although many provisions of the new legislation do not take effect immediately, several provisions became effective in the first quarter of 2010. These include (1) an increase in the minimum Medicaid rebate to states participating in the Medicaid program from 15.1% to 23.1% on our branded prescription drugs; (2) the extension of the Medicaid rebate to Managed Care Organizations that dispense drugs to Medicaid beneficiaries; and (3) the expansion of the 340(B) Public Health Services drug pricing program, which provides outpatient drugs at reduced rates, to include additional hospitals, clinics, and healthcare centers.</w:t>
      </w:r>
    </w:p>
    <w:p>
      <w:pPr>
        <w:spacing w:after="0" w:line="63"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Beginning in 2011, the new law requires drug manufacturers to provide a 50% discount to Medicare beneficiaries whose prescription drug costs cause them to be subject to the Medicare Part D coverage gap (i.e. the “donut hole”). Also, beginning in 2011, we will be assessed our share of a new fee payable by all branded prescription drug manufacturers and importers. This fee will be calculated based upon each organization’s percentage share of total branded prescription drug sales to U.S. government programs (such as Medicare, Medicaid and VA and PHS discount programs) made during the previous year. The aggregated industry wide fee is expected to total $28 billion through 2019, ranging from $2.5 billion to $4.1 billion annually.</w:t>
      </w:r>
    </w:p>
    <w:p>
      <w:pPr>
        <w:spacing w:after="0" w:line="65" w:lineRule="exact"/>
        <w:rPr>
          <w:sz w:val="20"/>
          <w:szCs w:val="20"/>
          <w:color w:val="auto"/>
        </w:rPr>
      </w:pPr>
    </w:p>
    <w:p>
      <w:pPr>
        <w:ind w:left="680" w:right="40" w:firstLine="399"/>
        <w:spacing w:after="0" w:line="292" w:lineRule="auto"/>
        <w:rPr>
          <w:sz w:val="20"/>
          <w:szCs w:val="20"/>
          <w:color w:val="auto"/>
        </w:rPr>
      </w:pPr>
      <w:r>
        <w:rPr>
          <w:rFonts w:ascii="Arial" w:cs="Arial" w:eastAsia="Arial" w:hAnsi="Arial"/>
          <w:sz w:val="12"/>
          <w:szCs w:val="12"/>
          <w:color w:val="auto"/>
        </w:rPr>
        <w:t>The manner in which this new legislation will be implemented is still being formulated. For example, the Health Resources and Services Administration (HRSA) is developing policy and implementation plans and building system capacity necessary to enroll new covered entities that are impacted by the new legislation. This will allow HRSA to begin working directly with new eligible entities and enrolling them in the 340(B) program. As a result, we do not yet know when and how discounts will be provided to the additional entities eligible to participate under the 340(B) program. In addition, the operation of the Medicare Part D coverage gap and the calculation and allocation of the annual fee on branded prescription drugs remains unclear, though, as noted above, these programs will not be effective until 2011. Accordingly, our estimate of the financial impact of this legislation on our business is based on numerous assumptions about the implementation of this new legislation and actual results may differ from our estimate.</w:t>
      </w:r>
    </w:p>
    <w:p>
      <w:pPr>
        <w:spacing w:after="0" w:line="51"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Based upon our latest estimates, we expect that the new legislation will reduce our revenues in 2010 by approximately $40.0 to $60.0 million as a result of the higher rebates and discounts on our products. The decrease from our first quarter estimate of the full year impact of this new legislation on our 2010 revenues is primarily driven by our expectation that fewer entities will be eligible for enrollment in the 340(B) program. We continue to assess and refine our estimates. We are still assessing the full extent of this legislation’s near and longer term impact on our business.</w:t>
      </w:r>
    </w:p>
    <w:p>
      <w:pPr>
        <w:spacing w:after="0" w:line="63"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While certain aspects of the new legislation implemented in 2010 are expected to reduce our revenues in 2010 and in future years, other provisions of this legislation may offset, at some level, any reduction in revenues when these provisions become effective. In future years, these other provisions are expected to result in higher revenues due to an increase in the total number of patients covered by health insurance and an expectation that existing insurance coverage will provide more comprehensive consumer protections. This would include a federal subsidy for a portion of a beneficiary’s out-of-pocket cost under Medicare Part D. However, the favorable results experienced as a result of the increase in patients are expected to be offset by the branded prescription drug manufacturers’ fee, which becomes effective in 2011.</w:t>
      </w:r>
    </w:p>
    <w:p>
      <w:pPr>
        <w:spacing w:after="0" w:line="65"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In addition, we anticipate seeing continued efforts to reduce healthcare costs in many countries outside the U.S. as these countries attempt to manage increasing healthcare expenditures, especially in light of the global economic downturn and the European sovereign debt crisis. For example, certain governments of countries in which we operate have already implemented or may implement measures to reduce or control healthcare costs that, among other things, include imposed price reductions, suspensions on pricing increases on pharmaceuticals, increased mandatory discounts or rebates or seek recoveries of past price increases. Certain measures already implemented have negatively impacted our revenues. Our revenues will be further negatively impacted if these or similar measures continue to be implemented.</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Costs and Expenses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costs and expenses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0"/>
              </w:rPr>
              <w:t>For the Three Months</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8"/>
              </w:rPr>
              <w:t>For the Six Months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Ended June 30,</w:t>
            </w: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w w:val="86"/>
              </w:rPr>
              <w:t>Ended June 30,</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80"/>
              <w:spacing w:after="0" w:line="101" w:lineRule="exact"/>
              <w:rPr>
                <w:sz w:val="20"/>
                <w:szCs w:val="20"/>
                <w:color w:val="auto"/>
              </w:rPr>
            </w:pPr>
            <w:r>
              <w:rPr>
                <w:rFonts w:ascii="Arial" w:cs="Arial" w:eastAsia="Arial" w:hAnsi="Arial"/>
                <w:sz w:val="11"/>
                <w:szCs w:val="11"/>
                <w:b w:val="1"/>
                <w:bCs w:val="1"/>
                <w:color w:val="auto"/>
                <w:w w:val="97"/>
              </w:rPr>
              <w:t>2010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100"/>
              <w:spacing w:after="0" w:line="101" w:lineRule="exact"/>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8"/>
                <w:szCs w:val="8"/>
                <w:color w:val="auto"/>
              </w:rPr>
            </w:pPr>
          </w:p>
        </w:tc>
        <w:tc>
          <w:tcPr>
            <w:tcW w:w="580" w:type="dxa"/>
            <w:vAlign w:val="bottom"/>
          </w:tcPr>
          <w:p>
            <w:pPr>
              <w:ind w:left="60"/>
              <w:spacing w:after="0" w:line="101" w:lineRule="exact"/>
              <w:rPr>
                <w:sz w:val="20"/>
                <w:szCs w:val="20"/>
                <w:color w:val="auto"/>
              </w:rPr>
            </w:pPr>
            <w:r>
              <w:rPr>
                <w:rFonts w:ascii="Arial" w:cs="Arial" w:eastAsia="Arial" w:hAnsi="Arial"/>
                <w:sz w:val="11"/>
                <w:szCs w:val="11"/>
                <w:b w:val="1"/>
                <w:bCs w:val="1"/>
                <w:color w:val="auto"/>
                <w:w w:val="93"/>
              </w:rPr>
              <w:t>Change %</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20"/>
              <w:spacing w:after="0" w:line="10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center"/>
              <w:ind w:right="60"/>
              <w:spacing w:after="0" w:line="101" w:lineRule="exact"/>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11"/>
                <w:szCs w:val="11"/>
                <w:b w:val="1"/>
                <w:bCs w:val="1"/>
                <w:color w:val="auto"/>
                <w:w w:val="97"/>
              </w:rPr>
              <w:t>Change %</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4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sales, excluding amortization of acquired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90.7</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17.9%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188.9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51"/>
        </w:trPr>
        <w:tc>
          <w:tcPr>
            <w:tcW w:w="450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331.7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color w:val="auto"/>
              </w:rPr>
              <w:t>416.5</w:t>
            </w:r>
          </w:p>
        </w:tc>
        <w:tc>
          <w:tcPr>
            <w:tcW w:w="1020" w:type="dxa"/>
            <w:vAlign w:val="bottom"/>
            <w:gridSpan w:val="2"/>
          </w:tcPr>
          <w:p>
            <w:pPr>
              <w:jc w:val="right"/>
              <w:ind w:right="280"/>
              <w:spacing w:after="0"/>
              <w:rPr>
                <w:sz w:val="20"/>
                <w:szCs w:val="20"/>
                <w:color w:val="auto"/>
              </w:rPr>
            </w:pPr>
            <w:r>
              <w:rPr>
                <w:rFonts w:ascii="Arial" w:cs="Arial" w:eastAsia="Arial" w:hAnsi="Arial"/>
                <w:sz w:val="12"/>
                <w:szCs w:val="12"/>
                <w:color w:val="auto"/>
              </w:rPr>
              <w:t>(20.4)%</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638.7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695.9</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51"/>
        </w:trPr>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220.8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18.8%</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511.0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442.7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51"/>
        </w:trPr>
        <w:tc>
          <w:tcPr>
            <w:tcW w:w="4500" w:type="dxa"/>
            <w:vAlign w:val="bottom"/>
            <w:gridSpan w:val="2"/>
          </w:tcPr>
          <w:p>
            <w:pPr>
              <w:spacing w:after="0"/>
              <w:rPr>
                <w:sz w:val="20"/>
                <w:szCs w:val="20"/>
                <w:color w:val="auto"/>
              </w:rPr>
            </w:pPr>
            <w:r>
              <w:rPr>
                <w:rFonts w:ascii="Arial" w:cs="Arial" w:eastAsia="Arial" w:hAnsi="Arial"/>
                <w:sz w:val="12"/>
                <w:szCs w:val="12"/>
                <w:color w:val="auto"/>
              </w:rPr>
              <w:t>Collaboration profit sharing</w:t>
            </w: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62.7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color w:val="auto"/>
              </w:rPr>
              <w:t>49.1</w:t>
            </w:r>
          </w:p>
        </w:tc>
        <w:tc>
          <w:tcPr>
            <w:tcW w:w="1020" w:type="dxa"/>
            <w:vAlign w:val="bottom"/>
            <w:gridSpan w:val="2"/>
          </w:tcPr>
          <w:p>
            <w:pPr>
              <w:jc w:val="right"/>
              <w:ind w:right="320"/>
              <w:spacing w:after="0"/>
              <w:rPr>
                <w:sz w:val="20"/>
                <w:szCs w:val="20"/>
                <w:color w:val="auto"/>
              </w:rPr>
            </w:pPr>
            <w:r>
              <w:rPr>
                <w:rFonts w:ascii="Arial" w:cs="Arial" w:eastAsia="Arial" w:hAnsi="Arial"/>
                <w:sz w:val="12"/>
                <w:szCs w:val="12"/>
                <w:color w:val="auto"/>
              </w:rPr>
              <w:t>27.6%</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126.2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91.9</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51"/>
        </w:trPr>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acquired intangible assets</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53.1</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93.2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(43.0)%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182.5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(44.1)%</w:t>
            </w:r>
          </w:p>
        </w:tc>
        <w:tc>
          <w:tcPr>
            <w:tcW w:w="0" w:type="dxa"/>
            <w:vAlign w:val="bottom"/>
          </w:tcPr>
          <w:p>
            <w:pPr>
              <w:spacing w:after="0"/>
              <w:rPr>
                <w:sz w:val="1"/>
                <w:szCs w:val="1"/>
                <w:color w:val="auto"/>
              </w:rPr>
            </w:pPr>
          </w:p>
        </w:tc>
      </w:tr>
      <w:tr>
        <w:trPr>
          <w:trHeight w:val="151"/>
        </w:trPr>
        <w:tc>
          <w:tcPr>
            <w:tcW w:w="4500" w:type="dxa"/>
            <w:vAlign w:val="bottom"/>
            <w:gridSpan w:val="2"/>
          </w:tcPr>
          <w:p>
            <w:pPr>
              <w:spacing w:after="0"/>
              <w:rPr>
                <w:sz w:val="20"/>
                <w:szCs w:val="20"/>
                <w:color w:val="auto"/>
              </w:rPr>
            </w:pPr>
            <w:r>
              <w:rPr>
                <w:rFonts w:ascii="Arial" w:cs="Arial" w:eastAsia="Arial" w:hAnsi="Arial"/>
                <w:sz w:val="12"/>
                <w:szCs w:val="12"/>
                <w:color w:val="auto"/>
              </w:rPr>
              <w:t>Acquired in-process research and development</w:t>
            </w: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40.0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816.8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870.4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1,622.0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1,601.9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Sales, Excluding Amortization of Acquired Intangible Assets (Cost of Sales)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For the Three Months</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gridSpan w:val="2"/>
          </w:tcPr>
          <w:p>
            <w:pPr>
              <w:jc w:val="center"/>
              <w:ind w:left="120"/>
              <w:spacing w:after="0"/>
              <w:rPr>
                <w:sz w:val="20"/>
                <w:szCs w:val="20"/>
                <w:color w:val="auto"/>
              </w:rPr>
            </w:pPr>
            <w:r>
              <w:rPr>
                <w:rFonts w:ascii="Arial" w:cs="Arial" w:eastAsia="Arial" w:hAnsi="Arial"/>
                <w:sz w:val="11"/>
                <w:szCs w:val="11"/>
                <w:b w:val="1"/>
                <w:bCs w:val="1"/>
                <w:color w:val="auto"/>
                <w:w w:val="88"/>
              </w:rPr>
              <w:t>For the Six Months</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04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vMerge w:val="restart"/>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86"/>
              </w:rPr>
              <w:t>Ended June 30,</w:t>
            </w: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Ended June 30,</w:t>
            </w: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4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60" w:type="dxa"/>
            <w:vAlign w:val="bottom"/>
            <w:tcBorders>
              <w:bottom w:val="single" w:sz="8" w:color="auto"/>
            </w:tcBorders>
          </w:tcPr>
          <w:p>
            <w:pPr>
              <w:jc w:val="right"/>
              <w:ind w:right="160"/>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580" w:type="dxa"/>
            <w:vAlign w:val="bottom"/>
            <w:tcBorders>
              <w:bottom w:val="single" w:sz="8" w:color="auto"/>
            </w:tcBorders>
          </w:tcPr>
          <w:p>
            <w:pPr>
              <w:jc w:val="right"/>
              <w:ind w:right="126"/>
              <w:spacing w:after="0" w:line="101" w:lineRule="exact"/>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00"/>
              <w:spacing w:after="0" w:line="101" w:lineRule="exact"/>
              <w:rPr>
                <w:sz w:val="20"/>
                <w:szCs w:val="20"/>
                <w:color w:val="auto"/>
              </w:rPr>
            </w:pPr>
            <w:r>
              <w:rPr>
                <w:rFonts w:ascii="Arial" w:cs="Arial" w:eastAsia="Arial" w:hAnsi="Arial"/>
                <w:sz w:val="11"/>
                <w:szCs w:val="11"/>
                <w:b w:val="1"/>
                <w:bCs w:val="1"/>
                <w:color w:val="auto"/>
              </w:rPr>
              <w:t>Change %</w:t>
            </w:r>
          </w:p>
        </w:tc>
        <w:tc>
          <w:tcPr>
            <w:tcW w:w="260" w:type="dxa"/>
            <w:vAlign w:val="bottom"/>
          </w:tcPr>
          <w:p>
            <w:pPr>
              <w:spacing w:after="0"/>
              <w:rPr>
                <w:sz w:val="8"/>
                <w:szCs w:val="8"/>
                <w:color w:val="auto"/>
              </w:rPr>
            </w:pPr>
          </w:p>
        </w:tc>
        <w:tc>
          <w:tcPr>
            <w:tcW w:w="820" w:type="dxa"/>
            <w:vAlign w:val="bottom"/>
            <w:tcBorders>
              <w:bottom w:val="single" w:sz="8" w:color="auto"/>
            </w:tcBorders>
          </w:tcPr>
          <w:p>
            <w:pPr>
              <w:jc w:val="right"/>
              <w:ind w:right="246"/>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840" w:type="dxa"/>
            <w:vAlign w:val="bottom"/>
            <w:tcBorders>
              <w:bottom w:val="single" w:sz="8" w:color="auto"/>
            </w:tcBorders>
          </w:tcPr>
          <w:p>
            <w:pPr>
              <w:jc w:val="right"/>
              <w:ind w:right="24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740" w:type="dxa"/>
            <w:vAlign w:val="bottom"/>
            <w:tcBorders>
              <w:bottom w:val="single" w:sz="8" w:color="auto"/>
            </w:tcBorders>
          </w:tcPr>
          <w:p>
            <w:pPr>
              <w:jc w:val="right"/>
              <w:ind w:right="66"/>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91"/>
        </w:trPr>
        <w:tc>
          <w:tcPr>
            <w:tcW w:w="4220" w:type="dxa"/>
            <w:vAlign w:val="bottom"/>
            <w:gridSpan w:val="2"/>
          </w:tcPr>
          <w:p>
            <w:pPr>
              <w:spacing w:after="0"/>
              <w:rPr>
                <w:sz w:val="20"/>
                <w:szCs w:val="20"/>
                <w:color w:val="auto"/>
              </w:rPr>
            </w:pPr>
            <w:r>
              <w:rPr>
                <w:rFonts w:ascii="Arial" w:cs="Arial" w:eastAsia="Arial" w:hAnsi="Arial"/>
                <w:sz w:val="13"/>
                <w:szCs w:val="13"/>
                <w:color w:val="auto"/>
              </w:rPr>
              <w:t>Cost of sales</w:t>
            </w:r>
          </w:p>
        </w:tc>
        <w:tc>
          <w:tcPr>
            <w:tcW w:w="660" w:type="dxa"/>
            <w:vAlign w:val="bottom"/>
          </w:tcPr>
          <w:p>
            <w:pPr>
              <w:jc w:val="right"/>
              <w:ind w:right="120"/>
              <w:spacing w:after="0"/>
              <w:rPr>
                <w:sz w:val="20"/>
                <w:szCs w:val="20"/>
                <w:color w:val="auto"/>
              </w:rPr>
            </w:pPr>
            <w:r>
              <w:rPr>
                <w:rFonts w:ascii="Arial" w:cs="Arial" w:eastAsia="Arial" w:hAnsi="Arial"/>
                <w:sz w:val="13"/>
                <w:szCs w:val="13"/>
                <w:color w:val="auto"/>
              </w:rPr>
              <w:t>$107.0</w:t>
            </w:r>
          </w:p>
        </w:tc>
        <w:tc>
          <w:tcPr>
            <w:tcW w:w="840" w:type="dxa"/>
            <w:vAlign w:val="bottom"/>
            <w:gridSpan w:val="2"/>
          </w:tcPr>
          <w:p>
            <w:pPr>
              <w:jc w:val="right"/>
              <w:ind w:right="106"/>
              <w:spacing w:after="0"/>
              <w:rPr>
                <w:sz w:val="20"/>
                <w:szCs w:val="20"/>
                <w:color w:val="auto"/>
              </w:rPr>
            </w:pPr>
            <w:r>
              <w:rPr>
                <w:rFonts w:ascii="Arial" w:cs="Arial" w:eastAsia="Arial" w:hAnsi="Arial"/>
                <w:sz w:val="13"/>
                <w:szCs w:val="13"/>
                <w:color w:val="auto"/>
              </w:rPr>
              <w:t>$90.7</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20"/>
              <w:spacing w:after="0"/>
              <w:rPr>
                <w:sz w:val="20"/>
                <w:szCs w:val="20"/>
                <w:color w:val="auto"/>
              </w:rPr>
            </w:pPr>
            <w:r>
              <w:rPr>
                <w:rFonts w:ascii="Arial" w:cs="Arial" w:eastAsia="Arial" w:hAnsi="Arial"/>
                <w:sz w:val="13"/>
                <w:szCs w:val="13"/>
                <w:color w:val="auto"/>
              </w:rPr>
              <w:t>17.9%</w:t>
            </w:r>
          </w:p>
        </w:tc>
        <w:tc>
          <w:tcPr>
            <w:tcW w:w="1080" w:type="dxa"/>
            <w:vAlign w:val="bottom"/>
            <w:gridSpan w:val="2"/>
          </w:tcPr>
          <w:p>
            <w:pPr>
              <w:jc w:val="right"/>
              <w:ind w:right="206"/>
              <w:spacing w:after="0"/>
              <w:rPr>
                <w:sz w:val="20"/>
                <w:szCs w:val="20"/>
                <w:color w:val="auto"/>
              </w:rPr>
            </w:pPr>
            <w:r>
              <w:rPr>
                <w:rFonts w:ascii="Arial" w:cs="Arial" w:eastAsia="Arial" w:hAnsi="Arial"/>
                <w:sz w:val="13"/>
                <w:szCs w:val="13"/>
                <w:color w:val="auto"/>
              </w:rPr>
              <w:t>$204.0</w:t>
            </w:r>
          </w:p>
        </w:tc>
        <w:tc>
          <w:tcPr>
            <w:tcW w:w="1100" w:type="dxa"/>
            <w:vAlign w:val="bottom"/>
            <w:gridSpan w:val="2"/>
          </w:tcPr>
          <w:p>
            <w:pPr>
              <w:jc w:val="right"/>
              <w:ind w:right="206"/>
              <w:spacing w:after="0"/>
              <w:rPr>
                <w:sz w:val="20"/>
                <w:szCs w:val="20"/>
                <w:color w:val="auto"/>
              </w:rPr>
            </w:pPr>
            <w:r>
              <w:rPr>
                <w:rFonts w:ascii="Arial" w:cs="Arial" w:eastAsia="Arial" w:hAnsi="Arial"/>
                <w:sz w:val="13"/>
                <w:szCs w:val="13"/>
                <w:color w:val="auto"/>
              </w:rPr>
              <w:t>$188.9</w:t>
            </w:r>
          </w:p>
        </w:tc>
        <w:tc>
          <w:tcPr>
            <w:tcW w:w="1000" w:type="dxa"/>
            <w:vAlign w:val="bottom"/>
            <w:gridSpan w:val="2"/>
          </w:tcPr>
          <w:p>
            <w:pPr>
              <w:jc w:val="right"/>
              <w:ind w:right="106"/>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40" w:firstLine="399"/>
        <w:spacing w:after="0" w:line="276" w:lineRule="auto"/>
        <w:rPr>
          <w:sz w:val="20"/>
          <w:szCs w:val="20"/>
          <w:color w:val="auto"/>
        </w:rPr>
      </w:pPr>
      <w:r>
        <w:rPr>
          <w:rFonts w:ascii="Arial" w:cs="Arial" w:eastAsia="Arial" w:hAnsi="Arial"/>
          <w:sz w:val="13"/>
          <w:szCs w:val="13"/>
          <w:color w:val="auto"/>
        </w:rPr>
        <w:t>For the three and six months ended June 30, 2010 compared to the same periods in 2009, the increase in cost of sales was primarily due to higher sales volume and a $5.5 million increase in costs associated with contract manufacturing activity for the supply of AMEVIVE. In addition, we also incurred a $6.7 million period expense in the second quarter of 2010 related to the shutdown of our manufacturing facility in Research Triangle Park, North Carolina, for capital upgrades.</w:t>
      </w:r>
    </w:p>
    <w:p>
      <w:pPr>
        <w:spacing w:after="0" w:line="59" w:lineRule="exact"/>
        <w:rPr>
          <w:sz w:val="20"/>
          <w:szCs w:val="20"/>
          <w:color w:val="auto"/>
        </w:rPr>
      </w:pPr>
    </w:p>
    <w:p>
      <w:pPr>
        <w:jc w:val="both"/>
        <w:ind w:left="680" w:right="20" w:firstLine="399"/>
        <w:spacing w:after="0" w:line="294" w:lineRule="auto"/>
        <w:rPr>
          <w:sz w:val="20"/>
          <w:szCs w:val="20"/>
          <w:color w:val="auto"/>
        </w:rPr>
      </w:pPr>
      <w:r>
        <w:rPr>
          <w:rFonts w:ascii="Arial" w:cs="Arial" w:eastAsia="Arial" w:hAnsi="Arial"/>
          <w:sz w:val="13"/>
          <w:szCs w:val="13"/>
          <w:color w:val="auto"/>
        </w:rPr>
        <w:t>Amounts written down related to unmarketable inventory are charged to cost of sales, and totaled $3.4 million and $5.7 million for the three and six months ended June 30, 2010, respectively, as compared to $2.1 million and $11.5 million in the prior year comparative periods.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w w:val="90"/>
              </w:rPr>
              <w:t>For the Three Months</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8"/>
              </w:rPr>
              <w:t>For the Six Months</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8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60" w:type="dxa"/>
            <w:vAlign w:val="bottom"/>
            <w:vMerge w:val="restart"/>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86"/>
              </w:rPr>
              <w:t>Ended June 30,</w:t>
            </w: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6"/>
              </w:rPr>
              <w:t>Ended June 30,</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98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60" w:type="dxa"/>
            <w:vAlign w:val="bottom"/>
            <w:tcBorders>
              <w:bottom w:val="single" w:sz="8" w:color="auto"/>
            </w:tcBorders>
          </w:tcPr>
          <w:p>
            <w:pPr>
              <w:jc w:val="right"/>
              <w:ind w:right="160"/>
              <w:spacing w:after="0" w:line="101" w:lineRule="exact"/>
              <w:rPr>
                <w:sz w:val="20"/>
                <w:szCs w:val="20"/>
                <w:color w:val="auto"/>
              </w:rPr>
            </w:pPr>
            <w:r>
              <w:rPr>
                <w:rFonts w:ascii="Arial" w:cs="Arial" w:eastAsia="Arial" w:hAnsi="Arial"/>
                <w:sz w:val="11"/>
                <w:szCs w:val="11"/>
                <w:b w:val="1"/>
                <w:bCs w:val="1"/>
                <w:color w:val="auto"/>
              </w:rPr>
              <w:t>2010</w:t>
            </w:r>
          </w:p>
        </w:tc>
        <w:tc>
          <w:tcPr>
            <w:tcW w:w="240" w:type="dxa"/>
            <w:vAlign w:val="bottom"/>
          </w:tcPr>
          <w:p>
            <w:pPr>
              <w:spacing w:after="0"/>
              <w:rPr>
                <w:sz w:val="8"/>
                <w:szCs w:val="8"/>
                <w:color w:val="auto"/>
              </w:rPr>
            </w:pPr>
          </w:p>
        </w:tc>
        <w:tc>
          <w:tcPr>
            <w:tcW w:w="64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00"/>
              <w:spacing w:after="0" w:line="101" w:lineRule="exact"/>
              <w:rPr>
                <w:sz w:val="20"/>
                <w:szCs w:val="20"/>
                <w:color w:val="auto"/>
              </w:rPr>
            </w:pPr>
            <w:r>
              <w:rPr>
                <w:rFonts w:ascii="Arial" w:cs="Arial" w:eastAsia="Arial" w:hAnsi="Arial"/>
                <w:sz w:val="11"/>
                <w:szCs w:val="11"/>
                <w:b w:val="1"/>
                <w:bCs w:val="1"/>
                <w:color w:val="auto"/>
              </w:rPr>
              <w:t>Change %</w:t>
            </w:r>
          </w:p>
        </w:tc>
        <w:tc>
          <w:tcPr>
            <w:tcW w:w="260" w:type="dxa"/>
            <w:vAlign w:val="bottom"/>
          </w:tcPr>
          <w:p>
            <w:pPr>
              <w:spacing w:after="0"/>
              <w:rPr>
                <w:sz w:val="8"/>
                <w:szCs w:val="8"/>
                <w:color w:val="auto"/>
              </w:rPr>
            </w:pPr>
          </w:p>
        </w:tc>
        <w:tc>
          <w:tcPr>
            <w:tcW w:w="820" w:type="dxa"/>
            <w:vAlign w:val="bottom"/>
            <w:tcBorders>
              <w:bottom w:val="single" w:sz="8" w:color="auto"/>
            </w:tcBorders>
          </w:tcPr>
          <w:p>
            <w:pPr>
              <w:jc w:val="right"/>
              <w:ind w:right="246"/>
              <w:spacing w:after="0" w:line="101" w:lineRule="exact"/>
              <w:rPr>
                <w:sz w:val="20"/>
                <w:szCs w:val="20"/>
                <w:color w:val="auto"/>
              </w:rPr>
            </w:pPr>
            <w:r>
              <w:rPr>
                <w:rFonts w:ascii="Arial" w:cs="Arial" w:eastAsia="Arial" w:hAnsi="Arial"/>
                <w:sz w:val="11"/>
                <w:szCs w:val="11"/>
                <w:b w:val="1"/>
                <w:bCs w:val="1"/>
                <w:color w:val="auto"/>
              </w:rPr>
              <w:t>2010</w:t>
            </w:r>
          </w:p>
        </w:tc>
        <w:tc>
          <w:tcPr>
            <w:tcW w:w="240" w:type="dxa"/>
            <w:vAlign w:val="bottom"/>
          </w:tcPr>
          <w:p>
            <w:pPr>
              <w:spacing w:after="0"/>
              <w:rPr>
                <w:sz w:val="8"/>
                <w:szCs w:val="8"/>
                <w:color w:val="auto"/>
              </w:rPr>
            </w:pPr>
          </w:p>
        </w:tc>
        <w:tc>
          <w:tcPr>
            <w:tcW w:w="84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89"/>
              </w:rPr>
              <w:t>2009</w:t>
            </w:r>
          </w:p>
        </w:tc>
        <w:tc>
          <w:tcPr>
            <w:tcW w:w="260" w:type="dxa"/>
            <w:vAlign w:val="bottom"/>
          </w:tcPr>
          <w:p>
            <w:pPr>
              <w:spacing w:after="0"/>
              <w:rPr>
                <w:sz w:val="8"/>
                <w:szCs w:val="8"/>
                <w:color w:val="auto"/>
              </w:rPr>
            </w:pPr>
          </w:p>
        </w:tc>
        <w:tc>
          <w:tcPr>
            <w:tcW w:w="780" w:type="dxa"/>
            <w:vAlign w:val="bottom"/>
            <w:tcBorders>
              <w:bottom w:val="single" w:sz="8" w:color="auto"/>
            </w:tcBorders>
          </w:tcPr>
          <w:p>
            <w:pPr>
              <w:jc w:val="right"/>
              <w:ind w:right="80"/>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91"/>
        </w:trPr>
        <w:tc>
          <w:tcPr>
            <w:tcW w:w="4140" w:type="dxa"/>
            <w:vAlign w:val="bottom"/>
            <w:gridSpan w:val="2"/>
          </w:tcPr>
          <w:p>
            <w:pPr>
              <w:spacing w:after="0"/>
              <w:rPr>
                <w:sz w:val="20"/>
                <w:szCs w:val="20"/>
                <w:color w:val="auto"/>
              </w:rPr>
            </w:pPr>
            <w:r>
              <w:rPr>
                <w:rFonts w:ascii="Arial" w:cs="Arial" w:eastAsia="Arial" w:hAnsi="Arial"/>
                <w:sz w:val="13"/>
                <w:szCs w:val="13"/>
                <w:color w:val="auto"/>
              </w:rPr>
              <w:t>Research and development</w:t>
            </w:r>
          </w:p>
        </w:tc>
        <w:tc>
          <w:tcPr>
            <w:tcW w:w="660" w:type="dxa"/>
            <w:vAlign w:val="bottom"/>
          </w:tcPr>
          <w:p>
            <w:pPr>
              <w:jc w:val="right"/>
              <w:ind w:right="120"/>
              <w:spacing w:after="0"/>
              <w:rPr>
                <w:sz w:val="20"/>
                <w:szCs w:val="20"/>
                <w:color w:val="auto"/>
              </w:rPr>
            </w:pPr>
            <w:r>
              <w:rPr>
                <w:rFonts w:ascii="Arial" w:cs="Arial" w:eastAsia="Arial" w:hAnsi="Arial"/>
                <w:sz w:val="13"/>
                <w:szCs w:val="13"/>
                <w:color w:val="auto"/>
              </w:rPr>
              <w:t>$331.7</w:t>
            </w:r>
          </w:p>
        </w:tc>
        <w:tc>
          <w:tcPr>
            <w:tcW w:w="880" w:type="dxa"/>
            <w:vAlign w:val="bottom"/>
            <w:gridSpan w:val="2"/>
          </w:tcPr>
          <w:p>
            <w:pPr>
              <w:jc w:val="right"/>
              <w:ind w:right="106"/>
              <w:spacing w:after="0"/>
              <w:rPr>
                <w:sz w:val="20"/>
                <w:szCs w:val="20"/>
                <w:color w:val="auto"/>
              </w:rPr>
            </w:pPr>
            <w:r>
              <w:rPr>
                <w:rFonts w:ascii="Arial" w:cs="Arial" w:eastAsia="Arial" w:hAnsi="Arial"/>
                <w:sz w:val="13"/>
                <w:szCs w:val="13"/>
                <w:color w:val="auto"/>
              </w:rPr>
              <w:t>$416.5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(20.4)%</w:t>
            </w:r>
          </w:p>
        </w:tc>
        <w:tc>
          <w:tcPr>
            <w:tcW w:w="1080" w:type="dxa"/>
            <w:vAlign w:val="bottom"/>
            <w:gridSpan w:val="2"/>
          </w:tcPr>
          <w:p>
            <w:pPr>
              <w:jc w:val="right"/>
              <w:ind w:right="206"/>
              <w:spacing w:after="0"/>
              <w:rPr>
                <w:sz w:val="20"/>
                <w:szCs w:val="20"/>
                <w:color w:val="auto"/>
              </w:rPr>
            </w:pPr>
            <w:r>
              <w:rPr>
                <w:rFonts w:ascii="Arial" w:cs="Arial" w:eastAsia="Arial" w:hAnsi="Arial"/>
                <w:sz w:val="13"/>
                <w:szCs w:val="13"/>
                <w:color w:val="auto"/>
              </w:rPr>
              <w:t>$638.7</w:t>
            </w:r>
          </w:p>
        </w:tc>
        <w:tc>
          <w:tcPr>
            <w:tcW w:w="1080" w:type="dxa"/>
            <w:vAlign w:val="bottom"/>
            <w:gridSpan w:val="2"/>
          </w:tcPr>
          <w:p>
            <w:pPr>
              <w:jc w:val="right"/>
              <w:ind w:right="206"/>
              <w:spacing w:after="0"/>
              <w:rPr>
                <w:sz w:val="20"/>
                <w:szCs w:val="20"/>
                <w:color w:val="auto"/>
              </w:rPr>
            </w:pPr>
            <w:r>
              <w:rPr>
                <w:rFonts w:ascii="Arial" w:cs="Arial" w:eastAsia="Arial" w:hAnsi="Arial"/>
                <w:sz w:val="13"/>
                <w:szCs w:val="13"/>
                <w:color w:val="auto"/>
              </w:rPr>
              <w:t>$695.9</w:t>
            </w:r>
          </w:p>
        </w:tc>
        <w:tc>
          <w:tcPr>
            <w:tcW w:w="2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the three and six months ended June 30, 2010 compared to the same periods in 2009, the decrease in research and development expense was primarily related to the 2009</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$110.0 million upfront payment due Acorda Therapeutics, Inc (Acorda) under our collaboration and license agreement dated June 30, 2009. Our research and development expense also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decreased due to a reduction in spending in certain deprioritized programs, including Adentri, Lumiliximab, Ocrelizumab in RA and Lupus, and CDP323. These decreases were offset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by increased clinical activity related to our Factor IX and Factor VIII programs and the related restructuring of the collaboration agreement with Swedish Orphan Biovitrum, during the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first quarter of 2010, whereby we assumed full development and manufacturing responsibilities for these programs and as a result incurred increased costs. Our research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spend also increased as a result of increasing clinical trial activity for several programs including PEGylated interferon beta-1a and Daclizumab as well as our efforts to</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research and develop protocols that may reduce risk and improve outcomes of PML in patients treated with TYSABRI.</w:t>
      </w:r>
    </w:p>
    <w:p>
      <w:pPr>
        <w:spacing w:after="0" w:line="9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For the three and six months ended June 30, 2010, milestone and upfront payments due to our collaboration partners, included within research and development expense, totaled $30.0 million and $36.0 million, respectively, as compared to $119.0 million and $129.0 million in the prior year comparative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periods. Research and development expense for the three and six months ended June 30, 2010, included a $30.0 million milestone payment due Facet Biotech Corporation, a wholly-owned subsidiary of Abbott Laboratories (Facet), upon initiation of patient enrollment in a Phase 3 trial of daclizumab in relapsing MS in May 2010. The decrease for the three and six month comparative periods was the result of the 2009 $110.0 million upfront payment to Acorda.</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timing of upfront fees and milestone payments in the future may cause variability in future research and development expense.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4"/>
          </w:tcPr>
          <w:p>
            <w:pPr>
              <w:jc w:val="center"/>
              <w:ind w:left="20"/>
              <w:spacing w:after="0"/>
              <w:rPr>
                <w:sz w:val="20"/>
                <w:szCs w:val="20"/>
                <w:color w:val="auto"/>
              </w:rPr>
            </w:pPr>
            <w:r>
              <w:rPr>
                <w:rFonts w:ascii="Arial" w:cs="Arial" w:eastAsia="Arial" w:hAnsi="Arial"/>
                <w:sz w:val="11"/>
                <w:szCs w:val="11"/>
                <w:b w:val="1"/>
                <w:bCs w:val="1"/>
                <w:color w:val="auto"/>
                <w:w w:val="90"/>
              </w:rPr>
              <w:t>For the Three Months</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3"/>
          </w:tcPr>
          <w:p>
            <w:pPr>
              <w:jc w:val="center"/>
              <w:ind w:left="80"/>
              <w:spacing w:after="0"/>
              <w:rPr>
                <w:sz w:val="20"/>
                <w:szCs w:val="20"/>
                <w:color w:val="auto"/>
              </w:rPr>
            </w:pPr>
            <w:r>
              <w:rPr>
                <w:rFonts w:ascii="Arial" w:cs="Arial" w:eastAsia="Arial" w:hAnsi="Arial"/>
                <w:sz w:val="11"/>
                <w:szCs w:val="11"/>
                <w:b w:val="1"/>
                <w:bCs w:val="1"/>
                <w:color w:val="auto"/>
                <w:w w:val="88"/>
              </w:rPr>
              <w:t>For the Six Months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30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vMerge w:val="restart"/>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w w:val="86"/>
              </w:rPr>
              <w:t>Ended June 30,</w:t>
            </w: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86"/>
              </w:rPr>
              <w:t>Ended June 30,</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30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40"/>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2009</w:t>
            </w: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80"/>
              <w:spacing w:after="0" w:line="101" w:lineRule="exact"/>
              <w:rPr>
                <w:sz w:val="20"/>
                <w:szCs w:val="20"/>
                <w:color w:val="auto"/>
              </w:rPr>
            </w:pPr>
            <w:r>
              <w:rPr>
                <w:rFonts w:ascii="Arial" w:cs="Arial" w:eastAsia="Arial" w:hAnsi="Arial"/>
                <w:sz w:val="11"/>
                <w:szCs w:val="11"/>
                <w:b w:val="1"/>
                <w:bCs w:val="1"/>
                <w:color w:val="auto"/>
              </w:rPr>
              <w:t>Change %</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800" w:type="dxa"/>
            <w:vAlign w:val="bottom"/>
            <w:tcBorders>
              <w:bottom w:val="single" w:sz="8" w:color="auto"/>
            </w:tcBorders>
          </w:tcPr>
          <w:p>
            <w:pPr>
              <w:jc w:val="right"/>
              <w:ind w:right="100"/>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91"/>
        </w:trPr>
        <w:tc>
          <w:tcPr>
            <w:tcW w:w="448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640" w:type="dxa"/>
            <w:vAlign w:val="bottom"/>
          </w:tcPr>
          <w:p>
            <w:pPr>
              <w:jc w:val="right"/>
              <w:ind w:right="100"/>
              <w:spacing w:after="0"/>
              <w:rPr>
                <w:sz w:val="20"/>
                <w:szCs w:val="20"/>
                <w:color w:val="auto"/>
              </w:rPr>
            </w:pPr>
            <w:r>
              <w:rPr>
                <w:rFonts w:ascii="Arial" w:cs="Arial" w:eastAsia="Arial" w:hAnsi="Arial"/>
                <w:sz w:val="13"/>
                <w:szCs w:val="13"/>
                <w:color w:val="auto"/>
              </w:rPr>
              <w:t>$262.3</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$220.8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00"/>
              <w:spacing w:after="0"/>
              <w:rPr>
                <w:sz w:val="20"/>
                <w:szCs w:val="20"/>
                <w:color w:val="auto"/>
              </w:rPr>
            </w:pPr>
            <w:r>
              <w:rPr>
                <w:rFonts w:ascii="Arial" w:cs="Arial" w:eastAsia="Arial" w:hAnsi="Arial"/>
                <w:sz w:val="13"/>
                <w:szCs w:val="13"/>
                <w:color w:val="auto"/>
              </w:rPr>
              <w:t>18.8%</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$511.0</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$442.7</w:t>
            </w:r>
          </w:p>
        </w:tc>
        <w:tc>
          <w:tcPr>
            <w:tcW w:w="26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For the three months and six months ended June 30, 2010 compared to the same periods in 2009, selling, general and administrative expenses increased primarily due to increased sales and marketing activities in support of AVONEX and TYSABRI, increased grant and sponsorship activity and $18.6 million of additional expense recognized related to the modification of equity based compensation in accordance with the transition agreement entered into with James C. Mullen, who retired as our President and Chief Executive Officer on June 8, 2010.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Profit Sharing</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gridSpan w:val="4"/>
          </w:tcPr>
          <w:p>
            <w:pPr>
              <w:jc w:val="center"/>
              <w:ind w:left="40"/>
              <w:spacing w:after="0"/>
              <w:rPr>
                <w:sz w:val="20"/>
                <w:szCs w:val="20"/>
                <w:color w:val="auto"/>
              </w:rPr>
            </w:pPr>
            <w:r>
              <w:rPr>
                <w:rFonts w:ascii="Arial" w:cs="Arial" w:eastAsia="Arial" w:hAnsi="Arial"/>
                <w:sz w:val="11"/>
                <w:szCs w:val="11"/>
                <w:b w:val="1"/>
                <w:bCs w:val="1"/>
                <w:color w:val="auto"/>
                <w:w w:val="90"/>
              </w:rPr>
              <w:t>For the Three Months</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3"/>
          </w:tcPr>
          <w:p>
            <w:pPr>
              <w:jc w:val="center"/>
              <w:ind w:left="100"/>
              <w:spacing w:after="0"/>
              <w:rPr>
                <w:sz w:val="20"/>
                <w:szCs w:val="20"/>
                <w:color w:val="auto"/>
              </w:rPr>
            </w:pPr>
            <w:r>
              <w:rPr>
                <w:rFonts w:ascii="Arial" w:cs="Arial" w:eastAsia="Arial" w:hAnsi="Arial"/>
                <w:sz w:val="11"/>
                <w:szCs w:val="11"/>
                <w:b w:val="1"/>
                <w:bCs w:val="1"/>
                <w:color w:val="auto"/>
                <w:w w:val="88"/>
              </w:rPr>
              <w:t>For the Six Months</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42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vMerge w:val="restart"/>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86"/>
              </w:rPr>
              <w:t>Ended June 30,</w:t>
            </w: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89"/>
              </w:rPr>
              <w:t>Ended June 30,</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2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58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00" w:type="dxa"/>
            <w:vAlign w:val="bottom"/>
            <w:tcBorders>
              <w:bottom w:val="single" w:sz="8" w:color="auto"/>
            </w:tcBorders>
          </w:tcPr>
          <w:p>
            <w:pPr>
              <w:jc w:val="right"/>
              <w:ind w:right="12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80"/>
              <w:spacing w:after="0" w:line="101" w:lineRule="exact"/>
              <w:rPr>
                <w:sz w:val="20"/>
                <w:szCs w:val="20"/>
                <w:color w:val="auto"/>
              </w:rPr>
            </w:pPr>
            <w:r>
              <w:rPr>
                <w:rFonts w:ascii="Arial" w:cs="Arial" w:eastAsia="Arial" w:hAnsi="Arial"/>
                <w:sz w:val="11"/>
                <w:szCs w:val="11"/>
                <w:b w:val="1"/>
                <w:bCs w:val="1"/>
                <w:color w:val="auto"/>
                <w:w w:val="97"/>
              </w:rPr>
              <w:t>Change %</w:t>
            </w:r>
          </w:p>
        </w:tc>
        <w:tc>
          <w:tcPr>
            <w:tcW w:w="28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00" w:type="dxa"/>
            <w:vAlign w:val="bottom"/>
            <w:tcBorders>
              <w:bottom w:val="single" w:sz="8" w:color="auto"/>
            </w:tcBorders>
          </w:tcPr>
          <w:p>
            <w:pPr>
              <w:jc w:val="right"/>
              <w:ind w:right="12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820" w:type="dxa"/>
            <w:vAlign w:val="bottom"/>
            <w:tcBorders>
              <w:bottom w:val="single" w:sz="8" w:color="auto"/>
            </w:tcBorders>
          </w:tcPr>
          <w:p>
            <w:pPr>
              <w:jc w:val="right"/>
              <w:ind w:right="100"/>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91"/>
        </w:trPr>
        <w:tc>
          <w:tcPr>
            <w:tcW w:w="4600" w:type="dxa"/>
            <w:vAlign w:val="bottom"/>
            <w:gridSpan w:val="2"/>
          </w:tcPr>
          <w:p>
            <w:pPr>
              <w:spacing w:after="0"/>
              <w:rPr>
                <w:sz w:val="20"/>
                <w:szCs w:val="20"/>
                <w:color w:val="auto"/>
              </w:rPr>
            </w:pPr>
            <w:r>
              <w:rPr>
                <w:rFonts w:ascii="Arial" w:cs="Arial" w:eastAsia="Arial" w:hAnsi="Arial"/>
                <w:sz w:val="13"/>
                <w:szCs w:val="13"/>
                <w:color w:val="auto"/>
              </w:rPr>
              <w:t>Collaboration profit sharing</w:t>
            </w:r>
          </w:p>
        </w:tc>
        <w:tc>
          <w:tcPr>
            <w:tcW w:w="580" w:type="dxa"/>
            <w:vAlign w:val="bottom"/>
          </w:tcPr>
          <w:p>
            <w:pPr>
              <w:jc w:val="right"/>
              <w:ind w:right="100"/>
              <w:spacing w:after="0"/>
              <w:rPr>
                <w:sz w:val="20"/>
                <w:szCs w:val="20"/>
                <w:color w:val="auto"/>
              </w:rPr>
            </w:pPr>
            <w:r>
              <w:rPr>
                <w:rFonts w:ascii="Arial" w:cs="Arial" w:eastAsia="Arial" w:hAnsi="Arial"/>
                <w:sz w:val="13"/>
                <w:szCs w:val="13"/>
                <w:color w:val="auto"/>
              </w:rPr>
              <w:t>$62.7</w:t>
            </w:r>
          </w:p>
        </w:tc>
        <w:tc>
          <w:tcPr>
            <w:tcW w:w="860" w:type="dxa"/>
            <w:vAlign w:val="bottom"/>
            <w:gridSpan w:val="2"/>
          </w:tcPr>
          <w:p>
            <w:pPr>
              <w:jc w:val="right"/>
              <w:ind w:right="106"/>
              <w:spacing w:after="0"/>
              <w:rPr>
                <w:sz w:val="20"/>
                <w:szCs w:val="20"/>
                <w:color w:val="auto"/>
              </w:rPr>
            </w:pPr>
            <w:r>
              <w:rPr>
                <w:rFonts w:ascii="Arial" w:cs="Arial" w:eastAsia="Arial" w:hAnsi="Arial"/>
                <w:sz w:val="13"/>
                <w:szCs w:val="13"/>
                <w:color w:val="auto"/>
              </w:rPr>
              <w:t>$49.1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00"/>
              <w:spacing w:after="0"/>
              <w:rPr>
                <w:sz w:val="20"/>
                <w:szCs w:val="20"/>
                <w:color w:val="auto"/>
              </w:rPr>
            </w:pPr>
            <w:r>
              <w:rPr>
                <w:rFonts w:ascii="Arial" w:cs="Arial" w:eastAsia="Arial" w:hAnsi="Arial"/>
                <w:sz w:val="13"/>
                <w:szCs w:val="13"/>
                <w:color w:val="auto"/>
              </w:rPr>
              <w:t>27.6%</w:t>
            </w:r>
          </w:p>
        </w:tc>
        <w:tc>
          <w:tcPr>
            <w:tcW w:w="940" w:type="dxa"/>
            <w:vAlign w:val="bottom"/>
            <w:gridSpan w:val="2"/>
          </w:tcPr>
          <w:p>
            <w:pPr>
              <w:jc w:val="right"/>
              <w:ind w:right="126"/>
              <w:spacing w:after="0"/>
              <w:rPr>
                <w:sz w:val="20"/>
                <w:szCs w:val="20"/>
                <w:color w:val="auto"/>
              </w:rPr>
            </w:pPr>
            <w:r>
              <w:rPr>
                <w:rFonts w:ascii="Arial" w:cs="Arial" w:eastAsia="Arial" w:hAnsi="Arial"/>
                <w:sz w:val="13"/>
                <w:szCs w:val="13"/>
                <w:color w:val="auto"/>
              </w:rPr>
              <w:t>$126.2</w:t>
            </w:r>
          </w:p>
        </w:tc>
        <w:tc>
          <w:tcPr>
            <w:tcW w:w="860" w:type="dxa"/>
            <w:vAlign w:val="bottom"/>
            <w:gridSpan w:val="2"/>
          </w:tcPr>
          <w:p>
            <w:pPr>
              <w:jc w:val="right"/>
              <w:ind w:right="126"/>
              <w:spacing w:after="0"/>
              <w:rPr>
                <w:sz w:val="20"/>
                <w:szCs w:val="20"/>
                <w:color w:val="auto"/>
              </w:rPr>
            </w:pPr>
            <w:r>
              <w:rPr>
                <w:rFonts w:ascii="Arial" w:cs="Arial" w:eastAsia="Arial" w:hAnsi="Arial"/>
                <w:sz w:val="13"/>
                <w:szCs w:val="13"/>
                <w:color w:val="auto"/>
              </w:rPr>
              <w:t>$91.9</w:t>
            </w:r>
          </w:p>
        </w:tc>
        <w:tc>
          <w:tcPr>
            <w:tcW w:w="26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 xml:space="preserve">For the three and six months ended June 30, 2010 compared to the same periods in 2009, the increase in collaboration profit sharing expense was due to the continued increase in TYSABRI rest of world sales resulting in higher rest of world net operating profits to be shared with Elan and resulting in growth in the third-party royalties Elan paid on behalf of the collaboration. For the three and six months ended June 30, 2010, our collaboration profit sharing expense included $11.1 million and $22.5 million, respectively, related to the reimbursement of third-party royalty payments made by Elan as compared to $9.4 million and $17.5 million, respectively, for the prior year comparative periods. Please read Note 17, </w:t>
      </w:r>
      <w:r>
        <w:rPr>
          <w:rFonts w:ascii="Arial" w:cs="Arial" w:eastAsia="Arial" w:hAnsi="Arial"/>
          <w:sz w:val="12"/>
          <w:szCs w:val="12"/>
          <w:i w:val="1"/>
          <w:iCs w:val="1"/>
          <w:color w:val="auto"/>
        </w:rPr>
        <w:t>Collaborations</w:t>
      </w:r>
      <w:r>
        <w:rPr>
          <w:rFonts w:ascii="Arial" w:cs="Arial" w:eastAsia="Arial" w:hAnsi="Arial"/>
          <w:sz w:val="12"/>
          <w:szCs w:val="12"/>
          <w:color w:val="auto"/>
        </w:rPr>
        <w:t>, to our Consolidated Financial Statements included within our 2009 Form 10-K for a description of this collaboration.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Amortization of Acquired Intangible Assets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gridSpan w:val="4"/>
          </w:tcPr>
          <w:p>
            <w:pPr>
              <w:jc w:val="center"/>
              <w:ind w:left="80"/>
              <w:spacing w:after="0"/>
              <w:rPr>
                <w:sz w:val="20"/>
                <w:szCs w:val="20"/>
                <w:color w:val="auto"/>
              </w:rPr>
            </w:pPr>
            <w:r>
              <w:rPr>
                <w:rFonts w:ascii="Arial" w:cs="Arial" w:eastAsia="Arial" w:hAnsi="Arial"/>
                <w:sz w:val="11"/>
                <w:szCs w:val="11"/>
                <w:b w:val="1"/>
                <w:bCs w:val="1"/>
                <w:color w:val="auto"/>
                <w:w w:val="90"/>
              </w:rPr>
              <w:t>For the Three Months</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3"/>
          </w:tcPr>
          <w:p>
            <w:pPr>
              <w:jc w:val="center"/>
              <w:ind w:left="120"/>
              <w:spacing w:after="0"/>
              <w:rPr>
                <w:sz w:val="20"/>
                <w:szCs w:val="20"/>
                <w:color w:val="auto"/>
              </w:rPr>
            </w:pPr>
            <w:r>
              <w:rPr>
                <w:rFonts w:ascii="Arial" w:cs="Arial" w:eastAsia="Arial" w:hAnsi="Arial"/>
                <w:sz w:val="11"/>
                <w:szCs w:val="11"/>
                <w:b w:val="1"/>
                <w:bCs w:val="1"/>
                <w:color w:val="auto"/>
                <w:w w:val="88"/>
              </w:rPr>
              <w:t>For the Six Months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32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60" w:type="dxa"/>
            <w:vAlign w:val="bottom"/>
            <w:vMerge w:val="restart"/>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86"/>
              </w:rPr>
              <w:t>Ended June 30,</w:t>
            </w: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86"/>
              </w:rPr>
              <w:t>Ended June 30,</w:t>
            </w: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32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0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00" w:type="dxa"/>
            <w:vAlign w:val="bottom"/>
            <w:tcBorders>
              <w:bottom w:val="single" w:sz="8" w:color="auto"/>
            </w:tcBorders>
          </w:tcPr>
          <w:p>
            <w:pPr>
              <w:jc w:val="right"/>
              <w:ind w:right="14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w w:val="97"/>
              </w:rPr>
              <w:t>Change %</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840" w:type="dxa"/>
            <w:vAlign w:val="bottom"/>
            <w:tcBorders>
              <w:bottom w:val="single" w:sz="8" w:color="auto"/>
            </w:tcBorders>
          </w:tcPr>
          <w:p>
            <w:pPr>
              <w:jc w:val="right"/>
              <w:ind w:right="120"/>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91"/>
        </w:trPr>
        <w:tc>
          <w:tcPr>
            <w:tcW w:w="4480" w:type="dxa"/>
            <w:vAlign w:val="bottom"/>
            <w:gridSpan w:val="2"/>
          </w:tcPr>
          <w:p>
            <w:pPr>
              <w:spacing w:after="0"/>
              <w:rPr>
                <w:sz w:val="20"/>
                <w:szCs w:val="20"/>
                <w:color w:val="auto"/>
              </w:rPr>
            </w:pPr>
            <w:r>
              <w:rPr>
                <w:rFonts w:ascii="Arial" w:cs="Arial" w:eastAsia="Arial" w:hAnsi="Arial"/>
                <w:sz w:val="13"/>
                <w:szCs w:val="13"/>
                <w:color w:val="auto"/>
              </w:rPr>
              <w:t>Amortization of acquired intangible assets</w:t>
            </w:r>
          </w:p>
        </w:tc>
        <w:tc>
          <w:tcPr>
            <w:tcW w:w="600" w:type="dxa"/>
            <w:vAlign w:val="bottom"/>
          </w:tcPr>
          <w:p>
            <w:pPr>
              <w:jc w:val="right"/>
              <w:ind w:right="100"/>
              <w:spacing w:after="0"/>
              <w:rPr>
                <w:sz w:val="20"/>
                <w:szCs w:val="20"/>
                <w:color w:val="auto"/>
              </w:rPr>
            </w:pPr>
            <w:r>
              <w:rPr>
                <w:rFonts w:ascii="Arial" w:cs="Arial" w:eastAsia="Arial" w:hAnsi="Arial"/>
                <w:sz w:val="13"/>
                <w:szCs w:val="13"/>
                <w:color w:val="auto"/>
              </w:rPr>
              <w:t>$53.1</w:t>
            </w:r>
          </w:p>
        </w:tc>
        <w:tc>
          <w:tcPr>
            <w:tcW w:w="860" w:type="dxa"/>
            <w:vAlign w:val="bottom"/>
            <w:gridSpan w:val="2"/>
          </w:tcPr>
          <w:p>
            <w:pPr>
              <w:jc w:val="right"/>
              <w:ind w:right="126"/>
              <w:spacing w:after="0"/>
              <w:rPr>
                <w:sz w:val="20"/>
                <w:szCs w:val="20"/>
                <w:color w:val="auto"/>
              </w:rPr>
            </w:pPr>
            <w:r>
              <w:rPr>
                <w:rFonts w:ascii="Arial" w:cs="Arial" w:eastAsia="Arial" w:hAnsi="Arial"/>
                <w:sz w:val="13"/>
                <w:szCs w:val="13"/>
                <w:color w:val="auto"/>
              </w:rPr>
              <w:t>$93.2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(43.0)%</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$102.0</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$182.5</w:t>
            </w:r>
          </w:p>
        </w:tc>
        <w:tc>
          <w:tcPr>
            <w:tcW w:w="2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For the three and six months ended June 30, 2010 compared to the same periods in 2009, amortization of acquired intangible assets decreased significantly primarily as a result of a change in the amortization for the core technology related to our AVONEX product which is our most significant intangible asset. Our amortization policy reflects our belief that the economic benefit of our core technology is consumed as revenue is generated from our AVONEX product. We refer to this amortization methodology as the economic consumption model. An analysis of the anticipated lifetime revenue of AVONEX is performed at least annually during our long range planning cycle. This analysis serves as the basis for the calculation of economic consumption amortization model.</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95" w:lineRule="auto"/>
        <w:rPr>
          <w:sz w:val="20"/>
          <w:szCs w:val="20"/>
          <w:color w:val="auto"/>
        </w:rPr>
      </w:pPr>
      <w:r>
        <w:rPr>
          <w:rFonts w:ascii="Arial" w:cs="Arial" w:eastAsia="Arial" w:hAnsi="Arial"/>
          <w:sz w:val="12"/>
          <w:szCs w:val="12"/>
          <w:color w:val="auto"/>
        </w:rPr>
        <w:t>We completed our most recent long range planning cycle in the third quarter of 2009. This analysis is based upon certain assumptions that we evaluate on a periodic basis, such as the anticipated product sales of AVONEX and expected impact of competitive products and our own pipeline product candidates, as well as the issuance of new patents or the extension of existing patents. The results of our most recent analysis were most significantly impacted by the issuance in September 2009 of a U.S. patent covering the treatment of MS with AVONEX, which resulted in an increase in the total expected lifetime revenue of AVONEX and an extension of the assumed remaining life of our core intangible asset. Based upon this most recent analysis, amortization of intangible assets is expected to be in the range of approximately $160.0 million to $220.0 million annually through 2014.</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Acquired In-Process Research and Development (IPR&amp;D)</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5"/>
          </w:tcPr>
          <w:p>
            <w:pPr>
              <w:ind w:left="140"/>
              <w:spacing w:after="0"/>
              <w:rPr>
                <w:sz w:val="20"/>
                <w:szCs w:val="20"/>
                <w:color w:val="auto"/>
              </w:rPr>
            </w:pPr>
            <w:r>
              <w:rPr>
                <w:rFonts w:ascii="Arial" w:cs="Arial" w:eastAsia="Arial" w:hAnsi="Arial"/>
                <w:sz w:val="11"/>
                <w:szCs w:val="11"/>
                <w:b w:val="1"/>
                <w:bCs w:val="1"/>
                <w:color w:val="auto"/>
              </w:rPr>
              <w:t>For the Three Months</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0"/>
              </w:rPr>
              <w:t>For the Six Months</w:t>
            </w:r>
          </w:p>
        </w:tc>
        <w:tc>
          <w:tcPr>
            <w:tcW w:w="0" w:type="dxa"/>
            <w:vAlign w:val="bottom"/>
          </w:tcPr>
          <w:p>
            <w:pPr>
              <w:spacing w:after="0"/>
              <w:rPr>
                <w:sz w:val="1"/>
                <w:szCs w:val="1"/>
                <w:color w:val="auto"/>
              </w:rPr>
            </w:pPr>
          </w:p>
        </w:tc>
      </w:tr>
      <w:tr>
        <w:trPr>
          <w:trHeight w:val="128"/>
        </w:trPr>
        <w:tc>
          <w:tcPr>
            <w:tcW w:w="544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200" w:type="dxa"/>
            <w:vAlign w:val="bottom"/>
            <w:vMerge w:val="restart"/>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89"/>
              </w:rPr>
              <w:t>Ended June 30,</w:t>
            </w: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center"/>
              <w:ind w:left="166"/>
              <w:spacing w:after="0"/>
              <w:rPr>
                <w:sz w:val="20"/>
                <w:szCs w:val="20"/>
                <w:color w:val="auto"/>
              </w:rPr>
            </w:pPr>
            <w:r>
              <w:rPr>
                <w:rFonts w:ascii="Arial" w:cs="Arial" w:eastAsia="Arial" w:hAnsi="Arial"/>
                <w:sz w:val="11"/>
                <w:szCs w:val="11"/>
                <w:b w:val="1"/>
                <w:bCs w:val="1"/>
                <w:color w:val="auto"/>
                <w:w w:val="86"/>
              </w:rPr>
              <w:t>Ended June 30,</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44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60" w:type="dxa"/>
            <w:vAlign w:val="bottom"/>
            <w:tcBorders>
              <w:bottom w:val="single" w:sz="8" w:color="auto"/>
            </w:tcBorders>
          </w:tcPr>
          <w:p>
            <w:pPr>
              <w:jc w:val="right"/>
              <w:ind w:right="20"/>
              <w:spacing w:after="0" w:line="101" w:lineRule="exact"/>
              <w:rPr>
                <w:sz w:val="20"/>
                <w:szCs w:val="20"/>
                <w:color w:val="auto"/>
              </w:rPr>
            </w:pPr>
            <w:r>
              <w:rPr>
                <w:rFonts w:ascii="Arial" w:cs="Arial" w:eastAsia="Arial" w:hAnsi="Arial"/>
                <w:sz w:val="11"/>
                <w:szCs w:val="11"/>
                <w:b w:val="1"/>
                <w:bCs w:val="1"/>
                <w:color w:val="auto"/>
              </w:rPr>
              <w:t>2010</w:t>
            </w:r>
          </w:p>
        </w:tc>
        <w:tc>
          <w:tcPr>
            <w:tcW w:w="280" w:type="dxa"/>
            <w:vAlign w:val="bottom"/>
          </w:tcPr>
          <w:p>
            <w:pPr>
              <w:spacing w:after="0"/>
              <w:rPr>
                <w:sz w:val="8"/>
                <w:szCs w:val="8"/>
                <w:color w:val="auto"/>
              </w:rPr>
            </w:pPr>
          </w:p>
        </w:tc>
        <w:tc>
          <w:tcPr>
            <w:tcW w:w="340" w:type="dxa"/>
            <w:vAlign w:val="bottom"/>
            <w:tcBorders>
              <w:bottom w:val="single" w:sz="8" w:color="auto"/>
            </w:tcBorders>
          </w:tcPr>
          <w:p>
            <w:pPr>
              <w:jc w:val="right"/>
              <w:ind w:right="2"/>
              <w:spacing w:after="0" w:line="101" w:lineRule="exact"/>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center"/>
              <w:ind w:right="40"/>
              <w:spacing w:after="0" w:line="101" w:lineRule="exact"/>
              <w:rPr>
                <w:sz w:val="20"/>
                <w:szCs w:val="20"/>
                <w:color w:val="auto"/>
              </w:rPr>
            </w:pPr>
            <w:r>
              <w:rPr>
                <w:rFonts w:ascii="Arial" w:cs="Arial" w:eastAsia="Arial" w:hAnsi="Arial"/>
                <w:sz w:val="11"/>
                <w:szCs w:val="11"/>
                <w:b w:val="1"/>
                <w:bCs w:val="1"/>
                <w:color w:val="auto"/>
                <w:w w:val="90"/>
              </w:rPr>
              <w:t>Change %</w:t>
            </w:r>
          </w:p>
        </w:tc>
        <w:tc>
          <w:tcPr>
            <w:tcW w:w="280" w:type="dxa"/>
            <w:vAlign w:val="bottom"/>
          </w:tcPr>
          <w:p>
            <w:pPr>
              <w:spacing w:after="0"/>
              <w:rPr>
                <w:sz w:val="8"/>
                <w:szCs w:val="8"/>
                <w:color w:val="auto"/>
              </w:rPr>
            </w:pPr>
          </w:p>
        </w:tc>
        <w:tc>
          <w:tcPr>
            <w:tcW w:w="420" w:type="dxa"/>
            <w:vAlign w:val="bottom"/>
            <w:tcBorders>
              <w:bottom w:val="single" w:sz="8" w:color="auto"/>
            </w:tcBorders>
          </w:tcPr>
          <w:p>
            <w:pPr>
              <w:jc w:val="right"/>
              <w:ind w:right="46"/>
              <w:spacing w:after="0" w:line="101" w:lineRule="exact"/>
              <w:rPr>
                <w:sz w:val="20"/>
                <w:szCs w:val="20"/>
                <w:color w:val="auto"/>
              </w:rPr>
            </w:pPr>
            <w:r>
              <w:rPr>
                <w:rFonts w:ascii="Arial" w:cs="Arial" w:eastAsia="Arial" w:hAnsi="Arial"/>
                <w:sz w:val="11"/>
                <w:szCs w:val="11"/>
                <w:b w:val="1"/>
                <w:bCs w:val="1"/>
                <w:color w:val="auto"/>
              </w:rPr>
              <w:t>2010</w:t>
            </w:r>
          </w:p>
        </w:tc>
        <w:tc>
          <w:tcPr>
            <w:tcW w:w="280" w:type="dxa"/>
            <w:vAlign w:val="bottom"/>
          </w:tcPr>
          <w:p>
            <w:pPr>
              <w:spacing w:after="0"/>
              <w:rPr>
                <w:sz w:val="8"/>
                <w:szCs w:val="8"/>
                <w:color w:val="auto"/>
              </w:rPr>
            </w:pPr>
          </w:p>
        </w:tc>
        <w:tc>
          <w:tcPr>
            <w:tcW w:w="360" w:type="dxa"/>
            <w:vAlign w:val="bottom"/>
            <w:tcBorders>
              <w:bottom w:val="single" w:sz="8" w:color="auto"/>
            </w:tcBorders>
          </w:tcPr>
          <w:p>
            <w:pPr>
              <w:jc w:val="right"/>
              <w:ind w:right="20"/>
              <w:spacing w:after="0" w:line="101" w:lineRule="exact"/>
              <w:rPr>
                <w:sz w:val="20"/>
                <w:szCs w:val="20"/>
                <w:color w:val="auto"/>
              </w:rPr>
            </w:pPr>
            <w:r>
              <w:rPr>
                <w:rFonts w:ascii="Arial" w:cs="Arial" w:eastAsia="Arial" w:hAnsi="Arial"/>
                <w:sz w:val="11"/>
                <w:szCs w:val="11"/>
                <w:b w:val="1"/>
                <w:bCs w:val="1"/>
                <w:color w:val="auto"/>
              </w:rPr>
              <w:t>2009</w:t>
            </w: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20"/>
              <w:spacing w:after="0" w:line="101" w:lineRule="exact"/>
              <w:rPr>
                <w:sz w:val="20"/>
                <w:szCs w:val="20"/>
                <w:color w:val="auto"/>
              </w:rPr>
            </w:pPr>
            <w:r>
              <w:rPr>
                <w:rFonts w:ascii="Arial" w:cs="Arial" w:eastAsia="Arial" w:hAnsi="Arial"/>
                <w:sz w:val="11"/>
                <w:szCs w:val="11"/>
                <w:b w:val="1"/>
                <w:bCs w:val="1"/>
                <w:color w:val="auto"/>
                <w:w w:val="90"/>
              </w:rPr>
              <w:t>Change %</w:t>
            </w:r>
          </w:p>
        </w:tc>
        <w:tc>
          <w:tcPr>
            <w:tcW w:w="0" w:type="dxa"/>
            <w:vAlign w:val="bottom"/>
          </w:tcPr>
          <w:p>
            <w:pPr>
              <w:spacing w:after="0"/>
              <w:rPr>
                <w:sz w:val="1"/>
                <w:szCs w:val="1"/>
                <w:color w:val="auto"/>
              </w:rPr>
            </w:pPr>
          </w:p>
        </w:tc>
      </w:tr>
      <w:tr>
        <w:trPr>
          <w:trHeight w:val="191"/>
        </w:trPr>
        <w:tc>
          <w:tcPr>
            <w:tcW w:w="5640" w:type="dxa"/>
            <w:vAlign w:val="bottom"/>
            <w:gridSpan w:val="2"/>
          </w:tcPr>
          <w:p>
            <w:pPr>
              <w:spacing w:after="0"/>
              <w:rPr>
                <w:sz w:val="20"/>
                <w:szCs w:val="20"/>
                <w:color w:val="auto"/>
              </w:rPr>
            </w:pPr>
            <w:r>
              <w:rPr>
                <w:rFonts w:ascii="Arial" w:cs="Arial" w:eastAsia="Arial" w:hAnsi="Arial"/>
                <w:sz w:val="13"/>
                <w:szCs w:val="13"/>
                <w:color w:val="auto"/>
              </w:rPr>
              <w:t>Acquired in-process research and development</w:t>
            </w:r>
          </w:p>
        </w:tc>
        <w:tc>
          <w:tcPr>
            <w:tcW w:w="360" w:type="dxa"/>
            <w:vAlign w:val="bottom"/>
          </w:tcPr>
          <w:p>
            <w:pPr>
              <w:jc w:val="right"/>
              <w:ind w:right="40"/>
              <w:spacing w:after="0"/>
              <w:rPr>
                <w:sz w:val="20"/>
                <w:szCs w:val="20"/>
                <w:color w:val="auto"/>
              </w:rPr>
            </w:pPr>
            <w:r>
              <w:rPr>
                <w:rFonts w:ascii="Arial" w:cs="Arial" w:eastAsia="Arial" w:hAnsi="Arial"/>
                <w:sz w:val="13"/>
                <w:szCs w:val="13"/>
                <w:color w:val="auto"/>
              </w:rPr>
              <w:t>$ —</w:t>
            </w:r>
          </w:p>
        </w:tc>
        <w:tc>
          <w:tcPr>
            <w:tcW w:w="28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20" w:type="dxa"/>
            <w:vAlign w:val="bottom"/>
          </w:tcPr>
          <w:p>
            <w:pPr>
              <w:jc w:val="center"/>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
              <w:spacing w:after="0"/>
              <w:rPr>
                <w:sz w:val="20"/>
                <w:szCs w:val="20"/>
                <w:color w:val="auto"/>
              </w:rPr>
            </w:pPr>
            <w:r>
              <w:rPr>
                <w:rFonts w:ascii="Arial" w:cs="Arial" w:eastAsia="Arial" w:hAnsi="Arial"/>
                <w:sz w:val="13"/>
                <w:szCs w:val="13"/>
                <w:color w:val="auto"/>
              </w:rPr>
              <w:t>$40.0</w:t>
            </w:r>
          </w:p>
        </w:tc>
        <w:tc>
          <w:tcPr>
            <w:tcW w:w="28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In connection with our acquisition of Biogen Idec Hemophilia Inc., formerly Syntonix Pharmaceuticals, Inc. (Syntonix), in January 2007, we agreed to make additional future consideration payments based upon the achievement of certain milestone events. In January 2010, we initiated patient enrollment in a registrational study for long-acting recombinant Factor IX in hemophilia B, known as B-LONG. The initiation of this study resulted in the achievement of a milestone under the acquisition agreement, obligating us to pay approximately $40.0 million to the former shareholders of Syntonix. This amount is reflected as IPR&amp;D expense within our consolidated statement of income for the six months ended June 30, 2010.</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 (Expense), Net</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5"/>
          </w:tcPr>
          <w:p>
            <w:pPr>
              <w:jc w:val="right"/>
              <w:ind w:right="940"/>
              <w:spacing w:after="0"/>
              <w:rPr>
                <w:sz w:val="20"/>
                <w:szCs w:val="20"/>
                <w:color w:val="auto"/>
              </w:rPr>
            </w:pPr>
            <w:r>
              <w:rPr>
                <w:rFonts w:ascii="Arial" w:cs="Arial" w:eastAsia="Arial" w:hAnsi="Arial"/>
                <w:sz w:val="11"/>
                <w:szCs w:val="11"/>
                <w:b w:val="1"/>
                <w:bCs w:val="1"/>
                <w:color w:val="auto"/>
                <w:w w:val="94"/>
              </w:rPr>
              <w:t>For the Three Months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w w:val="96"/>
              </w:rPr>
              <w:t>For the Six Months</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Ended June 30,</w:t>
            </w: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auto"/>
              </w:rPr>
              <w:t>Ended June 30,</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60" w:type="dxa"/>
            <w:vAlign w:val="bottom"/>
            <w:gridSpan w:val="2"/>
            <w:vMerge w:val="continue"/>
          </w:tcPr>
          <w:p>
            <w:pPr>
              <w:spacing w:after="0"/>
              <w:rPr>
                <w:sz w:val="8"/>
                <w:szCs w:val="8"/>
                <w:color w:val="auto"/>
              </w:rPr>
            </w:pPr>
          </w:p>
        </w:tc>
        <w:tc>
          <w:tcPr>
            <w:tcW w:w="300" w:type="dxa"/>
            <w:vAlign w:val="bottom"/>
            <w:gridSpan w:val="2"/>
          </w:tcPr>
          <w:p>
            <w:pPr>
              <w:jc w:val="right"/>
              <w:spacing w:after="0" w:line="10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Pr>
          <w:p>
            <w:pPr>
              <w:spacing w:after="0"/>
              <w:rPr>
                <w:sz w:val="8"/>
                <w:szCs w:val="8"/>
                <w:color w:val="auto"/>
              </w:rPr>
            </w:pPr>
          </w:p>
        </w:tc>
        <w:tc>
          <w:tcPr>
            <w:tcW w:w="600" w:type="dxa"/>
            <w:vAlign w:val="bottom"/>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Arial" w:cs="Arial" w:eastAsia="Arial" w:hAnsi="Arial"/>
                <w:sz w:val="11"/>
                <w:szCs w:val="11"/>
                <w:b w:val="1"/>
                <w:bCs w:val="1"/>
                <w:color w:val="auto"/>
                <w:w w:val="97"/>
              </w:rPr>
              <w:t>Change %</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jc w:val="right"/>
              <w:ind w:right="15"/>
              <w:spacing w:after="0" w:line="101" w:lineRule="exact"/>
              <w:rPr>
                <w:sz w:val="20"/>
                <w:szCs w:val="20"/>
                <w:color w:val="auto"/>
              </w:rPr>
            </w:pPr>
            <w:r>
              <w:rPr>
                <w:rFonts w:ascii="Arial" w:cs="Arial" w:eastAsia="Arial" w:hAnsi="Arial"/>
                <w:sz w:val="11"/>
                <w:szCs w:val="11"/>
                <w:b w:val="1"/>
                <w:bCs w:val="1"/>
                <w:color w:val="auto"/>
                <w:w w:val="81"/>
              </w:rPr>
              <w:t>2010</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15"/>
              <w:spacing w:after="0" w:line="101" w:lineRule="exact"/>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11"/>
                <w:szCs w:val="11"/>
                <w:b w:val="1"/>
                <w:bCs w:val="1"/>
                <w:color w:val="auto"/>
                <w:w w:val="97"/>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$ 12.1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61"/>
        </w:trPr>
        <w:tc>
          <w:tcPr>
            <w:tcW w:w="526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(9.0)</w:t>
            </w:r>
          </w:p>
        </w:tc>
        <w:tc>
          <w:tcPr>
            <w:tcW w:w="980" w:type="dxa"/>
            <w:vAlign w:val="bottom"/>
            <w:gridSpan w:val="3"/>
          </w:tcPr>
          <w:p>
            <w:pPr>
              <w:jc w:val="right"/>
              <w:ind w:right="320"/>
              <w:spacing w:after="0"/>
              <w:rPr>
                <w:sz w:val="20"/>
                <w:szCs w:val="20"/>
                <w:color w:val="auto"/>
              </w:rPr>
            </w:pPr>
            <w:r>
              <w:rPr>
                <w:rFonts w:ascii="Arial" w:cs="Arial" w:eastAsia="Arial" w:hAnsi="Arial"/>
                <w:sz w:val="13"/>
                <w:szCs w:val="13"/>
                <w:color w:val="auto"/>
              </w:rPr>
              <w:t>(9.3)</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(17.3)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w w:val="99"/>
              </w:rPr>
              <w:t>(19.2)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1"/>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Impairments of investments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(1.2)</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(65.7)%</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9"/>
              </w:rPr>
              <w:t>(17.0)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161"/>
        </w:trPr>
        <w:tc>
          <w:tcPr>
            <w:tcW w:w="5260" w:type="dxa"/>
            <w:vAlign w:val="bottom"/>
            <w:gridSpan w:val="2"/>
          </w:tcPr>
          <w:p>
            <w:pPr>
              <w:spacing w:after="0"/>
              <w:rPr>
                <w:sz w:val="20"/>
                <w:szCs w:val="20"/>
                <w:color w:val="auto"/>
              </w:rPr>
            </w:pPr>
            <w:r>
              <w:rPr>
                <w:rFonts w:ascii="Arial" w:cs="Arial" w:eastAsia="Arial" w:hAnsi="Arial"/>
                <w:sz w:val="13"/>
                <w:szCs w:val="13"/>
                <w:color w:val="auto"/>
              </w:rPr>
              <w:t>Net gains (losses) on foreign currency transactions</w:t>
            </w:r>
          </w:p>
        </w:tc>
        <w:tc>
          <w:tcPr>
            <w:tcW w:w="8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(0.7)</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3.6</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(119.4)%</w:t>
            </w:r>
          </w:p>
        </w:tc>
        <w:tc>
          <w:tcPr>
            <w:tcW w:w="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6.5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61"/>
        </w:trPr>
        <w:tc>
          <w:tcPr>
            <w:tcW w:w="5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realized gains on marketable securities</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1"/>
        </w:trPr>
        <w:tc>
          <w:tcPr>
            <w:tcW w:w="526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8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(1.1)</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4.3</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(125.6)%</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5.0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(106.0)%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other income (expense),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$ 14.7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(93.2)%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02"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color w:val="auto"/>
        </w:rPr>
        <w:t>For the three and six months ended June 30, 2010 compared to the same periods in 2009, interest income decreased primarily due to lower yields on cash, cash equivalents, and marketable securities and lower average cash balances.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02" w:lineRule="exact"/>
        <w:rPr>
          <w:sz w:val="20"/>
          <w:szCs w:val="20"/>
          <w:color w:val="auto"/>
        </w:rPr>
      </w:pPr>
    </w:p>
    <w:p>
      <w:pPr>
        <w:ind w:left="680" w:right="480" w:firstLine="399"/>
        <w:spacing w:after="0" w:line="338" w:lineRule="auto"/>
        <w:rPr>
          <w:sz w:val="20"/>
          <w:szCs w:val="20"/>
          <w:color w:val="auto"/>
        </w:rPr>
      </w:pPr>
      <w:r>
        <w:rPr>
          <w:rFonts w:ascii="Arial" w:cs="Arial" w:eastAsia="Arial" w:hAnsi="Arial"/>
          <w:sz w:val="12"/>
          <w:szCs w:val="12"/>
          <w:color w:val="auto"/>
        </w:rPr>
        <w:t>For the three and six months ended June 30, 2010, we capitalized interest costs related to construction in progress totaling approximately $6.9 million, and $14.7 million, respectively, which reduced our interest expense by the same amount. We capitalized $6.8 million and $13.0 million, respectively, in the prior year comparative periods.</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Capitalized interest costs are primarily related to the development of our large-scale biologic manufacturing facility in Hillerød, Denmark. Upon completion of the facility’s operational qualification activities, which are expected during the fourth quarter of 2010, we will cease capitalizing interest expense in relation to this project. We will delay the start of manufacturing activities at this site until additional capacity is required by the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on Investments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For the three and six months ended June 30, 2010, we recognized $1.2 million and $17.0 million, respectively, in charges for the other-than-temporary impairment of our publicly held strategic investments, venture funds and investments in privately held companies as compared to $3.5 million and $6.0 million for the prior year comparable periods. The increase in the six month comparative periods was primarily the result of AVEO Pharmaceuticals, Inc., one of our strategic investments, executing an equity offering at a price below our cost basis during the first quarter of 2010.</w:t>
      </w:r>
    </w:p>
    <w:p>
      <w:pPr>
        <w:spacing w:after="0" w:line="63"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Net realized gains on marketable securities for the six months ended June 30, 2009, includes $3.6 million in other-than-temporary impairment charges recognized during the first quarter of 2009. No impairments were recognized related to our marketable debt securities for the three months ended June 30, 2009 or for the three and six months ended June 30, 2010, respectively.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on Property, Plant and Equipment</w:t>
      </w:r>
    </w:p>
    <w:p>
      <w:pPr>
        <w:spacing w:after="0" w:line="104"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We own or lease real estate primarily consisting of buildings that contain research laboratories, office space, and biologic manufacturing operations, some of which are located in markets that are experiencing high vacancy rates and decreasing property values. If we decide to consolidate, co-locate or dispose of certain aspects of our business operations, for strategic or other operational reasons, we may dispose of one or more of our properties. Due to reduced expectations of product demand, improved yields on production and other factors, we may not fully utilize our manufacturing facilities at normal levels resulting in idle time at facilities or substantial excess manufacturing capacity. We are always evaluating our current facility utilization strategy and assessing alternatives, including our recent decision to delay completion of our manufacturing facility in Denmark. If any of our owned properties are held for sale and we determine that the fair value of the properties is lower than their book value, we may not realize the full investment in these properties and incur impairment charges which may be significant. In addition, if we decide to fully or partially vacate a leased property, we may incur significant costs, including lease termination fees, rent expense in excess of sublease income and impairment of leasehold improvements.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For the Three Months</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gridSpan w:val="3"/>
          </w:tcPr>
          <w:p>
            <w:pPr>
              <w:jc w:val="center"/>
              <w:ind w:left="137"/>
              <w:spacing w:after="0"/>
              <w:rPr>
                <w:sz w:val="20"/>
                <w:szCs w:val="20"/>
                <w:color w:val="auto"/>
              </w:rPr>
            </w:pPr>
            <w:r>
              <w:rPr>
                <w:rFonts w:ascii="Arial" w:cs="Arial" w:eastAsia="Arial" w:hAnsi="Arial"/>
                <w:sz w:val="11"/>
                <w:szCs w:val="11"/>
                <w:b w:val="1"/>
                <w:bCs w:val="1"/>
                <w:color w:val="auto"/>
                <w:w w:val="88"/>
              </w:rPr>
              <w:t>For the Six Months</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180" w:type="dxa"/>
            <w:vAlign w:val="bottom"/>
            <w:vMerge w:val="restart"/>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Ended June 30,</w:t>
            </w: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86"/>
              </w:rPr>
              <w:t>Ended June 30,</w:t>
            </w: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4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tcBorders>
              <w:bottom w:val="single" w:sz="8" w:color="auto"/>
            </w:tcBorders>
          </w:tcPr>
          <w:p>
            <w:pPr>
              <w:jc w:val="right"/>
              <w:ind w:right="157"/>
              <w:spacing w:after="0" w:line="101" w:lineRule="exact"/>
              <w:rPr>
                <w:sz w:val="20"/>
                <w:szCs w:val="20"/>
                <w:color w:val="auto"/>
              </w:rPr>
            </w:pPr>
            <w:r>
              <w:rPr>
                <w:rFonts w:ascii="Arial" w:cs="Arial" w:eastAsia="Arial" w:hAnsi="Arial"/>
                <w:sz w:val="11"/>
                <w:szCs w:val="11"/>
                <w:b w:val="1"/>
                <w:bCs w:val="1"/>
                <w:color w:val="auto"/>
              </w:rPr>
              <w:t>2010</w:t>
            </w:r>
          </w:p>
        </w:tc>
        <w:tc>
          <w:tcPr>
            <w:tcW w:w="260" w:type="dxa"/>
            <w:vAlign w:val="bottom"/>
          </w:tcPr>
          <w:p>
            <w:pPr>
              <w:spacing w:after="0"/>
              <w:rPr>
                <w:sz w:val="8"/>
                <w:szCs w:val="8"/>
                <w:color w:val="auto"/>
              </w:rPr>
            </w:pPr>
          </w:p>
        </w:tc>
        <w:tc>
          <w:tcPr>
            <w:tcW w:w="460" w:type="dxa"/>
            <w:vAlign w:val="bottom"/>
            <w:tcBorders>
              <w:bottom w:val="single" w:sz="8" w:color="auto"/>
            </w:tcBorders>
          </w:tcPr>
          <w:p>
            <w:pPr>
              <w:jc w:val="right"/>
              <w:ind w:right="66"/>
              <w:spacing w:after="0" w:line="101" w:lineRule="exact"/>
              <w:rPr>
                <w:sz w:val="20"/>
                <w:szCs w:val="20"/>
                <w:color w:val="auto"/>
              </w:rPr>
            </w:pPr>
            <w:r>
              <w:rPr>
                <w:rFonts w:ascii="Arial" w:cs="Arial" w:eastAsia="Arial" w:hAnsi="Arial"/>
                <w:sz w:val="11"/>
                <w:szCs w:val="11"/>
                <w:b w:val="1"/>
                <w:bCs w:val="1"/>
                <w:color w:val="auto"/>
              </w:rPr>
              <w:t>2009</w:t>
            </w: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97"/>
              <w:spacing w:after="0" w:line="101" w:lineRule="exact"/>
              <w:rPr>
                <w:sz w:val="20"/>
                <w:szCs w:val="20"/>
                <w:color w:val="auto"/>
              </w:rPr>
            </w:pPr>
            <w:r>
              <w:rPr>
                <w:rFonts w:ascii="Arial" w:cs="Arial" w:eastAsia="Arial" w:hAnsi="Arial"/>
                <w:sz w:val="11"/>
                <w:szCs w:val="11"/>
                <w:b w:val="1"/>
                <w:bCs w:val="1"/>
                <w:color w:val="auto"/>
                <w:w w:val="93"/>
              </w:rPr>
              <w:t>Change %</w:t>
            </w:r>
          </w:p>
        </w:tc>
        <w:tc>
          <w:tcPr>
            <w:tcW w:w="26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2010</w:t>
            </w:r>
          </w:p>
        </w:tc>
        <w:tc>
          <w:tcPr>
            <w:tcW w:w="240" w:type="dxa"/>
            <w:vAlign w:val="bottom"/>
          </w:tcPr>
          <w:p>
            <w:pPr>
              <w:spacing w:after="0"/>
              <w:rPr>
                <w:sz w:val="8"/>
                <w:szCs w:val="8"/>
                <w:color w:val="auto"/>
              </w:rPr>
            </w:pPr>
          </w:p>
        </w:tc>
        <w:tc>
          <w:tcPr>
            <w:tcW w:w="660" w:type="dxa"/>
            <w:vAlign w:val="bottom"/>
            <w:tcBorders>
              <w:bottom w:val="single" w:sz="8" w:color="auto"/>
            </w:tcBorders>
          </w:tcPr>
          <w:p>
            <w:pPr>
              <w:jc w:val="right"/>
              <w:ind w:right="16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840" w:type="dxa"/>
            <w:vAlign w:val="bottom"/>
            <w:tcBorders>
              <w:bottom w:val="single" w:sz="8" w:color="auto"/>
            </w:tcBorders>
          </w:tcPr>
          <w:p>
            <w:pPr>
              <w:jc w:val="right"/>
              <w:ind w:right="117"/>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rPr>
                <w:sz w:val="20"/>
                <w:szCs w:val="20"/>
                <w:color w:val="auto"/>
              </w:rPr>
            </w:pPr>
            <w:r>
              <w:rPr>
                <w:rFonts w:ascii="Arial" w:cs="Arial" w:eastAsia="Arial" w:hAnsi="Arial"/>
                <w:sz w:val="13"/>
                <w:szCs w:val="13"/>
                <w:color w:val="auto"/>
              </w:rPr>
              <w:t>Effective tax rate</w:t>
            </w:r>
          </w:p>
        </w:tc>
        <w:tc>
          <w:tcPr>
            <w:tcW w:w="640" w:type="dxa"/>
            <w:vAlign w:val="bottom"/>
          </w:tcPr>
          <w:p>
            <w:pPr>
              <w:jc w:val="right"/>
              <w:spacing w:after="0"/>
              <w:rPr>
                <w:sz w:val="20"/>
                <w:szCs w:val="20"/>
                <w:color w:val="auto"/>
              </w:rPr>
            </w:pPr>
            <w:r>
              <w:rPr>
                <w:rFonts w:ascii="Arial" w:cs="Arial" w:eastAsia="Arial" w:hAnsi="Arial"/>
                <w:sz w:val="13"/>
                <w:szCs w:val="13"/>
                <w:color w:val="auto"/>
              </w:rPr>
              <w:t>25.8%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39.0%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(33.8)%</w:t>
            </w:r>
          </w:p>
        </w:tc>
        <w:tc>
          <w:tcPr>
            <w:tcW w:w="920" w:type="dxa"/>
            <w:vAlign w:val="bottom"/>
            <w:gridSpan w:val="2"/>
          </w:tcPr>
          <w:p>
            <w:pPr>
              <w:jc w:val="right"/>
              <w:ind w:right="26"/>
              <w:spacing w:after="0"/>
              <w:rPr>
                <w:sz w:val="20"/>
                <w:szCs w:val="20"/>
                <w:color w:val="auto"/>
              </w:rPr>
            </w:pPr>
            <w:r>
              <w:rPr>
                <w:rFonts w:ascii="Arial" w:cs="Arial" w:eastAsia="Arial" w:hAnsi="Arial"/>
                <w:sz w:val="13"/>
                <w:szCs w:val="13"/>
                <w:color w:val="auto"/>
              </w:rPr>
              <w:t>25.7%</w:t>
            </w:r>
          </w:p>
        </w:tc>
        <w:tc>
          <w:tcPr>
            <w:tcW w:w="900" w:type="dxa"/>
            <w:vAlign w:val="bottom"/>
            <w:gridSpan w:val="2"/>
          </w:tcPr>
          <w:p>
            <w:pPr>
              <w:jc w:val="right"/>
              <w:ind w:right="6"/>
              <w:spacing w:after="0"/>
              <w:rPr>
                <w:sz w:val="20"/>
                <w:szCs w:val="20"/>
                <w:color w:val="auto"/>
              </w:rPr>
            </w:pPr>
            <w:r>
              <w:rPr>
                <w:rFonts w:ascii="Arial" w:cs="Arial" w:eastAsia="Arial" w:hAnsi="Arial"/>
                <w:sz w:val="13"/>
                <w:szCs w:val="13"/>
                <w:color w:val="auto"/>
              </w:rPr>
              <w:t>28.7%</w:t>
            </w:r>
          </w:p>
        </w:tc>
        <w:tc>
          <w:tcPr>
            <w:tcW w:w="26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72"/>
        </w:trPr>
        <w:tc>
          <w:tcPr>
            <w:tcW w:w="4620" w:type="dxa"/>
            <w:vAlign w:val="bottom"/>
            <w:gridSpan w:val="2"/>
          </w:tcPr>
          <w:p>
            <w:pPr>
              <w:spacing w:after="0"/>
              <w:rPr>
                <w:sz w:val="20"/>
                <w:szCs w:val="20"/>
                <w:color w:val="auto"/>
              </w:rPr>
            </w:pPr>
            <w:r>
              <w:rPr>
                <w:rFonts w:ascii="Arial" w:cs="Arial" w:eastAsia="Arial" w:hAnsi="Arial"/>
                <w:sz w:val="13"/>
                <w:szCs w:val="13"/>
                <w:color w:val="auto"/>
              </w:rPr>
              <w:t>Income tax expense</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$102.2</w:t>
            </w:r>
          </w:p>
        </w:tc>
        <w:tc>
          <w:tcPr>
            <w:tcW w:w="720" w:type="dxa"/>
            <w:vAlign w:val="bottom"/>
            <w:gridSpan w:val="2"/>
          </w:tcPr>
          <w:p>
            <w:pPr>
              <w:jc w:val="right"/>
              <w:ind w:right="66"/>
              <w:spacing w:after="0"/>
              <w:rPr>
                <w:sz w:val="20"/>
                <w:szCs w:val="20"/>
                <w:color w:val="auto"/>
              </w:rPr>
            </w:pPr>
            <w:r>
              <w:rPr>
                <w:rFonts w:ascii="Arial" w:cs="Arial" w:eastAsia="Arial" w:hAnsi="Arial"/>
                <w:sz w:val="13"/>
                <w:szCs w:val="13"/>
                <w:color w:val="auto"/>
              </w:rPr>
              <w:t>$92.7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10.2%</w:t>
            </w:r>
          </w:p>
        </w:tc>
        <w:tc>
          <w:tcPr>
            <w:tcW w:w="920" w:type="dxa"/>
            <w:vAlign w:val="bottom"/>
            <w:gridSpan w:val="2"/>
          </w:tcPr>
          <w:p>
            <w:pPr>
              <w:jc w:val="right"/>
              <w:ind w:right="126"/>
              <w:spacing w:after="0"/>
              <w:rPr>
                <w:sz w:val="20"/>
                <w:szCs w:val="20"/>
                <w:color w:val="auto"/>
              </w:rPr>
            </w:pPr>
            <w:r>
              <w:rPr>
                <w:rFonts w:ascii="Arial" w:cs="Arial" w:eastAsia="Arial" w:hAnsi="Arial"/>
                <w:sz w:val="13"/>
                <w:szCs w:val="13"/>
                <w:color w:val="auto"/>
              </w:rPr>
              <w:t>$177.6</w:t>
            </w:r>
          </w:p>
        </w:tc>
        <w:tc>
          <w:tcPr>
            <w:tcW w:w="900" w:type="dxa"/>
            <w:vAlign w:val="bottom"/>
            <w:gridSpan w:val="2"/>
          </w:tcPr>
          <w:p>
            <w:pPr>
              <w:jc w:val="right"/>
              <w:ind w:right="126"/>
              <w:spacing w:after="0"/>
              <w:rPr>
                <w:sz w:val="20"/>
                <w:szCs w:val="20"/>
                <w:color w:val="auto"/>
              </w:rPr>
            </w:pPr>
            <w:r>
              <w:rPr>
                <w:rFonts w:ascii="Arial" w:cs="Arial" w:eastAsia="Arial" w:hAnsi="Arial"/>
                <w:sz w:val="13"/>
                <w:szCs w:val="13"/>
                <w:color w:val="auto"/>
              </w:rPr>
              <w:t>$157.9</w:t>
            </w:r>
          </w:p>
        </w:tc>
        <w:tc>
          <w:tcPr>
            <w:tcW w:w="26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80" w:firstLine="399"/>
        <w:spacing w:after="0" w:line="338" w:lineRule="auto"/>
        <w:rPr>
          <w:sz w:val="20"/>
          <w:szCs w:val="20"/>
          <w:color w:val="auto"/>
        </w:rPr>
      </w:pPr>
      <w:r>
        <w:rPr>
          <w:rFonts w:ascii="Arial" w:cs="Arial" w:eastAsia="Arial" w:hAnsi="Arial"/>
          <w:sz w:val="12"/>
          <w:szCs w:val="12"/>
          <w:color w:val="auto"/>
        </w:rPr>
        <w:t>Our effective tax rate will fluctuate from period to period due to several factors including the nature of our global operations. The factors that most significantly impact our effective tax rate include the variability in the allocation of our taxable earnings in multiple jurisdictions, changes in tax laws, acquisitions and licensing transactions.</w:t>
      </w:r>
    </w:p>
    <w:p>
      <w:pPr>
        <w:spacing w:after="0" w:line="24"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Our income tax rate for the three and six months ended June 30, 2010 was favorably impacted, compared to the same periods in 2009, by a higher percentage of our profits being earned in lower rate international jurisdictions. This change in the location of our relative profits was caused by the growth of our international operations, a benefit related to transfer pricing between our international affiliates and lower 2010 domestic earnings as a proportion of total consolidated earnings due to U.S. healthcare reform legislation enacted in March 2010.</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During 2010, we also experienced a favorable impact from a statutory increase in the U.S. manufacturers’ tax deduction and an increase in expenditures eligible for our orphan drug credit offset by the 2009 expiration of the federal research and development tax credit. In addition, our 2009 effective tax rate for the three and six months ended June 30, 2009 was increased by 7.5% and 2.3%, respectively, as a result of the $110.0 million upfront payment incurred in connection with the collaboration and license agreement entered into with Acorda Therapeutics, Inc. (Acorda) in the second quarter of 2009. Our effective tax rate for the six months ended June 30, 2009 was also favorably impacted by 5.5% for changes in tax law which became effective during the first quarter of 2009 in certain state jurisdictions in which we operate and resulted in a $30.3 million reduction of our tax expense for the six months ended June 30, 2009.</w:t>
      </w:r>
    </w:p>
    <w:p>
      <w:pPr>
        <w:spacing w:after="0" w:line="6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We expect our full-year 2010 effective tax rate to be between 26% and 28%. This rate does not consider the impact of a potential renewal of the U.S. federal research and development tax credit. Please read Note 14,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to our Consolidated Financial Statements included in this report for a detailed income tax rate reconciliation for the three and six months ended June 30, 2010 and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w:t>
      </w:r>
    </w:p>
    <w:p>
      <w:pPr>
        <w:spacing w:after="0" w:line="104" w:lineRule="exact"/>
        <w:rPr>
          <w:sz w:val="20"/>
          <w:szCs w:val="20"/>
          <w:color w:val="auto"/>
        </w:rPr>
      </w:pPr>
    </w:p>
    <w:p>
      <w:pPr>
        <w:ind w:left="680" w:right="480" w:firstLine="399"/>
        <w:spacing w:after="0" w:line="294" w:lineRule="auto"/>
        <w:rPr>
          <w:sz w:val="20"/>
          <w:szCs w:val="20"/>
          <w:color w:val="auto"/>
        </w:rPr>
      </w:pPr>
      <w:r>
        <w:rPr>
          <w:rFonts w:ascii="Arial" w:cs="Arial" w:eastAsia="Arial" w:hAnsi="Arial"/>
          <w:sz w:val="13"/>
          <w:szCs w:val="13"/>
          <w:color w:val="auto"/>
        </w:rPr>
        <w:t>We conduct business globally. As a result, our international operations are subject to certain opportunities and risks which may affect our results of operations, including volatility in foreign currency exchange rates or weak economic conditions in the foreign market in which we operate.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102"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While the financial results of our global activities are reported in U.S. dollars, the functional currency for most of our foreign subsidiaries is their local currency. Fluctuations in the foreign currency exchange rates of the countries in which we do business will affect our operating results, often in ways that are difficult to predict. For example, when the</w:t>
      </w:r>
    </w:p>
    <w:p>
      <w:pPr>
        <w:spacing w:after="0" w:line="1" w:lineRule="exact"/>
        <w:rPr>
          <w:sz w:val="20"/>
          <w:szCs w:val="20"/>
          <w:color w:val="auto"/>
        </w:rPr>
      </w:pPr>
    </w:p>
    <w:p>
      <w:pPr>
        <w:ind w:left="680" w:right="340"/>
        <w:spacing w:after="0" w:line="277" w:lineRule="auto"/>
        <w:rPr>
          <w:sz w:val="20"/>
          <w:szCs w:val="20"/>
          <w:color w:val="auto"/>
        </w:rPr>
      </w:pPr>
      <w:r>
        <w:rPr>
          <w:rFonts w:ascii="Arial" w:cs="Arial" w:eastAsia="Arial" w:hAnsi="Arial"/>
          <w:sz w:val="13"/>
          <w:szCs w:val="13"/>
          <w:color w:val="auto"/>
        </w:rPr>
        <w:t>U.S. dollar strengthens against foreign currencies, the relative value of sales made in the respective foreign currencies decreases, conversely, when the U.S. dollar weakens against foreign currencies, the relative amount of such sales in U.S. dollars increases.</w:t>
      </w:r>
    </w:p>
    <w:p>
      <w:pPr>
        <w:spacing w:after="0" w:line="58" w:lineRule="exact"/>
        <w:rPr>
          <w:sz w:val="20"/>
          <w:szCs w:val="20"/>
          <w:color w:val="auto"/>
        </w:rPr>
      </w:pPr>
    </w:p>
    <w:p>
      <w:pPr>
        <w:jc w:val="both"/>
        <w:ind w:left="680" w:right="80" w:firstLine="399"/>
        <w:spacing w:after="0" w:line="270" w:lineRule="auto"/>
        <w:rPr>
          <w:sz w:val="20"/>
          <w:szCs w:val="20"/>
          <w:color w:val="auto"/>
        </w:rPr>
      </w:pPr>
      <w:r>
        <w:rPr>
          <w:rFonts w:ascii="Arial" w:cs="Arial" w:eastAsia="Arial" w:hAnsi="Arial"/>
          <w:sz w:val="13"/>
          <w:szCs w:val="13"/>
          <w:color w:val="auto"/>
        </w:rPr>
        <w:t>Our net income may also fluctuate due to the impact of our foreign currency hedging program. Our foreign currency management program is designed to mitigate, over time, a portion of the impact on volatility in exchange rate changes on net income and earnings per share. We use foreign currency forward contracts to manage foreign currency risk with the majority of our forward contracts used to hedge certain forecasted revenue transactions denominated in foreign currencies. Foreign currency gains or losses arising from our operations are recognized in the period in which we incur those gains or losses.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Risk</w:t>
      </w:r>
    </w:p>
    <w:p>
      <w:pPr>
        <w:spacing w:after="0" w:line="102"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We are subject to credit risk from our accounts receivable related to our product sales. The majority of our accounts receivable arise from product sales in the United States and Europe with concentrations of credit risk generally limited due to the wide variety of customers and markets using our products, as well as their dispersion across many different geographic areas. Our accounts receivable are primarily due from wholesale distributors, large pharmaceutical companies and public hospitals. We monitor the financial performance and credit worthiness of our large customers so that we can properly assess and respond to changes in their credit profile. We continue to monitor economic conditions, including the volatility associated with international sovereign economies and associated impacts on the financial markets and our business. Our historical write-offs of accounts receivable have not been significant.</w:t>
      </w:r>
    </w:p>
    <w:p>
      <w:pPr>
        <w:spacing w:after="0" w:line="68"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Within the European Union, our product sales in Italy, Spain and Portugal continue to be subject to significant payment delays due to government funding and reimbursement practices. We believe the credit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0"/>
        <w:spacing w:after="0" w:line="309" w:lineRule="auto"/>
        <w:rPr>
          <w:sz w:val="20"/>
          <w:szCs w:val="20"/>
          <w:color w:val="auto"/>
        </w:rPr>
      </w:pPr>
      <w:r>
        <w:rPr>
          <w:rFonts w:ascii="Arial" w:cs="Arial" w:eastAsia="Arial" w:hAnsi="Arial"/>
          <w:sz w:val="12"/>
          <w:szCs w:val="12"/>
          <w:color w:val="auto"/>
        </w:rPr>
        <w:t>economic conditions within these countries has deteriorated through the first half of 2010. These conditions have resulted in and may continue to result in an increase in the average length of time that it takes to collect on our accounts receivable outstanding in these countries. Our accounts receivable in Italy, Spain and Portugal totaled approximately $193.2 million as of June 30, 2010. To date, we have not experienced any significant losses with respect to the collection of our accounts receivable related to sales within these countries.</w:t>
      </w:r>
    </w:p>
    <w:p>
      <w:pPr>
        <w:spacing w:after="0" w:line="4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We believe that our concentrations of credit risk from our accounts receivable balances related to our product sales in Greece to date have been limited as our receivables within this market are due from our wholesale distributor, for which related accounts receivable balances as of June 30, 2010 remain current and substantially in compliance with their contractual due dates. At June 30, 2010, we had $8.5 million due from our distributor in Greece. However, the majority of our sales by our distributor are to government funded hospitals and as a result our distributor maintains significant outstanding receivables with the government. Furthermore, the government of Greece has recently required financial support from both the European Union and the International Monetary Fund to avoid defaulting on its sovereign debt. In the event that Greece defaults on its debt, and could not pay our distributor, we may be unable to collect some or all of our remaining amounts due from the distributor. Should the government of Greece require pharmaceutical creditors to accept mandatory, retroactive, price deductions in settlement of outstanding receivables, we could be required to repay our distributor a portion of the amounts they have paid us, but were not collected. The potential impact resulting from such mandatory actions remains uncertain. To date, we have not been required to repay such amounts to our distributor or take a discount in settlement of any outstanding receivables and do not intend to do so.</w:t>
      </w:r>
    </w:p>
    <w:p>
      <w:pPr>
        <w:spacing w:after="0" w:line="67"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condition is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100" w:type="dxa"/>
            <w:vAlign w:val="bottom"/>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As of</w:t>
            </w:r>
          </w:p>
        </w:tc>
        <w:tc>
          <w:tcPr>
            <w:tcW w:w="140" w:type="dxa"/>
            <w:vAlign w:val="bottom"/>
          </w:tcPr>
          <w:p>
            <w:pPr>
              <w:spacing w:after="0"/>
              <w:rPr>
                <w:sz w:val="10"/>
                <w:szCs w:val="10"/>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1"/>
                <w:szCs w:val="11"/>
                <w:b w:val="1"/>
                <w:bCs w:val="1"/>
                <w:color w:val="auto"/>
              </w:rPr>
              <w:t>As of</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97"/>
              </w:rPr>
              <w:t>Change %</w:t>
            </w:r>
          </w:p>
        </w:tc>
        <w:tc>
          <w:tcPr>
            <w:tcW w:w="0" w:type="dxa"/>
            <w:vAlign w:val="bottom"/>
          </w:tcPr>
          <w:p>
            <w:pPr>
              <w:spacing w:after="0"/>
              <w:rPr>
                <w:sz w:val="1"/>
                <w:szCs w:val="1"/>
                <w:color w:val="auto"/>
              </w:rPr>
            </w:pPr>
          </w:p>
        </w:tc>
      </w:tr>
      <w:tr>
        <w:trPr>
          <w:trHeight w:val="128"/>
        </w:trPr>
        <w:tc>
          <w:tcPr>
            <w:tcW w:w="6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9"/>
              </w:rPr>
              <w:t>June 30, 2010</w:t>
            </w:r>
          </w:p>
        </w:tc>
        <w:tc>
          <w:tcPr>
            <w:tcW w:w="140" w:type="dxa"/>
            <w:vAlign w:val="bottom"/>
          </w:tcPr>
          <w:p>
            <w:pPr>
              <w:spacing w:after="0"/>
              <w:rPr>
                <w:sz w:val="11"/>
                <w:szCs w:val="11"/>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w w:val="90"/>
              </w:rPr>
              <w:t>December 31, 2009</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721.0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581.9</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Marketable securities — current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248.7</w:t>
            </w: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61"/>
        </w:trPr>
        <w:tc>
          <w:tcPr>
            <w:tcW w:w="6100" w:type="dxa"/>
            <w:vAlign w:val="bottom"/>
          </w:tcPr>
          <w:p>
            <w:pPr>
              <w:ind w:left="140"/>
              <w:spacing w:after="0"/>
              <w:rPr>
                <w:sz w:val="20"/>
                <w:szCs w:val="20"/>
                <w:color w:val="auto"/>
              </w:rPr>
            </w:pPr>
            <w:r>
              <w:rPr>
                <w:rFonts w:ascii="Arial" w:cs="Arial" w:eastAsia="Arial" w:hAnsi="Arial"/>
                <w:sz w:val="13"/>
                <w:szCs w:val="13"/>
                <w:color w:val="auto"/>
              </w:rPr>
              <w:t>Marketable securities — non-current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566.1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1,194.1</w:t>
            </w:r>
          </w:p>
        </w:tc>
        <w:tc>
          <w:tcPr>
            <w:tcW w:w="3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financial assets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1,535.8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2,457.8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Borrowings: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notes payable and line of credit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61"/>
        </w:trPr>
        <w:tc>
          <w:tcPr>
            <w:tcW w:w="6100" w:type="dxa"/>
            <w:vAlign w:val="bottom"/>
          </w:tcPr>
          <w:p>
            <w:pPr>
              <w:ind w:left="140"/>
              <w:spacing w:after="0"/>
              <w:rPr>
                <w:sz w:val="20"/>
                <w:szCs w:val="20"/>
                <w:color w:val="auto"/>
              </w:rPr>
            </w:pPr>
            <w:r>
              <w:rPr>
                <w:rFonts w:ascii="Arial" w:cs="Arial" w:eastAsia="Arial" w:hAnsi="Arial"/>
                <w:sz w:val="13"/>
                <w:szCs w:val="13"/>
                <w:color w:val="auto"/>
              </w:rPr>
              <w:t>Notes payable and line of credit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1,069.7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1,080.2</w:t>
            </w:r>
          </w:p>
        </w:tc>
        <w:tc>
          <w:tcPr>
            <w:tcW w:w="3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borrowings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1,079.8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Working Capital:</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assets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2,255.2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2,480.6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1"/>
        </w:trPr>
        <w:tc>
          <w:tcPr>
            <w:tcW w:w="6100" w:type="dxa"/>
            <w:vAlign w:val="bottom"/>
          </w:tcPr>
          <w:p>
            <w:pPr>
              <w:ind w:left="140"/>
              <w:spacing w:after="0"/>
              <w:rPr>
                <w:sz w:val="20"/>
                <w:szCs w:val="20"/>
                <w:color w:val="auto"/>
              </w:rPr>
            </w:pPr>
            <w:r>
              <w:rPr>
                <w:rFonts w:ascii="Arial" w:cs="Arial" w:eastAsia="Arial" w:hAnsi="Arial"/>
                <w:sz w:val="13"/>
                <w:szCs w:val="13"/>
                <w:color w:val="auto"/>
              </w:rPr>
              <w:t>Current liabilities</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(755.7)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3"/>
                <w:szCs w:val="13"/>
                <w:color w:val="auto"/>
              </w:rPr>
              <w:t>(714.9)</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working capital</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1,499.5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six months ended June 30, 2010, certain significant cash flows were as follows:</w:t>
      </w:r>
    </w:p>
    <w:p>
      <w:pPr>
        <w:spacing w:after="0" w:line="102" w:lineRule="exact"/>
        <w:rPr>
          <w:sz w:val="20"/>
          <w:szCs w:val="20"/>
          <w:color w:val="auto"/>
        </w:rPr>
      </w:pPr>
    </w:p>
    <w:p>
      <w:pPr>
        <w:ind w:left="1720" w:hanging="82"/>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$1,609.3 million used for share repurchases;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$1,061.3 million in net proceeds received on sales and maturities of marketable securities;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$141.6 million in total payments for income taxes;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$85.3 million used for purchases of property, plant and equipment;</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$63.2 million in proceeds from the issuance of stock for share-based compensation arrangements;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600" w:hanging="105"/>
        <w:spacing w:after="0"/>
        <w:tabs>
          <w:tab w:leader="none" w:pos="1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$40.0 million payment made to the former shareholders of Syntonix recognized as IPR&amp;D expense; and</w:t>
      </w:r>
    </w:p>
    <w:p>
      <w:pPr>
        <w:spacing w:after="0" w:line="102" w:lineRule="exact"/>
        <w:rPr>
          <w:rFonts w:ascii="Arial" w:cs="Arial" w:eastAsia="Arial" w:hAnsi="Arial"/>
          <w:sz w:val="13"/>
          <w:szCs w:val="13"/>
          <w:color w:val="auto"/>
        </w:rPr>
      </w:pPr>
    </w:p>
    <w:p>
      <w:pPr>
        <w:ind w:left="1080" w:right="3680" w:firstLine="558"/>
        <w:spacing w:after="0" w:line="404" w:lineRule="auto"/>
        <w:tabs>
          <w:tab w:leader="none" w:pos="1711" w:val="left"/>
        </w:tabs>
        <w:numPr>
          <w:ilvl w:val="1"/>
          <w:numId w:val="22"/>
        </w:numPr>
        <w:rPr>
          <w:rFonts w:ascii="Arial" w:cs="Arial" w:eastAsia="Arial" w:hAnsi="Arial"/>
          <w:sz w:val="13"/>
          <w:szCs w:val="13"/>
          <w:color w:val="auto"/>
        </w:rPr>
      </w:pPr>
      <w:r>
        <w:rPr>
          <w:rFonts w:ascii="Arial" w:cs="Arial" w:eastAsia="Arial" w:hAnsi="Arial"/>
          <w:sz w:val="13"/>
          <w:szCs w:val="13"/>
          <w:color w:val="auto"/>
        </w:rPr>
        <w:t>$30.0 million milestone payment made to Facet recognized as research and development expense. For the six months ended June 30, 2009, certain significant cash flows were as follows:</w:t>
      </w: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$349.5 million in total payments for income taxes;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$231.9 million used for net purchases of marketable securities;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$71.7 million used for purchases of property, plant and equipment.</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$57.6 million used for share repurchases;</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$35.2 million in net purchases of strategic investments; and</w:t>
      </w:r>
    </w:p>
    <w:p>
      <w:pPr>
        <w:spacing w:after="0" w:line="102" w:lineRule="exact"/>
        <w:rPr>
          <w:rFonts w:ascii="Arial" w:cs="Arial" w:eastAsia="Arial" w:hAnsi="Arial"/>
          <w:sz w:val="13"/>
          <w:szCs w:val="13"/>
          <w:color w:val="auto"/>
        </w:rPr>
      </w:pPr>
    </w:p>
    <w:p>
      <w:pPr>
        <w:ind w:left="1720" w:hanging="82"/>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$24.4 million in proceeds from the issuance of stock for share-based compensation arrangements;</w:t>
      </w:r>
    </w:p>
    <w:p>
      <w:pPr>
        <w:spacing w:after="0" w:line="102" w:lineRule="exact"/>
        <w:rPr>
          <w:sz w:val="20"/>
          <w:szCs w:val="20"/>
          <w:color w:val="auto"/>
        </w:rPr>
      </w:pPr>
    </w:p>
    <w:p>
      <w:pPr>
        <w:ind w:left="680" w:firstLine="399"/>
        <w:spacing w:after="0" w:line="295" w:lineRule="auto"/>
        <w:rPr>
          <w:sz w:val="20"/>
          <w:szCs w:val="20"/>
          <w:color w:val="auto"/>
        </w:rPr>
      </w:pPr>
      <w:r>
        <w:rPr>
          <w:rFonts w:ascii="Arial" w:cs="Arial" w:eastAsia="Arial" w:hAnsi="Arial"/>
          <w:sz w:val="12"/>
          <w:szCs w:val="12"/>
          <w:color w:val="auto"/>
        </w:rPr>
        <w:t>We have financed our operating and capital expenditures principally through cash flows from our operations. We expect to continue financing our current and planned operating requirements principally through cash from operations, as well as existing cash resources. We believe that existing funds, cash generated from operations and existing sources of, and access to, financing are adequate to satisfy our operating, working capital, strategic alliance and acquisition, milestone payment, capital expenditure and debt service requirements for the foreseeable future. In addition, we plan to opportunistically return cash to shareholders and pursue other business initiatives, including acquisition and licensing activities. We may, from time to time, seek additional funding through a combination of new collaborative agreements, strategic alliances and additional equity and debt financings or from other sources.</w:t>
      </w:r>
    </w:p>
    <w:p>
      <w:pPr>
        <w:spacing w:after="0" w:line="49"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Please read the “Risk Factors” section of this report and the “Quantitative and Qualitative Disclosures About Market Risk” section of our 2009 Form 10-K for items that could negatively impact our cash position and ability to fund future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April 2010, we announced that our Board of Directors authorized the repurchase of up to $1.5 billion of our common stock, with repurchased shares being retired. This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repurchase authorization does not have an expiration date. As of June 30, 2010, approximately 20.8 million shares at a cost of approximately $1.0 billion have been repurchased under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this program, all of which were retired. From July 1, 2010 through July 16, 2010, we repurchased approximately an additional 4.7 million shares under this program at a cost of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$233.2 million, all of which were also retired. Approximately $235.0 million remains available for repurchase of our common stock under the 2010 program. The number of remaining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shares that may be purchased under this program will vary based on price fluctuations of our common stock.</w:t>
      </w:r>
    </w:p>
    <w:p>
      <w:pPr>
        <w:spacing w:after="0" w:line="9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In October 2009, our Board of Directors authorized the repurchase of up to $1.0 billion of our common stock with the objective of reducing shares outstanding and returning excess cash to shareholders. This repurchase program was completed during the first quarter of 2010. During the first quarter of 2010, approximately 10.5 million shares of our common stock were repurchased for approximately $577.6 million under this program. During 2009, we repurchased approximately 8.8 million shares under this program at a cost of approximately $422.4 million. All shares repurchased under this program were retired.</w:t>
      </w:r>
    </w:p>
    <w:p>
      <w:pPr>
        <w:spacing w:after="0" w:line="63"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As a result of the approximately 31.3 million shares repurchased during the six months ended June 30, 2010, common shares outstanding have decreased approximately 11.4% since December 31, 2009.</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Marketable Securities</w:t>
      </w:r>
    </w:p>
    <w:p>
      <w:pPr>
        <w:spacing w:after="0" w:line="102" w:lineRule="exact"/>
        <w:rPr>
          <w:sz w:val="20"/>
          <w:szCs w:val="20"/>
          <w:color w:val="auto"/>
        </w:rPr>
      </w:pPr>
    </w:p>
    <w:p>
      <w:pPr>
        <w:jc w:val="both"/>
        <w:ind w:left="680" w:right="320" w:firstLine="399"/>
        <w:spacing w:after="0" w:line="276" w:lineRule="auto"/>
        <w:rPr>
          <w:sz w:val="20"/>
          <w:szCs w:val="20"/>
          <w:color w:val="auto"/>
        </w:rPr>
      </w:pPr>
      <w:r>
        <w:rPr>
          <w:rFonts w:ascii="Arial" w:cs="Arial" w:eastAsia="Arial" w:hAnsi="Arial"/>
          <w:sz w:val="13"/>
          <w:szCs w:val="13"/>
          <w:color w:val="auto"/>
        </w:rPr>
        <w:t>Until required for use in the business, we invest our cash reserves in bank deposits, certificates of deposit, commercial paper, corporate notes, U.S. and foreign government instruments and other interest bearing marketable debt instruments in accordance with our investment policy. We attempt to mitigate credit risk in our cash reserves and marketable securities by maintaining a well diversified portfolio that limits the amount of investment exposure</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40"/>
        <w:spacing w:after="0" w:line="265" w:lineRule="auto"/>
        <w:rPr>
          <w:sz w:val="20"/>
          <w:szCs w:val="20"/>
          <w:color w:val="auto"/>
        </w:rPr>
      </w:pPr>
      <w:r>
        <w:rPr>
          <w:rFonts w:ascii="Arial" w:cs="Arial" w:eastAsia="Arial" w:hAnsi="Arial"/>
          <w:sz w:val="13"/>
          <w:szCs w:val="13"/>
          <w:color w:val="auto"/>
        </w:rPr>
        <w:t xml:space="preserve">as to institution, maturity, and investment type. In particular, the value of our investments may be adversely affected by increases in interest rates, downgrades in the corporate bonds included in our portfolio, instability in the global financial markets that reduces the liquidity of securities included in our portfolio, and by other factors which may result in other-than-temporary declines in the value of the investments. Each of these events may cause us to record charges to reduce the carrying value of our investment portfolio or sell investments for less than our acquisition cost which could adversely impact our financial position and our overall liquidity. Please read Note 6,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 our Consolidated Financial Statements included in this report for a summary of the fair value and valuation methods of our marketable securities as of June 30, 2010 and December 31, 2009.</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decrease in cash and marketable securities from December 31, 2009 is primarily due to share repurchases, tax payments, purchases of property, plant and equipment, a</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$30.0 million milestone payment made to Facet and the $40.0 milestone payment paid to the former shareholders of Syntonix offset by cash from operations, net proceeds received 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sales and maturities of marketable securities and proceeds from the issuance of stock under our share-based compensation arrangements.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Borrowings</w:t>
      </w:r>
    </w:p>
    <w:p>
      <w:pPr>
        <w:spacing w:after="0" w:line="82"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 xml:space="preserve">We have a $360.0 million senior unsecured revolving credit facility, which we may use for future working capital and general corporate purposes. This facility terminates in June 2012. As of June 30, 2010 and December 31, 2009, there were no borrowings under this credit facility and we were in compliance with applicable covenants. The credit rating on our Senior Notes at June 30, 2010, was Baa3 with a stable outlook by Moody’s Investors Service and BBB+ with a stable outlook by Standard &amp; Poor’s. Please read Note 6,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our Consolidated Financial Statements included in this report for a summary of the fair and carrying value of outstanding borrowings as of June 30, 2010 and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2009.</w:t>
      </w:r>
    </w:p>
    <w:p>
      <w:pPr>
        <w:spacing w:after="0" w:line="3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connection with our 2006 distribution agreement with Fumedica, we issued notes payable totaling 61.4 million Swiss Francs which were to be repaid to Fumedica in varying amounts from June 2008 through June 2018. In June 2010, we repaid 12.0 million Swiss Francs ($10.3 million). As of June 30, 2010, our remaining note payable to Fumedica has a present value of 20.1 million Swiss Francs ($18.5 million) and remains payable in a series of payments through June 2018.</w:t>
      </w:r>
    </w:p>
    <w:p>
      <w:pPr>
        <w:spacing w:after="0" w:line="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have been no other significant changes in our borrowings since December 31, 2009.</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72"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We define working capital as current assets less current liabilities. The decrease in working capital from December 31, 2009 primarily reflects the overall decrease in current assets of $225.4 million and was primarily due to the net decrease in marketable securities resulting from our return of excess cash to shareholders via our share repurchase programs which totaled $1,609.3 million for the six months ended June 30, 2010 and increases in current liabilities totaling $40.7 million.</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cash flow activity:</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88"/>
              </w:rPr>
              <w:t>For the Six Months</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percentages)</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9"/>
              </w:rPr>
              <w:t>Ended June 30,</w:t>
            </w: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7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jc w:val="right"/>
              <w:ind w:right="316"/>
              <w:spacing w:after="0" w:line="101" w:lineRule="exact"/>
              <w:rPr>
                <w:sz w:val="20"/>
                <w:szCs w:val="20"/>
                <w:color w:val="auto"/>
              </w:rPr>
            </w:pPr>
            <w:r>
              <w:rPr>
                <w:rFonts w:ascii="Arial" w:cs="Arial" w:eastAsia="Arial" w:hAnsi="Arial"/>
                <w:sz w:val="11"/>
                <w:szCs w:val="11"/>
                <w:b w:val="1"/>
                <w:bCs w:val="1"/>
                <w:color w:val="auto"/>
              </w:rPr>
              <w:t>2010</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jc w:val="right"/>
              <w:ind w:right="196"/>
              <w:spacing w:after="0" w:line="101"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960" w:type="dxa"/>
            <w:vAlign w:val="bottom"/>
          </w:tcPr>
          <w:p>
            <w:pPr>
              <w:jc w:val="right"/>
              <w:ind w:right="176"/>
              <w:spacing w:after="0" w:line="101" w:lineRule="exact"/>
              <w:rPr>
                <w:sz w:val="20"/>
                <w:szCs w:val="20"/>
                <w:color w:val="auto"/>
              </w:rPr>
            </w:pPr>
            <w:r>
              <w:rPr>
                <w:rFonts w:ascii="Arial" w:cs="Arial" w:eastAsia="Arial" w:hAnsi="Arial"/>
                <w:sz w:val="11"/>
                <w:szCs w:val="11"/>
                <w:b w:val="1"/>
                <w:bCs w:val="1"/>
                <w:color w:val="auto"/>
              </w:rPr>
              <w:t>Change %</w:t>
            </w:r>
          </w:p>
        </w:tc>
        <w:tc>
          <w:tcPr>
            <w:tcW w:w="0" w:type="dxa"/>
            <w:vAlign w:val="bottom"/>
          </w:tcPr>
          <w:p>
            <w:pPr>
              <w:spacing w:after="0"/>
              <w:rPr>
                <w:sz w:val="1"/>
                <w:szCs w:val="1"/>
                <w:color w:val="auto"/>
              </w:rPr>
            </w:pPr>
          </w:p>
        </w:tc>
      </w:tr>
      <w:tr>
        <w:trPr>
          <w:trHeight w:val="30"/>
        </w:trPr>
        <w:tc>
          <w:tcPr>
            <w:tcW w:w="65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provided by operating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765.4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529.3</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61"/>
        </w:trPr>
        <w:tc>
          <w:tcPr>
            <w:tcW w:w="6760" w:type="dxa"/>
            <w:vAlign w:val="bottom"/>
            <w:gridSpan w:val="2"/>
          </w:tcPr>
          <w:p>
            <w:pPr>
              <w:spacing w:after="0"/>
              <w:rPr>
                <w:sz w:val="20"/>
                <w:szCs w:val="20"/>
                <w:color w:val="auto"/>
              </w:rPr>
            </w:pPr>
            <w:r>
              <w:rPr>
                <w:rFonts w:ascii="Arial" w:cs="Arial" w:eastAsia="Arial" w:hAnsi="Arial"/>
                <w:sz w:val="13"/>
                <w:szCs w:val="13"/>
                <w:color w:val="auto"/>
              </w:rPr>
              <w:t>Net cash flows provided by (used in) investing activities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96"/>
              <w:spacing w:after="0"/>
              <w:rPr>
                <w:sz w:val="20"/>
                <w:szCs w:val="20"/>
                <w:color w:val="auto"/>
              </w:rPr>
            </w:pPr>
            <w:r>
              <w:rPr>
                <w:rFonts w:ascii="Arial" w:cs="Arial" w:eastAsia="Arial" w:hAnsi="Arial"/>
                <w:sz w:val="13"/>
                <w:szCs w:val="13"/>
                <w:color w:val="auto"/>
              </w:rPr>
              <w:t>933.7</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76"/>
              <w:spacing w:after="0"/>
              <w:rPr>
                <w:sz w:val="20"/>
                <w:szCs w:val="20"/>
                <w:color w:val="auto"/>
              </w:rPr>
            </w:pPr>
            <w:r>
              <w:rPr>
                <w:rFonts w:ascii="Arial" w:cs="Arial" w:eastAsia="Arial" w:hAnsi="Arial"/>
                <w:sz w:val="13"/>
                <w:szCs w:val="13"/>
                <w:color w:val="auto"/>
                <w:w w:val="92"/>
              </w:rPr>
              <w:t>(303.2)</w:t>
            </w:r>
          </w:p>
        </w:tc>
        <w:tc>
          <w:tcPr>
            <w:tcW w:w="26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color w:val="auto"/>
              </w:rPr>
              <w:t>407.9%</w:t>
            </w:r>
          </w:p>
        </w:tc>
        <w:tc>
          <w:tcPr>
            <w:tcW w:w="0" w:type="dxa"/>
            <w:vAlign w:val="bottom"/>
          </w:tcPr>
          <w:p>
            <w:pPr>
              <w:spacing w:after="0"/>
              <w:rPr>
                <w:sz w:val="1"/>
                <w:szCs w:val="1"/>
                <w:color w:val="auto"/>
              </w:rPr>
            </w:pPr>
          </w:p>
        </w:tc>
      </w:tr>
      <w:tr>
        <w:trPr>
          <w:trHeight w:val="161"/>
        </w:trPr>
        <w:tc>
          <w:tcPr>
            <w:tcW w:w="6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flows used in financing activities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92"/>
              </w:rPr>
              <w:t>(1,549.6)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(63.8)</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2,328.8%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Activities</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Cash flows from operating activities represent the cash receipts and disbursements related to all of our activities other than investing and financing activities. Cash provided by operating activities is primarily driven by our earnings and changes in working capital. We expect cash provided from operating activities will continue to be our primary source of funds to finance operating needs and capital expenditures for the foreseeable future.</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cash flow is derived by adjusting net income for:</w:t>
      </w:r>
    </w:p>
    <w:p>
      <w:pPr>
        <w:spacing w:after="0" w:line="102" w:lineRule="exact"/>
        <w:rPr>
          <w:sz w:val="20"/>
          <w:szCs w:val="20"/>
          <w:color w:val="auto"/>
        </w:rPr>
      </w:pPr>
    </w:p>
    <w:p>
      <w:pPr>
        <w:ind w:left="1300" w:hanging="208"/>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Non-cash operating items such as depreciation and amortization, impairment charges and share-based compensation charges;</w:t>
      </w:r>
    </w:p>
    <w:p>
      <w:pPr>
        <w:spacing w:after="0" w:line="92" w:lineRule="exact"/>
        <w:rPr>
          <w:rFonts w:ascii="Arial" w:cs="Arial" w:eastAsia="Arial" w:hAnsi="Arial"/>
          <w:sz w:val="13"/>
          <w:szCs w:val="13"/>
          <w:color w:val="auto"/>
        </w:rPr>
      </w:pPr>
    </w:p>
    <w:p>
      <w:pPr>
        <w:ind w:left="1300" w:right="600" w:hanging="208"/>
        <w:spacing w:after="0" w:line="29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operating assets and liabilities which reflect timing differences between the receipt and payment of cash associated with transactions and when they are recognized in results of operations;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payment of contingent milestones associated with our prior acquisitions of businesses.</w:t>
      </w:r>
    </w:p>
    <w:p>
      <w:pPr>
        <w:spacing w:after="0" w:line="10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increase in cash provided by operating activities for the six months ended June 30, 2010 compared to the same period in 2009 was primarily driven by an increase in net income, decreased inventory balances and a comparative decrease in payments related to income tax liabilities offset by an increase in receivables due from unconsolidated joint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Investing Activities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increase in cash provided by investing activities is primarily due to net sales of marketable securities during the six months ended June 30, 2010 compared to the same period in 2009, offset by our purchases of property, plant and equipment and milestone payment made to the former shareholders of Syntonix.</w:t>
      </w:r>
    </w:p>
    <w:p>
      <w:pPr>
        <w:spacing w:after="0" w:line="47"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Net proceeds received on net sales and maturities of marketable securities totaled $1,061.3 million for the six months ended June 30, 2010 as compared to net purchases of $231.9 million made during the same period in 2009.</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Financing Activities</w:t>
      </w:r>
    </w:p>
    <w:p>
      <w:pPr>
        <w:spacing w:after="0" w:line="10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increase in cash used in financing activities is due principally to increases in the amounts of our common stock repurchased compared to the same period in 2009. In the six months ended June 30, 2010, we repurchased approximately 31.3 million shares of our common stock for approximately $1.6 billion as compared to 1.2 million shares for approximately $57.6 million in the six months ended June 30,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Off-Balance Sheet Arrangements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10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contractual obligations primarily consists of our obligations under non-cancellable operating leases, our notes payable and line of credit and other purchase obligations, excluding amounts related to uncertain tax positions, amounts payable to tax authorities, funding commitments, contingent milestone payments, and other off-balance sheet arrangements as described below. There have been no significant changes in our contractual obligations since December 31, 2009.</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Related Obligations</w:t>
      </w:r>
    </w:p>
    <w:p>
      <w:pPr>
        <w:spacing w:after="0" w:line="102"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We exclude liabilities pertaining to uncertain tax positions from our summary of contractual obligations as we cannot make a reliable estimate of the period of cash settlement with the respective taxing authorities. As of June 30, 2010, we have approximately $137.8 million of liabilities associated with uncertain tax positions.</w:t>
      </w:r>
    </w:p>
    <w:p>
      <w:pPr>
        <w:spacing w:after="0" w:line="47"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Included in these liabilities are amounts related to the settlement of certain federal and state tax audits in the fourth quarter of 2009. As of June 30, 2010, we expect to pay approximately $81.8 million within the next twelve months in connection with such settlements.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Funding Commitments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June 30, 2010, we have funding commitments of up to approximately $21.9 million as part of our investment in biotechnology oriented venture capital investments.</w:t>
      </w:r>
    </w:p>
    <w:p>
      <w:pPr>
        <w:spacing w:after="0" w:line="114" w:lineRule="exact"/>
        <w:rPr>
          <w:sz w:val="20"/>
          <w:szCs w:val="20"/>
          <w:color w:val="auto"/>
        </w:rPr>
      </w:pPr>
    </w:p>
    <w:p>
      <w:pPr>
        <w:ind w:left="680" w:right="80" w:firstLine="399"/>
        <w:spacing w:after="0" w:line="270" w:lineRule="auto"/>
        <w:rPr>
          <w:sz w:val="20"/>
          <w:szCs w:val="20"/>
          <w:color w:val="auto"/>
        </w:rPr>
      </w:pPr>
      <w:r>
        <w:rPr>
          <w:rFonts w:ascii="Arial" w:cs="Arial" w:eastAsia="Arial" w:hAnsi="Arial"/>
          <w:sz w:val="13"/>
          <w:szCs w:val="13"/>
          <w:color w:val="auto"/>
        </w:rPr>
        <w:t>As of June 30, 2010, we have several ongoing clinical studies in various clinical trial stages. Our most significant clinical trial expenditures are to clinical research organizations (CROs). The contracts with CROs are generally cancellable, with notice, at our option. We have recorded $28.7 million of accrued expenses on our consolidated balance sheet for work done by CROs as of June 30, 2010. We have approximately $370.0 million in cancellable future commitments based on existing CRO contracts as of June 30, 2010, which are not included within contractual obligations as they are cancellable.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Milestone Payments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Based on our development plans as of June 30, 2010, we have committed to make potential future milestone payments to third parties of up to approximately $1.3 billion as part of our various collaborations including licensing and development programs. Payments under these agreements generally become due and payable only upon achievement of certain developmental, regulatory or commercial milestones. Because the achievement of these milestones had not occurred as of June 30, 2010, such contingencies have not been recorded in our financial statements. As of June 30, 2010, we anticipate that we may make approximately $1.5 million of additional milestone payments during the remainder of 2010, provided various developmental milestones are achieved.</w:t>
      </w:r>
    </w:p>
    <w:p>
      <w:pPr>
        <w:spacing w:after="0" w:line="65"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3"/>
          <w:szCs w:val="13"/>
          <w:color w:val="auto"/>
        </w:rPr>
        <w:t>Amounts related to contingent milestone payments are not considered contractual obligations as they are contingent on the successful achievement of certain development, regulatory approval and commercial milestones. These milestones may not be achieved.</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Off-Balance Sheet Arrangements</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do not have any significant relationships with entities often referred to as structured finance or special purpose entities, which would have been established for the purpose of facilitating off-balance sheet arrangements. As such, we are not exposed to any financing, liquidity, market or credit risk that could arise if we had engaged in such relationships. We consolidate entities if we are the primary beneficiary.</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Matters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read Note 17,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to our Consolidated Financial Statements included in this report for a discussion of legal matters as of June 30, 2010.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read Note 19, </w:t>
      </w:r>
      <w:r>
        <w:rPr>
          <w:rFonts w:ascii="Arial" w:cs="Arial" w:eastAsia="Arial" w:hAnsi="Arial"/>
          <w:sz w:val="13"/>
          <w:szCs w:val="13"/>
          <w:i w:val="1"/>
          <w:iCs w:val="1"/>
          <w:color w:val="auto"/>
        </w:rPr>
        <w:t>New Accounting Pronouncements</w:t>
      </w:r>
      <w:r>
        <w:rPr>
          <w:rFonts w:ascii="Arial" w:cs="Arial" w:eastAsia="Arial" w:hAnsi="Arial"/>
          <w:sz w:val="13"/>
          <w:szCs w:val="13"/>
          <w:color w:val="auto"/>
        </w:rPr>
        <w:t xml:space="preserve"> to our Consolidated Financial Statements included in this report for a discussion of new accounting standards.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discussion and analysis of our financial position and results of operations is based on our consolidated financial statements, which have been prepared in accordance with U.S. GAAP. The preparation of these consolidated financial statements in accordance with U.S. GAAP requires us to make estimates and judgments that may affect the reported amounts of assets, liabilities, revenues and expenses, and related disclosure of contingent assets and liabilities. On an ongoing basis, we evaluate our estimates and judgments, including those related to revenue recognition and related allowances, marketable securities, derivatives and hedging activities, inventory, impairments of long-lived assets including intangible assets, impairments of goodwill, the consolidation of variable interest entities, income taxes including the valuation allowance for deferred tax assets, valuation of investments, research and development expenses, contingencies and litigation, and share-based payments. We base our estimates on historical experience and on various other assumptions that we believe are reasonable, the results of which form the basis for making judgments about the carrying values of assets and liabilities. Actual results may differ from these estimates under different assumptions or conditions.</w:t>
      </w:r>
    </w:p>
    <w:p>
      <w:pPr>
        <w:spacing w:after="0" w:line="70"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Please read Part II, Item 7 “Management’s Discussion and Analysis of Financial Condition and Results of Operations” of our 2009 Form 10-K for a discussion of our critical accounting estimates.</w:t>
      </w:r>
    </w:p>
    <w:p>
      <w:pPr>
        <w:spacing w:after="0" w:line="8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market risks, and the ways we manage them, are summarized in Part II, Item 7A, “Quantitative and Qualitative Disclosures About Market Risk” of our 2009 Form 10-K.</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have been no material changes in the first six months of 2010 to our market risks or to our management of such risks.</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 and Internal Control over Financial Reporting</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Disclosure Controls and Procedures</w:t>
      </w:r>
    </w:p>
    <w:p>
      <w:pPr>
        <w:spacing w:after="0" w:line="102"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(Securities Exchange Act), as of June 30, 2010.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Securities and Exchange Commission’s rules and forms, and</w:t>
      </w:r>
    </w:p>
    <w:p>
      <w:pPr>
        <w:ind w:left="680" w:right="40" w:firstLine="8"/>
        <w:spacing w:after="0" w:line="265" w:lineRule="auto"/>
        <w:tabs>
          <w:tab w:leader="none" w:pos="87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02"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There were no changes in our internal control over financial reporting during the quarter ended June 30, 2010 that have materially affected, or are reasonably likely to materially affect, our internal control over financial reporting.</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Part II — OTHER INFORMATION</w:t>
      </w:r>
    </w:p>
    <w:p>
      <w:pPr>
        <w:spacing w:after="0" w:line="18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Please read Note 17, </w:t>
      </w:r>
      <w:r>
        <w:rPr>
          <w:rFonts w:ascii="Arial" w:cs="Arial" w:eastAsia="Arial" w:hAnsi="Arial"/>
          <w:sz w:val="13"/>
          <w:szCs w:val="13"/>
          <w:i w:val="1"/>
          <w:iCs w:val="1"/>
          <w:color w:val="auto"/>
        </w:rPr>
        <w:t>Litigation</w:t>
      </w:r>
      <w:r>
        <w:rPr>
          <w:rFonts w:ascii="Arial" w:cs="Arial" w:eastAsia="Arial" w:hAnsi="Arial"/>
          <w:sz w:val="13"/>
          <w:szCs w:val="13"/>
          <w:color w:val="auto"/>
        </w:rPr>
        <w:t>, to our Consolidated Financial Statements included in this report, which is incorporated into this item by reference.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substantially dependent on revenues from our three principal products.</w:t>
      </w:r>
    </w:p>
    <w:p>
      <w:pPr>
        <w:spacing w:after="0" w:line="102" w:lineRule="exact"/>
        <w:rPr>
          <w:sz w:val="20"/>
          <w:szCs w:val="20"/>
          <w:color w:val="auto"/>
        </w:rPr>
      </w:pPr>
    </w:p>
    <w:p>
      <w:pPr>
        <w:ind w:left="680" w:right="100" w:firstLine="399"/>
        <w:spacing w:after="0" w:line="292" w:lineRule="auto"/>
        <w:rPr>
          <w:sz w:val="20"/>
          <w:szCs w:val="20"/>
          <w:color w:val="auto"/>
        </w:rPr>
      </w:pPr>
      <w:r>
        <w:rPr>
          <w:rFonts w:ascii="Arial" w:cs="Arial" w:eastAsia="Arial" w:hAnsi="Arial"/>
          <w:sz w:val="12"/>
          <w:szCs w:val="12"/>
          <w:color w:val="auto"/>
        </w:rPr>
        <w:t>Our current and future revenues depend upon continued sales of our three principal products, AVONEX, RITUXAN and TYSABRI, which represented substantially all of our total revenues during the first half of 2010. Although we have developed and continue to develop additional products for commercial introduction, we expect to be substantially dependent on sales from these three products for many years. Any negative developments relating to any of these products, such as safety or efficacy issues, the introduction or greater acceptance of competing products, including biosimilars, or adverse regulatory or legislative developments may reduce our revenues and adversely affect our results of operations. A number of new competing products are expected to be approved for use in multiple sclerosis beginning in 2010. If these products have a similar or more attractive profile in terms of efficacy, convenience or safety, future sales of AVONEX or TYSABRI could be limited, which would reduce our revenues.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TYSABRI’s sales growth is important to our success.</w:t>
      </w:r>
    </w:p>
    <w:p>
      <w:pPr>
        <w:spacing w:after="0" w:line="102"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We expect that our revenue growth over the next several years will be dependent upon sales of TYSABRI. If we are not successful in growing sales of TYSABRI, our future business plans, revenue growth and results of operations may be adversely affected.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TYSABRI’s sales growth cannot be certain given the significant restrictions on use and the significant safety warnings in the label, including the risk of developing progressive multifocal leukoencephalopathy (PML), a rare but serious brain infection. The risk of developing PML increases with prior immunosuppressant use, which may cause patients who have previously received immunosuppressants or their physicians to refrain from using or prescribing TYSABRI. The risk of developing PML also increases with longer treatment duration, with limited experience beyond three years of treatment. This may cause prescribing physicians or patients to suspend treatment with TYSABRI. If the incidence of PML at various durations of exposure were to exceed the rate implied in the TYSABRI label, it could limit sales growth, prompt regulatory review, require significant changes to the label or result in market withdrawal. Additional regulatory restrictions on the use of TYSABRI or safety-related label changes, including enhanced risk management programs, whether as a result of additional cases of PML or otherwise, may significantly reduce expected revenues and require significant expense and management time to address the associated legal and regulatory issues. In addition, ongoing or future clinical trials involving TYSABRI and efforts at stratifying patients into groups with lower or higher risk for developing PML, including evaluating the potential clinical utility of a JC virus antibody assay, may have an adverse impact on prescribing behavior in at least the short term and reduce sales of TYSABRI.</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effectively, our business and market position would suffer.</w:t>
      </w:r>
    </w:p>
    <w:p>
      <w:pPr>
        <w:spacing w:after="0" w:line="102"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benefit from significantly greater sales and marketing capabilities, may develop products that are accepted more widely than ours and may receive patent protection that dominates, blocks or adversely affects our product development or business. In addition, recently enacted healthcare reform legislation in the U.S. has created a pathway for the FDA to approve biosimilars, which could compete on price and differentiation with products that we now or could in the future market. The introduction of more efficacious, safer, cheaper, or more convenient alternatives to our products could reduce our revenues and the value of our product development efforts.</w:t>
      </w:r>
    </w:p>
    <w:p>
      <w:pPr>
        <w:spacing w:after="0" w:line="5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to competing directly with products that are marketed by substantial pharmaceutical competitors, AVONEX, RITUXAN and TYSABRI also face competition from off-label uses of drugs approved for other indications. Some of our current competitors are also working to develop alternative formulations for delivery of their products, which may in the future compete with ours.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long-term success depends upon the successful development and commercialization of other product candidates.</w:t>
      </w:r>
    </w:p>
    <w:p>
      <w:pPr>
        <w:spacing w:after="0" w:line="102"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Our long-term viability and growth will depend upon the successful development and commercialization of other products from our research and development activities. Product development and commercialization are very expensive and involve a high degree of risk. Only a small number of research and development programs result in the commercialization of a product. Success in preclinical work or early stage clinical trials does not ensure that later stage or larger scale clinical trials will be successful. Even if later stage clinical trials are successful, regulatory authorities may disagree with our view of the data or require additional studies.</w:t>
      </w:r>
    </w:p>
    <w:p>
      <w:pPr>
        <w:spacing w:after="0" w:line="63"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Conducting clinical trials is a complex, time-consuming and expensive process. Our ability to complete our clinical trials in a timely fashion depends in large part on a number of key factors including protocol design, regulatory and institutional review board approval, the rate of patient enrollment in clinical trials, and compliance with extensive current good clinical practice requirements. We have opened clinical sites and are enrolling patients in a number of new countries where our experience is more limited, and we are in many cases using the services of third-party clinical trial providers. If we fail to adequately manage the design, execution and regulatory aspects of our large, complex and diverse clinical trials, our studies and ultimately</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regulatory approvals may be delayed or we may fail to gain approval for our product candidates altogether.</w:t>
      </w:r>
    </w:p>
    <w:p>
      <w:pPr>
        <w:spacing w:after="0" w:line="102"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Our product pipeline includes several small molecule drug candidates. Our small molecule drug discovery platform is not as well developed as our biologics platform, and we will have to make a significant investment of time and resources to expand our capabilities in this area. Currently, third party manufacturers supply substantially all of our clinical requirements for small molecules. If these manufacturers fail to deliver sufficient quantities of such drug candidates in a timely and cost-effective manner, it could adversely affect our small molecule drug discovery efforts. If we decide to manufacture clinical or commercial supplies of any small molecule drugs in our own facilities, we will need to invest substantial additional funds and recruit qualified personnel to develop our small molecule manufacturing capabilities.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safety events can negatively affect our business and stock price.</w:t>
      </w:r>
    </w:p>
    <w:p>
      <w:pPr>
        <w:spacing w:after="0" w:line="102"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Adverse safety events involving our marketed products may have a negative impact on our commercialization efforts. Later discovery of safety issues with our products that were not known at the time of their approval by the FDA could cause product liability events, additional regulatory scrutiny and requirements for additional labeling, withdrawal of products from the market and the imposition of fines or criminal penalties. Any of these actions could result in, among other things, material write-offs of inventory and impairments of intangible assets, goodwill and fixed assets. In addition, the reporting of adverse safety events involving our products and public rumors about such events could cause our stock price to decline or experience periods of volatility.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depend, to a significant extent, on reimbursement from third party payors and a reduction in the extent of reimbursement could reduce our product sales and revenue.</w:t>
      </w:r>
    </w:p>
    <w:p>
      <w:pPr>
        <w:spacing w:after="0" w:line="11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Sales of our products are dependent, in large part, on the availability and extent of reimbursement from government health administration authorities, private health insurers and other organizations. Changes in government regulations or private third-party payors’ reimbursement policies may reduce reimbursement for our products and adversely affect our future results. In addition, 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63" w:lineRule="exact"/>
        <w:rPr>
          <w:sz w:val="20"/>
          <w:szCs w:val="20"/>
          <w:color w:val="auto"/>
        </w:rPr>
      </w:pPr>
    </w:p>
    <w:p>
      <w:pPr>
        <w:ind w:left="680" w:right="200" w:firstLine="399"/>
        <w:spacing w:after="0" w:line="270" w:lineRule="auto"/>
        <w:rPr>
          <w:sz w:val="20"/>
          <w:szCs w:val="20"/>
          <w:color w:val="auto"/>
        </w:rPr>
      </w:pPr>
      <w:r>
        <w:rPr>
          <w:rFonts w:ascii="Arial" w:cs="Arial" w:eastAsia="Arial" w:hAnsi="Arial"/>
          <w:sz w:val="13"/>
          <w:szCs w:val="13"/>
          <w:color w:val="auto"/>
        </w:rPr>
        <w:t>The U.S. Congress recently enacted legislation to reform the health care system. While this legislation will, over time, increase the number of patients who have insurance coverage for our products, it also imposes cost containment measures that may adversely affect the amount of reimbursement for our products. These measures include increasing the minimum rebates for our drugs covered by Medicaid programs and extending such rebates to drugs dispensed to Medicaid beneficiaries enrolled in Medicaid managed care organizations as well as expansion of the 340(B) Public Health Services drug discount program.</w:t>
      </w:r>
    </w:p>
    <w:p>
      <w:pPr>
        <w:spacing w:after="0" w:line="63"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It is likely that federal and state legislatures and health agencies will continue to focus on additional health care reform in the future.</w:t>
      </w:r>
    </w:p>
    <w:p>
      <w:pPr>
        <w:spacing w:after="0" w:line="68"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We encounter similar regulatory and legislative issues in most other countries. In the European Union and some other international markets, the government provides health care at low cost to consumers and regulates pharmaceutical prices, patient eligibility or reimbursement levels to control costs for the government-sponsored health care system. Many countries are reducing their public expenditures and we expect to see strong efforts to reduce healthcare costs in our international markets, including patient access restrictions, suspensions on</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price increases, prospective and possibly retroactive price reductions and increased mandatory discounts or rebates, recoveries of past price increases, and greater importation of drugs from lower-cost countries to higher-cost countries. We expect that our revenues would be negatively impacted if similar measures are or are continued to be implemented in other countries in which we operate. In addition, certain countries set prices by reference to the prices in other countries where our products are marketed. Thus, our inability to secure adequate prices in a particular country may also impair our ability to obtain acceptable prices in existing and potential new markets. This may create the opportunity for third party cross border trade or influence our decision to sell or not to sell a product, thus affecting our geographic expansion plans.</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expect that our revenues would be negatively impacted if similar measures are or are continued to be implemented in other countries in which we operate.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depend on collaborators for both product and royalty revenue and the clinical development of future collaboration products, which are outside of our full control.</w:t>
      </w:r>
    </w:p>
    <w:p>
      <w:pPr>
        <w:spacing w:after="0" w:line="11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Collaborations between companies on products or programs are a common business practice in the biotechnology industry. Out-licensing typically allows a partner to collect up front payments and future milestone payments, share the costs of clinical development and risk of failure at various points, and access sales and marketing infrastructure and expertise in exchange for certain financial rights to the product or program going to the in-licensing partner. In addition, the obligation of in-licensees to pay royalties or share profits generally terminates upon expiration of the related patents. We have a number of collaborators and partners, and have both in-licensed and out-licensed several products and programs. These collaborations are subject to several risks:</w:t>
      </w:r>
    </w:p>
    <w:p>
      <w:pPr>
        <w:spacing w:after="0" w:line="65" w:lineRule="exact"/>
        <w:rPr>
          <w:sz w:val="20"/>
          <w:szCs w:val="20"/>
          <w:color w:val="auto"/>
        </w:rPr>
      </w:pPr>
    </w:p>
    <w:p>
      <w:pPr>
        <w:jc w:val="both"/>
        <w:ind w:left="1300" w:right="160" w:hanging="208"/>
        <w:spacing w:after="0" w:line="276"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are not fully in control of the royalty or profit sharing revenues we receive from collaborators, which may be adversely affected by patent expirations, pricing or health care reforms, other legal and regulatory developments, the introduction of competitive products, and new indication approvals which may affect the sales of collaboration products;</w:t>
      </w:r>
    </w:p>
    <w:p>
      <w:pPr>
        <w:spacing w:after="0" w:line="48" w:lineRule="exact"/>
        <w:rPr>
          <w:rFonts w:ascii="Arial" w:cs="Arial" w:eastAsia="Arial" w:hAnsi="Arial"/>
          <w:sz w:val="13"/>
          <w:szCs w:val="13"/>
          <w:color w:val="auto"/>
        </w:rPr>
      </w:pPr>
    </w:p>
    <w:p>
      <w:pPr>
        <w:ind w:left="1300" w:right="30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any failure on the part of our collaboration partners to comply with applicable laws and regulatory requirements in the sale and marketing of our products could have an adverse effect on our revenues as well as involve us in possible legal proceedings; and</w:t>
      </w:r>
    </w:p>
    <w:p>
      <w:pPr>
        <w:spacing w:after="0" w:line="36"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collaborations often require the parties to cooperate, and failure to do so effectively could have an adverse impact on product sales by our collaborators and partners, and could adversely affect the clinical development of products or programs under joint control.</w:t>
      </w:r>
    </w:p>
    <w:p>
      <w:pPr>
        <w:spacing w:after="0" w:line="47"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In addition, under our collaboration agreement with Genentech, the successful development and commercialization of the first anti-CD20 product acquired or developed by Genentech will decrease our percentage of the collaboration’s co-promotion profits.</w:t>
      </w:r>
    </w:p>
    <w:p>
      <w:pPr>
        <w:spacing w:after="0" w:line="127" w:lineRule="exact"/>
        <w:rPr>
          <w:sz w:val="20"/>
          <w:szCs w:val="20"/>
          <w:color w:val="auto"/>
        </w:rPr>
      </w:pPr>
    </w:p>
    <w:p>
      <w:pPr>
        <w:ind w:left="880" w:right="200"/>
        <w:spacing w:after="0" w:line="294" w:lineRule="auto"/>
        <w:rPr>
          <w:sz w:val="20"/>
          <w:szCs w:val="20"/>
          <w:color w:val="auto"/>
        </w:rPr>
      </w:pPr>
      <w:r>
        <w:rPr>
          <w:rFonts w:ascii="Arial" w:cs="Arial" w:eastAsia="Arial" w:hAnsi="Arial"/>
          <w:sz w:val="13"/>
          <w:szCs w:val="13"/>
          <w:b w:val="1"/>
          <w:bCs w:val="1"/>
          <w:i w:val="1"/>
          <w:iCs w:val="1"/>
          <w:color w:val="auto"/>
        </w:rPr>
        <w:t>If we do not successfully execute our growth initiatives through the acquisition, partnering and in-licensing of products, technologies or companies, our future performance could be adversely affected.</w:t>
      </w:r>
    </w:p>
    <w:p>
      <w:pPr>
        <w:spacing w:after="0" w:line="4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anticipate growing through internal development projects as well as external opportunities, which include the acquisition, partnering and in-licensing of products, technologies and companies or the entry into strategic alliances and collaborations. The availability of high quality opportunities is limited and we are not certain that we will be able to identify candidates that we and our shareholders consider suitable or complete transactions on terms that are acceptable to us and our shareholders. In order to pursue such opportunities, we may require significant additional financing, which may not be available to us on favorable terms, if at all. Even if we are able to successfully identify and complete acquisitions, we may not be able to integrate them or take full advantage of them and therefore may not realize the benefits that we expect. In addition, third parties may be reluctant to partner with us due to the uncertainty created by the presence on our Board of Directors of three individuals nominated by an activist shareholder and the possibility that activist shareholders may gain additional representation on or control of our Board of Directors. If we are unsuccessful in our</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external growth program, we may not be able to grow our business significantly and we may incur asset impairment charges as a result of acquisitions that are not successful.</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comply with the extensive legal and regulatory requirements affecting the health care industry, we could face increased costs, penalties and a loss of business.</w:t>
      </w:r>
    </w:p>
    <w:p>
      <w:pPr>
        <w:spacing w:after="0" w:line="12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Our activities, and the activities of our collaborators and third 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 care companies. In addition,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federal or state health care business, submission of false claims for government reimbursement, antitrust violations, or violations related to environmental matters. Violations of governmental regulation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meet the stringent requirements of governmental regulation in the manufacture of our products, we could incur substantial costs and a reduction in sales.</w:t>
      </w:r>
    </w:p>
    <w:p>
      <w:pPr>
        <w:spacing w:after="0" w:line="114"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and our third party providers are generally required to maintain compliance with current Good Manufacturing Practice and are subject to inspections by the FDA or comparable agencies in other jurisdictions to confirm such compliance. In addition, the FDA must approve any significant changes to our suppliers or manufacturing methods. If we or our third party service providers cannot demonstrate ongoing current Good Manufacturing Practice compliance, we may be required to withdraw or recall product, interrupt commercial supply of our products or seek more costly manufacturing alternatives.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This non-compliance could increase our costs, cause us to lose revenue or market share and damage our reputation.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laws affecting the health care industry could adversely affect our revenues and profitability.</w:t>
      </w:r>
    </w:p>
    <w:p>
      <w:pPr>
        <w:spacing w:after="0" w:line="102"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We and our collaborators and third party providers operate in a highly regulated industry. As a result, governmental actions may adversely affect our business, operations or financial condition, including:</w:t>
      </w:r>
    </w:p>
    <w:p>
      <w:pPr>
        <w:spacing w:after="0" w:line="47" w:lineRule="exact"/>
        <w:rPr>
          <w:sz w:val="20"/>
          <w:szCs w:val="20"/>
          <w:color w:val="auto"/>
        </w:rPr>
      </w:pPr>
    </w:p>
    <w:p>
      <w:pPr>
        <w:ind w:left="1300" w:right="46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new laws, regulations or judicial decisions, or new interpretations of existing laws, regulations or decisions, related to health care availability, method of delivery and payment for health care products and services;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the FDA and foreign regulatory approval processes that may delay or prevent the approval of new products and result in lost market opportunity;</w:t>
      </w:r>
    </w:p>
    <w:p>
      <w:pPr>
        <w:spacing w:after="0" w:line="92" w:lineRule="exact"/>
        <w:rPr>
          <w:rFonts w:ascii="Arial" w:cs="Arial" w:eastAsia="Arial" w:hAnsi="Arial"/>
          <w:sz w:val="13"/>
          <w:szCs w:val="13"/>
          <w:color w:val="auto"/>
        </w:rPr>
      </w:pPr>
    </w:p>
    <w:p>
      <w:pPr>
        <w:jc w:val="both"/>
        <w:ind w:left="1300" w:right="180" w:hanging="208"/>
        <w:spacing w:after="0" w:line="276"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new laws, regulations and judicial decisions affecting pricing or marketing practices;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the tax laws relating to our operations.</w:t>
      </w:r>
    </w:p>
    <w:p>
      <w:pPr>
        <w:spacing w:after="0" w:line="102"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color w:val="auto"/>
        </w:rPr>
        <w:t>The enactment in the U.S. of health care reform,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Problems with manufacturing or with inventory planning could result in inventory shortages, product recalls and increased costs.</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Biologics manufacturing is extremely susceptible to product loss due to contamination, equipment failure, or vendor or operator error. In addition, we may need to close a manufacturing facility for an extended period of time due to microbial, viral or other contamination. Any of these events could result in shipment delays or product recalls, impairing our ability to supply products in existing markets or expand into new markets. In the past, we have taken inventory write-offs and incurred other charges and expenses for products that failed to meet specifications, and we may incur similar charges in the future.</w:t>
      </w:r>
    </w:p>
    <w:p>
      <w:pPr>
        <w:spacing w:after="0" w:line="63" w:lineRule="exact"/>
        <w:rPr>
          <w:sz w:val="20"/>
          <w:szCs w:val="20"/>
          <w:color w:val="auto"/>
        </w:rPr>
      </w:pPr>
    </w:p>
    <w:p>
      <w:pPr>
        <w:ind w:left="680" w:right="60" w:firstLine="399"/>
        <w:spacing w:after="0" w:line="295" w:lineRule="auto"/>
        <w:rPr>
          <w:sz w:val="20"/>
          <w:szCs w:val="20"/>
          <w:color w:val="auto"/>
        </w:rPr>
      </w:pPr>
      <w:r>
        <w:rPr>
          <w:rFonts w:ascii="Arial" w:cs="Arial" w:eastAsia="Arial" w:hAnsi="Arial"/>
          <w:sz w:val="12"/>
          <w:szCs w:val="12"/>
          <w:color w:val="auto"/>
        </w:rPr>
        <w:t>We rely solely on our manufacturing facility in Research Triangle Park, North Carolina for the production of TYSABRI. Our global bulk supply of TYSABRI depends on the uninterrupted and efficient operation of this facility, which could be adversely affected by equipment failures, labor shortages, natural disasters, power failures and numerous other factors. If we are unable to meet demand for TYSABRI for any reason, we would need to rely on a limited number of qualified third party contract manufacturers. We cannot be certain that we could reach agreement on reasonable terms, if at all; with those manufacturers or that the FDA would approve our use of such manufacturers on a timely basis, if at all. Moreover, the transition of our manufacturing process to a third party could take a significant amount of time, involve significant expense and increase our manufacturing costs.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investments in properties, including our manufacturing facilities, may not be fully realizable.</w:t>
      </w:r>
    </w:p>
    <w:p>
      <w:pPr>
        <w:spacing w:after="0" w:line="10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We own or lease real estate primarily consisting of buildings that contain research laboratories, office space, and biologic manufacturing operations, some of which are located in markets that are experiencing high vacancy rates and decreasing property values. If we decide to consolidate or co-locate certain aspects of our business operations, for strategic or other operational reasons, we may dispose of one or more of our properties.</w:t>
      </w:r>
    </w:p>
    <w:p>
      <w:pPr>
        <w:spacing w:after="0" w:line="59"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Due to reduced expectations of product demand, improved yields on production and other factors, we may not fully utilize our manufacturing facilities at normal levels resulting in idle time at facilities or substantial excess manufacturing capacity. We are always evaluating our current manufacturing strategy, and may pursue alternatives that include disposing of manufacturing facilities.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If any of our owned properties are held for sale and we determine that the fair value of the properties is lower than their book value, we may not realize the full investment in these properties and incur significant impairment charges. In addition, if we decide to fully or partially vacate a leased property, we may incur significant cost, including lease termination fees, rent expense in excess of sublease income and impairment of leasehold improvements.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parties to provide services in connection with the manufacture of our products and, in some instances, manufacture the product itself.</w:t>
      </w:r>
    </w:p>
    <w:p>
      <w:pPr>
        <w:spacing w:after="0" w:line="102"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color w:val="auto"/>
        </w:rPr>
        <w:t>We rely on Genentech for all RITUXAN manufacturing. Genentech relies on a third party to manufacture certain bulk RITUXAN requirements. If Genentech or any third party upon which it relies does not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460"/>
        <w:spacing w:after="0" w:line="294" w:lineRule="auto"/>
        <w:rPr>
          <w:sz w:val="20"/>
          <w:szCs w:val="20"/>
          <w:color w:val="auto"/>
        </w:rPr>
      </w:pPr>
      <w:r>
        <w:rPr>
          <w:rFonts w:ascii="Arial" w:cs="Arial" w:eastAsia="Arial" w:hAnsi="Arial"/>
          <w:sz w:val="13"/>
          <w:szCs w:val="13"/>
          <w:color w:val="auto"/>
        </w:rPr>
        <w:t>manufacture or fill-finish RITUXAN in sufficient quantities and on a timely and cost-effective basis, or if Genentech or any third party does not obtain and maintain all required manufacturing approvals, our business could be harmed.</w:t>
      </w:r>
    </w:p>
    <w:p>
      <w:pPr>
        <w:spacing w:after="0" w:line="4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also source all of our fill-finish and the majority of our final product storage operations, along with a substantial portion of our packaging operations, to a concentrated group of third party contractors. Any third party we use to fill-finish, package or store our products to be sold in the U.S. must be licensed by the FDA. As a result, alternative third party providers may not be readily available on a timely basis or, if available, may be more costly than current providers. The manufacture of products and product components, fill-finish, packaging and storage of our products require successful coordination among us and multiple third party providers. Our inability to coordinate these efforts, the lack of capacity available at a third party contractor or any other problems with the operations of these third party contractors could require us to delay shipment of saleable products or recall products previously shipped or impair our ability to supply products at all. This could increase our costs, cause us to lose revenue or market share, diminish our profitability or damage our reputation.</w:t>
      </w:r>
    </w:p>
    <w:p>
      <w:pPr>
        <w:spacing w:after="0" w:line="68"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Due to the unique manner in which our products are manufactured, we rely on single source providers of several raw materials. We make efforts to qualify new vendors and to develop contingency plans so that production is not impacted by short-term issues associated with single source providers. Nonetheless, our business could be materially impacted by long-term or chronic issues associated with single source providers.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effective tax rate may fluctuate and we may incur obligations in tax jurisdictions in excess of accrued amounts.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As a global biotechnology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audits of our tax filings, changes in accounting for income taxes and changes in tax laws. Any of these factors could cause us to experience an effective tax rate significantly different from previous periods or our current expectations.</w:t>
      </w:r>
    </w:p>
    <w:p>
      <w:pPr>
        <w:spacing w:after="0" w:line="65" w:lineRule="exact"/>
        <w:rPr>
          <w:sz w:val="20"/>
          <w:szCs w:val="20"/>
          <w:color w:val="auto"/>
        </w:rPr>
      </w:pPr>
    </w:p>
    <w:p>
      <w:pPr>
        <w:ind w:left="680" w:right="300" w:firstLine="399"/>
        <w:spacing w:after="0" w:line="294" w:lineRule="auto"/>
        <w:rPr>
          <w:sz w:val="20"/>
          <w:szCs w:val="20"/>
          <w:color w:val="auto"/>
        </w:rPr>
      </w:pPr>
      <w:r>
        <w:rPr>
          <w:rFonts w:ascii="Arial" w:cs="Arial" w:eastAsia="Arial" w:hAnsi="Arial"/>
          <w:sz w:val="13"/>
          <w:szCs w:val="13"/>
          <w:color w:val="auto"/>
        </w:rPr>
        <w:t>In addition, our inability to secure or sustain acceptable arrangements with tax authorities and previously enacted or future changes in the tax laws, among other things, may require us to accrue for future tax payments in excess of amounts accrued in our financial statements.</w:t>
      </w:r>
    </w:p>
    <w:p>
      <w:pPr>
        <w:spacing w:after="0" w:line="4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The Obama administration has announced several proposals to reform U.S. tax law, including proposals that may reduce or eliminate the deferral of U.S. income tax on our unrepatriated earnings. These proposals, if enacted, may require those earnings to be taxed at the U.S. federal income tax rate, reduce or eliminate our ability to claim foreign tax credits, and eliminate various tax deductions until foreign earnings are repatriated to the U.S. Our future reported financial results may be adversely affected by tax law changes which restrict or eliminate our ability to claim foreign tax credits or deduct expenses attributable to foreign earnings, or otherwise affect the treatment of our unrepatriated earnings.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growth of our business depends on our ability to attract and retain qualified personnel and key relationships.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The achievement of our commercial, research and development and external growth objectives depends upon our ability to attract and retain qualified scientific, manufacturing, sales and marketing and executive personnel and to develop and maintain relationships with qualified clinical researchers and key distributors. Competition for these people and relationships is intense and comes from a variety of sources, including pharmaceutical and biotechnology companies, universities and non-profit research organizations. It may be more difficult for us to attract and retain these people and relationships due to the uncertainty created by the presence on our Board of Directors of three individuals nominated by an activist shareholder and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possibility that activist shareholders may gain additional representation on or control of our Board of Directors.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market and economic conditions may exacerbate certain risks affecting our business.</w:t>
      </w:r>
    </w:p>
    <w:p>
      <w:pPr>
        <w:spacing w:after="0" w:line="102"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Sales of our products are dependent on reimbursement from government health administration authorities, private health insurers, distribution partners and other organizations. As a result of adverse conditions affecting the U.S. and global economies and credit and financial markets, including the current sovereign debt crisis in Europe, these organizations may be unable to satisfy their reimbursement obligations or may delay payment. In addition, governmental health authorities may reduce the extent of reimbursements, and private insurers may increase their scrutiny of claims. A reduction in the availability or extent of reimbursement could reduce our product sales and revenue.</w:t>
      </w:r>
    </w:p>
    <w:p>
      <w:pPr>
        <w:spacing w:after="0" w:line="4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rely on third parties for several important aspects of our business, including portions of our product manufacturing, royalty revenue, clinical development of future collaboration products, conduct of clinical trials, and raw materials. Such third parties may be unable to satisfy their commitments to us due to tightening of global credit or worsening economies from time to time, which would adversely affect our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sales and operations are subject to the risks of doing business internationally.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increasing our presence in international markets, which subjects us to many risks, such as:</w:t>
      </w:r>
    </w:p>
    <w:p>
      <w:pPr>
        <w:spacing w:after="0" w:line="102" w:lineRule="exact"/>
        <w:rPr>
          <w:sz w:val="20"/>
          <w:szCs w:val="20"/>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economic problems that disrupt foreign health care payment systems;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difficulties in staffing and managing international operations;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imposition of governmental controls;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less favorable intellectual property or other applicable laws;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inability to obtain necessary foreign regulatory or pricing approvals of products in a timely manner;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restrictions on direct investments by foreign entities and trade restrictions;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tax laws and tariffs;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102"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official for purposes of the Foreign Corrupt Practices Act. Failure to comply with domestic or foreign laws could result in various adverse consequences, including possible delay in approval or refusal to approve a product, recalls, seizures, withdrawal of an approved product from the market, and the imposition of civil or criminal sanctions.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adequately protect and enforce our intellectual property rights, our competitors may take advantage of our development efforts or our acquired technology.</w:t>
      </w:r>
    </w:p>
    <w:p>
      <w:pPr>
        <w:spacing w:after="0" w:line="125" w:lineRule="exact"/>
        <w:rPr>
          <w:sz w:val="20"/>
          <w:szCs w:val="20"/>
          <w:color w:val="auto"/>
        </w:rPr>
      </w:pPr>
    </w:p>
    <w:p>
      <w:pPr>
        <w:ind w:left="680" w:right="120" w:firstLine="399"/>
        <w:spacing w:after="0" w:line="295" w:lineRule="auto"/>
        <w:rPr>
          <w:sz w:val="20"/>
          <w:szCs w:val="20"/>
          <w:color w:val="auto"/>
        </w:rPr>
      </w:pPr>
      <w:r>
        <w:rPr>
          <w:rFonts w:ascii="Arial" w:cs="Arial" w:eastAsia="Arial" w:hAnsi="Arial"/>
          <w:sz w:val="12"/>
          <w:szCs w:val="12"/>
          <w:color w:val="auto"/>
        </w:rPr>
        <w:t>We have filed numerous patent applications in the U.S. and various other countries seeking protection of the processes, products and other inventions originating from our research and development.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0"/>
        <w:spacing w:after="0" w:line="309" w:lineRule="auto"/>
        <w:rPr>
          <w:sz w:val="20"/>
          <w:szCs w:val="20"/>
          <w:color w:val="auto"/>
        </w:rPr>
      </w:pPr>
      <w:r>
        <w:rPr>
          <w:rFonts w:ascii="Arial" w:cs="Arial" w:eastAsia="Arial" w:hAnsi="Arial"/>
          <w:sz w:val="12"/>
          <w:szCs w:val="12"/>
          <w:color w:val="auto"/>
        </w:rPr>
        <w:t>from third parties may not ultimately be granted as patents and we may not prevail if patents that have been issued to us are challenged in court. In addition, pending legislation to reform the patent system and court decisions or patent office regulations that place additional restrictions on patent claims or that facilitate patent challenges could also reduce our ability to protect our intellectual property rights. If we cannot prevent others from exploiting our inventions, we will not derive the benefit from them that we currently expect.</w:t>
      </w:r>
    </w:p>
    <w:p>
      <w:pPr>
        <w:spacing w:after="0" w:line="41"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also rely upon unpatented trade secrets and other proprietary information, and we cannot assure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scientists whose research we sponsor and other advisers to execute confidentiality agreements upon the commencement of employment or consulting relationships with us. These agreements may not provide meaningful protection or adequate remedies for our unpatented proprietary information in the event of use or disclosure of such information.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infringe the intellectual property rights of others, we may incur damages and be required to incur the expense of obtaining a license.</w:t>
      </w:r>
    </w:p>
    <w:p>
      <w:pPr>
        <w:spacing w:after="0" w:line="102"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A substantial number of patents have already been issued to other biotechnology and pharmaceutical companies. To the extent that valid third party patent rights cover our products or services, we or our strategic collaborators would be required to seek licenses from the holders of these patents in order to manufacture, use or sell these products and services, and payments under them would reduce our profits from these products and services. We are currently unable to predict the extent to which we may wish or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manufacture and market our products.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Uncertainty over intellectual property in the biotechnology industry has been the source of litigation, which is inherently costly and unpredictable.</w:t>
      </w:r>
    </w:p>
    <w:p>
      <w:pPr>
        <w:spacing w:after="0" w:line="102" w:lineRule="exact"/>
        <w:rPr>
          <w:sz w:val="20"/>
          <w:szCs w:val="20"/>
          <w:color w:val="auto"/>
        </w:rPr>
      </w:pPr>
    </w:p>
    <w:p>
      <w:pPr>
        <w:ind w:left="680" w:right="140" w:firstLine="399"/>
        <w:spacing w:after="0" w:line="265" w:lineRule="auto"/>
        <w:rPr>
          <w:sz w:val="20"/>
          <w:szCs w:val="20"/>
          <w:color w:val="auto"/>
        </w:rPr>
      </w:pPr>
      <w:r>
        <w:rPr>
          <w:rFonts w:ascii="Arial" w:cs="Arial" w:eastAsia="Arial" w:hAnsi="Arial"/>
          <w:sz w:val="13"/>
          <w:szCs w:val="13"/>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6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There has been, and we expect that there may continue to be, significant litigation in the industry regarding patents and other intellectual property rights. Litigation and administrative proceedings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or hinder our ability to manufacture and market our products.</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880" w:right="80"/>
        <w:spacing w:after="0" w:line="294" w:lineRule="auto"/>
        <w:rPr>
          <w:sz w:val="20"/>
          <w:szCs w:val="20"/>
          <w:color w:val="auto"/>
        </w:rPr>
      </w:pPr>
      <w:r>
        <w:rPr>
          <w:rFonts w:ascii="Arial" w:cs="Arial" w:eastAsia="Arial" w:hAnsi="Arial"/>
          <w:sz w:val="13"/>
          <w:szCs w:val="13"/>
          <w:b w:val="1"/>
          <w:bCs w:val="1"/>
          <w:i w:val="1"/>
          <w:iCs w:val="1"/>
          <w:color w:val="auto"/>
        </w:rPr>
        <w:t>Recent proxy contests have been costly and disruptive, and the presence of directors nominated by an activist shareholder and the possibility that activist shareholders may gain additional representation on or control of our Board of Directors could cause uncertainty about the direction of our business.</w:t>
      </w:r>
    </w:p>
    <w:p>
      <w:pPr>
        <w:spacing w:after="0" w:line="47" w:lineRule="exact"/>
        <w:rPr>
          <w:sz w:val="20"/>
          <w:szCs w:val="20"/>
          <w:color w:val="auto"/>
        </w:rPr>
      </w:pPr>
    </w:p>
    <w:p>
      <w:pPr>
        <w:ind w:left="680" w:right="120" w:firstLine="399"/>
        <w:spacing w:after="0" w:line="267" w:lineRule="auto"/>
        <w:rPr>
          <w:sz w:val="20"/>
          <w:szCs w:val="20"/>
          <w:color w:val="auto"/>
        </w:rPr>
      </w:pPr>
      <w:r>
        <w:rPr>
          <w:rFonts w:ascii="Arial" w:cs="Arial" w:eastAsia="Arial" w:hAnsi="Arial"/>
          <w:sz w:val="13"/>
          <w:szCs w:val="13"/>
          <w:color w:val="auto"/>
        </w:rPr>
        <w:t>Entities affiliated with Carl Icahn have commenced proxy contests in each of the past three years. These proxy contests have been disruptive to our operations and caused us to incur substantial costs. The SEC has recently proposed to give shareholders the ability to include director nominees and proposals relating to a shareholder nomination process in company proxy materials, which would make it easier for activists to nominate directors to our Board of Directors. If the SEC implements its proxy access proposal, we may face an increase in the number of shareholder nominees for election to our Board of Directors. Future proxy contests could be costly and time-consuming, disrupt our operations and divert the attention of management and our employees from executing our strategic plans.</w:t>
      </w:r>
    </w:p>
    <w:p>
      <w:pPr>
        <w:spacing w:after="0" w:line="65"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As a result of our proxy contests with the Icahn entities, three of their director nominees have been elected to our Board of Directors. Another activist shareholder has also publicly advocated for certain changes at our company. These and other existing or potential shareholders may attempt to gain additional representation on or control of our Board of Directors, the possibility of which may create uncertainty regarding the direction of our business. Perceived uncertainties as to our future direction may result in the loss of potential acquisitions, collaborations or in-licensing opportunities, and may make it more difficult to attract and retain qualified personnel and business partners. In addition, disagreement among our directors about the direction of our business could impair our ability to effectively execute our strategic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Pending and future product liability claims may adversely affect our business and our reputation.</w:t>
      </w:r>
    </w:p>
    <w:p>
      <w:pPr>
        <w:spacing w:after="0" w:line="102"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We are subject from time to time to lawsuits based on product liability and related claims. 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if in excess of our insurance coverage. Additionally, lawsuits can be expensive to defend, whether or not they have merit, and the defense of these actions may divert the attention of our management and other resources that would otherwise be engaged in managing our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are subject to significant fluctuations.</w:t>
      </w:r>
    </w:p>
    <w:p>
      <w:pPr>
        <w:spacing w:after="0" w:line="102"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color w:val="auto"/>
        </w:rPr>
        <w:t>Our quarterly revenues, expenses and net income (loss) have fluctuated in the past and are likely to fluctuate significantly in the future due to the timing of charges and expenses that we may take. In recent periods, for instance, we have recorded charges that include:</w:t>
      </w:r>
    </w:p>
    <w:p>
      <w:pPr>
        <w:spacing w:after="0" w:line="47" w:lineRule="exact"/>
        <w:rPr>
          <w:sz w:val="20"/>
          <w:szCs w:val="20"/>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investments;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fixed assets, including those that are recorded in connection with the sale of fixed assets;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inventory write-downs for failed quality specifications, charges for excess or obsolete inventory and charges for inventory write downs relating to product suspensions;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milestone payments under license and collaboration agreements;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payments in connection with acquisitions and other business development activity;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of restructurings.</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Our revenues are also subject to foreign exchange rate fluctuations due to the global nature of our operations. We recognize foreign currency gains or losses arising from our operations in the period in which we incur those gains or losses. Although we have foreign currency forward contracts to hedge specific forecasted transactions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 Additionally, our net income may fluctuate due to the impact of charges we may be required to take with respect to foreign currency hedge transactions. In particular, we may incur higher charges from hedge ineffectiveness than we expect or from the termination of a hedge relationship.</w:t>
      </w:r>
    </w:p>
    <w:p>
      <w:pPr>
        <w:spacing w:after="0" w:line="68" w:lineRule="exact"/>
        <w:rPr>
          <w:sz w:val="20"/>
          <w:szCs w:val="20"/>
          <w:color w:val="auto"/>
        </w:rPr>
      </w:pPr>
    </w:p>
    <w:p>
      <w:pPr>
        <w:ind w:left="680" w:right="240" w:firstLine="399"/>
        <w:spacing w:after="0" w:line="294" w:lineRule="auto"/>
        <w:rPr>
          <w:sz w:val="20"/>
          <w:szCs w:val="20"/>
          <w:color w:val="auto"/>
        </w:rPr>
      </w:pPr>
      <w:r>
        <w:rPr>
          <w:rFonts w:ascii="Arial" w:cs="Arial" w:eastAsia="Arial" w:hAnsi="Arial"/>
          <w:sz w:val="13"/>
          <w:szCs w:val="13"/>
          <w:color w:val="auto"/>
        </w:rPr>
        <w:t>These examples are only illustrative and other risks, including those discussed in these “Risk Factors,” could also cause fluctuations in our reported earnings. In addition, our operating results during any one period do not necessarily suggest the anticipated results of future periods.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portfolio of marketable securities is significant and subject to market, interest and credit risk that may reduce its value.</w:t>
      </w:r>
    </w:p>
    <w:p>
      <w:pPr>
        <w:spacing w:after="0" w:line="102"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color w:val="auto"/>
        </w:rPr>
        <w:t>We maintain a significant portfolio of marketable securities. Changes in the value of this portfolio could adversely affect our earnings. In particular, the value of our investments may decline due to increases in interest rates, downgrades in the corporate bonds and other securities included in our portfolio, instability in the global financial markets that reduces the liquidity of securities included in our portfolio, declines in the value of collateral underlying the mortgage and asset-backed securities included in our portfolio, and other factors. Each of these events may cause us to record charges to reduce the carrying value of our investment portfolio or sell investments for less than our acquisition cost. Although we attempt to mitigate these risks by investing in high quality securities and continuously monitoring our portfolio’s overall risk profile, the value of our investments may nevertheless decline.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level of indebtedness could adversely affect our business and limit our ability to plan for or respond to changes in our business.</w:t>
      </w:r>
    </w:p>
    <w:p>
      <w:pPr>
        <w:spacing w:after="0" w:line="102" w:lineRule="exact"/>
        <w:rPr>
          <w:sz w:val="20"/>
          <w:szCs w:val="20"/>
          <w:color w:val="auto"/>
        </w:rPr>
      </w:pPr>
    </w:p>
    <w:p>
      <w:pPr>
        <w:ind w:left="680" w:right="420" w:firstLine="399"/>
        <w:spacing w:after="0" w:line="294" w:lineRule="auto"/>
        <w:rPr>
          <w:sz w:val="20"/>
          <w:szCs w:val="20"/>
          <w:color w:val="auto"/>
        </w:rPr>
      </w:pPr>
      <w:r>
        <w:rPr>
          <w:rFonts w:ascii="Arial" w:cs="Arial" w:eastAsia="Arial" w:hAnsi="Arial"/>
          <w:sz w:val="13"/>
          <w:szCs w:val="13"/>
          <w:color w:val="auto"/>
        </w:rPr>
        <w:t>As of June 30, 2010, we had $1.1 billion of outstanding indebtedness, and we may incur additional debt in the future. Our level of indebtedness could adversely affect our business by, among other things:</w:t>
      </w:r>
    </w:p>
    <w:p>
      <w:pPr>
        <w:spacing w:after="0" w:line="47" w:lineRule="exact"/>
        <w:rPr>
          <w:sz w:val="20"/>
          <w:szCs w:val="20"/>
          <w:color w:val="auto"/>
        </w:rPr>
      </w:pPr>
    </w:p>
    <w:p>
      <w:pPr>
        <w:ind w:left="1300" w:right="160" w:hanging="208"/>
        <w:spacing w:after="0" w:line="294" w:lineRule="auto"/>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payments on our indebtedness, thereby reducing the availability of our cash flow for other purposes, including business development efforts and research and development;</w:t>
      </w:r>
    </w:p>
    <w:p>
      <w:pPr>
        <w:spacing w:after="0" w:line="36" w:lineRule="exact"/>
        <w:rPr>
          <w:rFonts w:ascii="Arial" w:cs="Arial" w:eastAsia="Arial" w:hAnsi="Arial"/>
          <w:sz w:val="13"/>
          <w:szCs w:val="13"/>
          <w:color w:val="auto"/>
        </w:rPr>
      </w:pPr>
    </w:p>
    <w:p>
      <w:pPr>
        <w:ind w:left="1300" w:right="500" w:hanging="208"/>
        <w:spacing w:after="0" w:line="294" w:lineRule="auto"/>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our business and the industry in which we operate, thereby placing us at a competitive disadvantage compared to our competitors that may have less debt;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increasing our vulnerability to general adverse economic and industry conditions.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involves environmental risks, which include the cost of compliance and the risk of contamination or injury.</w:t>
      </w:r>
    </w:p>
    <w:p>
      <w:pPr>
        <w:spacing w:after="0" w:line="10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Our business and the business of several of our strategic partners, including Genentech and Elan, involves the controlled use of hazardous materials, chemicals, biologics and radioactive compounds. Although we believe that our safety procedures for handling and disposing of such materials comply with state and federal standards, there will always be the risk of accidental contamination or injury. By law, radioactive materials may only be disposed of at state-approved facilities. We currently store radioactive materials from our California laboratory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 Biologics manufacturing also requires permits from government agencies for water supply and</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700"/>
        <w:spacing w:after="0" w:line="294" w:lineRule="auto"/>
        <w:rPr>
          <w:sz w:val="20"/>
          <w:szCs w:val="20"/>
          <w:color w:val="auto"/>
        </w:rPr>
      </w:pPr>
      <w:r>
        <w:rPr>
          <w:rFonts w:ascii="Arial" w:cs="Arial" w:eastAsia="Arial" w:hAnsi="Arial"/>
          <w:sz w:val="13"/>
          <w:szCs w:val="13"/>
          <w:color w:val="auto"/>
        </w:rPr>
        <w:t>wastewater discharge. If we do not obtain appropriate permits, or permits for sufficient quantities of water and wastewater, we could incur significant costs and limits on our manufacturing volumes that could harm our business.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Several aspects of our corporate governance and our collaboration agreements may discourage a third party from attempting to acquire us.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Several factors might discourage a takeover attempt that could be viewed as beneficial to shareholders who wish to receive a premium for their shares from a potential bidder. For example:</w:t>
      </w:r>
    </w:p>
    <w:p>
      <w:pPr>
        <w:spacing w:after="0" w:line="47" w:lineRule="exact"/>
        <w:rPr>
          <w:sz w:val="20"/>
          <w:szCs w:val="20"/>
          <w:color w:val="auto"/>
        </w:rPr>
      </w:pPr>
    </w:p>
    <w:p>
      <w:pPr>
        <w:ind w:left="1300" w:right="40" w:hanging="208"/>
        <w:spacing w:after="0" w:line="276" w:lineRule="auto"/>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are subject to Section 203 of the Delaware General Corporation Law, which provides that we may not enter into a business combination with an interested shareholder for a period of three years after the date of the transaction in which the person became an interested shareholder, unless the business combination is approved in the manner prescribed in Section 203;</w:t>
      </w:r>
    </w:p>
    <w:p>
      <w:pPr>
        <w:spacing w:after="0" w:line="48" w:lineRule="exact"/>
        <w:rPr>
          <w:rFonts w:ascii="Arial" w:cs="Arial" w:eastAsia="Arial" w:hAnsi="Arial"/>
          <w:sz w:val="13"/>
          <w:szCs w:val="13"/>
          <w:color w:val="auto"/>
        </w:rPr>
      </w:pPr>
    </w:p>
    <w:p>
      <w:pPr>
        <w:ind w:left="1300" w:right="200" w:hanging="208"/>
        <w:spacing w:after="0" w:line="294" w:lineRule="auto"/>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board of directors has the authority to issue, without a vote or action of shareholders, shares of preferred stock and to fix the price, rights, preferences and privileges of those shares, each of which could be superior to the rights of holders of common stock;</w:t>
      </w:r>
    </w:p>
    <w:p>
      <w:pPr>
        <w:spacing w:after="0" w:line="36" w:lineRule="exact"/>
        <w:rPr>
          <w:rFonts w:ascii="Arial" w:cs="Arial" w:eastAsia="Arial" w:hAnsi="Arial"/>
          <w:sz w:val="13"/>
          <w:szCs w:val="13"/>
          <w:color w:val="auto"/>
        </w:rPr>
      </w:pPr>
    </w:p>
    <w:p>
      <w:pPr>
        <w:ind w:left="1300" w:right="120" w:hanging="208"/>
        <w:spacing w:after="0" w:line="294" w:lineRule="auto"/>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collaboration agreement with Elan provides Elan with the option to buy the rights to TYSABRI if we undergo a change of control, which may limit our attractiveness to potential acquirers;</w:t>
      </w:r>
    </w:p>
    <w:p>
      <w:pPr>
        <w:spacing w:after="0" w:line="36" w:lineRule="exact"/>
        <w:rPr>
          <w:rFonts w:ascii="Arial" w:cs="Arial" w:eastAsia="Arial" w:hAnsi="Arial"/>
          <w:sz w:val="13"/>
          <w:szCs w:val="13"/>
          <w:color w:val="auto"/>
        </w:rPr>
      </w:pPr>
    </w:p>
    <w:p>
      <w:pPr>
        <w:ind w:left="1300" w:hanging="208"/>
        <w:spacing w:after="0" w:line="267" w:lineRule="auto"/>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collaboration agreement with Genentech provides that, if we undergo a change of control, within 90 days Genentech may present an offer to us to purchase our rights to RITUXAN. If a change of control were to occur in the future and Genentech were to present an offer for the RITUXAN rights, we must either accept Genentech’s offer or purchase Genentech’s rights to RITUXAN on the same terms as its offer. If Genentech presents such an offer, then they will be deemed concurrently to have exercised a right, in exchange for a royalty on net sales in the U.S. of any anti-CD20 product acquired or developed by Genentech or any anti-CD20 product that Genentech licenses from a third party that is developed under the agreement, to purchase our interest in each such product;</w:t>
      </w:r>
    </w:p>
    <w:p>
      <w:pPr>
        <w:spacing w:after="0" w:line="55"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directors are elected to staggered terms, which prevents the entire board from being replaced in any single year;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advance notice is required for nomination of candidates for election as a director and for proposals to be brought before an annual meeting of shareholders.</w:t>
      </w:r>
    </w:p>
    <w:p>
      <w:pPr>
        <w:spacing w:after="0" w:line="18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common stock repurchase activity during the second quarter of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0"/>
              </w:rPr>
              <w:t>Total Number of</w:t>
            </w:r>
          </w:p>
        </w:tc>
        <w:tc>
          <w:tcPr>
            <w:tcW w:w="1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Approximate Dollar</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0"/>
              </w:rPr>
              <w:t>Total Number of</w:t>
            </w: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84"/>
              </w:rPr>
              <w:t>Average Price</w:t>
            </w:r>
          </w:p>
        </w:tc>
        <w:tc>
          <w:tcPr>
            <w:tcW w:w="18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5"/>
              </w:rPr>
              <w:t>Shares Purchased</w:t>
            </w:r>
          </w:p>
        </w:tc>
        <w:tc>
          <w:tcPr>
            <w:tcW w:w="16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8"/>
              </w:rPr>
              <w:t>Value of Shares That</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8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8"/>
              </w:rPr>
              <w:t>as Part of Publicly</w:t>
            </w:r>
          </w:p>
        </w:tc>
        <w:tc>
          <w:tcPr>
            <w:tcW w:w="16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8"/>
              </w:rPr>
              <w:t>May Yet Be Purchased</w:t>
            </w:r>
          </w:p>
        </w:tc>
        <w:tc>
          <w:tcPr>
            <w:tcW w:w="0" w:type="dxa"/>
            <w:vAlign w:val="bottom"/>
          </w:tcPr>
          <w:p>
            <w:pPr>
              <w:spacing w:after="0"/>
              <w:rPr>
                <w:sz w:val="1"/>
                <w:szCs w:val="1"/>
                <w:color w:val="auto"/>
              </w:rPr>
            </w:pPr>
          </w:p>
        </w:tc>
      </w:tr>
      <w:tr>
        <w:trPr>
          <w:trHeight w:val="111"/>
        </w:trPr>
        <w:tc>
          <w:tcPr>
            <w:tcW w:w="3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200" w:type="dxa"/>
            <w:vAlign w:val="bottom"/>
          </w:tcPr>
          <w:p>
            <w:pPr>
              <w:spacing w:after="0"/>
              <w:rPr>
                <w:sz w:val="9"/>
                <w:szCs w:val="9"/>
                <w:color w:val="auto"/>
              </w:rPr>
            </w:pPr>
          </w:p>
        </w:tc>
        <w:tc>
          <w:tcPr>
            <w:tcW w:w="16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5"/>
              </w:rPr>
              <w:t>Shares Purchased</w:t>
            </w:r>
          </w:p>
        </w:tc>
        <w:tc>
          <w:tcPr>
            <w:tcW w:w="14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0"/>
              </w:rPr>
              <w:t>Paid per Share</w:t>
            </w:r>
          </w:p>
        </w:tc>
        <w:tc>
          <w:tcPr>
            <w:tcW w:w="188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Announced Programs</w:t>
            </w:r>
          </w:p>
        </w:tc>
        <w:tc>
          <w:tcPr>
            <w:tcW w:w="16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91"/>
              </w:rPr>
              <w:t>Under Our Programs</w:t>
            </w:r>
          </w:p>
        </w:tc>
        <w:tc>
          <w:tcPr>
            <w:tcW w:w="0" w:type="dxa"/>
            <w:vAlign w:val="bottom"/>
          </w:tcPr>
          <w:p>
            <w:pPr>
              <w:spacing w:after="0"/>
              <w:rPr>
                <w:sz w:val="1"/>
                <w:szCs w:val="1"/>
                <w:color w:val="auto"/>
              </w:rPr>
            </w:pPr>
          </w:p>
        </w:tc>
      </w:tr>
      <w:tr>
        <w:trPr>
          <w:trHeight w:val="128"/>
        </w:trPr>
        <w:tc>
          <w:tcPr>
            <w:tcW w:w="3200" w:type="dxa"/>
            <w:vAlign w:val="bottom"/>
            <w:gridSpan w:val="2"/>
            <w:vMerge w:val="continue"/>
          </w:tcPr>
          <w:p>
            <w:pPr>
              <w:spacing w:after="0"/>
              <w:rPr>
                <w:sz w:val="11"/>
                <w:szCs w:val="11"/>
                <w:color w:val="auto"/>
              </w:rPr>
            </w:pPr>
          </w:p>
        </w:tc>
        <w:tc>
          <w:tcPr>
            <w:tcW w:w="1400" w:type="dxa"/>
            <w:vAlign w:val="bottom"/>
            <w:gridSpan w:val="2"/>
          </w:tcPr>
          <w:p>
            <w:pPr>
              <w:jc w:val="center"/>
              <w:ind w:left="137"/>
              <w:spacing w:after="0"/>
              <w:rPr>
                <w:sz w:val="20"/>
                <w:szCs w:val="20"/>
                <w:color w:val="auto"/>
              </w:rPr>
            </w:pPr>
            <w:r>
              <w:rPr>
                <w:rFonts w:ascii="Arial" w:cs="Arial" w:eastAsia="Arial" w:hAnsi="Arial"/>
                <w:sz w:val="11"/>
                <w:szCs w:val="11"/>
                <w:b w:val="1"/>
                <w:bCs w:val="1"/>
                <w:color w:val="auto"/>
                <w:w w:val="88"/>
              </w:rPr>
              <w:t>(#)</w:t>
            </w:r>
          </w:p>
        </w:tc>
        <w:tc>
          <w:tcPr>
            <w:tcW w:w="40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1"/>
                <w:szCs w:val="11"/>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 in millions)</w:t>
            </w:r>
          </w:p>
        </w:tc>
        <w:tc>
          <w:tcPr>
            <w:tcW w:w="0" w:type="dxa"/>
            <w:vAlign w:val="bottom"/>
          </w:tcPr>
          <w:p>
            <w:pPr>
              <w:spacing w:after="0"/>
              <w:rPr>
                <w:sz w:val="1"/>
                <w:szCs w:val="1"/>
                <w:color w:val="auto"/>
              </w:rPr>
            </w:pPr>
          </w:p>
        </w:tc>
      </w:tr>
      <w:tr>
        <w:trPr>
          <w:trHeight w:val="30"/>
        </w:trPr>
        <w:tc>
          <w:tcPr>
            <w:tcW w:w="130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2010 Repurchase Program</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b w:val="1"/>
                <w:bCs w:val="1"/>
                <w:color w:val="auto"/>
              </w:rPr>
              <w:t>Apr-10</w:t>
            </w:r>
          </w:p>
        </w:tc>
        <w:tc>
          <w:tcPr>
            <w:tcW w:w="1800" w:type="dxa"/>
            <w:vAlign w:val="bottom"/>
            <w:gridSpan w:val="3"/>
          </w:tcPr>
          <w:p>
            <w:pPr>
              <w:jc w:val="right"/>
              <w:ind w:right="400"/>
              <w:spacing w:after="0"/>
              <w:rPr>
                <w:sz w:val="20"/>
                <w:szCs w:val="20"/>
                <w:color w:val="auto"/>
              </w:rPr>
            </w:pPr>
            <w:r>
              <w:rPr>
                <w:rFonts w:ascii="Arial" w:cs="Arial" w:eastAsia="Arial" w:hAnsi="Arial"/>
                <w:sz w:val="13"/>
                <w:szCs w:val="13"/>
                <w:color w:val="auto"/>
              </w:rPr>
              <w:t>1,600,000</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52.36</w:t>
            </w:r>
          </w:p>
        </w:tc>
        <w:tc>
          <w:tcPr>
            <w:tcW w:w="1880" w:type="dxa"/>
            <w:vAlign w:val="bottom"/>
            <w:gridSpan w:val="2"/>
          </w:tcPr>
          <w:p>
            <w:pPr>
              <w:jc w:val="right"/>
              <w:ind w:right="380"/>
              <w:spacing w:after="0"/>
              <w:rPr>
                <w:sz w:val="20"/>
                <w:szCs w:val="20"/>
                <w:color w:val="auto"/>
              </w:rPr>
            </w:pPr>
            <w:r>
              <w:rPr>
                <w:rFonts w:ascii="Arial" w:cs="Arial" w:eastAsia="Arial" w:hAnsi="Arial"/>
                <w:sz w:val="13"/>
                <w:szCs w:val="13"/>
                <w:color w:val="auto"/>
              </w:rPr>
              <w:t>1,600,000</w:t>
            </w:r>
          </w:p>
        </w:tc>
        <w:tc>
          <w:tcPr>
            <w:tcW w:w="1680" w:type="dxa"/>
            <w:vAlign w:val="bottom"/>
            <w:gridSpan w:val="2"/>
          </w:tcPr>
          <w:p>
            <w:pPr>
              <w:jc w:val="right"/>
              <w:ind w:right="80"/>
              <w:spacing w:after="0"/>
              <w:rPr>
                <w:sz w:val="20"/>
                <w:szCs w:val="20"/>
                <w:color w:val="auto"/>
              </w:rPr>
            </w:pPr>
            <w:r>
              <w:rPr>
                <w:rFonts w:ascii="Arial" w:cs="Arial" w:eastAsia="Arial" w:hAnsi="Arial"/>
                <w:sz w:val="13"/>
                <w:szCs w:val="13"/>
                <w:color w:val="auto"/>
              </w:rPr>
              <w:t>1,416.2</w:t>
            </w:r>
          </w:p>
        </w:tc>
        <w:tc>
          <w:tcPr>
            <w:tcW w:w="0" w:type="dxa"/>
            <w:vAlign w:val="bottom"/>
          </w:tcPr>
          <w:p>
            <w:pPr>
              <w:spacing w:after="0"/>
              <w:rPr>
                <w:sz w:val="1"/>
                <w:szCs w:val="1"/>
                <w:color w:val="auto"/>
              </w:rPr>
            </w:pPr>
          </w:p>
        </w:tc>
      </w:tr>
      <w:tr>
        <w:trPr>
          <w:trHeight w:val="161"/>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May-10</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8,522,294</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50.87</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8,522,294</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982.7</w:t>
            </w:r>
          </w:p>
        </w:tc>
        <w:tc>
          <w:tcPr>
            <w:tcW w:w="0" w:type="dxa"/>
            <w:vAlign w:val="bottom"/>
          </w:tcPr>
          <w:p>
            <w:pPr>
              <w:spacing w:after="0"/>
              <w:rPr>
                <w:sz w:val="1"/>
                <w:szCs w:val="1"/>
                <w:color w:val="auto"/>
              </w:rPr>
            </w:pPr>
          </w:p>
        </w:tc>
      </w:tr>
      <w:tr>
        <w:trPr>
          <w:trHeight w:val="161"/>
        </w:trPr>
        <w:tc>
          <w:tcPr>
            <w:tcW w:w="320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Jun-10</w:t>
            </w:r>
          </w:p>
        </w:tc>
        <w:tc>
          <w:tcPr>
            <w:tcW w:w="20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10,676,531</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48.18</w:t>
            </w:r>
          </w:p>
        </w:tc>
        <w:tc>
          <w:tcPr>
            <w:tcW w:w="1880" w:type="dxa"/>
            <w:vAlign w:val="bottom"/>
            <w:gridSpan w:val="2"/>
          </w:tcPr>
          <w:p>
            <w:pPr>
              <w:jc w:val="right"/>
              <w:ind w:right="380"/>
              <w:spacing w:after="0"/>
              <w:rPr>
                <w:sz w:val="20"/>
                <w:szCs w:val="20"/>
                <w:color w:val="auto"/>
              </w:rPr>
            </w:pPr>
            <w:r>
              <w:rPr>
                <w:rFonts w:ascii="Arial" w:cs="Arial" w:eastAsia="Arial" w:hAnsi="Arial"/>
                <w:sz w:val="13"/>
                <w:szCs w:val="13"/>
                <w:color w:val="auto"/>
              </w:rPr>
              <w:t>10,676,531</w:t>
            </w:r>
          </w:p>
        </w:tc>
        <w:tc>
          <w:tcPr>
            <w:tcW w:w="1680" w:type="dxa"/>
            <w:vAlign w:val="bottom"/>
            <w:gridSpan w:val="2"/>
          </w:tcPr>
          <w:p>
            <w:pPr>
              <w:jc w:val="right"/>
              <w:ind w:right="80"/>
              <w:spacing w:after="0"/>
              <w:rPr>
                <w:sz w:val="20"/>
                <w:szCs w:val="20"/>
                <w:color w:val="auto"/>
              </w:rPr>
            </w:pPr>
            <w:r>
              <w:rPr>
                <w:rFonts w:ascii="Arial" w:cs="Arial" w:eastAsia="Arial" w:hAnsi="Arial"/>
                <w:sz w:val="13"/>
                <w:szCs w:val="13"/>
                <w:color w:val="auto"/>
              </w:rPr>
              <w:t>468.2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Total</w:t>
            </w:r>
          </w:p>
        </w:tc>
        <w:tc>
          <w:tcPr>
            <w:tcW w:w="2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20,798,825</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49.61</w:t>
            </w: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On April 20, 2010, we announced that our Board of Directors authorized the repurchase of up to $1.5 billion of our common stock. This authorization is intended to continue to reduce our shares outstanding with the objective of returning excess cash to shareholders. We intend to retire these shares following repurchase on the open market. This repurchase authorization does not have an expiration date. As of June 30,</w:t>
      </w:r>
    </w:p>
    <w:p>
      <w:pPr>
        <w:spacing w:after="0" w:line="2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2010, approximately 20.8 million shares at a cost of approximately $1.0 billion have been repurchased under this program, all of which were retired. From July 1, 2010 through July 16, 2010, we repurchased approximately an additional 4.7 million shares under this program at a cost of $233.2 million, all of which were also retired. Approximately $235.0 million remains available for repurchase of our common stock under the 2010 program. The number of remaining shares that may be purchased under this program will vary based on price fluctuations of our common stock.</w:t>
      </w:r>
    </w:p>
    <w:p>
      <w:pPr>
        <w:spacing w:after="0" w:line="14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Exhibits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The exhibits listed on the Exhibit Index immediately preceding such exhibits, which is incorporated herein by reference, are filed or furnished as part of this Quarterly Report on Form 10-Q.</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109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Paul J. Clancy</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Executive Vice President and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Chief Financial Officer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July 20, 2010</w:t>
      </w:r>
    </w:p>
    <w:p>
      <w:pPr>
        <w:spacing w:after="0" w:line="30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260"/>
          </w:cols>
          <w:pgMar w:left="220" w:top="349" w:right="14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980" w:type="dxa"/>
            <w:vAlign w:val="bottom"/>
          </w:tcPr>
          <w:p>
            <w:pPr>
              <w:ind w:left="348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5"/>
        </w:trPr>
        <w:tc>
          <w:tcPr>
            <w:tcW w:w="82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180" w:type="dxa"/>
            <w:vAlign w:val="bottom"/>
          </w:tcPr>
          <w:p>
            <w:pPr>
              <w:spacing w:after="0"/>
              <w:rPr>
                <w:sz w:val="16"/>
                <w:szCs w:val="16"/>
                <w:color w:val="auto"/>
              </w:rPr>
            </w:pPr>
          </w:p>
        </w:tc>
        <w:tc>
          <w:tcPr>
            <w:tcW w:w="8980" w:type="dxa"/>
            <w:vAlign w:val="bottom"/>
            <w:vMerge w:val="restart"/>
          </w:tcPr>
          <w:p>
            <w:pPr>
              <w:ind w:left="398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28"/>
        </w:trPr>
        <w:tc>
          <w:tcPr>
            <w:tcW w:w="8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1"/>
                <w:szCs w:val="11"/>
                <w:color w:val="auto"/>
              </w:rPr>
            </w:pPr>
          </w:p>
        </w:tc>
        <w:tc>
          <w:tcPr>
            <w:tcW w:w="8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15"/>
                <w:szCs w:val="15"/>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4"/>
              </w:rPr>
              <w:t>Employment Agreement between Biogen Idec Inc. and George A. Scangos, Ph.D. dated as of June 28, 2010. Filed as Exhibit 10.1 to our Current Report on Form 8-K</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filed on July 1, 2010.</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10.2</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5"/>
              </w:rPr>
              <w:t>Biogen Idec Inc. 2006 Non-Employee Directors Equity Plan, as amended. Filed as Appendix A to our Definitive Proxy Statement on Schedule 14A filed on April 28,</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9160" w:type="dxa"/>
            <w:vAlign w:val="bottom"/>
            <w:gridSpan w:val="2"/>
          </w:tcPr>
          <w:p>
            <w:pPr>
              <w:ind w:left="180"/>
              <w:spacing w:after="0"/>
              <w:rPr>
                <w:sz w:val="20"/>
                <w:szCs w:val="20"/>
                <w:color w:val="auto"/>
              </w:rPr>
            </w:pPr>
            <w:r>
              <w:rPr>
                <w:rFonts w:ascii="Arial" w:cs="Arial" w:eastAsia="Arial" w:hAnsi="Arial"/>
                <w:sz w:val="13"/>
                <w:szCs w:val="13"/>
                <w:color w:val="auto"/>
              </w:rPr>
              <w:t>2010.</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10.3+</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Annual Retainer Summary for Board of Directors.</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32.1++</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rPr>
              <w:t>Certification Pursuant to Section 906 of the Sarbanes-Oxley Act of 2002.</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9"/>
              </w:rPr>
              <w:t>The following materials from Biogen Idec Inc.’s Quarterly Report on Form 10-Q for the quarter ended June 30, 2010, formatted in XBRL (Extensible Business</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3"/>
                <w:szCs w:val="13"/>
                <w:color w:val="auto"/>
                <w:w w:val="99"/>
              </w:rPr>
              <w:t>Reporting Language): (i) the Consolidated Statements of Income, (ii) the Consolidated Balance Sheets, (iii) the Consolidated Statements of Cash Flows, and</w:t>
            </w:r>
          </w:p>
        </w:tc>
        <w:tc>
          <w:tcPr>
            <w:tcW w:w="0" w:type="dxa"/>
            <w:vAlign w:val="bottom"/>
          </w:tcPr>
          <w:p>
            <w:pPr>
              <w:spacing w:after="0"/>
              <w:rPr>
                <w:sz w:val="1"/>
                <w:szCs w:val="1"/>
                <w:color w:val="auto"/>
              </w:rPr>
            </w:pPr>
          </w:p>
        </w:tc>
      </w:tr>
    </w:tbl>
    <w:p>
      <w:pPr>
        <w:ind w:left="1920" w:hanging="234"/>
        <w:spacing w:after="0"/>
        <w:tabs>
          <w:tab w:leader="none" w:pos="19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Notes to Consolidated Financial Statements.</w:t>
      </w:r>
    </w:p>
    <w:p>
      <w:pPr>
        <w:spacing w:after="0" w:line="162" w:lineRule="exact"/>
        <w:rPr>
          <w:rFonts w:ascii="Arial" w:cs="Arial" w:eastAsia="Arial" w:hAnsi="Arial"/>
          <w:sz w:val="13"/>
          <w:szCs w:val="13"/>
          <w:color w:val="auto"/>
        </w:rPr>
      </w:pPr>
    </w:p>
    <w:p>
      <w:pPr>
        <w:ind w:left="1000" w:right="100" w:hanging="168"/>
        <w:spacing w:after="0" w:line="291" w:lineRule="auto"/>
        <w:rPr>
          <w:rFonts w:ascii="Arial" w:cs="Arial" w:eastAsia="Arial" w:hAnsi="Arial"/>
          <w:sz w:val="13"/>
          <w:szCs w:val="13"/>
          <w:color w:val="auto"/>
        </w:rPr>
      </w:pPr>
      <w:r>
        <w:rPr>
          <w:rFonts w:ascii="Arial" w:cs="Arial" w:eastAsia="Arial" w:hAnsi="Arial"/>
          <w:sz w:val="13"/>
          <w:szCs w:val="13"/>
          <w:color w:val="auto"/>
        </w:rPr>
        <w:t>* Unless otherwise indicated, exhibits were previously filed with the Securities and Exchange Commission under Commission File Number 0-19311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-260985</wp:posOffset>
            </wp:positionV>
            <wp:extent cx="8255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  Filed herewith</w:t>
      </w:r>
    </w:p>
    <w:p>
      <w:pPr>
        <w:spacing w:after="0" w:line="5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Furnished herewith</w:t>
      </w:r>
    </w:p>
    <w:p>
      <w:pPr>
        <w:sectPr>
          <w:pgSz w:w="11900" w:h="16838" w:orient="portrait"/>
          <w:cols w:equalWidth="0" w:num="1">
            <w:col w:w="10660"/>
          </w:cols>
          <w:pgMar w:left="220" w:top="349" w:right="101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auto"/>
        </w:rPr>
        <w:t>Exhibit 10.3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MEMORANDUM</w:t>
      </w:r>
    </w:p>
    <w:p>
      <w:pPr>
        <w:spacing w:after="0" w:line="173"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3"/>
          <w:szCs w:val="13"/>
          <w:color w:val="auto"/>
        </w:rPr>
        <w:t>T</w:t>
      </w:r>
      <w:r>
        <w:rPr>
          <w:rFonts w:ascii="Arial" w:cs="Arial" w:eastAsia="Arial" w:hAnsi="Arial"/>
          <w:sz w:val="9"/>
          <w:szCs w:val="9"/>
          <w:color w:val="auto"/>
        </w:rPr>
        <w:t>O</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Board of Directors</w:t>
      </w:r>
    </w:p>
    <w:p>
      <w:pPr>
        <w:spacing w:after="0" w:line="22"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3"/>
          <w:szCs w:val="13"/>
          <w:color w:val="auto"/>
        </w:rPr>
        <w:t>F</w:t>
      </w:r>
      <w:r>
        <w:rPr>
          <w:rFonts w:ascii="Arial" w:cs="Arial" w:eastAsia="Arial" w:hAnsi="Arial"/>
          <w:sz w:val="9"/>
          <w:szCs w:val="9"/>
          <w:color w:val="auto"/>
        </w:rPr>
        <w:t>ROM</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Bob Licht</w:t>
      </w:r>
    </w:p>
    <w:p>
      <w:pPr>
        <w:spacing w:after="0" w:line="12"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3"/>
          <w:szCs w:val="13"/>
          <w:color w:val="auto"/>
        </w:rPr>
        <w:t>D</w:t>
      </w:r>
      <w:r>
        <w:rPr>
          <w:rFonts w:ascii="Arial" w:cs="Arial" w:eastAsia="Arial" w:hAnsi="Arial"/>
          <w:sz w:val="9"/>
          <w:szCs w:val="9"/>
          <w:color w:val="auto"/>
        </w:rPr>
        <w:t>ATE</w:t>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July 2, 2010</w:t>
      </w:r>
    </w:p>
    <w:p>
      <w:pPr>
        <w:spacing w:after="0" w:line="12"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3"/>
          <w:szCs w:val="13"/>
          <w:color w:val="auto"/>
        </w:rPr>
        <w:t>S</w:t>
      </w:r>
      <w:r>
        <w:rPr>
          <w:rFonts w:ascii="Arial" w:cs="Arial" w:eastAsia="Arial" w:hAnsi="Arial"/>
          <w:sz w:val="9"/>
          <w:szCs w:val="9"/>
          <w:color w:val="auto"/>
        </w:rPr>
        <w:t>UBJECT</w:t>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Director Fees and Expenses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retainers and meeting fees payable to directors effective July 1, 2010.</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Retainers and Fees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Annual Retainers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35,000</w:t>
            </w:r>
          </w:p>
        </w:tc>
        <w:tc>
          <w:tcPr>
            <w:tcW w:w="9000" w:type="dxa"/>
            <w:vAlign w:val="bottom"/>
          </w:tcPr>
          <w:p>
            <w:pPr>
              <w:ind w:left="340"/>
              <w:spacing w:after="0"/>
              <w:rPr>
                <w:sz w:val="20"/>
                <w:szCs w:val="20"/>
                <w:color w:val="auto"/>
              </w:rPr>
            </w:pPr>
            <w:r>
              <w:rPr>
                <w:rFonts w:ascii="Arial" w:cs="Arial" w:eastAsia="Arial" w:hAnsi="Arial"/>
                <w:sz w:val="13"/>
                <w:szCs w:val="13"/>
                <w:color w:val="auto"/>
              </w:rPr>
              <w:t>Board retainer</w:t>
            </w:r>
          </w:p>
        </w:tc>
      </w:tr>
      <w:tr>
        <w:trPr>
          <w:trHeight w:val="161"/>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20,000</w:t>
            </w:r>
          </w:p>
        </w:tc>
        <w:tc>
          <w:tcPr>
            <w:tcW w:w="9000" w:type="dxa"/>
            <w:vAlign w:val="bottom"/>
          </w:tcPr>
          <w:p>
            <w:pPr>
              <w:ind w:left="340"/>
              <w:spacing w:after="0"/>
              <w:rPr>
                <w:sz w:val="20"/>
                <w:szCs w:val="20"/>
                <w:color w:val="auto"/>
              </w:rPr>
            </w:pPr>
            <w:r>
              <w:rPr>
                <w:rFonts w:ascii="Arial" w:cs="Arial" w:eastAsia="Arial" w:hAnsi="Arial"/>
                <w:sz w:val="13"/>
                <w:szCs w:val="13"/>
                <w:color w:val="auto"/>
              </w:rPr>
              <w:t>additional annual retainer for chair of Finance and Audit Committee</w:t>
            </w:r>
          </w:p>
        </w:tc>
      </w:tr>
      <w:tr>
        <w:trPr>
          <w:trHeight w:val="161"/>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5,000</w:t>
            </w:r>
          </w:p>
        </w:tc>
        <w:tc>
          <w:tcPr>
            <w:tcW w:w="9000" w:type="dxa"/>
            <w:vAlign w:val="bottom"/>
          </w:tcPr>
          <w:p>
            <w:pPr>
              <w:ind w:left="340"/>
              <w:spacing w:after="0"/>
              <w:rPr>
                <w:sz w:val="20"/>
                <w:szCs w:val="20"/>
                <w:color w:val="auto"/>
              </w:rPr>
            </w:pPr>
            <w:r>
              <w:rPr>
                <w:rFonts w:ascii="Arial" w:cs="Arial" w:eastAsia="Arial" w:hAnsi="Arial"/>
                <w:sz w:val="13"/>
                <w:szCs w:val="13"/>
                <w:color w:val="auto"/>
              </w:rPr>
              <w:t>additional annual retainer for members of Finance and Audit Committee (other than Chair)</w:t>
            </w:r>
          </w:p>
        </w:tc>
      </w:tr>
      <w:tr>
        <w:trPr>
          <w:trHeight w:val="161"/>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15,000</w:t>
            </w:r>
          </w:p>
        </w:tc>
        <w:tc>
          <w:tcPr>
            <w:tcW w:w="9000" w:type="dxa"/>
            <w:vAlign w:val="bottom"/>
          </w:tcPr>
          <w:p>
            <w:pPr>
              <w:ind w:left="340"/>
              <w:spacing w:after="0"/>
              <w:rPr>
                <w:sz w:val="20"/>
                <w:szCs w:val="20"/>
                <w:color w:val="auto"/>
              </w:rPr>
            </w:pPr>
            <w:r>
              <w:rPr>
                <w:rFonts w:ascii="Arial" w:cs="Arial" w:eastAsia="Arial" w:hAnsi="Arial"/>
                <w:sz w:val="13"/>
                <w:szCs w:val="13"/>
                <w:color w:val="auto"/>
                <w:w w:val="93"/>
              </w:rPr>
              <w:t>additional annual retainer for chairs of Corporate Governance Committee, Compensation and Management Development Committee and Transaction Committee</w:t>
            </w:r>
          </w:p>
        </w:tc>
      </w:tr>
      <w:tr>
        <w:trPr>
          <w:trHeight w:val="172"/>
        </w:trPr>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73"/>
              <w:spacing w:after="0"/>
              <w:rPr>
                <w:sz w:val="20"/>
                <w:szCs w:val="20"/>
                <w:color w:val="auto"/>
              </w:rPr>
            </w:pPr>
            <w:r>
              <w:rPr>
                <w:rFonts w:ascii="Arial" w:cs="Arial" w:eastAsia="Arial" w:hAnsi="Arial"/>
                <w:sz w:val="13"/>
                <w:szCs w:val="13"/>
                <w:color w:val="auto"/>
              </w:rPr>
              <w:t>60,000</w:t>
            </w:r>
          </w:p>
        </w:tc>
        <w:tc>
          <w:tcPr>
            <w:tcW w:w="9000" w:type="dxa"/>
            <w:vAlign w:val="bottom"/>
          </w:tcPr>
          <w:p>
            <w:pPr>
              <w:ind w:left="340"/>
              <w:spacing w:after="0"/>
              <w:rPr>
                <w:sz w:val="20"/>
                <w:szCs w:val="20"/>
                <w:color w:val="auto"/>
              </w:rPr>
            </w:pPr>
            <w:r>
              <w:rPr>
                <w:rFonts w:ascii="Arial" w:cs="Arial" w:eastAsia="Arial" w:hAnsi="Arial"/>
                <w:sz w:val="13"/>
                <w:szCs w:val="13"/>
                <w:color w:val="auto"/>
              </w:rPr>
              <w:t>additional annual retainer for Chairman of the Board</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Annual retainers will be paid in four equal quarterly installments.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Meeting Fees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20" w:type="dxa"/>
            <w:vAlign w:val="bottom"/>
          </w:tcPr>
          <w:p>
            <w:pPr>
              <w:jc w:val="right"/>
              <w:ind w:right="373"/>
              <w:spacing w:after="0"/>
              <w:rPr>
                <w:sz w:val="20"/>
                <w:szCs w:val="20"/>
                <w:color w:val="auto"/>
              </w:rPr>
            </w:pPr>
            <w:r>
              <w:rPr>
                <w:rFonts w:ascii="Arial" w:cs="Arial" w:eastAsia="Arial" w:hAnsi="Arial"/>
                <w:sz w:val="13"/>
                <w:szCs w:val="13"/>
                <w:color w:val="auto"/>
                <w:w w:val="90"/>
              </w:rPr>
              <w:t>$2,500</w:t>
            </w:r>
          </w:p>
        </w:tc>
        <w:tc>
          <w:tcPr>
            <w:tcW w:w="4000" w:type="dxa"/>
            <w:vAlign w:val="bottom"/>
          </w:tcPr>
          <w:p>
            <w:pPr>
              <w:ind w:left="460"/>
              <w:spacing w:after="0"/>
              <w:rPr>
                <w:sz w:val="20"/>
                <w:szCs w:val="20"/>
                <w:color w:val="auto"/>
              </w:rPr>
            </w:pPr>
            <w:r>
              <w:rPr>
                <w:rFonts w:ascii="Arial" w:cs="Arial" w:eastAsia="Arial" w:hAnsi="Arial"/>
                <w:sz w:val="13"/>
                <w:szCs w:val="13"/>
                <w:color w:val="auto"/>
                <w:w w:val="95"/>
              </w:rPr>
              <w:t>each Board meeting attended (in person or by videoconference)</w:t>
            </w:r>
          </w:p>
        </w:tc>
      </w:tr>
      <w:tr>
        <w:trPr>
          <w:trHeight w:val="161"/>
        </w:trPr>
        <w:tc>
          <w:tcPr>
            <w:tcW w:w="820" w:type="dxa"/>
            <w:vAlign w:val="bottom"/>
          </w:tcPr>
          <w:p>
            <w:pPr>
              <w:jc w:val="right"/>
              <w:ind w:right="373"/>
              <w:spacing w:after="0"/>
              <w:rPr>
                <w:sz w:val="20"/>
                <w:szCs w:val="20"/>
                <w:color w:val="auto"/>
              </w:rPr>
            </w:pPr>
            <w:r>
              <w:rPr>
                <w:rFonts w:ascii="Arial" w:cs="Arial" w:eastAsia="Arial" w:hAnsi="Arial"/>
                <w:sz w:val="13"/>
                <w:szCs w:val="13"/>
                <w:color w:val="auto"/>
                <w:w w:val="90"/>
              </w:rPr>
              <w:t>$1,500</w:t>
            </w:r>
          </w:p>
        </w:tc>
        <w:tc>
          <w:tcPr>
            <w:tcW w:w="4000" w:type="dxa"/>
            <w:vAlign w:val="bottom"/>
          </w:tcPr>
          <w:p>
            <w:pPr>
              <w:ind w:left="460"/>
              <w:spacing w:after="0"/>
              <w:rPr>
                <w:sz w:val="20"/>
                <w:szCs w:val="20"/>
                <w:color w:val="auto"/>
              </w:rPr>
            </w:pPr>
            <w:r>
              <w:rPr>
                <w:rFonts w:ascii="Arial" w:cs="Arial" w:eastAsia="Arial" w:hAnsi="Arial"/>
                <w:sz w:val="13"/>
                <w:szCs w:val="13"/>
                <w:color w:val="auto"/>
              </w:rPr>
              <w:t>each Board meeting attended (by teleconference)</w:t>
            </w:r>
          </w:p>
        </w:tc>
      </w:tr>
      <w:tr>
        <w:trPr>
          <w:trHeight w:val="172"/>
        </w:trPr>
        <w:tc>
          <w:tcPr>
            <w:tcW w:w="820" w:type="dxa"/>
            <w:vAlign w:val="bottom"/>
          </w:tcPr>
          <w:p>
            <w:pPr>
              <w:jc w:val="right"/>
              <w:ind w:right="373"/>
              <w:spacing w:after="0"/>
              <w:rPr>
                <w:sz w:val="20"/>
                <w:szCs w:val="20"/>
                <w:color w:val="auto"/>
              </w:rPr>
            </w:pPr>
            <w:r>
              <w:rPr>
                <w:rFonts w:ascii="Arial" w:cs="Arial" w:eastAsia="Arial" w:hAnsi="Arial"/>
                <w:sz w:val="13"/>
                <w:szCs w:val="13"/>
                <w:color w:val="auto"/>
                <w:w w:val="90"/>
              </w:rPr>
              <w:t>$1,500</w:t>
            </w:r>
          </w:p>
        </w:tc>
        <w:tc>
          <w:tcPr>
            <w:tcW w:w="4000" w:type="dxa"/>
            <w:vAlign w:val="bottom"/>
          </w:tcPr>
          <w:p>
            <w:pPr>
              <w:ind w:left="460"/>
              <w:spacing w:after="0"/>
              <w:rPr>
                <w:sz w:val="20"/>
                <w:szCs w:val="20"/>
                <w:color w:val="auto"/>
              </w:rPr>
            </w:pPr>
            <w:r>
              <w:rPr>
                <w:rFonts w:ascii="Arial" w:cs="Arial" w:eastAsia="Arial" w:hAnsi="Arial"/>
                <w:sz w:val="13"/>
                <w:szCs w:val="13"/>
                <w:color w:val="auto"/>
                <w:w w:val="91"/>
              </w:rPr>
              <w:t>each committee meeting attended (in person or by teleconference)</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Meeting fees will be paid for attendance at formal meetings of the Board or its committees, i.e., those for which meeting minutes are prepared. Meeting fees will not be paid for informal gatherings of directors.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Special Service Fee (extraordinary)</w:t>
      </w:r>
    </w:p>
    <w:p>
      <w:pPr>
        <w:spacing w:after="0" w:line="173" w:lineRule="exact"/>
        <w:rPr>
          <w:sz w:val="20"/>
          <w:szCs w:val="20"/>
          <w:color w:val="auto"/>
        </w:rPr>
      </w:pPr>
    </w:p>
    <w:p>
      <w:pPr>
        <w:spacing w:after="0"/>
        <w:tabs>
          <w:tab w:leader="none" w:pos="380" w:val="left"/>
          <w:tab w:leader="none" w:pos="13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1,000</w:t>
      </w:r>
      <w:r>
        <w:rPr>
          <w:sz w:val="20"/>
          <w:szCs w:val="20"/>
          <w:color w:val="auto"/>
        </w:rPr>
        <w:tab/>
      </w:r>
      <w:r>
        <w:rPr>
          <w:rFonts w:ascii="Arial" w:cs="Arial" w:eastAsia="Arial" w:hAnsi="Arial"/>
          <w:sz w:val="12"/>
          <w:szCs w:val="12"/>
          <w:color w:val="auto"/>
        </w:rPr>
        <w:t>each full day of service</w:t>
      </w:r>
    </w:p>
    <w:p>
      <w:pPr>
        <w:spacing w:after="0" w:line="92" w:lineRule="exact"/>
        <w:rPr>
          <w:sz w:val="20"/>
          <w:szCs w:val="20"/>
          <w:color w:val="auto"/>
        </w:rPr>
      </w:pPr>
    </w:p>
    <w:p>
      <w:pPr>
        <w:ind w:right="280"/>
        <w:spacing w:after="0" w:line="294" w:lineRule="auto"/>
        <w:rPr>
          <w:sz w:val="20"/>
          <w:szCs w:val="20"/>
          <w:color w:val="auto"/>
        </w:rPr>
      </w:pPr>
      <w:r>
        <w:rPr>
          <w:rFonts w:ascii="Arial" w:cs="Arial" w:eastAsia="Arial" w:hAnsi="Arial"/>
          <w:sz w:val="13"/>
          <w:szCs w:val="13"/>
          <w:color w:val="auto"/>
        </w:rPr>
        <w:t>The special service fee is for a full day of service, excluding services (and travel) relating to Board or committee meetings, at the request of the Board or the Company and which involves extensive travel by a director. It is expected that situations for which a special service fee is due will be infrequent.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728789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68" w:name="page69"/>
    <w:bookmarkEnd w:id="68"/>
    <w:p>
      <w:pPr>
        <w:ind w:right="500"/>
        <w:spacing w:after="0" w:line="338" w:lineRule="auto"/>
        <w:rPr>
          <w:sz w:val="20"/>
          <w:szCs w:val="20"/>
          <w:color w:val="auto"/>
        </w:rPr>
      </w:pPr>
      <w:r>
        <w:rPr>
          <w:rFonts w:ascii="Arial" w:cs="Arial" w:eastAsia="Arial" w:hAnsi="Arial"/>
          <w:sz w:val="12"/>
          <w:szCs w:val="12"/>
          <w:color w:val="auto"/>
        </w:rPr>
        <w:t>Retainers and fees will be paid shortly following the end of each calendar quarter (or, with respect to the fourth calendar quarter, by the end of the year). Each payment will be accompanied by a schedule explaining how the payment was calculated. Retainers are calculated on the basis of the position held at the beginning of the calendar quarter for which payment is to be made.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Payments of retainers and fees will be reported to the IRS on Form 1099 as income, unless the payments are made to qualifying deferred compensation accounts previously established by directors.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Expenses</w:t>
      </w:r>
    </w:p>
    <w:p>
      <w:pPr>
        <w:spacing w:after="0" w:line="92"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The Company will reimburse directors for all reasonable out-of-pocket expenses associated with their duties as directors, including travel to and from Board and committee meetings. The expenses of spouses and significant others will be reimbursed when directors’ spouses and significant others are invited to attend Company events with directors.</w:t>
      </w:r>
    </w:p>
    <w:p>
      <w:pPr>
        <w:spacing w:after="0" w:line="37" w:lineRule="exact"/>
        <w:rPr>
          <w:sz w:val="20"/>
          <w:szCs w:val="20"/>
          <w:color w:val="auto"/>
        </w:rPr>
      </w:pPr>
    </w:p>
    <w:p>
      <w:pPr>
        <w:ind w:right="140"/>
        <w:spacing w:after="0" w:line="294" w:lineRule="auto"/>
        <w:rPr>
          <w:sz w:val="20"/>
          <w:szCs w:val="20"/>
          <w:color w:val="auto"/>
        </w:rPr>
      </w:pPr>
      <w:r>
        <w:rPr>
          <w:rFonts w:ascii="Arial" w:cs="Arial" w:eastAsia="Arial" w:hAnsi="Arial"/>
          <w:sz w:val="13"/>
          <w:szCs w:val="13"/>
          <w:color w:val="auto"/>
        </w:rPr>
        <w:t>Expenses will be reimbursed when submitted. Expense reports, including receipts or other supporting documentation, should be sent to the Company’s accounts payable department. If you would like to fax the expense report to expedite the approval process, please fax it to Bob Licht at 866-819-5288.</w:t>
      </w:r>
    </w:p>
    <w:p>
      <w:pPr>
        <w:spacing w:after="0" w:line="37" w:lineRule="exact"/>
        <w:rPr>
          <w:sz w:val="20"/>
          <w:szCs w:val="20"/>
          <w:color w:val="auto"/>
        </w:rPr>
      </w:pPr>
    </w:p>
    <w:p>
      <w:pPr>
        <w:ind w:right="100"/>
        <w:spacing w:after="0" w:line="294" w:lineRule="auto"/>
        <w:rPr>
          <w:sz w:val="20"/>
          <w:szCs w:val="20"/>
          <w:color w:val="auto"/>
        </w:rPr>
      </w:pPr>
      <w:r>
        <w:rPr>
          <w:rFonts w:ascii="Arial" w:cs="Arial" w:eastAsia="Arial" w:hAnsi="Arial"/>
          <w:sz w:val="13"/>
          <w:szCs w:val="13"/>
          <w:color w:val="auto"/>
        </w:rPr>
        <w:t xml:space="preserve">Reimbursement for directors’ expenses usually will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be reported to the IRS as income. Reimbursement for travel expenses of others will be reported to the IRS as income, and reimbursement for certain other expenses (for example a program that does not meet IRS guidelines) may also be reportable as income.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Questions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Questions about retainers, fees and expenses may be addressed to the following individual:</w:t>
      </w:r>
    </w:p>
    <w:p>
      <w:pPr>
        <w:spacing w:after="0" w:line="9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Bob Licht (retainers and fees, </w:t>
      </w:r>
      <w:r>
        <w:rPr>
          <w:rFonts w:ascii="Arial" w:cs="Arial" w:eastAsia="Arial" w:hAnsi="Arial"/>
          <w:sz w:val="13"/>
          <w:szCs w:val="13"/>
          <w:u w:val="single" w:color="auto"/>
          <w:color w:val="auto"/>
        </w:rPr>
        <w:t>including special service fee</w:t>
      </w:r>
      <w:r>
        <w:rPr>
          <w:rFonts w:ascii="Arial" w:cs="Arial" w:eastAsia="Arial" w:hAnsi="Arial"/>
          <w:sz w:val="13"/>
          <w:szCs w:val="13"/>
          <w:color w:val="auto"/>
        </w:rPr>
        <w:t>)</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Senior Vice President, Chief Corporation Counsel</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Biogen Idec Inc.</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133 Boston Post Road</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Weston, MA 02493</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Tel. (781) 464-2005</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bob.licht@biogenidec.com</w:t>
      </w:r>
    </w:p>
    <w:p>
      <w:pPr>
        <w:sectPr>
          <w:pgSz w:w="11900" w:h="16838" w:orient="portrait"/>
          <w:cols w:equalWidth="0" w:num="1">
            <w:col w:w="11380"/>
          </w:cols>
          <w:pgMar w:left="220" w:top="733"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 George A. Scangos, certify that:</w:t>
      </w:r>
    </w:p>
    <w:p>
      <w:pPr>
        <w:spacing w:after="0" w:line="92" w:lineRule="exact"/>
        <w:rPr>
          <w:sz w:val="20"/>
          <w:szCs w:val="20"/>
          <w:color w:val="auto"/>
        </w:rPr>
      </w:pPr>
    </w:p>
    <w:p>
      <w:pPr>
        <w:ind w:left="460" w:hanging="459"/>
        <w:spacing w:after="0"/>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 have reviewed this quarterly report of Biogen Idec Inc.;</w:t>
      </w:r>
    </w:p>
    <w:p>
      <w:pPr>
        <w:spacing w:after="0" w:line="102" w:lineRule="exact"/>
        <w:rPr>
          <w:rFonts w:ascii="Arial" w:cs="Arial" w:eastAsia="Arial" w:hAnsi="Arial"/>
          <w:sz w:val="13"/>
          <w:szCs w:val="13"/>
          <w:color w:val="auto"/>
        </w:rPr>
      </w:pPr>
    </w:p>
    <w:p>
      <w:pPr>
        <w:ind w:left="460" w:right="340" w:hanging="459"/>
        <w:spacing w:after="0" w:line="294" w:lineRule="auto"/>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3"/>
          <w:szCs w:val="13"/>
          <w:color w:val="auto"/>
        </w:rPr>
      </w:pPr>
    </w:p>
    <w:p>
      <w:pPr>
        <w:ind w:left="460" w:hanging="459"/>
        <w:spacing w:after="0" w:line="294" w:lineRule="auto"/>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3"/>
          <w:szCs w:val="13"/>
          <w:color w:val="auto"/>
        </w:rPr>
      </w:pPr>
    </w:p>
    <w:p>
      <w:pPr>
        <w:ind w:left="900" w:right="400" w:hanging="446"/>
        <w:spacing w:after="0" w:line="338" w:lineRule="auto"/>
        <w:tabs>
          <w:tab w:leader="none" w:pos="900" w:val="left"/>
        </w:tabs>
        <w:numPr>
          <w:ilvl w:val="1"/>
          <w:numId w:val="3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right="60" w:hanging="446"/>
        <w:spacing w:after="0" w:line="294" w:lineRule="auto"/>
        <w:tabs>
          <w:tab w:leader="none" w:pos="9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3"/>
          <w:szCs w:val="13"/>
          <w:color w:val="auto"/>
        </w:rPr>
      </w:pPr>
    </w:p>
    <w:p>
      <w:pPr>
        <w:ind w:left="900" w:right="20" w:hanging="446"/>
        <w:spacing w:after="0" w:line="294" w:lineRule="auto"/>
        <w:tabs>
          <w:tab w:leader="none" w:pos="9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900" w:right="80" w:hanging="446"/>
        <w:spacing w:after="0" w:line="294" w:lineRule="auto"/>
        <w:tabs>
          <w:tab w:leader="none" w:pos="9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3"/>
          <w:szCs w:val="13"/>
          <w:color w:val="auto"/>
        </w:rPr>
      </w:pPr>
    </w:p>
    <w:p>
      <w:pPr>
        <w:ind w:left="460" w:right="200" w:hanging="459"/>
        <w:spacing w:after="0" w:line="294" w:lineRule="auto"/>
        <w:tabs>
          <w:tab w:leader="none" w:pos="4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3"/>
          <w:szCs w:val="13"/>
          <w:color w:val="auto"/>
        </w:rPr>
      </w:pPr>
    </w:p>
    <w:p>
      <w:pPr>
        <w:ind w:left="900" w:right="160" w:hanging="446"/>
        <w:spacing w:after="0" w:line="294" w:lineRule="auto"/>
        <w:tabs>
          <w:tab w:leader="none" w:pos="9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3"/>
          <w:szCs w:val="13"/>
          <w:color w:val="auto"/>
        </w:rPr>
      </w:pPr>
    </w:p>
    <w:p>
      <w:pPr>
        <w:ind w:left="900" w:hanging="446"/>
        <w:spacing w:after="0"/>
        <w:tabs>
          <w:tab w:leader="none" w:pos="9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July 20, 2010</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George A. Scangos</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George A. Scangos</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460"/>
          </w:cols>
          <w:pgMar w:left="220" w:top="127"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 Paul J. Clancy, certify that:</w:t>
      </w:r>
    </w:p>
    <w:p>
      <w:pPr>
        <w:spacing w:after="0" w:line="92" w:lineRule="exact"/>
        <w:rPr>
          <w:sz w:val="20"/>
          <w:szCs w:val="20"/>
          <w:color w:val="auto"/>
        </w:rPr>
      </w:pPr>
    </w:p>
    <w:p>
      <w:pPr>
        <w:ind w:left="460" w:hanging="459"/>
        <w:spacing w:after="0"/>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 have reviewed this quarterly report of Biogen Idec Inc.;</w:t>
      </w:r>
    </w:p>
    <w:p>
      <w:pPr>
        <w:spacing w:after="0" w:line="102" w:lineRule="exact"/>
        <w:rPr>
          <w:rFonts w:ascii="Arial" w:cs="Arial" w:eastAsia="Arial" w:hAnsi="Arial"/>
          <w:sz w:val="13"/>
          <w:szCs w:val="13"/>
          <w:color w:val="auto"/>
        </w:rPr>
      </w:pPr>
    </w:p>
    <w:p>
      <w:pPr>
        <w:ind w:left="460" w:right="20" w:hanging="459"/>
        <w:spacing w:after="0" w:line="294" w:lineRule="auto"/>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3"/>
          <w:szCs w:val="13"/>
          <w:color w:val="auto"/>
        </w:rPr>
      </w:pPr>
    </w:p>
    <w:p>
      <w:pPr>
        <w:ind w:left="460" w:right="140" w:hanging="459"/>
        <w:spacing w:after="0" w:line="294" w:lineRule="auto"/>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3"/>
          <w:szCs w:val="13"/>
          <w:color w:val="auto"/>
        </w:rPr>
      </w:pPr>
    </w:p>
    <w:p>
      <w:pPr>
        <w:ind w:left="460" w:hanging="459"/>
        <w:spacing w:after="0" w:line="294" w:lineRule="auto"/>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3"/>
          <w:szCs w:val="13"/>
          <w:color w:val="auto"/>
        </w:rPr>
      </w:pPr>
    </w:p>
    <w:p>
      <w:pPr>
        <w:ind w:left="900" w:right="400" w:hanging="446"/>
        <w:spacing w:after="0" w:line="338" w:lineRule="auto"/>
        <w:tabs>
          <w:tab w:leader="none" w:pos="90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right="60" w:hanging="446"/>
        <w:spacing w:after="0" w:line="294" w:lineRule="auto"/>
        <w:tabs>
          <w:tab w:leader="none" w:pos="9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3"/>
          <w:szCs w:val="13"/>
          <w:color w:val="auto"/>
        </w:rPr>
      </w:pPr>
    </w:p>
    <w:p>
      <w:pPr>
        <w:ind w:left="900" w:right="20" w:hanging="446"/>
        <w:spacing w:after="0" w:line="294" w:lineRule="auto"/>
        <w:tabs>
          <w:tab w:leader="none" w:pos="9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3"/>
          <w:szCs w:val="13"/>
          <w:color w:val="auto"/>
        </w:rPr>
      </w:pPr>
    </w:p>
    <w:p>
      <w:pPr>
        <w:ind w:left="900" w:right="80" w:hanging="446"/>
        <w:spacing w:after="0" w:line="294" w:lineRule="auto"/>
        <w:tabs>
          <w:tab w:leader="none" w:pos="9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 w:lineRule="exact"/>
        <w:rPr>
          <w:rFonts w:ascii="Arial" w:cs="Arial" w:eastAsia="Arial" w:hAnsi="Arial"/>
          <w:sz w:val="13"/>
          <w:szCs w:val="13"/>
          <w:color w:val="auto"/>
        </w:rPr>
      </w:pPr>
    </w:p>
    <w:p>
      <w:pPr>
        <w:ind w:left="460" w:right="200" w:hanging="459"/>
        <w:spacing w:after="0" w:line="294" w:lineRule="auto"/>
        <w:tabs>
          <w:tab w:leader="none" w:pos="4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3"/>
          <w:szCs w:val="13"/>
          <w:color w:val="auto"/>
        </w:rPr>
      </w:pPr>
    </w:p>
    <w:p>
      <w:pPr>
        <w:ind w:left="900" w:right="160" w:hanging="446"/>
        <w:spacing w:after="0" w:line="294" w:lineRule="auto"/>
        <w:tabs>
          <w:tab w:leader="none" w:pos="9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3"/>
          <w:szCs w:val="13"/>
          <w:color w:val="auto"/>
        </w:rPr>
      </w:pPr>
    </w:p>
    <w:p>
      <w:pPr>
        <w:ind w:left="900" w:hanging="446"/>
        <w:spacing w:after="0"/>
        <w:tabs>
          <w:tab w:leader="none" w:pos="90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July 20, 2010</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Paul J. Clancy</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Executive Vice President and</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460"/>
          </w:cols>
          <w:pgMar w:left="220" w:top="449"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2" w:lineRule="exact"/>
        <w:rPr>
          <w:sz w:val="20"/>
          <w:szCs w:val="20"/>
          <w:color w:val="auto"/>
        </w:rPr>
      </w:pPr>
    </w:p>
    <w:p>
      <w:pPr>
        <w:ind w:right="100" w:firstLine="168"/>
        <w:spacing w:after="0" w:line="294" w:lineRule="auto"/>
        <w:rPr>
          <w:sz w:val="20"/>
          <w:szCs w:val="20"/>
          <w:color w:val="auto"/>
        </w:rPr>
      </w:pPr>
      <w:r>
        <w:rPr>
          <w:rFonts w:ascii="Arial" w:cs="Arial" w:eastAsia="Arial" w:hAnsi="Arial"/>
          <w:sz w:val="13"/>
          <w:szCs w:val="13"/>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37" w:lineRule="exact"/>
        <w:rPr>
          <w:sz w:val="20"/>
          <w:szCs w:val="20"/>
          <w:color w:val="auto"/>
        </w:rPr>
      </w:pPr>
    </w:p>
    <w:p>
      <w:pPr>
        <w:ind w:right="240" w:firstLine="165"/>
        <w:spacing w:after="0" w:line="294" w:lineRule="auto"/>
        <w:rPr>
          <w:sz w:val="20"/>
          <w:szCs w:val="20"/>
          <w:color w:val="auto"/>
        </w:rPr>
      </w:pPr>
      <w:r>
        <w:rPr>
          <w:rFonts w:ascii="Arial" w:cs="Arial" w:eastAsia="Arial" w:hAnsi="Arial"/>
          <w:sz w:val="13"/>
          <w:szCs w:val="13"/>
          <w:color w:val="auto"/>
        </w:rPr>
        <w:t>The Quarterly Report on Form 10-Q for the quarter ended June 30, 2010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Dated: July 20, 2010</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George A. Scangos</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George A. Scangos</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[principal executive officer]</w:t>
            </w:r>
          </w:p>
        </w:tc>
      </w:tr>
      <w:tr>
        <w:trPr>
          <w:trHeight w:val="484"/>
        </w:trPr>
        <w:tc>
          <w:tcPr>
            <w:tcW w:w="5520" w:type="dxa"/>
            <w:vAlign w:val="bottom"/>
          </w:tcPr>
          <w:p>
            <w:pPr>
              <w:spacing w:after="0"/>
              <w:rPr>
                <w:sz w:val="20"/>
                <w:szCs w:val="20"/>
                <w:color w:val="auto"/>
              </w:rPr>
            </w:pPr>
            <w:r>
              <w:rPr>
                <w:rFonts w:ascii="Arial" w:cs="Arial" w:eastAsia="Arial" w:hAnsi="Arial"/>
                <w:sz w:val="13"/>
                <w:szCs w:val="13"/>
                <w:color w:val="auto"/>
              </w:rPr>
              <w:t>Dated: July 20, 2010</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Paul J. Clancy</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and Chief Financial Officer</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pacing w:after="0" w:line="231" w:lineRule="exact"/>
        <w:rPr>
          <w:sz w:val="20"/>
          <w:szCs w:val="20"/>
          <w:color w:val="auto"/>
        </w:rPr>
      </w:pPr>
    </w:p>
    <w:p>
      <w:pPr>
        <w:ind w:right="40" w:firstLine="160"/>
        <w:spacing w:after="0" w:line="294"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44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11"/>
    </w:lvl>
  </w:abstractNum>
  <w:abstractNum w:abstractNumId="13">
    <w:nsid w:val="75A2A8D4"/>
    <w:multiLevelType w:val="hybridMultilevel"/>
    <w:lvl w:ilvl="0">
      <w:lvlJc w:val="left"/>
      <w:lvlText w:val="%1."/>
      <w:numFmt w:val="decimal"/>
      <w:start w:val="13"/>
    </w:lvl>
  </w:abstractNum>
  <w:abstractNum w:abstractNumId="14">
    <w:nsid w:val="8EDBDAB"/>
    <w:multiLevelType w:val="hybridMultilevel"/>
    <w:lvl w:ilvl="0">
      <w:lvlJc w:val="left"/>
      <w:lvlText w:val="%1."/>
      <w:numFmt w:val="decimal"/>
      <w:start w:val="14"/>
    </w:lvl>
  </w:abstractNum>
  <w:abstractNum w:abstractNumId="15">
    <w:nsid w:val="79838CB2"/>
    <w:multiLevelType w:val="hybridMultilevel"/>
    <w:lvl w:ilvl="0">
      <w:lvlJc w:val="left"/>
      <w:lvlText w:val="%1."/>
      <w:numFmt w:val="decimal"/>
      <w:start w:val="16"/>
    </w:lvl>
  </w:abstractNum>
  <w:abstractNum w:abstractNumId="16">
    <w:nsid w:val="4353D0CD"/>
    <w:multiLevelType w:val="hybridMultilevel"/>
    <w:lvl w:ilvl="0">
      <w:lvlJc w:val="left"/>
      <w:lvlText w:val="%1."/>
      <w:numFmt w:val="decimal"/>
      <w:start w:val="17"/>
    </w:lvl>
  </w:abstractNum>
  <w:abstractNum w:abstractNumId="17">
    <w:nsid w:val="B03E0C6"/>
    <w:multiLevelType w:val="hybridMultilevel"/>
    <w:lvl w:ilvl="0">
      <w:lvlJc w:val="left"/>
      <w:lvlText w:val="%1."/>
      <w:numFmt w:val="decimal"/>
      <w:start w:val="18"/>
    </w:lvl>
  </w:abstractNum>
  <w:abstractNum w:abstractNumId="18">
    <w:nsid w:val="189A769B"/>
    <w:multiLevelType w:val="hybridMultilevel"/>
    <w:lvl w:ilvl="0">
      <w:lvlJc w:val="left"/>
      <w:lvlText w:val="%1."/>
      <w:numFmt w:val="decimal"/>
      <w:start w:val="19"/>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lvl w:ilvl="1">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lvl w:ilvl="1">
      <w:lvlJc w:val="left"/>
      <w:lvlText w:val="(%2)"/>
      <w:numFmt w:val="lowerRoman"/>
      <w:start w:val="4"/>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2019-12-10T10:02:42Z</dcterms:created>
  <dcterms:modified xsi:type="dcterms:W3CDTF">2019-12-10T10:02:42Z</dcterms:modified>
</cp:coreProperties>
</file>