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333-237819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Free Writing Prospectus dated April 27, 2020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Preliminary Prospectus Supplement dated April 27, 2020</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Biogen Inc.</w:t>
      </w:r>
    </w:p>
    <w:p>
      <w:pPr>
        <w:spacing w:after="0" w:line="225"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$1,500,000,000 2.250% Senior Notes Due 2030</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$1,500,000,000 3.150% Senior Notes Due 2050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$1,500,000,000 2.250% Senior Notes Due 2030</w:t>
      </w:r>
    </w:p>
    <w:p>
      <w:pPr>
        <w:sectPr>
          <w:pgSz w:w="11900" w:h="16838" w:orient="portrait"/>
          <w:cols w:equalWidth="0" w:num="1">
            <w:col w:w="11020"/>
          </w:cols>
          <w:pgMar w:left="440" w:top="233" w:right="439" w:bottom="1440" w:gutter="0" w:footer="0" w:header="0"/>
        </w:sect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color w:val="auto"/>
        </w:rPr>
        <w:t>Biogen Inc.</w:t>
      </w:r>
    </w:p>
    <w:p>
      <w:pPr>
        <w:spacing w:after="0" w:line="140"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Principal Amount</w:t>
      </w:r>
    </w:p>
    <w:p>
      <w:pPr>
        <w:spacing w:after="0" w:line="20" w:lineRule="exact"/>
        <w:rPr>
          <w:sz w:val="24"/>
          <w:szCs w:val="24"/>
          <w:color w:val="auto"/>
        </w:rPr>
      </w:pPr>
      <w:r>
        <w:rPr>
          <w:sz w:val="24"/>
          <w:szCs w:val="24"/>
          <w:color w:val="auto"/>
        </w:rPr>
        <w:br w:type="column"/>
      </w:r>
    </w:p>
    <w:p>
      <w:pPr>
        <w:jc w:val="center"/>
        <w:ind w:right="4160"/>
        <w:spacing w:after="0"/>
        <w:rPr>
          <w:sz w:val="20"/>
          <w:szCs w:val="20"/>
          <w:color w:val="auto"/>
        </w:rPr>
      </w:pPr>
      <w:r>
        <w:rPr>
          <w:rFonts w:ascii="Arial" w:cs="Arial" w:eastAsia="Arial" w:hAnsi="Arial"/>
          <w:sz w:val="16"/>
          <w:szCs w:val="16"/>
          <w:color w:val="auto"/>
        </w:rPr>
        <w:t>$1,500,000,000</w:t>
      </w:r>
    </w:p>
    <w:p>
      <w:pPr>
        <w:spacing w:after="0" w:line="140"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4"/>
          <w:szCs w:val="24"/>
          <w:color w:val="auto"/>
        </w:rPr>
      </w:pPr>
      <w:r>
        <w:rPr>
          <w:sz w:val="24"/>
          <w:szCs w:val="24"/>
          <w:color w:val="auto"/>
        </w:rPr>
        <w:br w:type="column"/>
      </w:r>
    </w:p>
    <w:p>
      <w:pPr>
        <w:jc w:val="center"/>
        <w:ind w:right="4380"/>
        <w:spacing w:after="0"/>
        <w:rPr>
          <w:sz w:val="20"/>
          <w:szCs w:val="20"/>
          <w:color w:val="auto"/>
        </w:rPr>
      </w:pPr>
      <w:r>
        <w:rPr>
          <w:rFonts w:ascii="Arial" w:cs="Arial" w:eastAsia="Arial" w:hAnsi="Arial"/>
          <w:sz w:val="16"/>
          <w:szCs w:val="16"/>
          <w:color w:val="auto"/>
        </w:rPr>
        <w:t>May 1, 2030</w:t>
      </w:r>
    </w:p>
    <w:p>
      <w:pPr>
        <w:spacing w:after="0" w:line="140"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Issue Price (Price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99.973%</w:t>
      </w:r>
    </w:p>
    <w:p>
      <w:pPr>
        <w:spacing w:after="0" w:line="140"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2.250% per annum beginning on the Issue Date</w:t>
      </w:r>
    </w:p>
    <w:p>
      <w:pPr>
        <w:spacing w:after="0" w:line="140"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4"/>
          <w:szCs w:val="24"/>
          <w:color w:val="auto"/>
        </w:rPr>
      </w:pPr>
      <w:r>
        <w:rPr>
          <w:sz w:val="24"/>
          <w:szCs w:val="24"/>
          <w:color w:val="auto"/>
        </w:rPr>
        <w:br w:type="column"/>
      </w:r>
    </w:p>
    <w:p>
      <w:pPr>
        <w:ind w:right="80"/>
        <w:spacing w:after="0" w:line="277" w:lineRule="auto"/>
        <w:rPr>
          <w:sz w:val="20"/>
          <w:szCs w:val="20"/>
          <w:color w:val="auto"/>
        </w:rPr>
      </w:pPr>
      <w:r>
        <w:rPr>
          <w:rFonts w:ascii="Arial" w:cs="Arial" w:eastAsia="Arial" w:hAnsi="Arial"/>
          <w:sz w:val="18"/>
          <w:szCs w:val="18"/>
          <w:color w:val="auto"/>
        </w:rPr>
        <w:t>Semi-annually, each November 1 and May 1, commencing November 1, 2020</w:t>
      </w:r>
    </w:p>
    <w:p>
      <w:pPr>
        <w:spacing w:after="0" w:line="62"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Treasury Benchmark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1.500% due February 15, 2030</w:t>
      </w:r>
    </w:p>
    <w:p>
      <w:pPr>
        <w:spacing w:after="0" w:line="140"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160 bps</w:t>
      </w:r>
    </w:p>
    <w:p>
      <w:pPr>
        <w:spacing w:after="0" w:line="151"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Benchmark Treasury Yield</w:t>
      </w:r>
    </w:p>
    <w:p>
      <w:pPr>
        <w:spacing w:after="0" w:line="20" w:lineRule="exact"/>
        <w:rPr>
          <w:sz w:val="24"/>
          <w:szCs w:val="24"/>
          <w:color w:val="auto"/>
        </w:rPr>
      </w:pPr>
      <w:r>
        <w:rPr>
          <w:sz w:val="24"/>
          <w:szCs w:val="24"/>
          <w:color w:val="auto"/>
        </w:rPr>
        <w:br w:type="column"/>
      </w:r>
    </w:p>
    <w:p>
      <w:pPr>
        <w:jc w:val="center"/>
        <w:ind w:right="4080"/>
        <w:spacing w:after="0"/>
        <w:rPr>
          <w:sz w:val="20"/>
          <w:szCs w:val="20"/>
          <w:color w:val="auto"/>
        </w:rPr>
      </w:pPr>
      <w:r>
        <w:rPr>
          <w:rFonts w:ascii="Arial" w:cs="Arial" w:eastAsia="Arial" w:hAnsi="Arial"/>
          <w:sz w:val="16"/>
          <w:szCs w:val="16"/>
          <w:color w:val="auto"/>
        </w:rPr>
        <w:t>108-01 / 0.653%</w:t>
      </w:r>
    </w:p>
    <w:p>
      <w:pPr>
        <w:spacing w:after="0" w:line="140"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rPr>
          <w:sz w:val="20"/>
          <w:szCs w:val="20"/>
          <w:color w:val="auto"/>
        </w:rPr>
      </w:pPr>
      <w:r>
        <w:rPr>
          <w:rFonts w:ascii="Arial" w:cs="Arial" w:eastAsia="Arial" w:hAnsi="Arial"/>
          <w:sz w:val="17"/>
          <w:szCs w:val="17"/>
          <w:color w:val="auto"/>
        </w:rPr>
        <w:t>Yield to Maturity</w:t>
      </w:r>
    </w:p>
    <w:p>
      <w:pPr>
        <w:spacing w:after="0" w:line="20" w:lineRule="exact"/>
        <w:rPr>
          <w:sz w:val="24"/>
          <w:szCs w:val="24"/>
          <w:color w:val="auto"/>
        </w:rPr>
      </w:pPr>
      <w:r>
        <w:rPr>
          <w:sz w:val="24"/>
          <w:szCs w:val="24"/>
          <w:color w:val="auto"/>
        </w:rPr>
        <w:br w:type="column"/>
      </w:r>
    </w:p>
    <w:p>
      <w:pPr>
        <w:jc w:val="center"/>
        <w:ind w:right="4740"/>
        <w:spacing w:after="0"/>
        <w:rPr>
          <w:sz w:val="20"/>
          <w:szCs w:val="20"/>
          <w:color w:val="auto"/>
        </w:rPr>
      </w:pPr>
      <w:r>
        <w:rPr>
          <w:rFonts w:ascii="Arial" w:cs="Arial" w:eastAsia="Arial" w:hAnsi="Arial"/>
          <w:sz w:val="15"/>
          <w:szCs w:val="15"/>
          <w:color w:val="auto"/>
        </w:rPr>
        <w:t>2.253%</w:t>
      </w:r>
    </w:p>
    <w:p>
      <w:pPr>
        <w:spacing w:after="0" w:line="151"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4"/>
          <w:szCs w:val="24"/>
          <w:color w:val="auto"/>
        </w:rPr>
      </w:pPr>
      <w:r>
        <w:rPr>
          <w:sz w:val="24"/>
          <w:szCs w:val="24"/>
          <w:color w:val="auto"/>
        </w:rPr>
        <w:br w:type="column"/>
      </w:r>
    </w:p>
    <w:p>
      <w:pPr>
        <w:ind w:right="120"/>
        <w:spacing w:after="0" w:line="259" w:lineRule="auto"/>
        <w:rPr>
          <w:sz w:val="20"/>
          <w:szCs w:val="20"/>
          <w:color w:val="auto"/>
        </w:rPr>
      </w:pPr>
      <w:r>
        <w:rPr>
          <w:rFonts w:ascii="Arial" w:cs="Arial" w:eastAsia="Arial" w:hAnsi="Arial"/>
          <w:sz w:val="18"/>
          <w:szCs w:val="18"/>
          <w:color w:val="auto"/>
        </w:rPr>
        <w:t>Make whole call, in whole or in part, as set forth in the preliminary prospectus supplement (treasury rate plus 25 basis points) at any time prior to February 1, 2030 (three months prior to the maturity date of the notes due 2030)</w:t>
      </w:r>
    </w:p>
    <w:p>
      <w:pPr>
        <w:spacing w:after="0" w:line="200"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line="14" w:lineRule="exact"/>
        <w:rPr>
          <w:sz w:val="24"/>
          <w:szCs w:val="24"/>
          <w:color w:val="auto"/>
        </w:rPr>
      </w:pPr>
    </w:p>
    <w:p>
      <w:pPr>
        <w:ind w:left="5740"/>
        <w:spacing w:after="0"/>
        <w:rPr>
          <w:sz w:val="20"/>
          <w:szCs w:val="20"/>
          <w:color w:val="auto"/>
        </w:rPr>
      </w:pPr>
      <w:r>
        <w:rPr>
          <w:rFonts w:ascii="Arial" w:cs="Arial" w:eastAsia="Arial" w:hAnsi="Arial"/>
          <w:sz w:val="16"/>
          <w:szCs w:val="16"/>
          <w:color w:val="auto"/>
        </w:rPr>
        <w:t>Par call, in whole or in part, at any time on or after February 1, 2030</w:t>
      </w:r>
    </w:p>
    <w:p>
      <w:pPr>
        <w:spacing w:after="0" w:line="46" w:lineRule="exact"/>
        <w:rPr>
          <w:sz w:val="24"/>
          <w:szCs w:val="24"/>
          <w:color w:val="auto"/>
        </w:rPr>
      </w:pPr>
    </w:p>
    <w:p>
      <w:pPr>
        <w:ind w:left="5740"/>
        <w:spacing w:after="0"/>
        <w:rPr>
          <w:sz w:val="20"/>
          <w:szCs w:val="20"/>
          <w:color w:val="auto"/>
        </w:rPr>
      </w:pPr>
      <w:r>
        <w:rPr>
          <w:rFonts w:ascii="Arial" w:cs="Arial" w:eastAsia="Arial" w:hAnsi="Arial"/>
          <w:sz w:val="17"/>
          <w:szCs w:val="17"/>
          <w:color w:val="auto"/>
        </w:rPr>
        <w:t>(three months prior to the maturity date of the notes due 2030)</w:t>
      </w:r>
    </w:p>
    <w:p>
      <w:pPr>
        <w:sectPr>
          <w:pgSz w:w="11900" w:h="16838" w:orient="portrait"/>
          <w:cols w:equalWidth="0" w:num="1">
            <w:col w:w="11020"/>
          </w:cols>
          <w:pgMar w:left="440" w:top="233" w:right="439" w:bottom="1440" w:gutter="0" w:footer="0" w:header="0"/>
          <w:type w:val="continuous"/>
        </w:sectPr>
      </w:pPr>
    </w:p>
    <w:p>
      <w:pPr>
        <w:spacing w:after="0" w:line="128" w:lineRule="exact"/>
        <w:rPr>
          <w:sz w:val="24"/>
          <w:szCs w:val="24"/>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7"/>
          <w:szCs w:val="17"/>
          <w:color w:val="auto"/>
        </w:rPr>
        <w:t>09062XAH6/US09062XAH61</w:t>
      </w:r>
    </w:p>
    <w:p>
      <w:pPr>
        <w:spacing w:after="0" w:line="200"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line="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$1,500,000,000 3.150% Senior Notes Due 2050</w:t>
      </w:r>
    </w:p>
    <w:p>
      <w:pPr>
        <w:sectPr>
          <w:pgSz w:w="11900" w:h="16838" w:orient="portrait"/>
          <w:cols w:equalWidth="0" w:num="1">
            <w:col w:w="11020"/>
          </w:cols>
          <w:pgMar w:left="440" w:top="233" w:right="439" w:bottom="1440" w:gutter="0" w:footer="0" w:header="0"/>
          <w:type w:val="continuous"/>
        </w:sect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color w:val="auto"/>
        </w:rPr>
        <w:t>Biogen Inc.</w:t>
      </w:r>
    </w:p>
    <w:p>
      <w:pPr>
        <w:spacing w:after="0" w:line="140"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Principal Amount</w:t>
      </w:r>
    </w:p>
    <w:p>
      <w:pPr>
        <w:spacing w:after="0" w:line="20" w:lineRule="exact"/>
        <w:rPr>
          <w:sz w:val="24"/>
          <w:szCs w:val="24"/>
          <w:color w:val="auto"/>
        </w:rPr>
      </w:pPr>
      <w:r>
        <w:rPr>
          <w:sz w:val="24"/>
          <w:szCs w:val="24"/>
          <w:color w:val="auto"/>
        </w:rPr>
        <w:br w:type="column"/>
      </w:r>
    </w:p>
    <w:p>
      <w:pPr>
        <w:jc w:val="center"/>
        <w:ind w:right="4160"/>
        <w:spacing w:after="0"/>
        <w:rPr>
          <w:sz w:val="20"/>
          <w:szCs w:val="20"/>
          <w:color w:val="auto"/>
        </w:rPr>
      </w:pPr>
      <w:r>
        <w:rPr>
          <w:rFonts w:ascii="Arial" w:cs="Arial" w:eastAsia="Arial" w:hAnsi="Arial"/>
          <w:sz w:val="16"/>
          <w:szCs w:val="16"/>
          <w:color w:val="auto"/>
        </w:rPr>
        <w:t>$1,500,000,000</w:t>
      </w:r>
    </w:p>
    <w:p>
      <w:pPr>
        <w:spacing w:after="0" w:line="140"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rPr>
          <w:sz w:val="20"/>
          <w:szCs w:val="20"/>
          <w:color w:val="auto"/>
        </w:rPr>
      </w:pPr>
      <w:r>
        <w:rPr>
          <w:rFonts w:ascii="Arial" w:cs="Arial" w:eastAsia="Arial" w:hAnsi="Arial"/>
          <w:sz w:val="17"/>
          <w:szCs w:val="17"/>
          <w:color w:val="auto"/>
        </w:rPr>
        <w:t>Maturity Date</w:t>
      </w:r>
    </w:p>
    <w:p>
      <w:pPr>
        <w:spacing w:after="0" w:line="20" w:lineRule="exact"/>
        <w:rPr>
          <w:sz w:val="24"/>
          <w:szCs w:val="24"/>
          <w:color w:val="auto"/>
        </w:rPr>
      </w:pPr>
      <w:r>
        <w:rPr>
          <w:sz w:val="24"/>
          <w:szCs w:val="24"/>
          <w:color w:val="auto"/>
        </w:rPr>
        <w:br w:type="column"/>
      </w:r>
    </w:p>
    <w:p>
      <w:pPr>
        <w:jc w:val="center"/>
        <w:ind w:right="4380"/>
        <w:spacing w:after="0"/>
        <w:rPr>
          <w:sz w:val="20"/>
          <w:szCs w:val="20"/>
          <w:color w:val="auto"/>
        </w:rPr>
      </w:pPr>
      <w:r>
        <w:rPr>
          <w:rFonts w:ascii="Arial" w:cs="Arial" w:eastAsia="Arial" w:hAnsi="Arial"/>
          <w:sz w:val="16"/>
          <w:szCs w:val="16"/>
          <w:color w:val="auto"/>
        </w:rPr>
        <w:t>May 1, 2050</w:t>
      </w:r>
    </w:p>
    <w:p>
      <w:pPr>
        <w:spacing w:after="0" w:line="140" w:lineRule="exact"/>
        <w:rPr>
          <w:sz w:val="24"/>
          <w:szCs w:val="24"/>
          <w:color w:val="auto"/>
        </w:rPr>
      </w:pPr>
    </w:p>
    <w:p>
      <w:pPr>
        <w:sectPr>
          <w:pgSz w:w="11900" w:h="16838" w:orient="portrait"/>
          <w:cols w:equalWidth="0" w:num="2">
            <w:col w:w="5020" w:space="720"/>
            <w:col w:w="528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color w:val="auto"/>
        </w:rPr>
        <w:t>Issue Price (Price to Public)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99.174%</w:t>
      </w:r>
    </w:p>
    <w:p>
      <w:pPr>
        <w:sectPr>
          <w:pgSz w:w="11900" w:h="16838" w:orient="portrait"/>
          <w:cols w:equalWidth="0" w:num="2">
            <w:col w:w="5020" w:space="720"/>
            <w:col w:w="5280"/>
          </w:cols>
          <w:pgMar w:left="440" w:top="233"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Treasury Benchmark</w:t>
      </w:r>
    </w:p>
    <w:p>
      <w:pPr>
        <w:spacing w:after="0" w:line="117" w:lineRule="exact"/>
        <w:rPr>
          <w:sz w:val="20"/>
          <w:szCs w:val="20"/>
          <w:color w:val="auto"/>
        </w:rPr>
      </w:pPr>
    </w:p>
    <w:p>
      <w:pPr>
        <w:ind w:right="1180"/>
        <w:spacing w:after="0" w:line="442" w:lineRule="auto"/>
        <w:rPr>
          <w:sz w:val="20"/>
          <w:szCs w:val="20"/>
          <w:color w:val="auto"/>
        </w:rPr>
      </w:pPr>
      <w:r>
        <w:rPr>
          <w:rFonts w:ascii="Arial" w:cs="Arial" w:eastAsia="Arial" w:hAnsi="Arial"/>
          <w:sz w:val="16"/>
          <w:szCs w:val="16"/>
          <w:color w:val="auto"/>
        </w:rPr>
        <w:t>Spread to Benchmark Treasury Benchmark Treasury Yield Yield to Maturity 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Ratings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Original Issue Date (Settlement)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200"/>
        <w:spacing w:after="0" w:line="440" w:lineRule="auto"/>
        <w:rPr>
          <w:sz w:val="20"/>
          <w:szCs w:val="20"/>
          <w:color w:val="auto"/>
        </w:rPr>
      </w:pPr>
      <w:r>
        <w:rPr>
          <w:rFonts w:ascii="Arial" w:cs="Arial" w:eastAsia="Arial" w:hAnsi="Arial"/>
          <w:sz w:val="17"/>
          <w:szCs w:val="17"/>
          <w:color w:val="auto"/>
        </w:rPr>
        <w:t>Minimum Denomination Joint Book-Running Managers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Passive Bookrunners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Senior Co-Managers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Co-Managers</w:t>
      </w:r>
    </w:p>
    <w:p>
      <w:pPr>
        <w:spacing w:after="0" w:line="20" w:lineRule="exact"/>
        <w:rPr>
          <w:sz w:val="20"/>
          <w:szCs w:val="20"/>
          <w:color w:val="auto"/>
        </w:rPr>
      </w:pPr>
      <w:r>
        <w:rPr>
          <w:sz w:val="20"/>
          <w:szCs w:val="20"/>
          <w:color w:val="auto"/>
        </w:rPr>
        <w:br w:type="column"/>
      </w:r>
    </w:p>
    <w:p>
      <w:pPr>
        <w:ind w:left="1600"/>
        <w:spacing w:after="0"/>
        <w:rPr>
          <w:sz w:val="20"/>
          <w:szCs w:val="20"/>
          <w:color w:val="auto"/>
        </w:rPr>
      </w:pPr>
      <w:r>
        <w:rPr>
          <w:rFonts w:ascii="Arial" w:cs="Arial" w:eastAsia="Arial" w:hAnsi="Arial"/>
          <w:sz w:val="18"/>
          <w:szCs w:val="18"/>
          <w:color w:val="auto"/>
        </w:rPr>
        <w:t>3.150% per annum beginning on the Issue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-215900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97" w:lineRule="exact"/>
        <w:rPr>
          <w:sz w:val="20"/>
          <w:szCs w:val="20"/>
          <w:color w:val="auto"/>
        </w:rPr>
      </w:pPr>
    </w:p>
    <w:p>
      <w:pPr>
        <w:ind w:left="1600"/>
        <w:spacing w:after="0" w:line="277" w:lineRule="auto"/>
        <w:rPr>
          <w:sz w:val="20"/>
          <w:szCs w:val="20"/>
          <w:color w:val="auto"/>
        </w:rPr>
      </w:pPr>
      <w:r>
        <w:rPr>
          <w:rFonts w:ascii="Arial" w:cs="Arial" w:eastAsia="Arial" w:hAnsi="Arial"/>
          <w:sz w:val="18"/>
          <w:szCs w:val="18"/>
          <w:color w:val="auto"/>
        </w:rPr>
        <w:t>Semi-annually, each November 1 and May 1, commencing November 1, 2020</w:t>
      </w:r>
    </w:p>
    <w:p>
      <w:pPr>
        <w:spacing w:after="0" w:line="6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2.375% due November 15, 2049</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195 bps</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127-29 / 1.243%</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3.193%</w:t>
      </w:r>
    </w:p>
    <w:p>
      <w:pPr>
        <w:spacing w:after="0" w:line="117" w:lineRule="exact"/>
        <w:rPr>
          <w:sz w:val="20"/>
          <w:szCs w:val="20"/>
          <w:color w:val="auto"/>
        </w:rPr>
      </w:pPr>
    </w:p>
    <w:p>
      <w:pPr>
        <w:ind w:left="1600" w:right="80"/>
        <w:spacing w:after="0" w:line="259" w:lineRule="auto"/>
        <w:rPr>
          <w:sz w:val="20"/>
          <w:szCs w:val="20"/>
          <w:color w:val="auto"/>
        </w:rPr>
      </w:pPr>
      <w:r>
        <w:rPr>
          <w:rFonts w:ascii="Arial" w:cs="Arial" w:eastAsia="Arial" w:hAnsi="Arial"/>
          <w:sz w:val="18"/>
          <w:szCs w:val="18"/>
          <w:color w:val="auto"/>
        </w:rPr>
        <w:t>Make whole call, in whole or in part, as set forth in the preliminary prospectus supplement (treasury rate plus 30 basis points) at any time prior to November 1, 2049 (six months prior to the maturity date of the notes due 2050)</w:t>
      </w:r>
    </w:p>
    <w:p>
      <w:pPr>
        <w:spacing w:after="0" w:line="92" w:lineRule="exact"/>
        <w:rPr>
          <w:sz w:val="20"/>
          <w:szCs w:val="20"/>
          <w:color w:val="auto"/>
        </w:rPr>
      </w:pPr>
    </w:p>
    <w:p>
      <w:pPr>
        <w:ind w:left="1600" w:right="160"/>
        <w:spacing w:after="0" w:line="308" w:lineRule="auto"/>
        <w:rPr>
          <w:sz w:val="20"/>
          <w:szCs w:val="20"/>
          <w:color w:val="auto"/>
        </w:rPr>
      </w:pPr>
      <w:r>
        <w:rPr>
          <w:rFonts w:ascii="Arial" w:cs="Arial" w:eastAsia="Arial" w:hAnsi="Arial"/>
          <w:sz w:val="17"/>
          <w:szCs w:val="17"/>
          <w:color w:val="auto"/>
        </w:rPr>
        <w:t>Par call, in whole or in part, at any time on or after November 1, 2049 (six months prior to the maturity date of the notes due 2050)</w:t>
      </w:r>
    </w:p>
    <w:p>
      <w:pPr>
        <w:spacing w:after="0" w:line="5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09062X AG8/US09062XAG88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Applicable to Both Tranches</w:t>
      </w:r>
    </w:p>
    <w:p>
      <w:pPr>
        <w:spacing w:after="0" w:line="25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Baa1 / A- (Moody’s/S&amp;P)</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April 27, 2020</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April 30, 2020</w:t>
      </w:r>
    </w:p>
    <w:p>
      <w:pPr>
        <w:spacing w:after="0" w:line="117" w:lineRule="exact"/>
        <w:rPr>
          <w:sz w:val="20"/>
          <w:szCs w:val="20"/>
          <w:color w:val="auto"/>
        </w:rPr>
      </w:pPr>
    </w:p>
    <w:p>
      <w:pPr>
        <w:ind w:left="1600" w:right="120"/>
        <w:spacing w:after="0" w:line="255" w:lineRule="auto"/>
        <w:rPr>
          <w:sz w:val="20"/>
          <w:szCs w:val="20"/>
          <w:color w:val="auto"/>
        </w:rPr>
      </w:pPr>
      <w:r>
        <w:rPr>
          <w:rFonts w:ascii="Arial" w:cs="Arial" w:eastAsia="Arial" w:hAnsi="Arial"/>
          <w:sz w:val="18"/>
          <w:szCs w:val="18"/>
          <w:color w:val="auto"/>
        </w:rPr>
        <w:t>Upon the occurrence of a Change of Control Triggering Event (as defined in the preliminary prospectus supplement to which this pricing term sheet relates), Biogen Inc. will be required to make an offer to purchase the notes at a price equal to 101% of their principal amount plus accrued and unpaid interest to but not including the date of repurchase</w:t>
      </w:r>
    </w:p>
    <w:p>
      <w:pPr>
        <w:spacing w:after="0" w:line="8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$2,000 and integral multiples of $1,000 in excess thereof</w:t>
      </w:r>
    </w:p>
    <w:p>
      <w:pPr>
        <w:spacing w:after="0" w:line="1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J.P. Morgan Securities LLC</w:t>
      </w:r>
    </w:p>
    <w:p>
      <w:pPr>
        <w:spacing w:after="0" w:line="1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xml:space="preserve">Morgan Stanley &amp; Co. LLC ( </w:t>
      </w:r>
      <w:r>
        <w:rPr>
          <w:rFonts w:ascii="Arial" w:cs="Arial" w:eastAsia="Arial" w:hAnsi="Arial"/>
          <w:sz w:val="18"/>
          <w:szCs w:val="18"/>
          <w:i w:val="1"/>
          <w:iCs w:val="1"/>
          <w:color w:val="auto"/>
        </w:rPr>
        <w:t>Notes due 2030, 2050</w:t>
      </w:r>
      <w:r>
        <w:rPr>
          <w:rFonts w:ascii="Arial" w:cs="Arial" w:eastAsia="Arial" w:hAnsi="Arial"/>
          <w:sz w:val="18"/>
          <w:szCs w:val="18"/>
          <w:color w:val="auto"/>
        </w:rPr>
        <w:t xml:space="preserve"> )</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xml:space="preserve">Citigroup Global Markets Inc. ( </w:t>
      </w:r>
      <w:r>
        <w:rPr>
          <w:rFonts w:ascii="Arial" w:cs="Arial" w:eastAsia="Arial" w:hAnsi="Arial"/>
          <w:sz w:val="18"/>
          <w:szCs w:val="18"/>
          <w:i w:val="1"/>
          <w:iCs w:val="1"/>
          <w:color w:val="auto"/>
        </w:rPr>
        <w:t>Notes due 2030</w:t>
      </w:r>
      <w:r>
        <w:rPr>
          <w:rFonts w:ascii="Arial" w:cs="Arial" w:eastAsia="Arial" w:hAnsi="Arial"/>
          <w:sz w:val="18"/>
          <w:szCs w:val="18"/>
          <w:color w:val="auto"/>
        </w:rPr>
        <w:t xml:space="preserve"> )</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xml:space="preserve">Deutsche Bank Securities Inc. ( </w:t>
      </w:r>
      <w:r>
        <w:rPr>
          <w:rFonts w:ascii="Arial" w:cs="Arial" w:eastAsia="Arial" w:hAnsi="Arial"/>
          <w:sz w:val="18"/>
          <w:szCs w:val="18"/>
          <w:i w:val="1"/>
          <w:iCs w:val="1"/>
          <w:color w:val="auto"/>
        </w:rPr>
        <w:t>Notes due 2050</w:t>
      </w:r>
      <w:r>
        <w:rPr>
          <w:rFonts w:ascii="Arial" w:cs="Arial" w:eastAsia="Arial" w:hAnsi="Arial"/>
          <w:sz w:val="18"/>
          <w:szCs w:val="18"/>
          <w:color w:val="auto"/>
        </w:rPr>
        <w:t xml:space="preserve"> )</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xml:space="preserve">Mizuho Securities USA LLC ( </w:t>
      </w:r>
      <w:r>
        <w:rPr>
          <w:rFonts w:ascii="Arial" w:cs="Arial" w:eastAsia="Arial" w:hAnsi="Arial"/>
          <w:sz w:val="18"/>
          <w:szCs w:val="18"/>
          <w:i w:val="1"/>
          <w:iCs w:val="1"/>
          <w:color w:val="auto"/>
        </w:rPr>
        <w:t>Notes due 2030</w:t>
      </w:r>
      <w:r>
        <w:rPr>
          <w:rFonts w:ascii="Arial" w:cs="Arial" w:eastAsia="Arial" w:hAnsi="Arial"/>
          <w:sz w:val="18"/>
          <w:szCs w:val="18"/>
          <w:color w:val="auto"/>
        </w:rPr>
        <w:t xml:space="preserve"> )</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xml:space="preserve">U.S. Bancorp Investments, Inc. ( </w:t>
      </w:r>
      <w:r>
        <w:rPr>
          <w:rFonts w:ascii="Arial" w:cs="Arial" w:eastAsia="Arial" w:hAnsi="Arial"/>
          <w:sz w:val="18"/>
          <w:szCs w:val="18"/>
          <w:i w:val="1"/>
          <w:iCs w:val="1"/>
          <w:color w:val="auto"/>
        </w:rPr>
        <w:t>Notes due 2050</w:t>
      </w:r>
      <w:r>
        <w:rPr>
          <w:rFonts w:ascii="Arial" w:cs="Arial" w:eastAsia="Arial" w:hAnsi="Arial"/>
          <w:sz w:val="18"/>
          <w:szCs w:val="18"/>
          <w:color w:val="auto"/>
        </w:rPr>
        <w:t xml:space="preserve"> )</w:t>
      </w:r>
    </w:p>
    <w:p>
      <w:pPr>
        <w:spacing w:after="0" w:line="1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U.S. Bancorp Investments, Inc.</w:t>
      </w:r>
    </w:p>
    <w:p>
      <w:pPr>
        <w:spacing w:after="0" w:line="1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Academy Securities, Inc.</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Loop Capital Markets LLC</w:t>
      </w:r>
    </w:p>
    <w:p>
      <w:pPr>
        <w:sectPr>
          <w:pgSz w:w="11900" w:h="16838" w:orient="portrait"/>
          <w:cols w:equalWidth="0" w:num="2">
            <w:col w:w="3420" w:space="720"/>
            <w:col w:w="6800"/>
          </w:cols>
          <w:pgMar w:left="440" w:top="274" w:right="519" w:bottom="1440" w:gutter="0" w:footer="0" w:header="0"/>
        </w:sectPr>
      </w:pPr>
    </w:p>
    <w:bookmarkStart w:id="2" w:name="page3"/>
    <w:bookmarkEnd w:id="2"/>
    <w:p>
      <w:pPr>
        <w:ind w:right="60" w:firstLine="440"/>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Rule 15c6-1 under the Securities Exchange Act of 1934, as amended, trades in the secondary market generally are required to settle in two business days, unless the parties to any such trade expressly agree otherwise. Accordingly, purchasers who wish to trade notes prior to the second business day preceding the settlement date will be required, by virtue of the fact that the notes initially will settle T+3, to specify an alternate settlement cycle at the time of any such trade to prevent a failed settlement. Purchasers of notes who wish to trade the notes prior to the second business day preceding the settlement date should consult their own advisors.</w:t>
      </w:r>
    </w:p>
    <w:p>
      <w:pPr>
        <w:spacing w:after="0" w:line="18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i w:val="1"/>
          <w:iCs w:val="1"/>
          <w:color w:val="auto"/>
        </w:rPr>
        <w:t>None of the securities ratings is a recommendation to buy, sell or hold the notes. Each rating may be subject to revision or withdrawal at any time, and should be evaluated independently of any other rating.</w:t>
      </w:r>
    </w:p>
    <w:p>
      <w:pPr>
        <w:spacing w:after="0" w:line="170"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i w:val="1"/>
          <w:iCs w:val="1"/>
          <w:color w:val="auto"/>
        </w:rPr>
        <w:t>The issuer has filed a registration statement (including a prospectus) and a preliminary prospectus supplement with the Securities and Exchange Commission (“SEC”) for the offerings to which this communication relates. Before you invest, you should read the prospectus in that registration statement, the preliminary prospectus supplement and other documents the issuer has filed with the SEC for more complete information about the issuer and these offerings. You may get these documents for free by visiting EDGAR on the SEC Web site at www.sec.gov. Alternatively, the issuer, any underwriter or any dealer participating in the offerings will arrange to send you the prospectus if you request it by calling Goldman Sachs &amp; Co. LLC toll free at 1 (866) 471-2526; BofA Securities, Inc. toll free at 1 (800) 294-1322; or J.P. Morgan Securities LLC (collect) at 1 (212) 834-4533.</w:t>
      </w:r>
    </w:p>
    <w:p>
      <w:pPr>
        <w:spacing w:after="0" w:line="16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(OTHER THAN ANY STATEMENT RELATING TO THE IDENTITY OF THE LEGAL ENTITY AUTHORIZING OR SENDING THIS COMMUNICATION IN A NON-US JURISDICTION). SUCH DISCLAIMERS OR OTHER NOTICES WERE AUTOMATICALLY GENERATED AS A RESULT OF THIS COMMUNICATION HAVING BEEN SENT VIA BLOOMBERG OR ANOTHER EMAIL SYSTEM.</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2020-04-28T05:09:52Z</dcterms:created>
  <dcterms:modified xsi:type="dcterms:W3CDTF">2020-04-28T05:09:52Z</dcterms:modified>
</cp:coreProperties>
</file>