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8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Proposed Maximum</w:t>
            </w:r>
          </w:p>
        </w:tc>
        <w:tc>
          <w:tcPr>
            <w:tcW w:w="1340" w:type="dxa"/>
            <w:vAlign w:val="bottom"/>
            <w:tcBorders>
              <w:top w:val="single" w:sz="8" w:color="auto"/>
            </w:tcBorders>
          </w:tcPr>
          <w:p>
            <w:pPr>
              <w:jc w:val="center"/>
              <w:ind w:left="237"/>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34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tcBorders>
              <w:bottom w:val="single" w:sz="8" w:color="auto"/>
            </w:tcBorders>
          </w:tcPr>
          <w:p>
            <w:pPr>
              <w:jc w:val="center"/>
              <w:ind w:left="237"/>
              <w:spacing w:after="0"/>
              <w:rPr>
                <w:sz w:val="20"/>
                <w:szCs w:val="20"/>
                <w:color w:val="auto"/>
              </w:rPr>
            </w:pPr>
            <w:r>
              <w:rPr>
                <w:rFonts w:ascii="Arial" w:cs="Arial" w:eastAsia="Arial" w:hAnsi="Arial"/>
                <w:sz w:val="14"/>
                <w:szCs w:val="14"/>
                <w:b w:val="1"/>
                <w:bCs w:val="1"/>
                <w:color w:val="auto"/>
                <w:w w:val="92"/>
              </w:rPr>
              <w:t>Fee (1)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2.900% Senior Notes Due 2020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134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w w:val="90"/>
              </w:rPr>
              <w:t>$174,300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3.625% Senior Notes Due 2022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340" w:type="dxa"/>
            <w:vAlign w:val="bottom"/>
            <w:tcBorders>
              <w:bottom w:val="single" w:sz="8" w:color="auto"/>
            </w:tcBorders>
          </w:tcPr>
          <w:p>
            <w:pPr>
              <w:jc w:val="center"/>
              <w:ind w:left="237"/>
              <w:spacing w:after="0"/>
              <w:rPr>
                <w:sz w:val="20"/>
                <w:szCs w:val="20"/>
                <w:color w:val="auto"/>
              </w:rPr>
            </w:pPr>
            <w:r>
              <w:rPr>
                <w:rFonts w:ascii="Arial" w:cs="Arial" w:eastAsia="Arial" w:hAnsi="Arial"/>
                <w:sz w:val="18"/>
                <w:szCs w:val="18"/>
                <w:color w:val="auto"/>
                <w:w w:val="87"/>
              </w:rPr>
              <w:t>$116,200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4.050% Senior Notes Due 2025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$1,750,000,000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$1,750,000,000</w:t>
            </w:r>
          </w:p>
        </w:tc>
        <w:tc>
          <w:tcPr>
            <w:tcW w:w="134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w w:val="90"/>
              </w:rPr>
              <w:t>$203,350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5.200% Senior Notes Due 2045</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$1,750,000,000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$1,750,000,000</w:t>
            </w:r>
          </w:p>
        </w:tc>
        <w:tc>
          <w:tcPr>
            <w:tcW w:w="134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w w:val="90"/>
              </w:rPr>
              <w:t>$203,350</w:t>
            </w:r>
          </w:p>
        </w:tc>
        <w:tc>
          <w:tcPr>
            <w:tcW w:w="0" w:type="dxa"/>
            <w:vAlign w:val="bottom"/>
          </w:tcPr>
          <w:p>
            <w:pPr>
              <w:spacing w:after="0"/>
              <w:rPr>
                <w:sz w:val="1"/>
                <w:szCs w:val="1"/>
                <w:color w:val="auto"/>
              </w:rPr>
            </w:pPr>
          </w:p>
        </w:tc>
      </w:tr>
      <w:tr>
        <w:trPr>
          <w:trHeight w:val="217"/>
        </w:trPr>
        <w:tc>
          <w:tcPr>
            <w:tcW w:w="6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$6,000,000,000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$6,000,000,000</w:t>
            </w:r>
          </w:p>
        </w:tc>
        <w:tc>
          <w:tcPr>
            <w:tcW w:w="134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w w:val="90"/>
              </w:rPr>
              <w:t>$697,200</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333-206799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83185</wp:posOffset>
            </wp:positionV>
            <wp:extent cx="1560830"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083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$1,500,000,000 2.900% Senior Notes due 2020</w:t>
      </w:r>
    </w:p>
    <w:p>
      <w:pPr>
        <w:spacing w:after="0" w:line="38"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$1,000,000,000 3.625% Senior Notes due 2022</w:t>
      </w:r>
    </w:p>
    <w:p>
      <w:pPr>
        <w:spacing w:after="0" w:line="10"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$1,750,000,000 4.050% Senior Notes due 2025</w:t>
      </w:r>
    </w:p>
    <w:p>
      <w:pPr>
        <w:spacing w:after="0" w:line="10" w:lineRule="exact"/>
        <w:rPr>
          <w:sz w:val="20"/>
          <w:szCs w:val="20"/>
          <w:color w:val="auto"/>
        </w:rPr>
      </w:pPr>
    </w:p>
    <w:p>
      <w:pPr>
        <w:ind w:left="3260"/>
        <w:spacing w:after="0"/>
        <w:rPr>
          <w:sz w:val="20"/>
          <w:szCs w:val="20"/>
          <w:color w:val="auto"/>
        </w:rPr>
      </w:pPr>
      <w:r>
        <w:rPr>
          <w:rFonts w:ascii="Arial" w:cs="Arial" w:eastAsia="Arial" w:hAnsi="Arial"/>
          <w:sz w:val="25"/>
          <w:szCs w:val="25"/>
          <w:b w:val="1"/>
          <w:bCs w:val="1"/>
          <w:color w:val="auto"/>
        </w:rPr>
        <w:t>$1,750,000,000 5.200%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are offering an aggregate of $1,500,000,000 of our 2.900% Senior Notes due September 15, 2020, which we refer to as the “notes due 2020,” an aggregate of $1,000,000,000 of our 3.625% Senior Notes due September 15, 2022, which we refer to as the “notes due 2022,” an aggregate of $1,750,000,000 of our 4.050% Senior Notes due September 15, 2025, which we refer to as the “notes due 2025” and an aggregate of $1,750,000,000 of our 5.200% Senior Notes due September 15, 2045, which we refer to as the “notes due 2045.” We refer to the notes due 2020, the notes due 2022, the notes due 2025 and the notes due 2045 collectively as the “notes.” Interest on the notes is payable on March 15 and September 15 of each year, beginning on March 15, 2016.</w:t>
      </w:r>
    </w:p>
    <w:p>
      <w:pPr>
        <w:spacing w:after="0" w:line="5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notes will be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 The notes will be issued only in registered form in denominations of $2,000 and integral multiples of $1,000 in excess thereof.</w:t>
      </w:r>
    </w:p>
    <w:p>
      <w:pPr>
        <w:spacing w:after="0" w:line="3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may redeem the notes of any series in whole or in part at any time at the applicable redemption price set forth under “Description of Notes— Optional Redemption.” If a Change of Control Triggering Event occurs, we may be required to offer to purchase the notes from the holders as described in this prospectus supplement. See “Description of Notes—Change of Control.”</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apply for listing of the notes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ind w:right="2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S-11 of this prospectus supplement and under “Risk Factors” in our Quarterly Report on Form 10-Q for the quarter ended June 30, 2015, which is incorporated by reference in this prospectus supplement and the accompanying prospectus.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Notes Due 2020</w:t>
            </w:r>
          </w:p>
        </w:tc>
        <w:tc>
          <w:tcPr>
            <w:tcW w:w="1800" w:type="dxa"/>
            <w:vAlign w:val="bottom"/>
            <w:gridSpan w:val="6"/>
          </w:tcPr>
          <w:p>
            <w:pPr>
              <w:ind w:left="340"/>
              <w:spacing w:after="0"/>
              <w:rPr>
                <w:sz w:val="20"/>
                <w:szCs w:val="20"/>
                <w:color w:val="auto"/>
              </w:rPr>
            </w:pPr>
            <w:r>
              <w:rPr>
                <w:rFonts w:ascii="Arial" w:cs="Arial" w:eastAsia="Arial" w:hAnsi="Arial"/>
                <w:sz w:val="14"/>
                <w:szCs w:val="14"/>
                <w:b w:val="1"/>
                <w:bCs w:val="1"/>
                <w:color w:val="auto"/>
              </w:rPr>
              <w:t>Notes Due 2022</w:t>
            </w:r>
          </w:p>
        </w:tc>
        <w:tc>
          <w:tcPr>
            <w:tcW w:w="19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Notes Due 2025</w:t>
            </w:r>
          </w:p>
        </w:tc>
        <w:tc>
          <w:tcPr>
            <w:tcW w:w="1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Notes Due 2045</w:t>
            </w:r>
          </w:p>
        </w:tc>
      </w:tr>
      <w:tr>
        <w:trPr>
          <w:trHeight w:val="142"/>
        </w:trPr>
        <w:tc>
          <w:tcPr>
            <w:tcW w:w="40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 Note</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0"/>
              </w:rPr>
              <w:t>Per Note</w:t>
            </w: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 Note</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Per Note</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2"/>
                <w:szCs w:val="12"/>
                <w:color w:val="auto"/>
              </w:rPr>
            </w:pPr>
          </w:p>
        </w:tc>
      </w:tr>
      <w:tr>
        <w:trPr>
          <w:trHeight w:val="142"/>
        </w:trPr>
        <w:tc>
          <w:tcPr>
            <w:tcW w:w="4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 (1)</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99.792%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1,496,880,000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99.920%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999,200,000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99.764%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1,745,870,000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99.294%</w:t>
            </w:r>
          </w:p>
        </w:tc>
        <w:tc>
          <w:tcPr>
            <w:tcW w:w="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1,737,645,000</w:t>
            </w:r>
          </w:p>
        </w:tc>
        <w:tc>
          <w:tcPr>
            <w:tcW w:w="80" w:type="dxa"/>
            <w:vAlign w:val="bottom"/>
            <w:shd w:val="clear" w:color="auto" w:fill="CCEEFF"/>
          </w:tcPr>
          <w:p>
            <w:pPr>
              <w:spacing w:after="0"/>
              <w:rPr>
                <w:sz w:val="12"/>
                <w:szCs w:val="12"/>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color w:val="auto"/>
              </w:rPr>
              <w:t>Underwriting discounts</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9,000,000</w:t>
            </w: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0.625%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6,250,000</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0.650%</w:t>
            </w:r>
          </w:p>
        </w:tc>
        <w:tc>
          <w:tcPr>
            <w:tcW w:w="1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11,375,000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0.875%</w:t>
            </w:r>
          </w:p>
        </w:tc>
        <w:tc>
          <w:tcPr>
            <w:tcW w:w="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15,312,500</w:t>
            </w: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offering expenses, to Biogen Inc. (1)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1,487,880,000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99.295%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992,950,000</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99.114%</w:t>
            </w:r>
          </w:p>
        </w:tc>
        <w:tc>
          <w:tcPr>
            <w:tcW w:w="1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1,734,495,000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98.419%</w:t>
            </w:r>
          </w:p>
        </w:tc>
        <w:tc>
          <w:tcPr>
            <w:tcW w:w="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1,722,332,500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(1)Plus accrued interest, if any, from September 15, 2015 to the date of delivery.</w:t>
      </w:r>
    </w:p>
    <w:p>
      <w:pPr>
        <w:spacing w:after="0" w:line="113" w:lineRule="exact"/>
        <w:rPr>
          <w:sz w:val="20"/>
          <w:szCs w:val="20"/>
          <w:color w:val="auto"/>
        </w:rPr>
      </w:pPr>
    </w:p>
    <w:p>
      <w:pPr>
        <w:jc w:val="both"/>
        <w:ind w:right="6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notes or determined if this prospectus supplement or the accompanying prospectus is truthful and complete. Any representation to the contrary is a criminal offense.</w:t>
      </w:r>
    </w:p>
    <w:p>
      <w:pPr>
        <w:spacing w:after="0" w:line="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The notes will be ready for delivery in book-entry form through the facilities of The Depository Trust Company, or DTC, and its participants, including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and Euroclear Bank, S.A./N.V., on or about September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13" w:lineRule="exact"/>
        <w:rPr>
          <w:sz w:val="20"/>
          <w:szCs w:val="20"/>
          <w:color w:val="auto"/>
        </w:rPr>
      </w:pPr>
    </w:p>
    <w:p>
      <w:pPr>
        <w:spacing w:after="0"/>
        <w:tabs>
          <w:tab w:leader="none" w:pos="8960" w:val="left"/>
        </w:tabs>
        <w:rPr>
          <w:sz w:val="20"/>
          <w:szCs w:val="20"/>
          <w:color w:val="auto"/>
        </w:rPr>
      </w:pPr>
      <w:r>
        <w:rPr>
          <w:rFonts w:ascii="Arial" w:cs="Arial" w:eastAsia="Arial" w:hAnsi="Arial"/>
          <w:sz w:val="29"/>
          <w:szCs w:val="29"/>
          <w:b w:val="1"/>
          <w:bCs w:val="1"/>
          <w:color w:val="auto"/>
        </w:rPr>
        <w:t>Goldman, Sachs &amp; Co.</w:t>
      </w:r>
      <w:r>
        <w:rPr>
          <w:sz w:val="20"/>
          <w:szCs w:val="20"/>
          <w:color w:val="auto"/>
        </w:rPr>
        <w:tab/>
      </w:r>
      <w:r>
        <w:rPr>
          <w:rFonts w:ascii="Arial" w:cs="Arial" w:eastAsia="Arial" w:hAnsi="Arial"/>
          <w:sz w:val="27"/>
          <w:szCs w:val="27"/>
          <w:b w:val="1"/>
          <w:bCs w:val="1"/>
          <w:color w:val="auto"/>
        </w:rPr>
        <w:t>BofA Merrill Lynch</w:t>
      </w:r>
    </w:p>
    <w:p>
      <w:pPr>
        <w:spacing w:after="0" w:line="45" w:lineRule="exact"/>
        <w:rPr>
          <w:sz w:val="20"/>
          <w:szCs w:val="20"/>
          <w:color w:val="auto"/>
        </w:rPr>
      </w:pPr>
    </w:p>
    <w:p>
      <w:pPr>
        <w:spacing w:after="0"/>
        <w:tabs>
          <w:tab w:leader="none" w:pos="1940" w:val="left"/>
          <w:tab w:leader="none" w:pos="6320" w:val="left"/>
          <w:tab w:leader="none" w:pos="8040" w:val="left"/>
          <w:tab w:leader="none" w:pos="10420" w:val="left"/>
        </w:tabs>
        <w:rPr>
          <w:sz w:val="20"/>
          <w:szCs w:val="20"/>
          <w:color w:val="auto"/>
        </w:rPr>
      </w:pPr>
      <w:r>
        <w:rPr>
          <w:rFonts w:ascii="Arial" w:cs="Arial" w:eastAsia="Arial" w:hAnsi="Arial"/>
          <w:sz w:val="23"/>
          <w:szCs w:val="23"/>
          <w:b w:val="1"/>
          <w:bCs w:val="1"/>
          <w:color w:val="auto"/>
        </w:rPr>
        <w:t>Credit Suisse</w:t>
      </w:r>
      <w:r>
        <w:rPr>
          <w:sz w:val="20"/>
          <w:szCs w:val="20"/>
          <w:color w:val="auto"/>
        </w:rPr>
        <w:tab/>
      </w:r>
      <w:r>
        <w:rPr>
          <w:rFonts w:ascii="Arial" w:cs="Arial" w:eastAsia="Arial" w:hAnsi="Arial"/>
          <w:sz w:val="23"/>
          <w:szCs w:val="23"/>
          <w:b w:val="1"/>
          <w:bCs w:val="1"/>
          <w:color w:val="auto"/>
        </w:rPr>
        <w:t>Deutsche Bank Securities</w:t>
      </w:r>
      <w:r>
        <w:rPr>
          <w:sz w:val="20"/>
          <w:szCs w:val="20"/>
          <w:color w:val="auto"/>
        </w:rPr>
        <w:tab/>
      </w:r>
      <w:r>
        <w:rPr>
          <w:rFonts w:ascii="Arial" w:cs="Arial" w:eastAsia="Arial" w:hAnsi="Arial"/>
          <w:sz w:val="23"/>
          <w:szCs w:val="23"/>
          <w:b w:val="1"/>
          <w:bCs w:val="1"/>
          <w:color w:val="auto"/>
        </w:rPr>
        <w:t>J.P. Morgan</w:t>
      </w:r>
      <w:r>
        <w:rPr>
          <w:sz w:val="20"/>
          <w:szCs w:val="20"/>
          <w:color w:val="auto"/>
        </w:rPr>
        <w:tab/>
      </w:r>
      <w:r>
        <w:rPr>
          <w:rFonts w:ascii="Arial" w:cs="Arial" w:eastAsia="Arial" w:hAnsi="Arial"/>
          <w:sz w:val="23"/>
          <w:szCs w:val="23"/>
          <w:b w:val="1"/>
          <w:bCs w:val="1"/>
          <w:color w:val="auto"/>
        </w:rPr>
        <w:t>Morgan Stanley</w:t>
      </w:r>
      <w:r>
        <w:rPr>
          <w:sz w:val="20"/>
          <w:szCs w:val="20"/>
          <w:color w:val="auto"/>
        </w:rPr>
        <w:tab/>
      </w:r>
      <w:r>
        <w:rPr>
          <w:rFonts w:ascii="Arial" w:cs="Arial" w:eastAsia="Arial" w:hAnsi="Arial"/>
          <w:sz w:val="23"/>
          <w:szCs w:val="23"/>
          <w:b w:val="1"/>
          <w:bCs w:val="1"/>
          <w:color w:val="auto"/>
        </w:rPr>
        <w:t>MUFG</w:t>
      </w:r>
    </w:p>
    <w:p>
      <w:pPr>
        <w:spacing w:after="0" w:line="18" w:lineRule="exact"/>
        <w:rPr>
          <w:sz w:val="20"/>
          <w:szCs w:val="20"/>
          <w:color w:val="auto"/>
        </w:rPr>
      </w:pPr>
    </w:p>
    <w:p>
      <w:pPr>
        <w:ind w:left="440"/>
        <w:spacing w:after="0"/>
        <w:tabs>
          <w:tab w:leader="none" w:pos="3220" w:val="left"/>
          <w:tab w:leader="none" w:pos="6080" w:val="left"/>
          <w:tab w:leader="none" w:pos="8180" w:val="left"/>
          <w:tab w:leader="none" w:pos="10280" w:val="left"/>
        </w:tabs>
        <w:rPr>
          <w:sz w:val="20"/>
          <w:szCs w:val="20"/>
          <w:color w:val="auto"/>
        </w:rPr>
      </w:pPr>
      <w:r>
        <w:rPr>
          <w:rFonts w:ascii="Arial" w:cs="Arial" w:eastAsia="Arial" w:hAnsi="Arial"/>
          <w:sz w:val="14"/>
          <w:szCs w:val="14"/>
          <w:i w:val="1"/>
          <w:iCs w:val="1"/>
          <w:color w:val="auto"/>
        </w:rPr>
        <w:t>(Notes due 2045)</w:t>
      </w:r>
      <w:r>
        <w:rPr>
          <w:sz w:val="20"/>
          <w:szCs w:val="20"/>
          <w:color w:val="auto"/>
        </w:rPr>
        <w:tab/>
      </w:r>
      <w:r>
        <w:rPr>
          <w:rFonts w:ascii="Arial" w:cs="Arial" w:eastAsia="Arial" w:hAnsi="Arial"/>
          <w:sz w:val="14"/>
          <w:szCs w:val="14"/>
          <w:i w:val="1"/>
          <w:iCs w:val="1"/>
          <w:color w:val="auto"/>
        </w:rPr>
        <w:t>(Notes due 2025)</w:t>
      </w:r>
      <w:r>
        <w:rPr>
          <w:sz w:val="20"/>
          <w:szCs w:val="20"/>
          <w:color w:val="auto"/>
        </w:rPr>
        <w:tab/>
      </w:r>
      <w:r>
        <w:rPr>
          <w:rFonts w:ascii="Arial" w:cs="Arial" w:eastAsia="Arial" w:hAnsi="Arial"/>
          <w:sz w:val="14"/>
          <w:szCs w:val="14"/>
          <w:i w:val="1"/>
          <w:iCs w:val="1"/>
          <w:color w:val="auto"/>
        </w:rPr>
        <w:t>(Notes due 2020)</w:t>
      </w:r>
      <w:r>
        <w:rPr>
          <w:sz w:val="20"/>
          <w:szCs w:val="20"/>
          <w:color w:val="auto"/>
        </w:rPr>
        <w:tab/>
      </w:r>
      <w:r>
        <w:rPr>
          <w:rFonts w:ascii="Arial" w:cs="Arial" w:eastAsia="Arial" w:hAnsi="Arial"/>
          <w:sz w:val="14"/>
          <w:szCs w:val="14"/>
          <w:i w:val="1"/>
          <w:iCs w:val="1"/>
          <w:color w:val="auto"/>
        </w:rPr>
        <w:t>(Notes due 2020, 2022,</w:t>
      </w:r>
      <w:r>
        <w:rPr>
          <w:sz w:val="20"/>
          <w:szCs w:val="20"/>
          <w:color w:val="auto"/>
        </w:rPr>
        <w:tab/>
      </w:r>
      <w:r>
        <w:rPr>
          <w:rFonts w:ascii="Arial" w:cs="Arial" w:eastAsia="Arial" w:hAnsi="Arial"/>
          <w:sz w:val="12"/>
          <w:szCs w:val="12"/>
          <w:i w:val="1"/>
          <w:iCs w:val="1"/>
          <w:color w:val="auto"/>
        </w:rPr>
        <w:t>(Notes due 2022)</w:t>
      </w:r>
    </w:p>
    <w:p>
      <w:pPr>
        <w:ind w:left="8520"/>
        <w:spacing w:after="0"/>
        <w:rPr>
          <w:sz w:val="20"/>
          <w:szCs w:val="20"/>
          <w:color w:val="auto"/>
        </w:rPr>
      </w:pPr>
      <w:r>
        <w:rPr>
          <w:rFonts w:ascii="Arial" w:cs="Arial" w:eastAsia="Arial" w:hAnsi="Arial"/>
          <w:sz w:val="14"/>
          <w:szCs w:val="14"/>
          <w:i w:val="1"/>
          <w:iCs w:val="1"/>
          <w:color w:val="auto"/>
        </w:rPr>
        <w:t>2025, 2045)</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Senior Co-Managers</w:t>
      </w:r>
    </w:p>
    <w:p>
      <w:pPr>
        <w:spacing w:after="0" w:line="122" w:lineRule="exact"/>
        <w:rPr>
          <w:sz w:val="20"/>
          <w:szCs w:val="20"/>
          <w:color w:val="auto"/>
        </w:rPr>
      </w:pPr>
    </w:p>
    <w:p>
      <w:pPr>
        <w:ind w:left="700"/>
        <w:spacing w:after="0"/>
        <w:tabs>
          <w:tab w:leader="none" w:pos="2620" w:val="left"/>
          <w:tab w:leader="none" w:pos="7060" w:val="left"/>
          <w:tab w:leader="none" w:pos="9960" w:val="left"/>
        </w:tabs>
        <w:rPr>
          <w:sz w:val="20"/>
          <w:szCs w:val="20"/>
          <w:color w:val="auto"/>
        </w:rPr>
      </w:pPr>
      <w:r>
        <w:rPr>
          <w:rFonts w:ascii="Arial" w:cs="Arial" w:eastAsia="Arial" w:hAnsi="Arial"/>
          <w:sz w:val="20"/>
          <w:szCs w:val="20"/>
          <w:b w:val="1"/>
          <w:bCs w:val="1"/>
          <w:color w:val="auto"/>
        </w:rPr>
        <w:t>Credit Suisse</w:t>
      </w:r>
      <w:r>
        <w:rPr>
          <w:sz w:val="20"/>
          <w:szCs w:val="20"/>
          <w:color w:val="auto"/>
        </w:rPr>
        <w:tab/>
      </w:r>
      <w:r>
        <w:rPr>
          <w:rFonts w:ascii="Arial" w:cs="Arial" w:eastAsia="Arial" w:hAnsi="Arial"/>
          <w:sz w:val="20"/>
          <w:szCs w:val="20"/>
          <w:b w:val="1"/>
          <w:bCs w:val="1"/>
          <w:color w:val="auto"/>
        </w:rPr>
        <w:t>Deutsche Bank Securities</w:t>
      </w:r>
      <w:r>
        <w:rPr>
          <w:sz w:val="20"/>
          <w:szCs w:val="20"/>
          <w:color w:val="auto"/>
        </w:rPr>
        <w:tab/>
      </w:r>
      <w:r>
        <w:rPr>
          <w:rFonts w:ascii="Arial" w:cs="Arial" w:eastAsia="Arial" w:hAnsi="Arial"/>
          <w:sz w:val="20"/>
          <w:szCs w:val="20"/>
          <w:b w:val="1"/>
          <w:bCs w:val="1"/>
          <w:color w:val="auto"/>
        </w:rPr>
        <w:t>J.P. Morgan</w:t>
      </w:r>
      <w:r>
        <w:rPr>
          <w:sz w:val="20"/>
          <w:szCs w:val="20"/>
          <w:color w:val="auto"/>
        </w:rPr>
        <w:tab/>
      </w:r>
      <w:r>
        <w:rPr>
          <w:rFonts w:ascii="Arial" w:cs="Arial" w:eastAsia="Arial" w:hAnsi="Arial"/>
          <w:sz w:val="20"/>
          <w:szCs w:val="20"/>
          <w:b w:val="1"/>
          <w:bCs w:val="1"/>
          <w:color w:val="auto"/>
        </w:rPr>
        <w:t>MUFG</w:t>
      </w:r>
    </w:p>
    <w:p>
      <w:pPr>
        <w:spacing w:after="0" w:line="16" w:lineRule="exact"/>
        <w:rPr>
          <w:sz w:val="20"/>
          <w:szCs w:val="20"/>
          <w:color w:val="auto"/>
        </w:rPr>
      </w:pPr>
    </w:p>
    <w:p>
      <w:pPr>
        <w:ind w:left="400"/>
        <w:spacing w:after="0"/>
        <w:tabs>
          <w:tab w:leader="none" w:pos="3480" w:val="left"/>
          <w:tab w:leader="none" w:pos="6720" w:val="left"/>
          <w:tab w:leader="none" w:pos="9400" w:val="left"/>
        </w:tabs>
        <w:rPr>
          <w:sz w:val="20"/>
          <w:szCs w:val="20"/>
          <w:color w:val="auto"/>
        </w:rPr>
      </w:pPr>
      <w:r>
        <w:rPr>
          <w:rFonts w:ascii="Arial" w:cs="Arial" w:eastAsia="Arial" w:hAnsi="Arial"/>
          <w:sz w:val="14"/>
          <w:szCs w:val="14"/>
          <w:i w:val="1"/>
          <w:iCs w:val="1"/>
          <w:color w:val="auto"/>
        </w:rPr>
        <w:t>(Notes due 2020, 2022, 2025)</w:t>
      </w:r>
      <w:r>
        <w:rPr>
          <w:sz w:val="20"/>
          <w:szCs w:val="20"/>
          <w:color w:val="auto"/>
        </w:rPr>
        <w:tab/>
      </w:r>
      <w:r>
        <w:rPr>
          <w:rFonts w:ascii="Arial" w:cs="Arial" w:eastAsia="Arial" w:hAnsi="Arial"/>
          <w:sz w:val="14"/>
          <w:szCs w:val="14"/>
          <w:i w:val="1"/>
          <w:iCs w:val="1"/>
          <w:color w:val="auto"/>
        </w:rPr>
        <w:t>(Notes due 2020, 2022, 2045)</w:t>
      </w:r>
      <w:r>
        <w:rPr>
          <w:sz w:val="20"/>
          <w:szCs w:val="20"/>
          <w:color w:val="auto"/>
        </w:rPr>
        <w:tab/>
      </w:r>
      <w:r>
        <w:rPr>
          <w:rFonts w:ascii="Arial" w:cs="Arial" w:eastAsia="Arial" w:hAnsi="Arial"/>
          <w:sz w:val="14"/>
          <w:szCs w:val="14"/>
          <w:i w:val="1"/>
          <w:iCs w:val="1"/>
          <w:color w:val="auto"/>
        </w:rPr>
        <w:t>(Notes due 2022, 2025, 2045)</w:t>
      </w:r>
      <w:r>
        <w:rPr>
          <w:sz w:val="20"/>
          <w:szCs w:val="20"/>
          <w:color w:val="auto"/>
        </w:rPr>
        <w:tab/>
      </w:r>
      <w:r>
        <w:rPr>
          <w:rFonts w:ascii="Arial" w:cs="Arial" w:eastAsia="Arial" w:hAnsi="Arial"/>
          <w:sz w:val="12"/>
          <w:szCs w:val="12"/>
          <w:i w:val="1"/>
          <w:iCs w:val="1"/>
          <w:color w:val="auto"/>
        </w:rPr>
        <w:t>(Notes due 2020, 2025, 2045)</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122" w:lineRule="exact"/>
        <w:rPr>
          <w:sz w:val="20"/>
          <w:szCs w:val="20"/>
          <w:color w:val="auto"/>
        </w:rPr>
      </w:pPr>
    </w:p>
    <w:p>
      <w:pPr>
        <w:ind w:left="1620"/>
        <w:spacing w:after="0"/>
        <w:tabs>
          <w:tab w:leader="none" w:pos="5000" w:val="left"/>
          <w:tab w:leader="none" w:pos="9060" w:val="left"/>
        </w:tabs>
        <w:rPr>
          <w:sz w:val="20"/>
          <w:szCs w:val="20"/>
          <w:color w:val="auto"/>
        </w:rPr>
      </w:pPr>
      <w:r>
        <w:rPr>
          <w:rFonts w:ascii="Arial" w:cs="Arial" w:eastAsia="Arial" w:hAnsi="Arial"/>
          <w:sz w:val="20"/>
          <w:szCs w:val="20"/>
          <w:b w:val="1"/>
          <w:bCs w:val="1"/>
          <w:color w:val="auto"/>
        </w:rPr>
        <w:t>HSBC</w:t>
      </w:r>
      <w:r>
        <w:rPr>
          <w:sz w:val="20"/>
          <w:szCs w:val="20"/>
          <w:color w:val="auto"/>
        </w:rPr>
        <w:tab/>
      </w:r>
      <w:r>
        <w:rPr>
          <w:rFonts w:ascii="Arial" w:cs="Arial" w:eastAsia="Arial" w:hAnsi="Arial"/>
          <w:sz w:val="20"/>
          <w:szCs w:val="20"/>
          <w:b w:val="1"/>
          <w:bCs w:val="1"/>
          <w:color w:val="auto"/>
        </w:rPr>
        <w:t>Mizuho Securities</w:t>
      </w:r>
      <w:r>
        <w:rPr>
          <w:sz w:val="20"/>
          <w:szCs w:val="20"/>
          <w:color w:val="auto"/>
        </w:rPr>
        <w:tab/>
      </w:r>
      <w:r>
        <w:rPr>
          <w:rFonts w:ascii="Arial" w:cs="Arial" w:eastAsia="Arial" w:hAnsi="Arial"/>
          <w:sz w:val="18"/>
          <w:szCs w:val="18"/>
          <w:b w:val="1"/>
          <w:bCs w:val="1"/>
          <w:color w:val="auto"/>
        </w:rPr>
        <w:t>US Bancorp</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Prospectus Supplement dated September 10,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You should assume that the information contained or incorporated by reference in this prospectus supplement and the accompanying prospectus is accurate only as of the date on the front of the respective document. Our business, properties, financial condition, results of operations and prospects may have changed since those dates.</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4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6"/>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w w:val="98"/>
              </w:rPr>
              <w:t>Prospectus Supplement</w:t>
            </w:r>
          </w:p>
        </w:tc>
        <w:tc>
          <w:tcPr>
            <w:tcW w:w="0" w:type="dxa"/>
            <w:vAlign w:val="bottom"/>
          </w:tcPr>
          <w:p>
            <w:pPr>
              <w:spacing w:after="0"/>
              <w:rPr>
                <w:sz w:val="1"/>
                <w:szCs w:val="1"/>
                <w:color w:val="auto"/>
              </w:rPr>
            </w:pPr>
          </w:p>
        </w:tc>
      </w:tr>
      <w:tr>
        <w:trPr>
          <w:trHeight w:val="171"/>
        </w:trPr>
        <w:tc>
          <w:tcPr>
            <w:tcW w:w="2560" w:type="dxa"/>
            <w:vAlign w:val="bottom"/>
            <w:gridSpan w:val="13"/>
            <w:vMerge w:val="restart"/>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About This Prospectus Supplement</w:t>
              </w:r>
            </w:hyperlink>
          </w:p>
        </w:tc>
        <w:tc>
          <w:tcPr>
            <w:tcW w:w="1940" w:type="dxa"/>
            <w:vAlign w:val="bottom"/>
            <w:gridSpan w:val="4"/>
            <w:vMerge w:val="restart"/>
          </w:tcPr>
          <w:p>
            <w:pPr>
              <w:spacing w:after="0"/>
              <w:rPr>
                <w:sz w:val="14"/>
                <w:szCs w:val="14"/>
                <w:color w:val="auto"/>
              </w:rPr>
            </w:pPr>
          </w:p>
        </w:tc>
        <w:tc>
          <w:tcPr>
            <w:tcW w:w="642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60" w:type="dxa"/>
            <w:vAlign w:val="bottom"/>
            <w:tcBorders>
              <w:bottom w:val="single" w:sz="8" w:color="0000EE"/>
            </w:tcBorders>
            <w:gridSpan w:val="13"/>
            <w:vMerge w:val="continue"/>
          </w:tcPr>
          <w:p>
            <w:pPr>
              <w:spacing w:after="0"/>
              <w:rPr>
                <w:sz w:val="13"/>
                <w:szCs w:val="13"/>
                <w:color w:val="auto"/>
              </w:rPr>
            </w:pPr>
          </w:p>
        </w:tc>
        <w:tc>
          <w:tcPr>
            <w:tcW w:w="1940" w:type="dxa"/>
            <w:vAlign w:val="bottom"/>
            <w:gridSpan w:val="4"/>
            <w:vMerge w:val="continue"/>
          </w:tcPr>
          <w:p>
            <w:pPr>
              <w:spacing w:after="0"/>
              <w:rPr>
                <w:sz w:val="13"/>
                <w:szCs w:val="13"/>
                <w:color w:val="auto"/>
              </w:rPr>
            </w:pPr>
          </w:p>
        </w:tc>
        <w:tc>
          <w:tcPr>
            <w:tcW w:w="642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Cautionary Note Regarding Forward-Looking Statements</w:t>
              </w:r>
            </w:hyperlink>
          </w:p>
        </w:tc>
        <w:tc>
          <w:tcPr>
            <w:tcW w:w="340" w:type="dxa"/>
            <w:vAlign w:val="bottom"/>
            <w:gridSpan w:val="2"/>
          </w:tcPr>
          <w:p>
            <w:pPr>
              <w:spacing w:after="0"/>
              <w:rPr>
                <w:sz w:val="18"/>
                <w:szCs w:val="18"/>
                <w:color w:val="auto"/>
              </w:rPr>
            </w:pPr>
          </w:p>
        </w:tc>
        <w:tc>
          <w:tcPr>
            <w:tcW w:w="64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Supplement Summary</w:t>
              </w:r>
            </w:hyperlink>
          </w:p>
        </w:tc>
        <w:tc>
          <w:tcPr>
            <w:tcW w:w="2060" w:type="dxa"/>
            <w:vAlign w:val="bottom"/>
            <w:gridSpan w:val="6"/>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3580" w:type="dxa"/>
            <w:vAlign w:val="bottom"/>
            <w:gridSpan w:val="15"/>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Use of Proceeds</w:t>
              </w:r>
            </w:hyperlink>
          </w:p>
        </w:tc>
        <w:tc>
          <w:tcPr>
            <w:tcW w:w="3320" w:type="dxa"/>
            <w:vAlign w:val="bottom"/>
            <w:gridSpan w:val="11"/>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Capitalization</w:t>
              </w:r>
            </w:hyperlink>
          </w:p>
        </w:tc>
        <w:tc>
          <w:tcPr>
            <w:tcW w:w="3460" w:type="dxa"/>
            <w:vAlign w:val="bottom"/>
            <w:gridSpan w:val="12"/>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Description of Notes</w:t>
              </w:r>
            </w:hyperlink>
          </w:p>
        </w:tc>
        <w:tc>
          <w:tcPr>
            <w:tcW w:w="2980" w:type="dxa"/>
            <w:vAlign w:val="bottom"/>
            <w:gridSpan w:val="8"/>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Material United States Federal Income Tax Considerations</w:t>
              </w:r>
            </w:hyperlink>
          </w:p>
        </w:tc>
        <w:tc>
          <w:tcPr>
            <w:tcW w:w="26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Underwriting</w:t>
              </w:r>
            </w:hyperlink>
          </w:p>
        </w:tc>
        <w:tc>
          <w:tcPr>
            <w:tcW w:w="3520" w:type="dxa"/>
            <w:vAlign w:val="bottom"/>
            <w:gridSpan w:val="14"/>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S-39</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Validity of the Notes</w:t>
              </w:r>
            </w:hyperlink>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S-44</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000" w:type="dxa"/>
            <w:vAlign w:val="bottom"/>
            <w:gridSpan w:val="9"/>
          </w:tcPr>
          <w:p>
            <w:pPr>
              <w:spacing w:after="0"/>
              <w:rPr>
                <w:sz w:val="17"/>
                <w:szCs w:val="17"/>
                <w:color w:val="auto"/>
              </w:rPr>
            </w:pPr>
          </w:p>
        </w:tc>
        <w:tc>
          <w:tcPr>
            <w:tcW w:w="64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S-45</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3"/>
          </w:tcPr>
          <w:p>
            <w:pPr>
              <w:jc w:val="right"/>
              <w:ind w:right="526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50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About This Prospectus</w:t>
              </w:r>
            </w:hyperlink>
          </w:p>
        </w:tc>
        <w:tc>
          <w:tcPr>
            <w:tcW w:w="68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Where You Can Find More Information</w:t>
              </w:r>
            </w:hyperlink>
          </w:p>
        </w:tc>
        <w:tc>
          <w:tcPr>
            <w:tcW w:w="1620" w:type="dxa"/>
            <w:vAlign w:val="bottom"/>
            <w:gridSpan w:val="3"/>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The Company</w:t>
              </w:r>
            </w:hyperlink>
          </w:p>
        </w:tc>
        <w:tc>
          <w:tcPr>
            <w:tcW w:w="3460" w:type="dxa"/>
            <w:vAlign w:val="bottom"/>
            <w:gridSpan w:val="12"/>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Risk Factors</w:t>
              </w:r>
            </w:hyperlink>
          </w:p>
        </w:tc>
        <w:tc>
          <w:tcPr>
            <w:tcW w:w="3580" w:type="dxa"/>
            <w:vAlign w:val="bottom"/>
            <w:gridSpan w:val="15"/>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Use of Proceeds</w:t>
              </w:r>
            </w:hyperlink>
          </w:p>
        </w:tc>
        <w:tc>
          <w:tcPr>
            <w:tcW w:w="3320" w:type="dxa"/>
            <w:vAlign w:val="bottom"/>
            <w:gridSpan w:val="11"/>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Plan of Distribution</w:t>
              </w:r>
            </w:hyperlink>
          </w:p>
        </w:tc>
        <w:tc>
          <w:tcPr>
            <w:tcW w:w="1100" w:type="dxa"/>
            <w:vAlign w:val="bottom"/>
            <w:tcBorders>
              <w:top w:val="single" w:sz="8" w:color="0000EE"/>
            </w:tcBorders>
            <w:gridSpan w:val="5"/>
          </w:tcPr>
          <w:p>
            <w:pPr>
              <w:spacing w:after="0"/>
              <w:rPr>
                <w:sz w:val="17"/>
                <w:szCs w:val="17"/>
                <w:color w:val="auto"/>
              </w:rPr>
            </w:pPr>
          </w:p>
        </w:tc>
        <w:tc>
          <w:tcPr>
            <w:tcW w:w="1960" w:type="dxa"/>
            <w:vAlign w:val="bottom"/>
            <w:gridSpan w:val="5"/>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Legal Matters</w:t>
              </w:r>
            </w:hyperlink>
          </w:p>
        </w:tc>
        <w:tc>
          <w:tcPr>
            <w:tcW w:w="3480" w:type="dxa"/>
            <w:vAlign w:val="bottom"/>
            <w:gridSpan w:val="13"/>
          </w:tcPr>
          <w:p>
            <w:pPr>
              <w:spacing w:after="0"/>
              <w:rPr>
                <w:sz w:val="17"/>
                <w:szCs w:val="17"/>
                <w:color w:val="auto"/>
              </w:rPr>
            </w:pPr>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68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3"/>
          </w:tcPr>
          <w:p>
            <w:pPr>
              <w:jc w:val="right"/>
              <w:ind w:right="550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notes. The second part is the prospectus dated September 8, 2015, which is part of our Registration Statement on Form S-3.</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information incorporated by reference in the documents to which we have referred you in “Where You Can Find More Information” in the accompanying prospectus.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notes in certain jurisdictions may be restricted by law. We are not, and the underwriters are not, making an offer of these securities in any jurisdiction where the offer or sale is not permitted. See “Underwriting.”</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this prospectus supplement and the accompanying prospectus, unless otherwise stated or the context otherwise requires, references to “Biogen,” “we,” “us” and “our” refer to Biogen Inc. (formerly Biogen Idec Inc.) and its consolidated subsidiaries.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supplement and the accompanying prospectus contain or incorporate by reference “forward-looking statements” about our financial condition, results of operation and business that are being made pursuant to the provisions of the Private Securities Litigation Reform Act of 1995 with the intention of obtaining the benefits of the “Safe Harbor” of such statute. These forward-looking statements may be accompanied by such words as “anticipate,” “believe,” “could,” “estimate,” “expect,” “forecast,” “intend,” “may,” “plan,” “potential,” “project,” “target,” “will” and other words and terms of similar meaning. Reference is made in particular to forward-looking statements regarding:</w:t>
      </w:r>
    </w:p>
    <w:p>
      <w:pPr>
        <w:spacing w:after="0" w:line="94" w:lineRule="exact"/>
        <w:rPr>
          <w:sz w:val="20"/>
          <w:szCs w:val="20"/>
          <w:color w:val="auto"/>
        </w:rPr>
      </w:pPr>
    </w:p>
    <w:p>
      <w:pPr>
        <w:ind w:left="900" w:right="2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anticipated amount, timing and accounting of revenues, contingent payments, milestone, royalty and other payments under licensing, collaboration or acquisition agreements, tax positions and contingencies, collectability of receivables, pre-approval inventory, cost of sales, research and development costs, compensation and other expenses, amortization of intangible assets, foreign currency exchange risk, estimated fair value of assets and liabilities, and impairment assessments;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and plans relating to sales, growth, pricing, and prospects of our marketed and pipeline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w:t>
      </w:r>
    </w:p>
    <w:p>
      <w:pPr>
        <w:spacing w:after="0" w:line="130"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timing, outcome and impact of administrative, regulatory, legal and other proceedings related to patents and other proprietary and intellectual property rights, tax audits, assessments and settlements, pricing matters, sales and promotional practices, product liability and other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 timing of potential trials, filing and approvals, and the potential therapeutic scope of the development and commercialization of our and our collaborators’ pipeline products;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 to commit resources for research and development opportunities, and expectations relating to selling, general and administrative expense;</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in Europe and our collection of accounts receivable in such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manufacturing capacity and use of third party contract manufacturing organization to provide manufacturing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to pursue business development and research opportunities;</w:t>
      </w:r>
    </w:p>
    <w:p>
      <w:pPr>
        <w:spacing w:after="0" w:line="130"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potential impact of healthcare reform in the U.S., implementation of provisions of the Patient Protection and Affordable Care Act (also known as the Affordable Care Act or PPACA), and measures being taken worldwide designed to reduce healthcare costs to constrain the overall level of government expenditures, including the impact of pricing actions in Europe and elsewhere, and reduced reimbursement for our products;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relating to the timing and execution of our stock repurchase programs;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and timing relating to the expansion of our manufacturing capabilities, including anticipated investments in Solothurn, Switzerland and Research Triangle Park, North Carolina;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new laws and accounting standards.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These forward-looking statements involve risks and uncertainties, including those that are described in the “Risk Factors” section of this prospectus supplement and under “Risk Factors” in our Quarterly Report on Form 10-Q for the quarter ended June 30, 2015, which is incorporated by reference into this prospectus supplement and the accompanying prospectus, that could cause actual results to differ materially from those reflected in such statements. The risks and uncertainties include our dependence on sales from our principal products; failure to compete effectively due to significant product competition in the markets for our products; failure to protect and enforce our data, intellectual property and other proprietary rights and the risks and uncertainties relating to intellectual property claims; uncertainty of long-term success in developing, licensing or acquiring other product candidates or additional indications for existing products;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risk that positive results in a clinical trial may not be replicated in subsequent or confirmatory trials or success in early stage clinical trials may not be predictive of results in later stage or large scale clinical trials or trials in other potential indications; the occurrence of adverse safety events, restrictions on use with our products or product liability claims; difficulties in obtaining adequate coverage or changes in pricing or the availability of reimbursement for our products; any adverse effects of current and potential future healthcare reforms; our dependence on collaborators and other third parties for the development and commercialization of products and other aspects of our business, which are outside of our control; problems with our manufacturing processes; failure to manage our growth and execute our growth initiatives; failure to comply with legal and regulatory requirements; risks relating to a breakdown or breach of our technology systems; the risks of doing business internationally, including currency exchange rate fluctuations; fluctuations in our effective tax rate; the risk of fluctuations in our operating results; risks relating to investment in and expansion of manufacturing capacity for future clinical and commercial requirements; charges and other costs relating to our properties; the market, interest and credit risks associated with our portfolio of marketable securities; risks relating to our ability to repurchase stock, including at favorable prices; risks relating to access to capital and credit markets; environmental risks; risks of illegal distribution and sale by third parties of counterfeit versions of our products; risks relating to the use of social media; and risks relating to change in control provisions in certain of our collaboration agreements.</w:t>
      </w:r>
    </w:p>
    <w:p>
      <w:pPr>
        <w:spacing w:after="0" w:line="16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caution investors not to place undue reliance on the forward-looking statements contained or incorporated by reference in this prospectus supplement and the accompanying prospectus. Each statement speaks only as of the date of this prospectus supplement or, in the case of the prospectus, the date of the prospectus, and in the case of the documents incorporated by reference, the date of the applicable documents (or any earlier date indicated in the statement), and, unless required by law, we undertake no obligation to update or revise any of these statements, whether as a result of new information, future developments or otherwise.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440" w:firstLine="443"/>
        <w:spacing w:after="0" w:line="302" w:lineRule="auto"/>
        <w:rPr>
          <w:sz w:val="20"/>
          <w:szCs w:val="20"/>
          <w:color w:val="auto"/>
        </w:rPr>
      </w:pPr>
      <w:r>
        <w:rPr>
          <w:rFonts w:ascii="Arial" w:cs="Arial" w:eastAsia="Arial" w:hAnsi="Arial"/>
          <w:sz w:val="16"/>
          <w:szCs w:val="16"/>
          <w:i w:val="1"/>
          <w:iCs w:val="1"/>
          <w:color w:val="auto"/>
        </w:rPr>
        <w:t>This summary highlights selected information contained or incorporated by reference in this prospectus supplement and the accompanying prospectus and may not contain all of the information that is important to you. You should read carefully this prospectus supplement and the accompanying prospectus in their entirety, including the documents incorporated by reference, especially the risks discussed under “Risk Factors” beginning on page S-11 of this prospectus supplement and in our Quarterly Report on Form 10-Q for the quarter ended June 30, 2015.</w:t>
      </w: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Biogen Inc.</w:t>
      </w:r>
    </w:p>
    <w:p>
      <w:pPr>
        <w:spacing w:after="0" w:line="12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7"/>
          <w:szCs w:val="17"/>
          <w:color w:val="auto"/>
        </w:rPr>
        <w:t>We are a global biopharmaceutical company focused on discovering, developing, manufacturing and delivering therapies for neurological, autoimmune and hematologic disorders. Our marketed products include AVONEX</w:t>
      </w:r>
      <w:r>
        <w:rPr>
          <w:rFonts w:ascii="Arial" w:cs="Arial" w:eastAsia="Arial" w:hAnsi="Arial"/>
          <w:sz w:val="14"/>
          <w:szCs w:val="14"/>
          <w:color w:val="auto"/>
        </w:rPr>
        <w:t>®</w:t>
      </w:r>
      <w:r>
        <w:rPr>
          <w:rFonts w:ascii="Arial" w:cs="Arial" w:eastAsia="Arial" w:hAnsi="Arial"/>
          <w:sz w:val="17"/>
          <w:szCs w:val="17"/>
          <w:color w:val="auto"/>
        </w:rPr>
        <w:t>, PLEGRIDY</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TYSABRI</w:t>
      </w:r>
      <w:r>
        <w:rPr>
          <w:rFonts w:ascii="Arial" w:cs="Arial" w:eastAsia="Arial" w:hAnsi="Arial"/>
          <w:sz w:val="14"/>
          <w:szCs w:val="14"/>
          <w:color w:val="auto"/>
        </w:rPr>
        <w:t>®</w:t>
      </w:r>
      <w:r>
        <w:rPr>
          <w:rFonts w:ascii="Arial" w:cs="Arial" w:eastAsia="Arial" w:hAnsi="Arial"/>
          <w:sz w:val="17"/>
          <w:szCs w:val="17"/>
          <w:color w:val="auto"/>
        </w:rPr>
        <w:t>, and FAMPYRA™ for the treatment of multiple sclerosis (MS), ALPROLIX</w:t>
      </w:r>
      <w:r>
        <w:rPr>
          <w:rFonts w:ascii="Arial" w:cs="Arial" w:eastAsia="Arial" w:hAnsi="Arial"/>
          <w:sz w:val="14"/>
          <w:szCs w:val="14"/>
          <w:color w:val="auto"/>
        </w:rPr>
        <w:t>®</w:t>
      </w:r>
      <w:r>
        <w:rPr>
          <w:rFonts w:ascii="Arial" w:cs="Arial" w:eastAsia="Arial" w:hAnsi="Arial"/>
          <w:sz w:val="17"/>
          <w:szCs w:val="17"/>
          <w:color w:val="auto"/>
        </w:rPr>
        <w:t xml:space="preserve"> for the treatment of hemophilia B and ELOCTATE</w:t>
      </w:r>
      <w:r>
        <w:rPr>
          <w:rFonts w:ascii="Arial" w:cs="Arial" w:eastAsia="Arial" w:hAnsi="Arial"/>
          <w:sz w:val="14"/>
          <w:szCs w:val="14"/>
          <w:color w:val="auto"/>
        </w:rPr>
        <w:t>®</w:t>
      </w:r>
      <w:r>
        <w:rPr>
          <w:rFonts w:ascii="Arial" w:cs="Arial" w:eastAsia="Arial" w:hAnsi="Arial"/>
          <w:sz w:val="17"/>
          <w:szCs w:val="17"/>
          <w:color w:val="auto"/>
        </w:rPr>
        <w:t xml:space="preserve"> for the treatment of hemophilia A, and FUMADERM™ for the treatment of severe plaque psoriasis. We also generate revenue from our collaboration with Genentech, Inc., a wholly-owned member of the Roche Group, with respect to RITUXAN</w:t>
      </w:r>
      <w:r>
        <w:rPr>
          <w:rFonts w:ascii="Arial" w:cs="Arial" w:eastAsia="Arial" w:hAnsi="Arial"/>
          <w:sz w:val="14"/>
          <w:szCs w:val="14"/>
          <w:color w:val="auto"/>
        </w:rPr>
        <w:t>®</w:t>
      </w:r>
      <w:r>
        <w:rPr>
          <w:rFonts w:ascii="Arial" w:cs="Arial" w:eastAsia="Arial" w:hAnsi="Arial"/>
          <w:sz w:val="17"/>
          <w:szCs w:val="17"/>
          <w:color w:val="auto"/>
        </w:rPr>
        <w:t xml:space="preserve"> for the treatment of non-Hodgkin’s lymphoma, chronic lymphocytic leukemia and other conditions, and share profits and losses with Genentech for GAZYVA</w:t>
      </w:r>
      <w:r>
        <w:rPr>
          <w:rFonts w:ascii="Arial" w:cs="Arial" w:eastAsia="Arial" w:hAnsi="Arial"/>
          <w:sz w:val="14"/>
          <w:szCs w:val="14"/>
          <w:color w:val="auto"/>
        </w:rPr>
        <w:t>®</w:t>
      </w:r>
      <w:r>
        <w:rPr>
          <w:rFonts w:ascii="Arial" w:cs="Arial" w:eastAsia="Arial" w:hAnsi="Arial"/>
          <w:sz w:val="17"/>
          <w:szCs w:val="17"/>
          <w:color w:val="auto"/>
        </w:rPr>
        <w:t>, which is approved for the treatment of chronic lymphocytic leukemia.</w:t>
      </w:r>
    </w:p>
    <w:p>
      <w:pPr>
        <w:spacing w:after="0" w:line="178"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color w:val="auto"/>
        </w:rPr>
        <w:t>We are focused on discovering and developing new therapies that improve the lives of patients having diseases with high unmet medical needs. We support our mission through the commitment of significant resources to research and development programs and business development opportunities, particularly within areas of our scientific, manufacturing and technical expertise—neurology, immunology and hematology, and scientific adjacencies.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We were formed as a corporation in the State of California in 1985 under the name IDEC Pharmaceuticals Corporation and reincorporated as a Delaware corporation in 1997. In 2003, we acquired Biogen, Inc. and changed our corporate name to Biogen Idec Inc. In March 2015, we changed our corporate name to Biogen Inc. Our principal executive offices are located at 225 Binney Street, Cambridge, Massachusetts 02142 and our telephone number at our principal executive offices is (617) 679-2000. You may visit us at our website located at http://www.biogen.com. The contents of our website have not been, and shall not be deemed to be, incorporated by reference into, and do not form a part of, this prospectus supplement or the accompanying prospectus.</w:t>
      </w:r>
    </w:p>
    <w:p>
      <w:pPr>
        <w:spacing w:after="0" w:line="193" w:lineRule="exact"/>
        <w:rPr>
          <w:sz w:val="20"/>
          <w:szCs w:val="20"/>
          <w:color w:val="auto"/>
        </w:rPr>
      </w:pPr>
    </w:p>
    <w:p>
      <w:pPr>
        <w:ind w:left="200" w:right="400" w:firstLine="443"/>
        <w:spacing w:after="0" w:line="308" w:lineRule="auto"/>
        <w:rPr>
          <w:sz w:val="20"/>
          <w:szCs w:val="20"/>
          <w:color w:val="auto"/>
        </w:rPr>
      </w:pPr>
      <w:r>
        <w:rPr>
          <w:rFonts w:ascii="Arial" w:cs="Arial" w:eastAsia="Arial" w:hAnsi="Arial"/>
          <w:sz w:val="17"/>
          <w:szCs w:val="17"/>
          <w:color w:val="auto"/>
        </w:rPr>
        <w:t>ALPROLIX</w:t>
      </w:r>
      <w:r>
        <w:rPr>
          <w:rFonts w:ascii="Arial" w:cs="Arial" w:eastAsia="Arial" w:hAnsi="Arial"/>
          <w:sz w:val="14"/>
          <w:szCs w:val="14"/>
          <w:color w:val="auto"/>
        </w:rPr>
        <w:t>®</w:t>
      </w:r>
      <w:r>
        <w:rPr>
          <w:rFonts w:ascii="Arial" w:cs="Arial" w:eastAsia="Arial" w:hAnsi="Arial"/>
          <w:sz w:val="17"/>
          <w:szCs w:val="17"/>
          <w:color w:val="auto"/>
        </w:rPr>
        <w:t>, AVONEX</w:t>
      </w:r>
      <w:r>
        <w:rPr>
          <w:rFonts w:ascii="Arial" w:cs="Arial" w:eastAsia="Arial" w:hAnsi="Arial"/>
          <w:sz w:val="14"/>
          <w:szCs w:val="14"/>
          <w:color w:val="auto"/>
        </w:rPr>
        <w:t>®</w:t>
      </w:r>
      <w:r>
        <w:rPr>
          <w:rFonts w:ascii="Arial" w:cs="Arial" w:eastAsia="Arial" w:hAnsi="Arial"/>
          <w:sz w:val="17"/>
          <w:szCs w:val="17"/>
          <w:color w:val="auto"/>
        </w:rPr>
        <w:t>, ELOCTATE</w:t>
      </w:r>
      <w:r>
        <w:rPr>
          <w:rFonts w:ascii="Arial" w:cs="Arial" w:eastAsia="Arial" w:hAnsi="Arial"/>
          <w:sz w:val="14"/>
          <w:szCs w:val="14"/>
          <w:color w:val="auto"/>
        </w:rPr>
        <w:t>®</w:t>
      </w:r>
      <w:r>
        <w:rPr>
          <w:rFonts w:ascii="Arial" w:cs="Arial" w:eastAsia="Arial" w:hAnsi="Arial"/>
          <w:sz w:val="17"/>
          <w:szCs w:val="17"/>
          <w:color w:val="auto"/>
        </w:rPr>
        <w:t>, FUMADERM™, PLEGRIDY</w:t>
      </w:r>
      <w:r>
        <w:rPr>
          <w:rFonts w:ascii="Arial" w:cs="Arial" w:eastAsia="Arial" w:hAnsi="Arial"/>
          <w:sz w:val="14"/>
          <w:szCs w:val="14"/>
          <w:color w:val="auto"/>
        </w:rPr>
        <w:t>®</w:t>
      </w:r>
      <w:r>
        <w:rPr>
          <w:rFonts w:ascii="Arial" w:cs="Arial" w:eastAsia="Arial" w:hAnsi="Arial"/>
          <w:sz w:val="17"/>
          <w:szCs w:val="17"/>
          <w:color w:val="auto"/>
        </w:rPr>
        <w:t>, RITUXAN</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xml:space="preserve"> and TYSABRI</w:t>
      </w:r>
      <w:r>
        <w:rPr>
          <w:rFonts w:ascii="Arial" w:cs="Arial" w:eastAsia="Arial" w:hAnsi="Arial"/>
          <w:sz w:val="14"/>
          <w:szCs w:val="14"/>
          <w:color w:val="auto"/>
        </w:rPr>
        <w:t>®</w:t>
      </w:r>
      <w:r>
        <w:rPr>
          <w:rFonts w:ascii="Arial" w:cs="Arial" w:eastAsia="Arial" w:hAnsi="Arial"/>
          <w:sz w:val="17"/>
          <w:szCs w:val="17"/>
          <w:color w:val="auto"/>
        </w:rPr>
        <w:t xml:space="preserve"> are trademarks of Biogen. FAMPYRA™ is a trademark of Acorda Therapeutics, Inc. and GAZYVA</w:t>
      </w:r>
      <w:r>
        <w:rPr>
          <w:rFonts w:ascii="Arial" w:cs="Arial" w:eastAsia="Arial" w:hAnsi="Arial"/>
          <w:sz w:val="14"/>
          <w:szCs w:val="14"/>
          <w:color w:val="auto"/>
        </w:rPr>
        <w:t>®</w:t>
      </w:r>
      <w:r>
        <w:rPr>
          <w:rFonts w:ascii="Arial" w:cs="Arial" w:eastAsia="Arial" w:hAnsi="Arial"/>
          <w:sz w:val="17"/>
          <w:szCs w:val="17"/>
          <w:color w:val="auto"/>
        </w:rPr>
        <w:t xml:space="preserve"> is a registered trademark of Genentech, Inc.</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200" w:right="220" w:firstLine="443"/>
        <w:spacing w:after="0" w:line="257" w:lineRule="auto"/>
        <w:rPr>
          <w:sz w:val="20"/>
          <w:szCs w:val="20"/>
          <w:color w:val="auto"/>
        </w:rPr>
      </w:pPr>
      <w:r>
        <w:rPr>
          <w:rFonts w:ascii="Arial" w:cs="Arial" w:eastAsia="Arial" w:hAnsi="Arial"/>
          <w:sz w:val="18"/>
          <w:szCs w:val="18"/>
          <w:color w:val="auto"/>
        </w:rPr>
        <w:t>On August 28, 2015, we entered into a Credit Agreement with Bank of America, N.A., as Administrative Agent, Swing Line Lender and an L/C Issuer, and the lenders party thereto (the “Credit Agreement”). The Credit Agreement provides for a $1.0 billion five year unsecured, revolving credit facility (the “Revolving Credit Facility”). Borrowings under the Revolving Credit Facility are available for working capital, capital expenditures, acquisitions and other lawful corporate purposes. No proceeds from the Revolving Credit Facility were drawn down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91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7914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Litigation</w:t>
      </w:r>
    </w:p>
    <w:p>
      <w:pPr>
        <w:spacing w:after="0" w:line="121" w:lineRule="exact"/>
        <w:rPr>
          <w:sz w:val="20"/>
          <w:szCs w:val="20"/>
          <w:color w:val="auto"/>
        </w:rPr>
      </w:pPr>
    </w:p>
    <w:p>
      <w:pPr>
        <w:ind w:left="200" w:right="140" w:firstLine="443"/>
        <w:spacing w:after="0" w:line="276" w:lineRule="auto"/>
        <w:rPr>
          <w:sz w:val="20"/>
          <w:szCs w:val="20"/>
          <w:color w:val="auto"/>
        </w:rPr>
      </w:pPr>
      <w:r>
        <w:rPr>
          <w:rFonts w:ascii="Arial" w:cs="Arial" w:eastAsia="Arial" w:hAnsi="Arial"/>
          <w:sz w:val="17"/>
          <w:szCs w:val="17"/>
          <w:color w:val="auto"/>
        </w:rPr>
        <w:t>On August 18, 2015, Nicole Tehrani filed an action in the United States District Court for the District of Massachusetts against Biogen, our Chief Executive Officer, George A. Scangos, and our Chief Financial Officer, Paul J. Clancy, alleging violations of 15 U.S.C. §78j(b) and §78t(a) and 17 C.F.R. §240.10b-5. The plaintiff seeks declaration of the action as a class action, certification of the plaintiff as a representative of the class and her counsel as class counsel, and an award to the plaintiff and the class of damages, interest, and attorneys’ fees. We have not formed an opinion that an unfavorable outcome is either “probable” or “remote” and are unable to estimate the magnitude or range of any potential loss.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with Mitsubishi Tanabe Pharma Corporation</w:t>
      </w:r>
    </w:p>
    <w:p>
      <w:pPr>
        <w:spacing w:after="0" w:line="121"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On September 9, 2015, we announced an agreement with Mitsubishi Tanabe Pharma Corporation (“MTPC”) to exclusively license MT-1303, a late stage experimental medicine with potential in multiple autoimmune indications. MT-1303 is an oral compound that targets the sphingosine 1-phosphate (S1P) receptor. Under the terms of the agreement, we will receive worldwide rights to MT-1303, excluding Asia. We will be responsible for global commercialization and development costs outside of Asian territories. We will pay MTPC an upfront payment of $60 million and may pay up to $484 million in milestone payments for multiple indications and territories. MTPC has the right to participate in our global clinical trials and has an option to co-promote non-multiple sclerosis indications in the United States. The transaction is subject to customary closing conditions, including the expiration of the applicable waiting period under the Hart-Scott-Rodino Antitrust Improvements Act of 1976 in the United States, and is expected to close in the fourth calendar quarter of 2015.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i w:val="1"/>
          <w:iCs w:val="1"/>
          <w:color w:val="auto"/>
        </w:rPr>
        <w:t>The following is a brief summary of some of the terms of this offering. For a more complete description of the terms of the notes, see “Description of Notes” in this prospectus supplement. As used in this “Prospectus Supplement Summary—The Offering,” the terms “Biogen,” “we,” “our,” “us” and other similar references refer only to Biogen Inc. and not to any of its subsidiaries.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Biogen Inc.</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1220"/>
        <w:spacing w:after="0" w:line="307" w:lineRule="auto"/>
        <w:rPr>
          <w:sz w:val="20"/>
          <w:szCs w:val="20"/>
          <w:color w:val="auto"/>
        </w:rPr>
      </w:pPr>
      <w:r>
        <w:rPr>
          <w:rFonts w:ascii="Arial" w:cs="Arial" w:eastAsia="Arial" w:hAnsi="Arial"/>
          <w:sz w:val="16"/>
          <w:szCs w:val="16"/>
          <w:color w:val="auto"/>
        </w:rPr>
        <w:t>$1,500,000,000 aggregate principal amount of 2.900% Senior Notes due 2020 $1,000,000,000 aggregate principal amount of 3.625% Senior Notes due 2022 $1,750,000,000 aggregate principal amount of 4.050% Senior Notes due 2025 $1,750,000,000 aggregate principal amount of 5.200% Senior Notes due 2045</w:t>
      </w:r>
    </w:p>
    <w:p>
      <w:pPr>
        <w:spacing w:after="0" w:line="18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2.900% Senior Notes due 2020: September 15,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3.625% Senior Notes due 2022: September 15,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4.050% Senior Notes due 2025: September 15, 2025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5.200% Senior Notes due 2045: September 15, 2045</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Interest on the notes will accrue from the issue date. Interest on the notes will be payable semi-annually in arrears at the rates set forth on the cover page of this prospectus supplement on March 15 and September 15 of each year, commencing March 15, 2016.</w:t>
      </w:r>
    </w:p>
    <w:p>
      <w:pPr>
        <w:spacing w:after="0" w:line="19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auto"/>
        </w:rPr>
        <w:t>We may redeem some or all of the notes of any series, at any time, at the applicable redemption prices described in this prospectus supplement. For a more detailed description, see “Description of Notes—Optional Redemption.”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Repurchase Upon a Change of Control</w:t>
      </w:r>
    </w:p>
    <w:p>
      <w:pPr>
        <w:spacing w:after="0" w:line="20" w:lineRule="exact"/>
        <w:rPr>
          <w:sz w:val="20"/>
          <w:szCs w:val="20"/>
          <w:color w:val="auto"/>
        </w:rPr>
      </w:pPr>
      <w:r>
        <w:rPr>
          <w:sz w:val="20"/>
          <w:szCs w:val="20"/>
          <w:color w:val="auto"/>
        </w:rPr>
        <w:br w:type="column"/>
      </w:r>
    </w:p>
    <w:p>
      <w:pPr>
        <w:ind w:right="140"/>
        <w:spacing w:after="0" w:line="257" w:lineRule="auto"/>
        <w:rPr>
          <w:sz w:val="20"/>
          <w:szCs w:val="20"/>
          <w:color w:val="auto"/>
        </w:rPr>
      </w:pPr>
      <w:r>
        <w:rPr>
          <w:rFonts w:ascii="Arial" w:cs="Arial" w:eastAsia="Arial" w:hAnsi="Arial"/>
          <w:sz w:val="18"/>
          <w:szCs w:val="18"/>
          <w:color w:val="auto"/>
        </w:rPr>
        <w:t>Upon the occurrence of a Change of Control Triggering Event (as defined in this prospectus supplement), unless we have exercised our option to redeem the notes, we will be required to make an offer to purchase the notes at a price equal to 101% of their principal amount, plus accrued and unpaid interest to the date of repurchase. See “Description of Notes—Change of Control.”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Covenants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The indenture governing the notes will contain covenants that, among other things, will limit our ability and the ability of our subsidiaries to:</w:t>
      </w:r>
    </w:p>
    <w:p>
      <w:pPr>
        <w:spacing w:after="0" w:line="7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issue, assume or guarantee secured debt;</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enter into certain sale and leaseback transactions; and</w:t>
      </w:r>
    </w:p>
    <w:p>
      <w:pPr>
        <w:spacing w:after="0" w:line="131" w:lineRule="exact"/>
        <w:rPr>
          <w:sz w:val="20"/>
          <w:szCs w:val="20"/>
          <w:color w:val="auto"/>
        </w:rPr>
      </w:pPr>
    </w:p>
    <w:p>
      <w:pPr>
        <w:ind w:left="4820" w:right="200" w:hanging="159"/>
        <w:spacing w:after="0" w:line="277" w:lineRule="auto"/>
        <w:tabs>
          <w:tab w:leader="none" w:pos="4800" w:val="left"/>
        </w:tabs>
        <w:rPr>
          <w:sz w:val="20"/>
          <w:szCs w:val="20"/>
          <w:color w:val="auto"/>
        </w:rPr>
      </w:pPr>
      <w:r>
        <w:rPr>
          <w:rFonts w:ascii="Arial" w:cs="Arial" w:eastAsia="Arial" w:hAnsi="Arial"/>
          <w:sz w:val="18"/>
          <w:szCs w:val="18"/>
          <w:color w:val="auto"/>
        </w:rPr>
        <w:t>•</w:t>
        <w:tab/>
        <w:t>consolidate, merge or transfer all or substantially all of our assets and the assets of our subsidiaries on a consolidated basis.</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340"/>
        <w:spacing w:after="0" w:line="259" w:lineRule="auto"/>
        <w:rPr>
          <w:sz w:val="20"/>
          <w:szCs w:val="20"/>
          <w:color w:val="auto"/>
        </w:rPr>
      </w:pPr>
      <w:r>
        <w:rPr>
          <w:rFonts w:ascii="Arial" w:cs="Arial" w:eastAsia="Arial" w:hAnsi="Arial"/>
          <w:sz w:val="18"/>
          <w:szCs w:val="18"/>
          <w:color w:val="auto"/>
        </w:rPr>
        <w:t>These covenants are subject to important exceptions and qualifications, as described in the sections titled “Description of Notes—Limitation on Liens,” “Description of Notes— Limitation on Sale and Leaseback Transactions” and “Description of Notes—Merger, Consolidation or Sale of Assets.”</w:t>
      </w:r>
    </w:p>
    <w:p>
      <w:pPr>
        <w:sectPr>
          <w:pgSz w:w="11900" w:h="16838" w:orient="portrait"/>
          <w:cols w:equalWidth="0" w:num="1">
            <w:col w:w="11260"/>
          </w:cols>
          <w:pgMar w:left="240" w:top="459" w:right="399" w:bottom="1440" w:gutter="0" w:footer="0" w:header="0"/>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notes will be our senior unsecured obligations and will rank equal in right of payment with our other existing and future senior unsecured obligations that are not, by their terms, expressly subordinated in right of payment to the notes, and senior in right of payment to any of our future subordinated indebtedness. The notes will be effectively subordinated to all of our existing and future secured indebtedness and other secured liabilities to the extent of the value of the assets securing such indebtedness and liabilities and to all indebtedness and other liabilities of our subsidiaries. As of June 30, 2015, we had no secured debt outstanding and our subsidiaries had $9.4 million of debt outstanding.</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The net proceeds of this offering are estimated to be $5.9 billion (after deducting underwriting discounts and our estimated offering expenses). The underwriters have agreed to reimburse Biogen for certain expenses related to the offering. We intend to use the net proceeds from the sale of the notes, together with cash on hand, to fund share repurchases of our common stock under our $5 billion stock repurchase plan and for working capital and other general corporate purposes. See “Use of Proceeds.”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We may, without notice to or consent of the holders or beneficial owners of the notes, create and issue in a separate offering additional notes having the same ranking, interest rate, maturity and other terms as the notes. Any additional debt securities having such similar terms, together with that series of notes, could be considered part of the same series of notes under the indenture; provided that if the additional notes are not fungible with the notes of a particular series for United States federal income tax purposes, the additional notes will have a separate CUSIP number.</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Denomination and Form</w:t>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color w:val="auto"/>
        </w:rPr>
        <w:t xml:space="preserve">We will issue the notes in the form of one or more fully registered global notes registered in the name of the nominee of The Depository Trust Company, or DTC. Beneficial interests in the notes will be represented through book-entry accounts of financial institutions acting on behalf of beneficial owners as direct and indirect participants in DTC.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and Euroclear Bank, S.A./N.V., as operator of the Euroclear System, will</w:t>
      </w:r>
      <w:r>
        <w:rPr>
          <w:rFonts w:ascii="Arial" w:cs="Arial" w:eastAsia="Arial" w:hAnsi="Arial"/>
          <w:sz w:val="17"/>
          <w:szCs w:val="17"/>
          <w:i w:val="1"/>
          <w:iCs w:val="1"/>
          <w:color w:val="auto"/>
        </w:rPr>
        <w:t xml:space="preserve"> </w:t>
      </w:r>
      <w:r>
        <w:rPr>
          <w:rFonts w:ascii="Arial" w:cs="Arial" w:eastAsia="Arial" w:hAnsi="Arial"/>
          <w:sz w:val="17"/>
          <w:szCs w:val="17"/>
          <w:color w:val="auto"/>
        </w:rPr>
        <w:t>hold interests on behalf of their participants through their respective U.S. depositaries, which, in turn, will hold such interests in accounts as participants of DTC. Except in the limited circumstances described in this prospectus supplement, owners of beneficial interests in the notes will not be entitled to have notes registered in their names, will not receive or be entitled to receive notes in definitive form and will</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839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1839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580"/>
        <w:spacing w:after="0" w:line="308" w:lineRule="auto"/>
        <w:rPr>
          <w:sz w:val="20"/>
          <w:szCs w:val="20"/>
          <w:color w:val="auto"/>
        </w:rPr>
      </w:pPr>
      <w:r>
        <w:rPr>
          <w:rFonts w:ascii="Arial" w:cs="Arial" w:eastAsia="Arial" w:hAnsi="Arial"/>
          <w:sz w:val="17"/>
          <w:szCs w:val="17"/>
          <w:color w:val="auto"/>
        </w:rPr>
        <w:t>not be considered holders of notes under the indenture. The notes will be issued only in denominations of $2,000 and integral multiples of $1,000 in excess thereof.</w:t>
      </w:r>
    </w:p>
    <w:p>
      <w:pPr>
        <w:sectPr>
          <w:pgSz w:w="11900" w:h="16838" w:orient="portrait"/>
          <w:cols w:equalWidth="0" w:num="1">
            <w:col w:w="11260"/>
          </w:cols>
          <w:pgMar w:left="240" w:top="459" w:right="39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Investing in the notes involves risks. See “Risk Factors” on page S-11 hereof and in our Quarterly Report on Form 10-Q for the quarter ended June 30, 2015 for a description of certain risks you should consider before investing in the notes.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New York</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5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555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20" w:firstLine="443"/>
        <w:spacing w:after="0" w:line="297" w:lineRule="auto"/>
        <w:rPr>
          <w:sz w:val="20"/>
          <w:szCs w:val="20"/>
          <w:color w:val="auto"/>
        </w:rPr>
      </w:pPr>
      <w:r>
        <w:rPr>
          <w:rFonts w:ascii="Arial" w:cs="Arial" w:eastAsia="Arial" w:hAnsi="Arial"/>
          <w:sz w:val="16"/>
          <w:szCs w:val="16"/>
          <w:color w:val="auto"/>
        </w:rPr>
        <w:t>The following table sets forth our selected consolidated financial statements at the dates and for the periods presented. The financial information for the fiscal years ended December 31, 2014, 2013 and 2012 has been derived from our audited financial statements. The interim financial information for the six months ended June 30, 2015 and 2014 has been derived from our unaudited condensed consolidated financial statements. The results for the six-month periods are not necessarily indicative of expected results for the full fiscal year. You should read the following information in conjunction with our consolidated financial statements and related notes that we incorporate by reference in this prospectus supplement and the accompany prospectus.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Fiscal 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0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60"/>
              <w:spacing w:after="0" w:line="142" w:lineRule="exact"/>
              <w:rPr>
                <w:sz w:val="20"/>
                <w:szCs w:val="20"/>
                <w:color w:val="auto"/>
              </w:rPr>
            </w:pPr>
            <w:r>
              <w:rPr>
                <w:rFonts w:ascii="Arial" w:cs="Arial" w:eastAsia="Arial" w:hAnsi="Arial"/>
                <w:sz w:val="14"/>
                <w:szCs w:val="14"/>
                <w:color w:val="auto"/>
              </w:rPr>
              <w:t>(1)(2)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6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6"/>
                <w:szCs w:val="16"/>
                <w:color w:val="auto"/>
                <w:w w:val="90"/>
              </w:rPr>
              <w:t>Results of Operations:</w:t>
            </w:r>
          </w:p>
        </w:tc>
        <w:tc>
          <w:tcPr>
            <w:tcW w:w="4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Product revenues,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4,370.9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3,799.1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8,203.4</w:t>
            </w:r>
          </w:p>
        </w:tc>
        <w:tc>
          <w:tcPr>
            <w:tcW w:w="4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5,542.3</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4,166.1</w:t>
            </w: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Revenues from unconsolidated joint business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668.1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600.2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1,126.0</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1,137.9</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Other revenues</w:t>
            </w:r>
          </w:p>
        </w:tc>
        <w:tc>
          <w:tcPr>
            <w:tcW w:w="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151.9</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263.9</w:t>
            </w: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Total revenues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5,146.6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4,551.2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9,703.3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6,932.2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5,516.5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Total cost and expenses</w:t>
            </w:r>
          </w:p>
        </w:tc>
        <w:tc>
          <w:tcPr>
            <w:tcW w:w="8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2,795.6</w:t>
            </w:r>
          </w:p>
        </w:tc>
        <w:tc>
          <w:tcPr>
            <w:tcW w:w="10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2,898.9</w:t>
            </w:r>
          </w:p>
        </w:tc>
        <w:tc>
          <w:tcPr>
            <w:tcW w:w="18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5,747.7</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4,441.6</w:t>
            </w:r>
          </w:p>
        </w:tc>
        <w:tc>
          <w:tcPr>
            <w:tcW w:w="1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3,707.4</w:t>
            </w: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Gain on sale of rights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24.9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Income from operations</w:t>
            </w:r>
          </w:p>
        </w:tc>
        <w:tc>
          <w:tcPr>
            <w:tcW w:w="8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2,351.0</w:t>
            </w:r>
          </w:p>
        </w:tc>
        <w:tc>
          <w:tcPr>
            <w:tcW w:w="10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1,660.1</w:t>
            </w:r>
          </w:p>
        </w:tc>
        <w:tc>
          <w:tcPr>
            <w:tcW w:w="18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3,972.4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2,515.5</w:t>
            </w:r>
          </w:p>
        </w:tc>
        <w:tc>
          <w:tcPr>
            <w:tcW w:w="1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1,855.9</w:t>
            </w: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540" w:type="dxa"/>
            <w:vAlign w:val="bottom"/>
            <w:gridSpan w:val="3"/>
          </w:tcPr>
          <w:p>
            <w:pPr>
              <w:ind w:left="320"/>
              <w:spacing w:after="0"/>
              <w:rPr>
                <w:sz w:val="20"/>
                <w:szCs w:val="20"/>
                <w:color w:val="auto"/>
              </w:rPr>
            </w:pPr>
            <w:r>
              <w:rPr>
                <w:rFonts w:ascii="Arial" w:cs="Arial" w:eastAsia="Arial" w:hAnsi="Arial"/>
                <w:sz w:val="16"/>
                <w:szCs w:val="16"/>
                <w:color w:val="auto"/>
                <w:w w:val="97"/>
              </w:rPr>
              <w:t>Income before income tax expense and equity in loss of investee, net of tax</w:t>
            </w:r>
          </w:p>
        </w:tc>
        <w:tc>
          <w:tcPr>
            <w:tcW w:w="8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2,325.1</w:t>
            </w:r>
          </w:p>
        </w:tc>
        <w:tc>
          <w:tcPr>
            <w:tcW w:w="10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1,659.3</w:t>
            </w:r>
          </w:p>
        </w:tc>
        <w:tc>
          <w:tcPr>
            <w:tcW w:w="18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3,946.6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2,480.6</w:t>
            </w:r>
          </w:p>
        </w:tc>
        <w:tc>
          <w:tcPr>
            <w:tcW w:w="1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1,855.1</w:t>
            </w: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574.4</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446.9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989.9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601.0</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470.6</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Equity in loss of investee, net of tax</w:t>
            </w:r>
          </w:p>
        </w:tc>
        <w:tc>
          <w:tcPr>
            <w:tcW w:w="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1,745.0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1,202.9</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2,941.5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1,862.3</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Net income attributable to Biogen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1,749.8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1,194.5</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2,934.</w:t>
            </w:r>
            <w:r>
              <w:rPr>
                <w:rFonts w:ascii="Arial" w:cs="Arial" w:eastAsia="Arial" w:hAnsi="Arial"/>
                <w:sz w:val="16"/>
                <w:szCs w:val="16"/>
                <w:u w:val="single" w:color="auto"/>
                <w:color w:val="auto"/>
              </w:rPr>
              <w:t>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1,862.3</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6"/>
                <w:szCs w:val="16"/>
                <w:color w:val="auto"/>
              </w:rPr>
              <w:t>Results of Operations: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w:t>
            </w:r>
            <w:r>
              <w:rPr>
                <w:rFonts w:ascii="Arial" w:cs="Arial" w:eastAsia="Arial" w:hAnsi="Arial"/>
                <w:sz w:val="16"/>
                <w:szCs w:val="16"/>
                <w:u w:val="single" w:color="auto"/>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5.</w:t>
            </w:r>
            <w:r>
              <w:rPr>
                <w:rFonts w:ascii="Arial" w:cs="Arial" w:eastAsia="Arial" w:hAnsi="Arial"/>
                <w:sz w:val="16"/>
                <w:szCs w:val="16"/>
                <w:u w:val="single" w:color="auto"/>
                <w:color w:val="auto"/>
              </w:rPr>
              <w:t>03</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7.81</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Weighted-average shares used in calculating diluted earnings per share</w:t>
            </w:r>
          </w:p>
        </w:tc>
        <w:tc>
          <w:tcPr>
            <w:tcW w:w="80" w:type="dxa"/>
            <w:vAlign w:val="bottom"/>
          </w:tcPr>
          <w:p>
            <w:pPr>
              <w:spacing w:after="0"/>
              <w:rPr>
                <w:sz w:val="22"/>
                <w:szCs w:val="2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22"/>
                <w:szCs w:val="2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237.6</w:t>
            </w:r>
          </w:p>
        </w:tc>
        <w:tc>
          <w:tcPr>
            <w:tcW w:w="18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237.2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238.3</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239.7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3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w w:val="93"/>
              </w:rPr>
              <w:t>Financial Condition:</w:t>
            </w:r>
          </w:p>
        </w:tc>
        <w:tc>
          <w:tcPr>
            <w:tcW w:w="42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320"/>
              <w:spacing w:after="0"/>
              <w:rPr>
                <w:sz w:val="20"/>
                <w:szCs w:val="20"/>
                <w:color w:val="auto"/>
              </w:rPr>
            </w:pPr>
            <w:r>
              <w:rPr>
                <w:rFonts w:ascii="Arial" w:cs="Arial" w:eastAsia="Arial" w:hAnsi="Arial"/>
                <w:sz w:val="16"/>
                <w:szCs w:val="16"/>
                <w:color w:val="auto"/>
              </w:rPr>
              <w:t>Cash, cash equivalents and marketable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4,470.5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2,583.9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3,316.0</w:t>
            </w:r>
          </w:p>
        </w:tc>
        <w:tc>
          <w:tcPr>
            <w:tcW w:w="4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1,848.5</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3,742.4</w:t>
            </w: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6"/>
              </w:rPr>
              <w:t>16,759.2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6"/>
              </w:rPr>
              <w:t>12,918.0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14,316.6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11,863.3</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10,130.1</w:t>
            </w:r>
          </w:p>
        </w:tc>
        <w:tc>
          <w:tcPr>
            <w:tcW w:w="0" w:type="dxa"/>
            <w:vAlign w:val="bottom"/>
          </w:tcPr>
          <w:p>
            <w:pPr>
              <w:spacing w:after="0"/>
              <w:rPr>
                <w:sz w:val="1"/>
                <w:szCs w:val="1"/>
                <w:color w:val="auto"/>
              </w:rPr>
            </w:pPr>
          </w:p>
        </w:tc>
      </w:tr>
      <w:tr>
        <w:trPr>
          <w:trHeight w:val="193"/>
        </w:trPr>
        <w:tc>
          <w:tcPr>
            <w:tcW w:w="5540" w:type="dxa"/>
            <w:vAlign w:val="bottom"/>
            <w:gridSpan w:val="3"/>
          </w:tcPr>
          <w:p>
            <w:pPr>
              <w:ind w:left="320"/>
              <w:spacing w:after="0"/>
              <w:rPr>
                <w:sz w:val="20"/>
                <w:szCs w:val="20"/>
                <w:color w:val="auto"/>
              </w:rPr>
            </w:pPr>
            <w:r>
              <w:rPr>
                <w:rFonts w:ascii="Arial" w:cs="Arial" w:eastAsia="Arial" w:hAnsi="Arial"/>
                <w:sz w:val="16"/>
                <w:szCs w:val="16"/>
                <w:color w:val="auto"/>
                <w:w w:val="97"/>
              </w:rPr>
              <w:t>Notes payable, line of credit and other financing arrangements, less current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gridSpan w:val="3"/>
          </w:tcPr>
          <w:p>
            <w:pPr>
              <w:ind w:left="480"/>
              <w:spacing w:after="0"/>
              <w:rPr>
                <w:sz w:val="20"/>
                <w:szCs w:val="20"/>
                <w:color w:val="auto"/>
              </w:rPr>
            </w:pPr>
            <w:r>
              <w:rPr>
                <w:rFonts w:ascii="Arial" w:cs="Arial" w:eastAsia="Arial" w:hAnsi="Arial"/>
                <w:sz w:val="16"/>
                <w:szCs w:val="16"/>
                <w:color w:val="auto"/>
              </w:rPr>
              <w:t>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576.2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0"/>
              <w:spacing w:after="0"/>
              <w:rPr>
                <w:sz w:val="20"/>
                <w:szCs w:val="20"/>
                <w:color w:val="auto"/>
              </w:rPr>
            </w:pPr>
            <w:r>
              <w:rPr>
                <w:rFonts w:ascii="Arial" w:cs="Arial" w:eastAsia="Arial" w:hAnsi="Arial"/>
                <w:sz w:val="16"/>
                <w:szCs w:val="16"/>
                <w:color w:val="auto"/>
              </w:rPr>
              <w:t>586.1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582.1</w:t>
            </w:r>
          </w:p>
        </w:tc>
        <w:tc>
          <w:tcPr>
            <w:tcW w:w="4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592.4</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687.4</w:t>
            </w: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Total Biogen Inc.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6"/>
              </w:rPr>
              <w:t>12,572.6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9,561.3</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10,809.0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8,620.2</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6,961.5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right="60" w:hanging="423"/>
        <w:spacing w:after="0" w:line="258"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share of revenues from unconsolidated joint business reflects charges of $49.7 million in 2013 for damages and interest awarded to Hoechst in Genentech’s arbitration with Hoechst for RITUXAN.</w:t>
      </w:r>
    </w:p>
    <w:p>
      <w:pPr>
        <w:spacing w:after="0" w:line="1" w:lineRule="exact"/>
        <w:rPr>
          <w:rFonts w:ascii="Arial" w:cs="Arial" w:eastAsia="Arial" w:hAnsi="Arial"/>
          <w:sz w:val="18"/>
          <w:szCs w:val="18"/>
          <w:color w:val="auto"/>
        </w:rPr>
      </w:pPr>
    </w:p>
    <w:p>
      <w:pPr>
        <w:ind w:left="620" w:right="180" w:hanging="423"/>
        <w:spacing w:after="0" w:line="25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Commencing in the second quarter of 2013, product and total revenues include 100% of net revenues related to sales of TYSABRI as a result of our acquisition of all remaining rights to TYSABRI from Elan and net revenues related to sales of TECFIDERA. In addition, upon the closing of our acquisition of all remaining rights to TYSABRI, our collaboration agreement was terminated, and we no longer record collaboration profit sharing.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6"/>
          <w:szCs w:val="16"/>
          <w:i w:val="1"/>
          <w:iCs w:val="1"/>
          <w:color w:val="auto"/>
        </w:rPr>
        <w:t>You should carefully consider the following risk factors as well as the information included or incorporated by reference in this prospectus supplement and the accompanying prospectus, including the discussion of risk factors in our Quarterly Report on Form 10-Q for the quarter ended June 30, 2015, which is incorporated by reference, before making a decision to invest in the notes. Some of these factors relate principally to our business and the industry in which we operate. Other factors relate principally to your investment in the notes. The risks and uncertainties described below are not the only ones facing us.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Additional risks and uncertainties not presently known to us or that we currently deem immaterial may also materially adversely affect our business and operations. If any of the matters included in the following risks were to occur, our business, financial condition, results of operations, cash flows or prospects could be materially adversely affected. In such case, you may lose all or part of your investment.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indebtedness could adversely affect our business and limit our ability to plan for or respond to changes in our business.</w:t>
      </w:r>
    </w:p>
    <w:p>
      <w:pPr>
        <w:spacing w:after="0" w:line="129" w:lineRule="exact"/>
        <w:rPr>
          <w:sz w:val="20"/>
          <w:szCs w:val="20"/>
          <w:color w:val="auto"/>
        </w:rPr>
      </w:pPr>
    </w:p>
    <w:p>
      <w:pPr>
        <w:jc w:val="both"/>
        <w:ind w:right="380" w:firstLine="456"/>
        <w:spacing w:after="0" w:line="342" w:lineRule="auto"/>
        <w:rPr>
          <w:sz w:val="20"/>
          <w:szCs w:val="20"/>
          <w:color w:val="auto"/>
        </w:rPr>
      </w:pPr>
      <w:r>
        <w:rPr>
          <w:rFonts w:ascii="Arial" w:cs="Arial" w:eastAsia="Arial" w:hAnsi="Arial"/>
          <w:sz w:val="16"/>
          <w:szCs w:val="16"/>
          <w:color w:val="auto"/>
        </w:rPr>
        <w:t>We have a substantial amount of indebtedness. In addition, we also have significant contingent liabilities, including milestone and royalty payment obligations. We may also incur additional debt in the future. This indebtedness could have important consequences to our business, for example, it could:</w:t>
      </w:r>
    </w:p>
    <w:p>
      <w:pPr>
        <w:spacing w:after="0" w:line="2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29" w:lineRule="exact"/>
        <w:rPr>
          <w:rFonts w:ascii="Arial" w:cs="Arial" w:eastAsia="Arial" w:hAnsi="Arial"/>
          <w:sz w:val="16"/>
          <w:szCs w:val="16"/>
          <w:color w:val="auto"/>
        </w:rPr>
      </w:pPr>
    </w:p>
    <w:p>
      <w:pPr>
        <w:ind w:left="900" w:right="7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notes are effectively junior to the existing and future liabilities of our subsidiaries and to any secured debt we may incur to the extent of the assets securing the same.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subsidiaries are separate and distinct legal entities. Our subsidiaries have no obligation to pay any amounts due on the notes. In addition, any payment of dividends, loans, or advances by our subsidiaries could be subject to statutory or contractual restrictions. Payments to us by our subsidiaries will also be contingent upon the subsidiaries’ earnings and business considerations. Our right to receive any assets of any of our subsidiaries upon their bankruptcy, liquidation or reorganization, and therefore the right of the holders of the notes to participate in those assets, will be effectively subordinated to the claims of that subsidiary’s creditors, including trade creditors. In addition, even if we are a creditor of any of our subsidiaries, our right as a creditor would be subordinate to any security interest in the assets of our subsidiaries and any indebtedness of our subsidiaries senior to that held by us. At June 30, 2015, our subsidiaries had $9.4 million of debt outstanding.</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notes are our senior unsecured obligations and will rank equal in right of payment with our other existing and future senior unsecured obligations that are not, by their terms, expressly subordinated in right of payment to the notes. The notes are not secured by any of our assets. Claims of secured lenders with respect to assets securing their loans will be prior to any claim of the holders of the notes with respect to those assets. As of June 30, 2015, we had no secured debt outstanding.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does not restrict the amount of additional unsecured debt that we may incur.</w:t>
      </w:r>
    </w:p>
    <w:p>
      <w:pPr>
        <w:spacing w:after="0" w:line="11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notes and indenture under which the notes will be issued do not place any limitation on the amount of unsecured debt that may be incurred by us. Our incurrence of additional debt may have important consequences for you as a holder of the notes, including making it more difficult for us to satisfy our obligations with respect to the notes, a loss in the market value of your notes and a risk that the credit rating of the notes is lowered or withdrawn.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the occurrence of specific kinds of change of control events, each holder of notes will have the right to require us to repurchase all or any part of such holder’s notes at a price equal to 101% of their principal amount, plus accrued and unpaid interest, if any, to but not including the date of repurchase. If we experience a Change of Control Triggering Event, there can be no assurance that we would have sufficient financial resources available to satisfy our obligations to repurchase the notes. Our failure to repurchase a series of notes as required under the indenture governing that series of notes would result in a default under the indenture, which could have material adverse consequences for us and the holders of the notes. See “Description of Notes—Change of Control.”</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terms of the indenture and the notes provide only limited protection against significant corporate events that could adversely impact your investment in the notes.</w:t>
      </w:r>
    </w:p>
    <w:p>
      <w:pPr>
        <w:spacing w:after="0" w:line="62"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While the indenture and the notes contain terms intended to provide protection to noteholders upon the occurrence of certain events involving significant corporate transactions or our creditworthiness, such terms are limited and may not be sufficient to protect your investment in the notes.</w:t>
      </w:r>
    </w:p>
    <w:p>
      <w:pPr>
        <w:spacing w:after="0" w:line="12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described under “Description of Notes—Change of Control,” upon the occurrence of a Change of Control Triggering Event, holders are entitled to require us to repurchase their notes at 101% of their principal amount, plus accrued and unpaid interest, if any. However, the definition of the term “Change of Control Triggering Event” is limited and does not cover a variety of transactions (such as acquisitions by us or recapitalizations) which could negatively impact the value of your notes. As such, if we were to enter into a significant corporate transaction that would negatively impact the value of the notes, but which would not constitute a Change of Control Triggering Event, you would not have any rights to require us to repurchase the notes prior to their maturity.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the indenture for the notes does not:</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maintain any financial ratios or specific levels of net worth, revenues, income, cash flow or liquidity;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our ability to incur unsecured indebtedness that is equal in right of payment to the notes;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repurchase or prepay any other of our securities or other indebtedness; or</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our ability to make investments or to repurchase or pay dividends or make other payments in respect of our common stock or other securities ranking junior to the notes.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notes.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series of notes is a new issue of securities with no established trading market. We do not intend to apply for listing of the notes of either series on any national securities exchange or for quotation of the notes of either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will be adversely affected.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Biogen</w:t>
      </w:r>
    </w:p>
    <w:p>
      <w:pPr>
        <w:spacing w:after="0" w:line="121"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Our business is subject to uncertainties and risks. You should carefully consider and evaluate all of the information included and incorporated by reference in this prospectus supplement and the accompanying prospectus, including “Part II, Item 1A. Risk Factors” incorporated by reference from our Quarterly Report on Form 10-Q for the quarter ended June 30, 2015, as updated by other SEC filings filed after such quarterly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net proceeds of this offering are estimated to be $5.9 billion (after deducting underwriting discounts and our estimated offering expenses). The underwriters have agreed to reimburse us for certain expenses related to the offering. We intend to use the net proceeds from the sale of the notes, together with cash on hand, to fund share repurchases of our common stock under our $5 billion stock repurchase plan and for working capital and other general corporate purposes.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24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our condensed consolidated cash, cash equivalents and marketable securities and capitalization as of June 30, 2015 on an actual basis and as adjusted basis to give effect to the sale of the notes (after deducting underwriting discounts and our estimated offering expenses) and application of those proceeds as described under “Use of Proceeds” in this prospectus supplement. You should read this table in conjunction with our condensed consolidated financial statements and related notes thereto which are incorporated by reference.</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As of June 30, 2015</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448"/>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9"/>
              </w:rPr>
              <w:t>($ in millions)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marketable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4,470.5</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10,402.4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Capitalization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5"/>
        </w:trPr>
        <w:tc>
          <w:tcPr>
            <w:tcW w:w="7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Revolving credit facility (2)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7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Existing Notes: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Notes payable to Fumedica</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2018 Notes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Notes offered hereby: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Notes due 2020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Notes due 2022</w:t>
            </w:r>
          </w:p>
        </w:tc>
        <w:tc>
          <w:tcPr>
            <w:tcW w:w="80" w:type="dxa"/>
            <w:vAlign w:val="bottom"/>
          </w:tcPr>
          <w:p>
            <w:pPr>
              <w:spacing w:after="0"/>
              <w:rPr>
                <w:sz w:val="18"/>
                <w:szCs w:val="18"/>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Notes due 2025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16"/>
        </w:trPr>
        <w:tc>
          <w:tcPr>
            <w:tcW w:w="7120" w:type="dxa"/>
            <w:vAlign w:val="bottom"/>
          </w:tcPr>
          <w:p>
            <w:pPr>
              <w:ind w:left="720"/>
              <w:spacing w:after="0"/>
              <w:rPr>
                <w:sz w:val="20"/>
                <w:szCs w:val="20"/>
                <w:color w:val="auto"/>
              </w:rPr>
            </w:pPr>
            <w:r>
              <w:rPr>
                <w:rFonts w:ascii="Arial" w:cs="Arial" w:eastAsia="Arial" w:hAnsi="Arial"/>
                <w:sz w:val="18"/>
                <w:szCs w:val="18"/>
                <w:color w:val="auto"/>
              </w:rPr>
              <w:t>Notes due 2045</w:t>
            </w:r>
          </w:p>
        </w:tc>
        <w:tc>
          <w:tcPr>
            <w:tcW w:w="80" w:type="dxa"/>
            <w:vAlign w:val="bottom"/>
          </w:tcPr>
          <w:p>
            <w:pPr>
              <w:spacing w:after="0"/>
              <w:rPr>
                <w:sz w:val="18"/>
                <w:szCs w:val="18"/>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1,720.9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Total debt</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2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579.5</w:t>
            </w:r>
          </w:p>
        </w:tc>
        <w:tc>
          <w:tcPr>
            <w:tcW w:w="36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6,511.4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Preferred stock, $0.001 par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$0.0005 par value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4,251.4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4,251.4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8"/>
                <w:szCs w:val="18"/>
                <w:color w:val="auto"/>
                <w:w w:val="88"/>
              </w:rPr>
              <w:t>11,033.7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11,033.7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w w:val="94"/>
              </w:rPr>
              <w:t>(2,611.7)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120" w:type="dxa"/>
            <w:vAlign w:val="bottom"/>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12,572.6</w:t>
            </w:r>
          </w:p>
        </w:tc>
        <w:tc>
          <w:tcPr>
            <w:tcW w:w="360" w:type="dxa"/>
            <w:vAlign w:val="bottom"/>
          </w:tcPr>
          <w:p>
            <w:pPr>
              <w:spacing w:after="0"/>
              <w:rPr>
                <w:sz w:val="24"/>
                <w:szCs w:val="24"/>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12,572.6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7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8"/>
              </w:rPr>
              <w:t>13,152.1</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19,084.0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Numbers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Gives effect to the issuance of the notes offered hereby.</w:t>
      </w:r>
    </w:p>
    <w:p>
      <w:pPr>
        <w:spacing w:after="0" w:line="23" w:lineRule="exact"/>
        <w:rPr>
          <w:sz w:val="20"/>
          <w:szCs w:val="20"/>
          <w:color w:val="auto"/>
        </w:rPr>
      </w:pPr>
    </w:p>
    <w:p>
      <w:pPr>
        <w:ind w:left="460" w:right="5480" w:hanging="5535"/>
        <w:spacing w:after="0" w:line="433" w:lineRule="auto"/>
        <w:tabs>
          <w:tab w:leader="none" w:pos="440" w:val="left"/>
        </w:tabs>
        <w:rPr>
          <w:sz w:val="20"/>
          <w:szCs w:val="20"/>
          <w:color w:val="auto"/>
        </w:rPr>
      </w:pPr>
      <w:r>
        <w:rPr>
          <w:rFonts w:ascii="Arial" w:cs="Arial" w:eastAsia="Arial" w:hAnsi="Arial"/>
          <w:sz w:val="18"/>
          <w:szCs w:val="18"/>
          <w:color w:val="auto"/>
        </w:rPr>
        <w:t>(2)</w:t>
        <w:tab/>
        <w:t>Our revolving credit facility provides for borrowings of up to $1.0 billion. S-15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Each of the 2.900% Senior Notes due 2020 (the “notes due 2020”), the 3.625% Senior Notes due 2022 (the “notes due 2022”), the 4.050% Senior Notes due 2025 (the “notes due 2025”) and the 5.200% Senior Notes due 2045 (the “notes due 2045” and, together with the notes due 2020, the notes due 2022 and the notes due 2025, the “notes”) are a separate series of debt securities to be issued under an indenture, to be dated as of September 15, 2015, between the Company and U.S. Bank National Association, as trustee. We refer to this indenture, as supplemented by a supplemental indenture, to be dated as of September 15, 2015, between the Company and the trustee, as the “indenture.” The terms of the notes include those stated in the indenture and those made part of the indenture by reference to the Trust Indenture Act of 1939. A copy of the indenture is available for inspection at the office of the trustee.</w:t>
      </w:r>
    </w:p>
    <w:p>
      <w:pPr>
        <w:spacing w:after="0" w:line="16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Biogen Inc. and not to any of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due 2020 will be initially limited to $1,500,000,000 aggregate principal amount and will mature and become due and payable, together with any accrued and unpaid interest thereon, on September 15, 2020.</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due 2022 will be initially limited to $1,000,000,000 aggregate principal amount and will mature and become due and payable, together with any accrued and unpaid interest thereon, on September 15, 2022.</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due 2025 will be initially limited to $1,750,000,000 aggregate principal amount and will mature and become due and payable, together with any accrued and unpaid interest thereon, on September 15, 2025.</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due 2045 will be initially limited to $1,750,000,000 aggregate principal amount and will mature and become due and payable, together with any accrued and unpaid interest thereon, on September 15, 2045.</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and the notes of such series will generally constitute a single series under the indenture, provided that if the additional notes are not fungible with the notes of such series for U.S. federal income tax purposes, the additional notes will have a separate CUSIP number.</w:t>
      </w:r>
    </w:p>
    <w:p>
      <w:pPr>
        <w:spacing w:after="0" w:line="17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Notes of each of the series will bear interest at the applicable annual rate noted on the cover page of this prospectus supplement. Interest will be payable semiannually on March 15 and September 15 of each year, beginning March 15, 2016. Interest on the notes will be paid to holders of record at the close of business on the March 1 or September 1, whether or not a business day, immediately before the applicable interest payment date. The amount of interest payable on the notes will be computed on the basis of a 360-day year consisting of twelve 30-day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will be issued only in fully registered form, without coupons, in denominations of $2,000 and integral multiples of $1,000 in excess thereof.</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any interest payment date or the maturity date of the notes is not a business day, then the related payment of interest and/or principal payable on such date will be paid on the next succeeding business day with the same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notes will be senior unsecured obligations and will rank equal in right of payment with our other existing and future senior unsecured obligations, and senior in right of payment to any of our future subordinated indebtedness.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notes will be effectively subordinated to any secured obligations of ours to the extent of the value of the assets securing such obligations. The indenture limits the amount of secured indebtedness that we or our Subsidiaries may incur pursuant to the covenant described under the heading “— Limitation on Liens.” This covenant is subject to important exceptions described under such heading. As of June 30, 2015, we had no secured debt outstanding.</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conduct many of our operations through subsidiaries, which generate a substantial portion of our operating income and cash. As a result, distributions or advances from our subsidiaries are a major source of funds necessary to meet our debt service and other obligations. Contractual provisions, laws or regulations, as well as any subsidiary’s financial condition and operating requirements, may limit our ability to obtain cash required to service our debt obligations, including making payments on the notes.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notes will be structurally subordinated to all existing and future obligations of our subsidiaries, including claims with respect to trade payables. This means that holders of the notes will have a junior position to the claims of creditors of our direct and indirect subsidiaries on the assets and earnings of such subsidiaries. The indenture does not limit the amount of debt that our subsidiaries are permitted to incur. As of June 30, 2015, our subsidiaries had outstanding $9.4 million of debt (including the current portion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2020</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At any time and from time to time, the notes due 2020 are redeemable, as a whole or in part, at our option, on at least 30 days, but not more than 60 days, prior notice mailed to the registered address of each holder of the notes due 2020, at a redemption price equal to the greater of:</w:t>
      </w:r>
    </w:p>
    <w:p>
      <w:pPr>
        <w:spacing w:after="0" w:line="5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principal amount of the notes due 2020 to be redeemed,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20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2022</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At any time and from time to time, the notes due 2022 are redeemable, as a whole or in part, at our option, on at least 30 days, but not more than 60 days, prior notice mailed to the registered address of each holder of the notes due 2022, at a redemption price equal to the greater of:</w:t>
      </w:r>
    </w:p>
    <w:p>
      <w:pPr>
        <w:spacing w:after="0" w:line="52" w:lineRule="exact"/>
        <w:rPr>
          <w:sz w:val="20"/>
          <w:szCs w:val="20"/>
          <w:color w:val="auto"/>
        </w:rPr>
      </w:pPr>
    </w:p>
    <w:p>
      <w:pPr>
        <w:ind w:left="5540" w:right="5420" w:hanging="4965"/>
        <w:spacing w:after="0" w:line="536" w:lineRule="auto"/>
        <w:tabs>
          <w:tab w:leader="none" w:pos="895"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 of principal amount of the notes due 2022 to be redeemed, or S-17</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25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2025</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 any time and from time to time prior to June 15, 2025 (the date that is three months prior to maturity), the notes due 2025 are redeemable, as a whole or in part, at our option, on at least 30 days, but not more than 60 days, prior notice mailed to the registered address of each holder of the notes due 2025, at a redemption price equal to the greater of:</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principal amount of the notes due 2025 to be redeemed, or</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(as defined below) plus 30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or after June 15, 2025 (the date that is three months before maturity), the notes due 2025 may be redeemed, as a whole or in part, at our option, on at least 30 days, but not more than 60 days, prior notice mailed to the registered address of each holder of the notes due 2025, at a redemption price equal to 100% of the principal amount of the notes due 2025 to be redeemed on the redemption date plus accrued and unpaid interest to, but not including, the date of redemption.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2045</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any time and from time to time prior to March 15, 2045 (the date that is six months prior to maturity), the notes due 2045 are redeemable, as a whole or in part, at our option, on at least 30 days, but not more than 60 days, prior notice mailed to the registered address of each holder of the notes due 2045, at a redemption price equal to the greater of:</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principal amount of the notes due 2045 to be redeemed, or</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(as defined below) plus 35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or after March 15, 2045 (the date that is six months before maturity), the notes due 2045 may be redeemed, as a whole or in part, at our option, on at least 30 days, but not more than 60 days, prior notice mailed to the registered address of each holder of the notes due 2045, at a redemption price equal to 100% of the principal amount of the notes due 2045 to be redeemed on the redemption date plus accrued and unpaid interest to, but not including, the date of redemption.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 term of the notes of the applicable series to be redeemed that would be utilized, at the time of selection and in accordance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with customary financial practice, in pricing new issues of corporate debt securities of a comparable maturity to the remaining term of such notes.</w:t>
      </w:r>
    </w:p>
    <w:p>
      <w:pPr>
        <w:spacing w:after="0" w:line="2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“Reference Treasury Dealer” means each of Goldman, Sachs &amp; Co. and Merrill Lynch, Pierce, Fenner &amp; Smith Incorporated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(as such term is defined below)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If a Change of Control Triggering Event occurs with respect to the notes of a series, unless we have exercised our option to redeem the notes of such series as described above, we will be required to make an offer (the “Change of Control Offer”) to each holder of the notes of such series to repurchase all or any part (equal to $2,000 or an integral multiple of $1,000 in excess thereof)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but after public announcement of the transaction that constitutes or may constitute the Change of Control, a notice will be mailed to holders of the notes of the applicable series describing the transaction that constitutes or may constitute the Change of Control Triggering Event and offering to repurchase the notes of such series on the date specified in the notice, which date will be no earlier than 30 days and no later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than 60 days from the date such notice is mailed or, if the notice is mailed prior to the Change of Control, no earlier than 30 days and no later than 60 days from the date on which the Change of Control Triggering Event occurs (the “Change of Control Payment Date”). The notice will, if mailed prior to the date of consummation of the Change of Control, state that the offer to purchase is conditioned on the Change of Control Triggering Event occurring on or prior to the Change of Control Payment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will comply in all material respects with the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17"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becomes the beneficial owner (as defined in Rules 13d-3 and 13d-5 under the Exchange Act), directly or indirectly, of more than 50% of our Voting Stock or other Voting Stock into which our Voting Stock is reclassified, consolidated, exchanged or changed, measured by voting power rather than number of shares; provided, however,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w:t>
      </w:r>
    </w:p>
    <w:p>
      <w:pPr>
        <w:spacing w:after="0" w:line="5" w:lineRule="exact"/>
        <w:rPr>
          <w:sz w:val="20"/>
          <w:szCs w:val="20"/>
          <w:color w:val="auto"/>
        </w:rPr>
      </w:pPr>
    </w:p>
    <w:p>
      <w:pPr>
        <w:ind w:right="200" w:firstLine="8"/>
        <w:spacing w:after="0" w:line="281" w:lineRule="auto"/>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w:t>
      </w:r>
    </w:p>
    <w:p>
      <w:pPr>
        <w:spacing w:after="0" w:line="4"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(3) we consolidate with, or merge with or into, any “person” (as that term is used in Section 13(d) of the Exchange Act) or any such Person consolidates with, or merges with or into, us,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“Investment Grade Rating” means a rating equal to or higher than Baa3 (or the equivalent) by Moody’s and BBB- (or the equivalent) by S&amp;P, and the equivalent investment grade credit rating from any additional rating agency or Rating Agencies selected by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“Rating Agencies” means (1) each of Moody’s and S&amp;P and (2) if any of Moody’s and S&amp;P ceases to rate the notes or fails to make a rating of the notes publicly available for reasons outside of our control, a “nationally recognized statistical rating organization” within the meaning of Rule 15c3-1(c)(2) (vi)(F) under the Exchange Act selected by us (as certified by a resolution of our board of directors) and which is reasonably acceptable to the trustee as a replacement agency for Moody’s or S&amp;P, or both of them, as the case may be.</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“Rating Event” means (A) with respect to the notes due 2020, the rating on such notes is lowered by each of the Rating Agencies and such notes are rated below an Investment Grade Rating by each of the Rating Agencies, (B) with respect to the notes due 2022, the rating on such notes is lowered by each of the Rating Agencies and such notes are rated below an Investment Grade Rating by each of the Rating Agencies, (C) with respect to the notes due 2025, the rating on such notes is lowered by each of the Rating Agencies and such notes are rated below an Investment Grade Rating by each of the Rating Agencies and (D) with respect to the notes due 2045, the rating on such notes is lowered by each of the Rating Agencies and such notes are rated below an Investment Grade Rating by each of the Rating Agencies, in each case,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of any series as a result of the sale, lease, transfer, conveyance or other disposition of less than all of our assets and the assets of our Subsidiaries, taken as a whole, to one or more “persons” (as that term is used in Section 13(d) of the Exchange Act) (other than to us or one of our Subsidiaries) may be uncertain.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Subsidiary of ours to, create or assume any Indebtedness secured by any Lien on any of our or their respective Properties unless the notes are secured by such Lien equally and ratably with, or prior to, the Indebtedness secured by such Lien. This restriction does not apply to Indebtedness that is secured by:</w:t>
      </w:r>
    </w:p>
    <w:p>
      <w:pPr>
        <w:spacing w:after="0" w:line="7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92"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98"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thereof, or any instrumentality of either, to secure certain payments pursuant to any contract or statute;</w:t>
      </w:r>
    </w:p>
    <w:p>
      <w:pPr>
        <w:spacing w:after="0" w:line="75"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on the assets of a special purpose Subsidiary resulting from securitization transactions with respect to accounts receivable, royalties and similar assets included in such securitization transactions;</w:t>
      </w:r>
    </w:p>
    <w:p>
      <w:pPr>
        <w:spacing w:after="0" w:line="75"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130"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Liens encumbering customary initial deposits and margin deposits and other Liens in the ordinary course of business, in each case securing Hedging Obligations and forward contract, option, futures contracts, futures options or similar agreements or arrangements designed to protect us or any of our Subsidiaries from fluctuations in interest rates, currencies or the price of commodities;</w:t>
      </w:r>
    </w:p>
    <w:p>
      <w:pPr>
        <w:spacing w:after="0" w:line="70"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130" w:lineRule="exact"/>
        <w:rPr>
          <w:rFonts w:ascii="Arial" w:cs="Arial" w:eastAsia="Arial" w:hAnsi="Arial"/>
          <w:sz w:val="18"/>
          <w:szCs w:val="18"/>
          <w:color w:val="auto"/>
        </w:rPr>
      </w:pPr>
    </w:p>
    <w:p>
      <w:pPr>
        <w:ind w:left="900" w:hanging="325"/>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Other than as provided under “—Exempted Liens and Sale and Leaseback Transactions,” we will not, and will not permit any of our Subsidiaries to, enter into any Sale and Leaseback Transaction with respect to any of our or their respective Properties, the acquisition or completion of construction and commencement of full operations of which has occurred more than 270 days prior thereto, unless:</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with respect to such Sale and Leaseback Transaction without equally and ratably securing the notes pursuant to the first paragraph of “—Limitation on Liens” above;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142" w:lineRule="exact"/>
        <w:rPr>
          <w:rFonts w:ascii="Arial" w:cs="Arial" w:eastAsia="Arial" w:hAnsi="Arial"/>
          <w:sz w:val="17"/>
          <w:szCs w:val="17"/>
          <w:color w:val="auto"/>
        </w:rPr>
      </w:pPr>
    </w:p>
    <w:p>
      <w:pPr>
        <w:ind w:left="1480" w:right="180" w:hanging="567"/>
        <w:spacing w:after="0" w:line="277"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acquisition of different property, facilities or equipment or the expansion of our existing business, including the acquisition of other businesses.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10% of Consolidated Total Assets:</w:t>
      </w:r>
    </w:p>
    <w:p>
      <w:pPr>
        <w:spacing w:after="0" w:line="87" w:lineRule="exact"/>
        <w:rPr>
          <w:sz w:val="20"/>
          <w:szCs w:val="20"/>
          <w:color w:val="auto"/>
        </w:rPr>
      </w:pPr>
    </w:p>
    <w:p>
      <w:pPr>
        <w:ind w:left="900" w:right="22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60" w:hanging="325"/>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measured, in each case, at the time such Lien is incurred or any such Sale and Leaseback Transaction is entered into by us or such Subsidiary of ours.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76" w:lineRule="exact"/>
        <w:rPr>
          <w:sz w:val="20"/>
          <w:szCs w:val="20"/>
          <w:color w:val="auto"/>
        </w:rPr>
      </w:pPr>
    </w:p>
    <w:p>
      <w:pPr>
        <w:ind w:left="900" w:right="34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51"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of the holders unless the holders offer the trustee indemnity 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5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or security satisfactory to it against the cost and other liabilities of taking that action;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United States federal tax law, as described below, we</w:t>
      </w:r>
      <w:r>
        <w:rPr>
          <w:rFonts w:ascii="Arial" w:cs="Arial" w:eastAsia="Arial" w:hAnsi="Arial"/>
          <w:sz w:val="18"/>
          <w:szCs w:val="18"/>
          <w:i w:val="1"/>
          <w:iCs w:val="1"/>
          <w:color w:val="auto"/>
        </w:rPr>
        <w:t xml:space="preserve"> </w:t>
      </w:r>
      <w:r>
        <w:rPr>
          <w:rFonts w:ascii="Arial" w:cs="Arial" w:eastAsia="Arial" w:hAnsi="Arial"/>
          <w:sz w:val="18"/>
          <w:szCs w:val="18"/>
          <w:color w:val="auto"/>
        </w:rPr>
        <w:t>can legally release ourselves from any payment or other obligations on the notes, called “full defeasance,” if we put in place the following other arrangements for you to be repaid:</w:t>
      </w:r>
    </w:p>
    <w:p>
      <w:pPr>
        <w:spacing w:after="0" w:line="87" w:lineRule="exact"/>
        <w:rPr>
          <w:sz w:val="20"/>
          <w:szCs w:val="20"/>
          <w:color w:val="auto"/>
        </w:rPr>
      </w:pPr>
    </w:p>
    <w:p>
      <w:pPr>
        <w:ind w:left="900" w:right="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you will not recognize income, gain or loss for United States federal income tax purposes as a result of the full defeasance and that you will not be taxed on the notes any differently than if the full defeasance had not occurred.</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Covenant Defeasance. </w:t>
      </w:r>
      <w:r>
        <w:rPr>
          <w:rFonts w:ascii="Arial" w:cs="Arial" w:eastAsia="Arial" w:hAnsi="Arial"/>
          <w:sz w:val="18"/>
          <w:szCs w:val="18"/>
          <w:color w:val="auto"/>
        </w:rPr>
        <w:t>We can be released from the restrictive covenants in the notes if we make the arrangements described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This is called</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defeasance.” In that event, you would lose the protection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those restrictive covenants but would gain the protection of having money and securities set aside in trust to repay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In order to achieve covenant defeasance, we must do the following:</w:t>
      </w:r>
    </w:p>
    <w:p>
      <w:pPr>
        <w:spacing w:after="0" w:line="76" w:lineRule="exact"/>
        <w:rPr>
          <w:sz w:val="20"/>
          <w:szCs w:val="20"/>
          <w:color w:val="auto"/>
        </w:rPr>
      </w:pPr>
    </w:p>
    <w:p>
      <w:pPr>
        <w:ind w:left="90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United States federal income tax law you will not recognize income, gain or loss for United Sates federal income tax purposes as a result of the covenant defeasance and that you will not be taxed on the notes any differently than if the covenant defeasance had not occurred.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If we accomplish covenant defeasance, the following provisions of the indenture and the notes would no longer apply unless otherwise specified:</w:t>
      </w:r>
    </w:p>
    <w:p>
      <w:pPr>
        <w:spacing w:after="0" w:line="14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series of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w:t>
      </w:r>
      <w:r>
        <w:rPr>
          <w:rFonts w:ascii="Arial" w:cs="Arial" w:eastAsia="Arial" w:hAnsi="Arial"/>
          <w:sz w:val="18"/>
          <w:szCs w:val="18"/>
          <w:i w:val="1"/>
          <w:iCs w:val="1"/>
          <w:color w:val="auto"/>
        </w:rPr>
        <w:t>.</w:t>
      </w:r>
      <w:r>
        <w:rPr>
          <w:rFonts w:ascii="Arial" w:cs="Arial" w:eastAsia="Arial" w:hAnsi="Arial"/>
          <w:sz w:val="18"/>
          <w:szCs w:val="18"/>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Depending on the event causing the default, of course, you may not be able to obtain payment of the shortfall.</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91st day after the deposit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8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modification and waiver except to increase the voting requirements.</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76" w:lineRule="exact"/>
        <w:rPr>
          <w:sz w:val="20"/>
          <w:szCs w:val="20"/>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maintain the qualification of the indenture under the Trust Indenture Act of 1939;</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conform the indenture or the notes to the description thereof set forth in this prospectus supplement and in the accompanying prospectus.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76" w:lineRule="exact"/>
        <w:rPr>
          <w:sz w:val="20"/>
          <w:szCs w:val="20"/>
          <w:color w:val="auto"/>
        </w:rPr>
      </w:pPr>
    </w:p>
    <w:p>
      <w:pPr>
        <w:ind w:left="900" w:right="4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we have complied with all these conditions.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will file with the trustee, within 15 days after we are required to file the same with the SEC, copies of the annual reports and of the information, documents and other reports (or copies of such portions of any of the foregoing as the SEC may prescribe) that we may be required to file with the SEC pursuant to Section 13 or Section 15(d)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availability of such reports on a website maintained by the SEC shall be deemed to fulfill this requirement. If we are not required to file information, documents or reports pursuant to either of those sections, then we will file with the trustee and the SEC such reports as may be prescribed by the SEC at such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trustee will be U.S. Bank National Association. U.S. Bank National Association also will be the initial paying agent and registrar for the notes.</w:t>
      </w:r>
    </w:p>
    <w:p>
      <w:pPr>
        <w:spacing w:after="0" w:line="2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8"/>
          <w:szCs w:val="18"/>
          <w:i w:val="1"/>
          <w:iCs w:val="1"/>
          <w:color w:val="auto"/>
        </w:rPr>
        <w:t>.</w:t>
      </w:r>
      <w:r>
        <w:rPr>
          <w:rFonts w:ascii="Arial" w:cs="Arial" w:eastAsia="Arial" w:hAnsi="Arial"/>
          <w:sz w:val="18"/>
          <w:szCs w:val="18"/>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8"/>
          <w:szCs w:val="18"/>
          <w:i w:val="1"/>
          <w:iCs w:val="1"/>
          <w:color w:val="auto"/>
        </w:rPr>
        <w:t>.</w:t>
      </w:r>
      <w:r>
        <w:rPr>
          <w:rFonts w:ascii="Arial" w:cs="Arial" w:eastAsia="Arial" w:hAnsi="Arial"/>
          <w:sz w:val="18"/>
          <w:szCs w:val="18"/>
          <w:color w:val="auto"/>
        </w:rPr>
        <w:t xml:space="preserve"> The trustee under the indenture is permitted to engage in other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if the trustee under the indenture acquires any prohibited conflicting interest, it must eliminate the conflict or resign.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“Capitalized Lease” means any obligation of a Person to pay rent or other amounts incurred with respect to real property or equipment acquired or leased by such Person and used in its business that is required to be recorded as a capital lease in accordance with generally accepted accounting principles.</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Securities and Exchange Commission, prepared in accordance with accounting principles generally accepted in the United States.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117" w:lineRule="exact"/>
        <w:rPr>
          <w:sz w:val="20"/>
          <w:szCs w:val="20"/>
          <w:color w:val="auto"/>
        </w:rPr>
      </w:pPr>
    </w:p>
    <w:p>
      <w:pPr>
        <w:ind w:right="700" w:firstLine="464"/>
        <w:spacing w:after="0" w:line="277"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agreements or arrangements designed to protect such Person against fluctuations in currency exchange rates or commodity prices.</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Capitalized Leases;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right="1120" w:firstLine="456"/>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means any property or asset, whether real, personal or mixed, or tangible or intangible.</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notes of each series will be represented by one or more fully registered global notes, without interest coupons, will be deposited upon issuance with the trustee as custodian for The Depository Trust Company (“DTC”), and registered in the name of Cede &amp; Co. or its nominee, in each case, for credit to an account of a direct or indirect participant as described below.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the limited circumstances described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See “—Certain Book Entry Procedures for the Global Notes.”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may be presented for registration of transfer and exchange at the offices of the trustee as set forth in the indenture.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Euroclear Bank, S.A./N.V. (“Euroclear”) and Clearstream Luxembourg,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Luxembourg”)</w:t>
      </w:r>
      <w:r>
        <w:rPr>
          <w:rFonts w:ascii="Arial" w:cs="Arial" w:eastAsia="Arial" w:hAnsi="Arial"/>
          <w:sz w:val="18"/>
          <w:szCs w:val="18"/>
          <w:i w:val="1"/>
          <w:iCs w:val="1"/>
          <w:color w:val="auto"/>
        </w:rPr>
        <w:t>.</w:t>
      </w:r>
      <w:r>
        <w:rPr>
          <w:rFonts w:ascii="Arial" w:cs="Arial" w:eastAsia="Arial" w:hAnsi="Arial"/>
          <w:sz w:val="18"/>
          <w:szCs w:val="18"/>
          <w:color w:val="auto"/>
        </w:rPr>
        <w:t xml:space="preserve"> The descriptions of the operations and procedures of DTC, Euroclear and Clearstream Banking set forth below are provided solely as a matter of convenience</w:t>
      </w:r>
      <w:r>
        <w:rPr>
          <w:rFonts w:ascii="Arial" w:cs="Arial" w:eastAsia="Arial" w:hAnsi="Arial"/>
          <w:sz w:val="18"/>
          <w:szCs w:val="18"/>
          <w:i w:val="1"/>
          <w:iCs w:val="1"/>
          <w:color w:val="auto"/>
        </w:rPr>
        <w:t>.</w:t>
      </w:r>
      <w:r>
        <w:rPr>
          <w:rFonts w:ascii="Arial" w:cs="Arial" w:eastAsia="Arial" w:hAnsi="Arial"/>
          <w:sz w:val="18"/>
          <w:szCs w:val="18"/>
          <w:color w:val="auto"/>
        </w:rPr>
        <w:t xml:space="preserve"> These operations and procedures are solely within the control of the respective settlement systems and are subject to change by them from time to time</w:t>
      </w:r>
      <w:r>
        <w:rPr>
          <w:rFonts w:ascii="Arial" w:cs="Arial" w:eastAsia="Arial" w:hAnsi="Arial"/>
          <w:sz w:val="18"/>
          <w:szCs w:val="18"/>
          <w:i w:val="1"/>
          <w:iCs w:val="1"/>
          <w:color w:val="auto"/>
        </w:rPr>
        <w:t>.</w:t>
      </w:r>
      <w:r>
        <w:rPr>
          <w:rFonts w:ascii="Arial" w:cs="Arial" w:eastAsia="Arial" w:hAnsi="Arial"/>
          <w:sz w:val="18"/>
          <w:szCs w:val="18"/>
          <w:color w:val="auto"/>
        </w:rPr>
        <w:t xml:space="preserve"> We obtained the information in this section and elsewhere in this prospectus supplement concerning DTC, Euroclear and Clearstream Luxembourg and their respective book-entry systems from sources that we believe are reliable, but we take no responsibility for the accuracy of any of this information, and investors are urged to contact the relevant system or its participants directly to discuss these matters.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laws of the State of New York;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as amended;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“clearing agency” registered pursuant to Section 17A of the Exchange Act.</w:t>
      </w:r>
    </w:p>
    <w:p>
      <w:pPr>
        <w:spacing w:after="0" w:line="22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DTC was created to hold securities for its participants (collectively, the “participants”) and to facilitate the clearance and settlement of securities transactions between its participants through electronic book-entry changes to the accounts of its participants, thereby eliminating the need for physical transfer and delivery of 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DTC’s participants include securities brokers and dealers (including some or all of the underwriters), banks and trust companies, clearing corporations and certain other organizations</w:t>
      </w:r>
      <w:r>
        <w:rPr>
          <w:rFonts w:ascii="Arial" w:cs="Arial" w:eastAsia="Arial" w:hAnsi="Arial"/>
          <w:sz w:val="18"/>
          <w:szCs w:val="18"/>
          <w:i w:val="1"/>
          <w:iCs w:val="1"/>
          <w:color w:val="auto"/>
        </w:rPr>
        <w:t>.</w:t>
      </w:r>
      <w:r>
        <w:rPr>
          <w:rFonts w:ascii="Arial" w:cs="Arial" w:eastAsia="Arial" w:hAnsi="Arial"/>
          <w:sz w:val="18"/>
          <w:szCs w:val="18"/>
          <w:color w:val="auto"/>
        </w:rPr>
        <w:t xml:space="preserve"> Indirect access to DTC’s system is also available to other entities such as Clearstream Luxembourg, Euroclear, banks, brokers, dealers and trust companies (collectively, the “indirect participants”) that clear through or maintain a custodial relationship with a participant, either directly or indirectly</w:t>
      </w:r>
      <w:r>
        <w:rPr>
          <w:rFonts w:ascii="Arial" w:cs="Arial" w:eastAsia="Arial" w:hAnsi="Arial"/>
          <w:sz w:val="18"/>
          <w:szCs w:val="18"/>
          <w:i w:val="1"/>
          <w:iCs w:val="1"/>
          <w:color w:val="auto"/>
        </w:rPr>
        <w:t>.</w:t>
      </w:r>
      <w:r>
        <w:rPr>
          <w:rFonts w:ascii="Arial" w:cs="Arial" w:eastAsia="Arial" w:hAnsi="Arial"/>
          <w:sz w:val="18"/>
          <w:szCs w:val="18"/>
          <w:color w:val="auto"/>
        </w:rPr>
        <w:t xml:space="preserve"> Investors who are not participants may beneficially own securities held by or on behalf of DTC only through participants or indirect participants in DTC.</w:t>
      </w:r>
    </w:p>
    <w:p>
      <w:pPr>
        <w:spacing w:after="0" w:line="189"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i w:val="1"/>
          <w:iCs w:val="1"/>
          <w:color w:val="auto"/>
        </w:rPr>
        <w:t xml:space="preserve">Clearstream Luxembourg. </w:t>
      </w:r>
      <w:r>
        <w:rPr>
          <w:rFonts w:ascii="Arial" w:cs="Arial" w:eastAsia="Arial" w:hAnsi="Arial"/>
          <w:sz w:val="16"/>
          <w:szCs w:val="16"/>
          <w:color w:val="auto"/>
        </w:rPr>
        <w:t>Clearstream Luxembourg is incorporated under the laws of Luxembourg as a professional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Clearstream</w:t>
      </w:r>
      <w:r>
        <w:rPr>
          <w:rFonts w:ascii="Arial" w:cs="Arial" w:eastAsia="Arial" w:hAnsi="Arial"/>
          <w:sz w:val="16"/>
          <w:szCs w:val="16"/>
          <w:i w:val="1"/>
          <w:iCs w:val="1"/>
          <w:color w:val="auto"/>
        </w:rPr>
        <w:t xml:space="preserve"> </w:t>
      </w:r>
      <w:r>
        <w:rPr>
          <w:rFonts w:ascii="Arial" w:cs="Arial" w:eastAsia="Arial" w:hAnsi="Arial"/>
          <w:sz w:val="16"/>
          <w:szCs w:val="16"/>
          <w:color w:val="auto"/>
        </w:rPr>
        <w:t>Luxembourg holds securities for its participating organizations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w:t>
      </w:r>
      <w:r>
        <w:rPr>
          <w:rFonts w:ascii="Arial" w:cs="Arial" w:eastAsia="Arial" w:hAnsi="Arial"/>
          <w:sz w:val="16"/>
          <w:szCs w:val="16"/>
          <w:i w:val="1"/>
          <w:iCs w:val="1"/>
          <w:color w:val="auto"/>
        </w:rPr>
        <w:t>.</w:t>
      </w:r>
      <w:r>
        <w:rPr>
          <w:rFonts w:ascii="Arial" w:cs="Arial" w:eastAsia="Arial" w:hAnsi="Arial"/>
          <w:sz w:val="16"/>
          <w:szCs w:val="16"/>
          <w:color w:val="auto"/>
        </w:rPr>
        <w:t xml:space="preserve"> Transactions may be settled in Clearstream Luxembourg in any of various currencies, including U.S. dollars. Clearstream Luxembourg provides Clearstream Luxembourg Participants with, among other things, services for safekeeping, administration, clearance and establishment of internationally-traded securities and securities lending and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borrowing</w:t>
      </w:r>
      <w:r>
        <w:rPr>
          <w:rFonts w:ascii="Arial" w:cs="Arial" w:eastAsia="Arial" w:hAnsi="Arial"/>
          <w:sz w:val="17"/>
          <w:szCs w:val="17"/>
          <w:i w:val="1"/>
          <w:iCs w:val="1"/>
          <w:color w:val="auto"/>
        </w:rPr>
        <w:t>.</w:t>
      </w:r>
      <w:r>
        <w:rPr>
          <w:rFonts w:ascii="Arial" w:cs="Arial" w:eastAsia="Arial" w:hAnsi="Arial"/>
          <w:sz w:val="17"/>
          <w:szCs w:val="17"/>
          <w:color w:val="auto"/>
        </w:rPr>
        <w:t xml:space="preserve"> Clearstream Luxembourg interfaces with domestic markets in several countries</w:t>
      </w:r>
      <w:r>
        <w:rPr>
          <w:rFonts w:ascii="Arial" w:cs="Arial" w:eastAsia="Arial" w:hAnsi="Arial"/>
          <w:sz w:val="17"/>
          <w:szCs w:val="17"/>
          <w:i w:val="1"/>
          <w:iCs w:val="1"/>
          <w:color w:val="auto"/>
        </w:rPr>
        <w:t>.</w:t>
      </w:r>
      <w:r>
        <w:rPr>
          <w:rFonts w:ascii="Arial" w:cs="Arial" w:eastAsia="Arial" w:hAnsi="Arial"/>
          <w:sz w:val="17"/>
          <w:szCs w:val="17"/>
          <w:color w:val="auto"/>
        </w:rPr>
        <w:t xml:space="preserve"> As a professional depositary, Clearstream Luxembourg is subject to regulation by the Luxembourg Monetary Institute</w:t>
      </w:r>
      <w:r>
        <w:rPr>
          <w:rFonts w:ascii="Arial" w:cs="Arial" w:eastAsia="Arial" w:hAnsi="Arial"/>
          <w:sz w:val="17"/>
          <w:szCs w:val="17"/>
          <w:i w:val="1"/>
          <w:iCs w:val="1"/>
          <w:color w:val="auto"/>
        </w:rPr>
        <w:t>.</w:t>
      </w:r>
      <w:r>
        <w:rPr>
          <w:rFonts w:ascii="Arial" w:cs="Arial" w:eastAsia="Arial" w:hAnsi="Arial"/>
          <w:sz w:val="17"/>
          <w:szCs w:val="17"/>
          <w:color w:val="auto"/>
        </w:rPr>
        <w:t xml:space="preserve"> Clearstream Luxembourg Participants are recognized financial institutions around the world, including underwriters, securities brokers and dealers, banks, trust companies, clearing corporations and certain other organizations, and may include the underwriters</w:t>
      </w:r>
      <w:r>
        <w:rPr>
          <w:rFonts w:ascii="Arial" w:cs="Arial" w:eastAsia="Arial" w:hAnsi="Arial"/>
          <w:sz w:val="17"/>
          <w:szCs w:val="17"/>
          <w:i w:val="1"/>
          <w:iCs w:val="1"/>
          <w:color w:val="auto"/>
        </w:rPr>
        <w:t>.</w:t>
      </w:r>
      <w:r>
        <w:rPr>
          <w:rFonts w:ascii="Arial" w:cs="Arial" w:eastAsia="Arial" w:hAnsi="Arial"/>
          <w:sz w:val="17"/>
          <w:szCs w:val="17"/>
          <w:color w:val="auto"/>
        </w:rPr>
        <w:t xml:space="preserve">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73"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Distributions with respect to notes held beneficially through Clearstream Luxembourg will be credited to cash accounts of Clearstream Luxembourg Participants in accordance with its rules and procedures to the extent received by the U.S. depositary for Clearstream Luxembourg.</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Euroclear. </w:t>
      </w:r>
      <w:r>
        <w:rPr>
          <w:rFonts w:ascii="Arial" w:cs="Arial" w:eastAsia="Arial" w:hAnsi="Arial"/>
          <w:sz w:val="16"/>
          <w:szCs w:val="16"/>
          <w:color w:val="auto"/>
        </w:rPr>
        <w:t>Euroclear was created in 1968 to hold securities for participants of Euroclear (“Euroclear Participants”) and to clear and settle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Euroclear Participants through simultaneous electronic book-entry delivery against payment, thereby eliminating the need for physical movement of certificates and any risk from lack of simultaneous transfers of securities and cash</w:t>
      </w:r>
      <w:r>
        <w:rPr>
          <w:rFonts w:ascii="Arial" w:cs="Arial" w:eastAsia="Arial" w:hAnsi="Arial"/>
          <w:sz w:val="16"/>
          <w:szCs w:val="16"/>
          <w:i w:val="1"/>
          <w:iCs w:val="1"/>
          <w:color w:val="auto"/>
        </w:rPr>
        <w:t>.</w:t>
      </w:r>
      <w:r>
        <w:rPr>
          <w:rFonts w:ascii="Arial" w:cs="Arial" w:eastAsia="Arial" w:hAnsi="Arial"/>
          <w:sz w:val="16"/>
          <w:szCs w:val="16"/>
          <w:color w:val="auto"/>
        </w:rPr>
        <w:t xml:space="preserve"> Transactions may be settled in any of various currencies, including U.S. dollars. Euroclear includes various other services, including securities lending and borrowing, and interfaces with domestic markets in several markets in several countries</w:t>
      </w:r>
      <w:r>
        <w:rPr>
          <w:rFonts w:ascii="Arial" w:cs="Arial" w:eastAsia="Arial" w:hAnsi="Arial"/>
          <w:sz w:val="16"/>
          <w:szCs w:val="16"/>
          <w:i w:val="1"/>
          <w:iCs w:val="1"/>
          <w:color w:val="auto"/>
        </w:rPr>
        <w:t>.</w:t>
      </w:r>
      <w:r>
        <w:rPr>
          <w:rFonts w:ascii="Arial" w:cs="Arial" w:eastAsia="Arial" w:hAnsi="Arial"/>
          <w:sz w:val="16"/>
          <w:szCs w:val="16"/>
          <w:color w:val="auto"/>
        </w:rPr>
        <w:t xml:space="preserve"> Euroclear is operated by Euroclear Bank S.A./N.V. (the “Euroclear Operator”)</w:t>
      </w:r>
      <w:r>
        <w:rPr>
          <w:rFonts w:ascii="Arial" w:cs="Arial" w:eastAsia="Arial" w:hAnsi="Arial"/>
          <w:sz w:val="16"/>
          <w:szCs w:val="16"/>
          <w:i w:val="1"/>
          <w:iCs w:val="1"/>
          <w:color w:val="auto"/>
        </w:rPr>
        <w:t>.</w:t>
      </w:r>
      <w:r>
        <w:rPr>
          <w:rFonts w:ascii="Arial" w:cs="Arial" w:eastAsia="Arial" w:hAnsi="Arial"/>
          <w:sz w:val="16"/>
          <w:szCs w:val="16"/>
          <w:color w:val="auto"/>
        </w:rPr>
        <w:t xml:space="preserve"> All operations are conducted by the Euroclear Operator, and all Euroclear securities clearance accounts and Euroclear cash accounts are accounts with the Euroclear Operator</w:t>
      </w:r>
      <w:r>
        <w:rPr>
          <w:rFonts w:ascii="Arial" w:cs="Arial" w:eastAsia="Arial" w:hAnsi="Arial"/>
          <w:sz w:val="16"/>
          <w:szCs w:val="16"/>
          <w:i w:val="1"/>
          <w:iCs w:val="1"/>
          <w:color w:val="auto"/>
        </w:rPr>
        <w:t>.</w:t>
      </w:r>
      <w:r>
        <w:rPr>
          <w:rFonts w:ascii="Arial" w:cs="Arial" w:eastAsia="Arial" w:hAnsi="Arial"/>
          <w:sz w:val="16"/>
          <w:szCs w:val="16"/>
          <w:color w:val="auto"/>
        </w:rPr>
        <w:t xml:space="preserve"> Euroclear Participants include banks (including central banks), securities brokers and dealers and other professional financial intermediaries and may include the underwriters</w:t>
      </w:r>
      <w:r>
        <w:rPr>
          <w:rFonts w:ascii="Arial" w:cs="Arial" w:eastAsia="Arial" w:hAnsi="Arial"/>
          <w:sz w:val="16"/>
          <w:szCs w:val="16"/>
          <w:i w:val="1"/>
          <w:iCs w:val="1"/>
          <w:color w:val="auto"/>
        </w:rPr>
        <w:t>.</w:t>
      </w:r>
      <w:r>
        <w:rPr>
          <w:rFonts w:ascii="Arial" w:cs="Arial" w:eastAsia="Arial" w:hAnsi="Arial"/>
          <w:sz w:val="16"/>
          <w:szCs w:val="16"/>
          <w:color w:val="auto"/>
        </w:rPr>
        <w:t xml:space="preserve"> Indirect access to Euroclear is also available to other firms that clear through or maintain a custodial relationship with a Euroclear Participant, either directly or indirectly.</w:t>
      </w:r>
    </w:p>
    <w:p>
      <w:pPr>
        <w:spacing w:after="0" w:line="166"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Euroclear Operator is regulated and examined by the Belgian Banking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Distributions of principal and interest with respect to notes held through Euroclear will be credited to the cash accounts of Euroclear Participants in accordance with the relevant system’s rules and procedures, to the extent received by such system’s depositary.</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Links have been established among DTC, Clearstream Luxembourg and Euroclear to facilitate the initial issuance of the notes and cross-market transfers of the notes associated with secondary market trading</w:t>
      </w:r>
      <w:r>
        <w:rPr>
          <w:rFonts w:ascii="Arial" w:cs="Arial" w:eastAsia="Arial" w:hAnsi="Arial"/>
          <w:sz w:val="18"/>
          <w:szCs w:val="18"/>
          <w:i w:val="1"/>
          <w:iCs w:val="1"/>
          <w:color w:val="auto"/>
        </w:rPr>
        <w:t>.</w:t>
      </w:r>
      <w:r>
        <w:rPr>
          <w:rFonts w:ascii="Arial" w:cs="Arial" w:eastAsia="Arial" w:hAnsi="Arial"/>
          <w:sz w:val="18"/>
          <w:szCs w:val="18"/>
          <w:color w:val="auto"/>
        </w:rPr>
        <w:t xml:space="preserve"> DTC will be linked indirectly to Clearstream Luxembourg and Euroclear through the DTC accounts of their respective U.S. depositaries.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Book-Entry Procedures. </w:t>
      </w:r>
      <w:r>
        <w:rPr>
          <w:rFonts w:ascii="Arial" w:cs="Arial" w:eastAsia="Arial" w:hAnsi="Arial"/>
          <w:sz w:val="18"/>
          <w:szCs w:val="18"/>
          <w:color w:val="auto"/>
        </w:rPr>
        <w:t>We expect that, pursuant to procedures established by DTC:</w:t>
      </w:r>
    </w:p>
    <w:p>
      <w:pPr>
        <w:spacing w:after="0" w:line="131" w:lineRule="exact"/>
        <w:rPr>
          <w:sz w:val="20"/>
          <w:szCs w:val="20"/>
          <w:color w:val="auto"/>
        </w:rPr>
      </w:pPr>
    </w:p>
    <w:p>
      <w:pPr>
        <w:ind w:left="900" w:right="2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deposit of each global note, DTC will credit, on its book-entry registration and transfer system, the accounts of participants designated by the underwriters with an interest in that global note; and</w:t>
      </w:r>
    </w:p>
    <w:p>
      <w:pPr>
        <w:spacing w:after="0" w:line="75"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the transfer of ownership interests in the global notes will be effected only through, records maintained by DTC (with respect to the interests of participants) and by participants and indirect participants (with respect to the interests of persons other than participants).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laws of some jurisdictions may require that some purchasers of notes take physical delivery of those notes in definitive form</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the ability to transfer beneficial interests in notes represented by a global note to those persons may be limited</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because DTC can act only on behalf of its participants, who in turn act on behalf of persons who hold interests through participants, the ability of a Person holding a beneficial interest in a global note to pledge or transfer that interest to persons or entities that do not participate in DTC’s system, or to otherwise take actions in respect of that interest, may be affected by the lack of a physical note in respect of that interest.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So long as DTC or its nominee is the registered owner of a global note, DTC or that nominee, as the case may be, will be considered the sole legal owner or holder of the notes represented by that global note for all purposes of the notes and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provided below, owners of beneficial interests in a global note:</w:t>
      </w:r>
    </w:p>
    <w:p>
      <w:pPr>
        <w:spacing w:after="0" w:line="8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entitled to have the notes represented by that global note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certificated notes; and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represented by that beneficial interest under the indenture for any purpose, including with respect to the giving of any direction, instruction or approval to the trustee.</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Accordingly, each holder owning a beneficial interest in a global note must rely on the procedures of DTC and, if that holder is not a participant or an indirect participant, on the procedures of the participant through which that holder owns its interest, to exercise any rights of a holder of notes under the indenture or that global note</w:t>
      </w:r>
      <w:r>
        <w:rPr>
          <w:rFonts w:ascii="Arial" w:cs="Arial" w:eastAsia="Arial" w:hAnsi="Arial"/>
          <w:sz w:val="16"/>
          <w:szCs w:val="16"/>
          <w:i w:val="1"/>
          <w:iCs w:val="1"/>
          <w:color w:val="auto"/>
        </w:rPr>
        <w:t>.</w:t>
      </w:r>
      <w:r>
        <w:rPr>
          <w:rFonts w:ascii="Arial" w:cs="Arial" w:eastAsia="Arial" w:hAnsi="Arial"/>
          <w:sz w:val="16"/>
          <w:szCs w:val="16"/>
          <w:color w:val="auto"/>
        </w:rPr>
        <w:t xml:space="preserve"> We understand that under existing industry practice, in the event that we request any action of holders of notes, or a holder that is an owner of a beneficial interest in a global note desires to take any action that DTC, as the holder of that global note, is entitled to take, DTC would authorize the participants to take that action and the participants would authorize holders owning through those participants to take that action or would otherwise act upon the instruction of those holders</w:t>
      </w:r>
      <w:r>
        <w:rPr>
          <w:rFonts w:ascii="Arial" w:cs="Arial" w:eastAsia="Arial" w:hAnsi="Arial"/>
          <w:sz w:val="16"/>
          <w:szCs w:val="16"/>
          <w:i w:val="1"/>
          <w:iCs w:val="1"/>
          <w:color w:val="auto"/>
        </w:rPr>
        <w:t>.</w:t>
      </w:r>
      <w:r>
        <w:rPr>
          <w:rFonts w:ascii="Arial" w:cs="Arial" w:eastAsia="Arial" w:hAnsi="Arial"/>
          <w:sz w:val="16"/>
          <w:szCs w:val="16"/>
          <w:color w:val="auto"/>
        </w:rPr>
        <w:t xml:space="preserve"> Neither we nor the trustee will have any responsibility or liability for any aspect of the records relating to or payments made on account of notes by DTC, or for maintaining, supervising or reviewing any records of DTC relating to the notes.</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Beneficial interests in the global notes may not be exchanged for certificated notes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if DTC notifies us that it is unwilling to be a depositary for the global notes or ceases to be a clearing agency or if we so elect or if there is an event of default under the notes, DTC will exchange the global notes for certificated notes which it will distribute to its participants.</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Payments with respect to the principal of and interest on a global note will be payable by the trustee to or at the direction of DTC or its nominee in its capacity as the registered holder of the global note under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terms of the indenture, we and the trustee will treat the persons in whose names the notes, including the global notes, are registered as the owners thereof for the purpose of receiving payment thereon and for any and all other purposes whatsoever</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neither we nor the trustee has or will have any responsibility or liability for the payment of those amounts to owners of beneficial interests in a global note.</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Payments by the participants and the indirect participants to the owners of beneficial interests in a global note will be governed by standing instructions and customary industry practice and will be the responsibility of the participants and indirect participants and not of DTC.</w:t>
      </w:r>
    </w:p>
    <w:p>
      <w:pPr>
        <w:spacing w:after="0" w:line="170"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Transfers between participants in DTC will be effected in accordance with DTC’s procedures, and will be settled in same-day funds</w:t>
      </w:r>
      <w:r>
        <w:rPr>
          <w:rFonts w:ascii="Arial" w:cs="Arial" w:eastAsia="Arial" w:hAnsi="Arial"/>
          <w:sz w:val="16"/>
          <w:szCs w:val="16"/>
          <w:i w:val="1"/>
          <w:iCs w:val="1"/>
          <w:color w:val="auto"/>
        </w:rPr>
        <w:t>.</w:t>
      </w:r>
      <w:r>
        <w:rPr>
          <w:rFonts w:ascii="Arial" w:cs="Arial" w:eastAsia="Arial" w:hAnsi="Arial"/>
          <w:sz w:val="16"/>
          <w:szCs w:val="16"/>
          <w:color w:val="auto"/>
        </w:rPr>
        <w:t xml:space="preserve"> Transfers between participants in Euroclear or Clearstream Luxembourg will be effected in the ordinary way in accordance with their respective rules and operating procedures.</w:t>
      </w:r>
    </w:p>
    <w:p>
      <w:pPr>
        <w:spacing w:after="0" w:line="12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Cross-market transfers between the participants in DTC, on the one hand, and Euroclear or Clearstream Luxembourg Participants, on the other hand, will be effected through DTC in accordance with DTC’s rules on behalf of Euroclear or Clearstream Luxembourg, as the case may be, by its respective depositary</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those cross-market transactions will require delivery of instructions to Euroclear or Clearstream Luxembourg, as the case may be, by the counterparty in that system in accordance with the rules and procedures and within the established deadlines (Brussels time) of that system</w:t>
      </w:r>
      <w:r>
        <w:rPr>
          <w:rFonts w:ascii="Arial" w:cs="Arial" w:eastAsia="Arial" w:hAnsi="Arial"/>
          <w:sz w:val="17"/>
          <w:szCs w:val="17"/>
          <w:i w:val="1"/>
          <w:iCs w:val="1"/>
          <w:color w:val="auto"/>
        </w:rPr>
        <w:t>.</w:t>
      </w:r>
      <w:r>
        <w:rPr>
          <w:rFonts w:ascii="Arial" w:cs="Arial" w:eastAsia="Arial" w:hAnsi="Arial"/>
          <w:sz w:val="17"/>
          <w:szCs w:val="17"/>
          <w:color w:val="auto"/>
        </w:rPr>
        <w:t xml:space="preserve"> If the transaction meets its settlement requirements, Euroclear or Clearstream Luxembourg, as the case may be, will deliver instructions to its respective depositary to take action to effect final settlement on its behalf by delivering or receiving interests in the relevant global notes in DTC, and making or receiving payment in accordance with normal procedures for same-day funds settlement applicable to DTC</w:t>
      </w:r>
      <w:r>
        <w:rPr>
          <w:rFonts w:ascii="Arial" w:cs="Arial" w:eastAsia="Arial" w:hAnsi="Arial"/>
          <w:sz w:val="17"/>
          <w:szCs w:val="17"/>
          <w:i w:val="1"/>
          <w:iCs w:val="1"/>
          <w:color w:val="auto"/>
        </w:rPr>
        <w:t>.</w:t>
      </w:r>
      <w:r>
        <w:rPr>
          <w:rFonts w:ascii="Arial" w:cs="Arial" w:eastAsia="Arial" w:hAnsi="Arial"/>
          <w:sz w:val="17"/>
          <w:szCs w:val="17"/>
          <w:color w:val="auto"/>
        </w:rPr>
        <w:t xml:space="preserve"> Euroclear Participants and Clearstream Luxembourg Participants may not deliver instructions directly to the depositaries for Euroclear or Clearstream Luxembourg.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Because of time zone differences, the securities account of a Euroclear or Clearstream Luxembourg Participant that purchases an interest in a global note from a participant will be credited on the business day for Euroclear or Clearstream Luxembourg immediately following the DTC settlement date. Cash received in Euroclear or Clearstream Luxembourg from the sale of an interest in a global note to a DTC participant will be received with value on the DTC settlement date but will be available in the relevant Euroclear or Clearstream Luxembourg cash account as of the business day for Euroclear or Clearstream Luxembourg following the DTC settlement date.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we understand that DTC, Euroclear and Clearstream Luxembourg have agreed to the foregoing procedures to facilitate transfers of interests in the global notes among participants in DTC, Euroclear and Clearstream Luxembourg, they are under no obligation to perform or to continue to perform those procedures, and those procedures may be discontinued at any time</w:t>
      </w:r>
      <w:r>
        <w:rPr>
          <w:rFonts w:ascii="Arial" w:cs="Arial" w:eastAsia="Arial" w:hAnsi="Arial"/>
          <w:sz w:val="18"/>
          <w:szCs w:val="18"/>
          <w:i w:val="1"/>
          <w:iCs w:val="1"/>
          <w:color w:val="auto"/>
        </w:rPr>
        <w:t>.</w:t>
      </w:r>
      <w:r>
        <w:rPr>
          <w:rFonts w:ascii="Arial" w:cs="Arial" w:eastAsia="Arial" w:hAnsi="Arial"/>
          <w:sz w:val="18"/>
          <w:szCs w:val="18"/>
          <w:color w:val="auto"/>
        </w:rPr>
        <w:t xml:space="preserve"> Neither we nor the trustee will have any responsibility for the performance by DTC, Euroclear or Clearstream Luxembourg or their respective participants or indirect participants of their respective obligations under the rules and procedures governing their operations.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Below is a discussion of material United States federal income tax considerations for U.S. Holders and Non-U.S. Holders (each as defined below) who purchase the notes in the initial offering at their issue price. The term “issue price” as used in this discussion is the first price at which a substantial amount of the relevant class of notes is sold to investors (excluding bond houses, brokers, or similar persons or organizations acting in the capacity of underwriters, placement agents and wholesalers). This discussion is based upon current provisions of the Internal Revenue Code of 1986, as amended (the “Code”), Treasury regulations thereunder, current administrative rulings, judicial decisions and other applicable authorities, all of which may be repealed, revoked or modified so as to result in United States federal income tax consequences different from those discussed below. No ruling from the Internal Revenue Service (the “IRS”) has been or will be sought on any of the issues discussed below, and there can be no assurance that the IRS will concur with the conclusions reached herein.</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This discussion assumes that the notes are held as “capital assets” within the meaning of Section 1221 of the Code. It does not purport to deal with all aspects of United States federal income taxation that may be relevant to holders of notes in light of their personal investment circumstances, nor does it purport to deal with United States federal income tax considerations applicable to certain types of holders subject to special treatment under United States federal income tax law (</w:t>
      </w:r>
      <w:r>
        <w:rPr>
          <w:rFonts w:ascii="Arial" w:cs="Arial" w:eastAsia="Arial" w:hAnsi="Arial"/>
          <w:sz w:val="17"/>
          <w:szCs w:val="17"/>
          <w:i w:val="1"/>
          <w:iCs w:val="1"/>
          <w:color w:val="auto"/>
        </w:rPr>
        <w:t>e.g.,</w:t>
      </w:r>
      <w:r>
        <w:rPr>
          <w:rFonts w:ascii="Arial" w:cs="Arial" w:eastAsia="Arial" w:hAnsi="Arial"/>
          <w:sz w:val="17"/>
          <w:szCs w:val="17"/>
          <w:color w:val="auto"/>
        </w:rPr>
        <w:t xml:space="preserve"> banks, financial institutions, partnerships or other pass-through entities, expatriates or former long-term residents of the United States, holders subject to the alternative minimum tax, individual retirement accounts or other tax-deferred accounts, broker-dealers, traders in securities that elect to use a mark-to-market method of accounting for their securities holdings, insurance companies, real estate investment trusts, regulated investment companies, persons that hold the notes as a position in a “straddle,” or as part of a synthetic security or “hedge,” “conversion transaction,” “constructive sale” or other integrated investment, United States persons that have a “functional currency” other than the U.S. dollar, Non-U.S. Holders, except as described below, and tax-exempt organizations). In addition, this summary does not discuss any aspect of state, local or foreign tax law that may be applicable to any beneficial owner of Notes, or any United States tax considerations (</w:t>
      </w:r>
      <w:r>
        <w:rPr>
          <w:rFonts w:ascii="Arial" w:cs="Arial" w:eastAsia="Arial" w:hAnsi="Arial"/>
          <w:sz w:val="17"/>
          <w:szCs w:val="17"/>
          <w:i w:val="1"/>
          <w:iCs w:val="1"/>
          <w:color w:val="auto"/>
        </w:rPr>
        <w:t>e.g</w:t>
      </w:r>
      <w:r>
        <w:rPr>
          <w:rFonts w:ascii="Arial" w:cs="Arial" w:eastAsia="Arial" w:hAnsi="Arial"/>
          <w:sz w:val="17"/>
          <w:szCs w:val="17"/>
          <w:color w:val="auto"/>
        </w:rPr>
        <w:t>. the estate and gift tax or the 3.8% Medicare tax on net investment income) other than United States federal income tax considerations.</w:t>
      </w:r>
    </w:p>
    <w:p>
      <w:pPr>
        <w:spacing w:after="0" w:line="18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If an entity or arrangement treated as a partnership for United States federal income tax purposes holds notes, the tax treatment of the partnership and a partner in such partnership will generally depend upon the status of the partner and the activities of the partnership. </w:t>
      </w:r>
      <w:r>
        <w:rPr>
          <w:rFonts w:ascii="Arial" w:cs="Arial" w:eastAsia="Arial" w:hAnsi="Arial"/>
          <w:sz w:val="18"/>
          <w:szCs w:val="18"/>
          <w:b w:val="1"/>
          <w:bCs w:val="1"/>
          <w:color w:val="auto"/>
        </w:rPr>
        <w:t>Such partner or partnership should</w:t>
      </w:r>
      <w:r>
        <w:rPr>
          <w:rFonts w:ascii="Arial" w:cs="Arial" w:eastAsia="Arial" w:hAnsi="Arial"/>
          <w:sz w:val="18"/>
          <w:szCs w:val="18"/>
          <w:color w:val="auto"/>
        </w:rPr>
        <w:t xml:space="preserve"> </w:t>
      </w:r>
      <w:r>
        <w:rPr>
          <w:rFonts w:ascii="Arial" w:cs="Arial" w:eastAsia="Arial" w:hAnsi="Arial"/>
          <w:sz w:val="18"/>
          <w:szCs w:val="18"/>
          <w:b w:val="1"/>
          <w:bCs w:val="1"/>
          <w:color w:val="auto"/>
        </w:rPr>
        <w:t>consult its own tax advisor as to its consequences.</w:t>
      </w:r>
    </w:p>
    <w:p>
      <w:pPr>
        <w:spacing w:after="0" w:line="18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United States federal income tax purposes: (i) an individual citizen or resident of the United States, (ii) a corporation or other entity taxable as a corporation for United States federal income tax purposes created or organized in or under the laws of the United States, any state thereof or the District of Columbia, (iii) an estate, the income of which is subject to United States federal income taxation regardless of its source, or (iv) a trust if either (A) a court within the United States is able to exercise primary jurisdiction over the administration of such trust and one or more United States persons have the authority to control all substantial decisions of such trust or</w:t>
      </w:r>
    </w:p>
    <w:p>
      <w:pPr>
        <w:spacing w:after="0" w:line="2" w:lineRule="exact"/>
        <w:rPr>
          <w:sz w:val="20"/>
          <w:szCs w:val="20"/>
          <w:color w:val="auto"/>
        </w:rPr>
      </w:pPr>
    </w:p>
    <w:p>
      <w:pPr>
        <w:ind w:right="200" w:firstLine="8"/>
        <w:spacing w:after="0" w:line="255" w:lineRule="auto"/>
        <w:tabs>
          <w:tab w:leader="none" w:pos="2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 has a valid election in effect under applicable Treasury regulations to be treated as a United States person. As used herein, the term “Non-U.S. Holder” means a beneficial owner of a note that is for United States federal income tax purposes an individual, corporation, estate or trust and is not a U.S. Holder.</w:t>
      </w:r>
    </w:p>
    <w:p>
      <w:pPr>
        <w:spacing w:after="0" w:line="190"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PROSPECTIVE INVESTORS SHOULD CONSULT WITH THEIR OWN TAX ADVISORS AS TO THE TAX CONSEQUENCES TO THEM OF THE PURCHASE, OWNERSHIP AND DISPOSITION OF THE NOTES, INCLUDING THE APPLICABILITY OF ANY UNITED STATES FEDERAL, STATE, LOCAL, FOREIGN OR OTHER TAX LAWS AND POSSIBLE CHANGES IN THE TAX LAWS OR INTERPRETATIONS THEREUNDER.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It is expected (and this discussion assumes) that the principal amount of the notes will not exceed the issue price by at least a specified “de minimis” amount, as determined under applicable Treasury regulations, and will therefore not be treated as bearing original issue discount (“OID”) for United States federal income tax purposes. Accordingly, stated interest on a note generally will be taxable to a U.S. Holder as ordinary interest income at the time such amounts are accrued or received, in accordance with the U.S. Holder’s method of accounting for United States federal income tax purposes.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be required to pay additional amounts in excess of stated interest or principal on the notes to a U.S. Holder (and/or to pre-pay all or a portion of the notes) in certain circumstances. Because we believe the likelihood that we will be obligated to make any such additional payments on the notes is remote and/or that these amounts are incidental, we intend to take the position (and this discussion assumes) that the notes will not be treated as contingent payment debt instruments. Our determination that these contingencies will not result in the notes being treated as contingent payment debt instruments is binding on a U.S. Holder, unless the holder discloses a contrary position in the manner required by applicable Treasury regulations. If, contrary to our expectations, we make additional payments on the notes, U.S. Holders will be required to recognize such amounts as income at the time it is paid or accrued in accordance with the U.S. Holder’s method of accounting for United States federal income tax purposes. In the event we make additional payments on the notes, or if the IRS takes the position that the likelihood of certain of the payments described above was not remote and/or that the amounts of any such payments were not incidental, this would affect the amount, timing and character of the income recognized by a U.S. Holder.</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if we exercise our option to repurchase the notes prior to the maturity date, the yield on such notes may be greater than it would otherwise be. Under special rules governing this type of unconditional option, we will be deemed not to exercise this option, and the possibility of this increased yield will not affect the amount and timing of interest income you recognize in advance of such events.</w:t>
      </w:r>
    </w:p>
    <w:p>
      <w:pPr>
        <w:spacing w:after="0" w:line="177" w:lineRule="exact"/>
        <w:rPr>
          <w:sz w:val="20"/>
          <w:szCs w:val="20"/>
          <w:color w:val="auto"/>
        </w:rPr>
      </w:pPr>
    </w:p>
    <w:p>
      <w:pPr>
        <w:jc w:val="both"/>
        <w:ind w:right="60" w:firstLine="456"/>
        <w:spacing w:after="0" w:line="282" w:lineRule="auto"/>
        <w:rPr>
          <w:sz w:val="20"/>
          <w:szCs w:val="20"/>
          <w:color w:val="auto"/>
        </w:rPr>
      </w:pPr>
      <w:r>
        <w:rPr>
          <w:rFonts w:ascii="Arial" w:cs="Arial" w:eastAsia="Arial" w:hAnsi="Arial"/>
          <w:sz w:val="18"/>
          <w:szCs w:val="18"/>
          <w:color w:val="auto"/>
        </w:rPr>
        <w:t xml:space="preserve">The remainder of this discussion assumes our determinations described above are correct. </w:t>
      </w:r>
      <w:r>
        <w:rPr>
          <w:rFonts w:ascii="Arial" w:cs="Arial" w:eastAsia="Arial" w:hAnsi="Arial"/>
          <w:sz w:val="18"/>
          <w:szCs w:val="18"/>
          <w:b w:val="1"/>
          <w:bCs w:val="1"/>
          <w:color w:val="auto"/>
        </w:rPr>
        <w:t>U.S. Holders should consult with their tax advisors as to</w:t>
      </w:r>
      <w:r>
        <w:rPr>
          <w:rFonts w:ascii="Arial" w:cs="Arial" w:eastAsia="Arial" w:hAnsi="Arial"/>
          <w:sz w:val="18"/>
          <w:szCs w:val="18"/>
          <w:color w:val="auto"/>
        </w:rPr>
        <w:t xml:space="preserve"> </w:t>
      </w:r>
      <w:r>
        <w:rPr>
          <w:rFonts w:ascii="Arial" w:cs="Arial" w:eastAsia="Arial" w:hAnsi="Arial"/>
          <w:sz w:val="18"/>
          <w:szCs w:val="18"/>
          <w:b w:val="1"/>
          <w:bCs w:val="1"/>
          <w:color w:val="auto"/>
        </w:rPr>
        <w:t>the tax considerations relating to the contingent payments and optional redemption rights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the Notes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Upon the sale, exchange, retirement or other taxable disposition of a note, a U.S. Holder will recognize gain or loss equal to the difference between the sum of the cash plus the fair market value of any property received (other than any amount received attributable to accrued but unpaid stated interest on the notes not previously included in income, which, in each case, will be taxable as ordinary income) and the U.S. Holder’s adjusted tax basis in such note. A U.S. Holder’s initial tax basis in the note will generally be the cost of such note to the U.S. Holder, decreased by payments from us other than stated interest. Such gain or loss will be capital gain or loss and generally will be long-term capital gain or loss if, at the time of such sale, exchange, retirement or other taxable disposition, the note has been held by the U.S. Holder for more than one year. Long-term capital gains of non-corporate taxpayers are generally eligible for reduced rates of taxation. The deductibility of any net capital loss realized by a U.S. Holder on the sale, exchange, retirement or other taxable disposition of a note is subject to limitations.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general, information reporting requirements will apply to certain payments of principal of, and interest on, a note, and the proceeds of disposition of a note before maturity, to U.S. Holders other than certain exempt recipients such as corporations. Backup withholding at the then applicable rate (currently 28%) will generally apply to a U.S. Holder (other than an exempt recipient, such as a corporation) if such U.S. Holder: (i) fails to provide a correct taxpayer identification number (which, for an individual, would generally be his or her social security number) in the manner required, (ii) fails to report interest and dividend income in full or (iii) fails to certify that it is exempt from withholding.</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Backup withholding is not an additional tax. Any amounts withheld from payments to a U.S. Holder under the backup withholding rules will be allowed as a credit against such holder’s United States federal income tax liability and may entitle the holder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 </w:t>
      </w:r>
      <w:r>
        <w:rPr>
          <w:rFonts w:ascii="Arial" w:cs="Arial" w:eastAsia="Arial" w:hAnsi="Arial"/>
          <w:sz w:val="16"/>
          <w:szCs w:val="16"/>
          <w:b w:val="1"/>
          <w:bCs w:val="1"/>
          <w:color w:val="auto"/>
        </w:rPr>
        <w:t>U.S. Holders should consult their own tax advisors regarding the application of backup withholding in their</w:t>
      </w:r>
      <w:r>
        <w:rPr>
          <w:rFonts w:ascii="Arial" w:cs="Arial" w:eastAsia="Arial" w:hAnsi="Arial"/>
          <w:sz w:val="16"/>
          <w:szCs w:val="16"/>
          <w:color w:val="auto"/>
        </w:rPr>
        <w:t xml:space="preserve"> </w:t>
      </w:r>
      <w:r>
        <w:rPr>
          <w:rFonts w:ascii="Arial" w:cs="Arial" w:eastAsia="Arial" w:hAnsi="Arial"/>
          <w:sz w:val="16"/>
          <w:szCs w:val="16"/>
          <w:b w:val="1"/>
          <w:bCs w:val="1"/>
          <w:color w:val="auto"/>
        </w:rPr>
        <w:t>particular situation, the availability of an exemption from backup withholding and the procedure for obtaining such an exemption, if available.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117"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color w:val="auto"/>
        </w:rPr>
        <w:t xml:space="preserve">The rules governing United States federal income taxation of Non-U.S. Holders are complex. </w:t>
      </w:r>
      <w:r>
        <w:rPr>
          <w:rFonts w:ascii="Arial" w:cs="Arial" w:eastAsia="Arial" w:hAnsi="Arial"/>
          <w:sz w:val="18"/>
          <w:szCs w:val="18"/>
          <w:b w:val="1"/>
          <w:bCs w:val="1"/>
          <w:color w:val="auto"/>
        </w:rPr>
        <w:t>Non-U.S. Holders should consult with their own tax</w:t>
      </w:r>
      <w:r>
        <w:rPr>
          <w:rFonts w:ascii="Arial" w:cs="Arial" w:eastAsia="Arial" w:hAnsi="Arial"/>
          <w:sz w:val="18"/>
          <w:szCs w:val="18"/>
          <w:color w:val="auto"/>
        </w:rPr>
        <w:t xml:space="preserve"> </w:t>
      </w:r>
      <w:r>
        <w:rPr>
          <w:rFonts w:ascii="Arial" w:cs="Arial" w:eastAsia="Arial" w:hAnsi="Arial"/>
          <w:sz w:val="18"/>
          <w:szCs w:val="18"/>
          <w:b w:val="1"/>
          <w:bCs w:val="1"/>
          <w:color w:val="auto"/>
        </w:rPr>
        <w:t>advisors to determine the effect of United States federal, state, local and foreign income tax laws, as well as treaties, with regard to an investment in the notes, including any reporting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540" w:firstLine="456"/>
        <w:spacing w:after="0" w:line="291" w:lineRule="auto"/>
        <w:rPr>
          <w:sz w:val="20"/>
          <w:szCs w:val="20"/>
          <w:color w:val="auto"/>
        </w:rPr>
      </w:pPr>
      <w:r>
        <w:rPr>
          <w:rFonts w:ascii="Arial" w:cs="Arial" w:eastAsia="Arial" w:hAnsi="Arial"/>
          <w:sz w:val="16"/>
          <w:szCs w:val="16"/>
          <w:color w:val="auto"/>
        </w:rPr>
        <w:t>Subject to the discussions below concerning backup withholding and FATCA (as defined below), payments of principal and interest on the notes (including any amounts received attributable to accrued but unpaid stated interest on the notes not previously included in income) to any Non-</w:t>
      </w:r>
    </w:p>
    <w:p>
      <w:pPr>
        <w:spacing w:after="0" w:line="281" w:lineRule="auto"/>
        <w:rPr>
          <w:sz w:val="20"/>
          <w:szCs w:val="20"/>
          <w:color w:val="auto"/>
        </w:rPr>
      </w:pPr>
      <w:r>
        <w:rPr>
          <w:rFonts w:ascii="Arial" w:cs="Arial" w:eastAsia="Arial" w:hAnsi="Arial"/>
          <w:sz w:val="16"/>
          <w:szCs w:val="16"/>
          <w:color w:val="auto"/>
        </w:rPr>
        <w:t xml:space="preserve">U.S. Holder generally will not be subject to United States federal income or withholding tax;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interest, (i) the interest is not effectively connected with such Non-U.S. Holder’s conduct of a trade or business in the United States, (ii) such Non-U.S. Holder does not own, actually or constructively, 10% or more of the total combined voting power of all classes of our stock that are entitled to vote within the meaning of Section 871(h)(3)(B) of the Code, and (iii) such Non-U.S. Holder is not a controlled foreign corporation related, directly or indirectly, to us within the meaning of Section 881(c)(3)</w:t>
      </w:r>
    </w:p>
    <w:p>
      <w:pPr>
        <w:spacing w:after="0" w:line="3" w:lineRule="exact"/>
        <w:rPr>
          <w:sz w:val="20"/>
          <w:szCs w:val="20"/>
          <w:color w:val="auto"/>
        </w:rPr>
      </w:pPr>
    </w:p>
    <w:p>
      <w:pPr>
        <w:ind w:firstLine="8"/>
        <w:spacing w:after="0" w:line="281" w:lineRule="auto"/>
        <w:tabs>
          <w:tab w:leader="none" w:pos="2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all cases, the certification requirement described in the next sentence has been fulfilled with respect to the beneficial owner. The certification requirement referred to above will be fulfilled if either (A) the Non-U.S. Holder provides to us or the paying agent an IRS Form W-8BEN or W-8BEN-E, as applicable (or successor form), signed under penalties of perjury, that includes such holder’s name and address and a certification as to its non-U.S. status or (B) a securities clearing organization, bank or other financial institution that holds customers’ securities in the ordinary course of its trade or business holds the notes on behalf of the beneficial owner and provides a statement to us or the paying agent, signed under penalties of perjury, in which the organization, bank or financial institution certifies that it has received an IRS Form W-8BEN or W-8BEN-E, as applicable (or successor form) from</w:t>
      </w:r>
    </w:p>
    <w:p>
      <w:pPr>
        <w:spacing w:after="0" w:line="4" w:lineRule="exact"/>
        <w:rPr>
          <w:rFonts w:ascii="Arial" w:cs="Arial" w:eastAsia="Arial" w:hAnsi="Arial"/>
          <w:sz w:val="16"/>
          <w:szCs w:val="16"/>
          <w:color w:val="auto"/>
        </w:rPr>
      </w:pPr>
    </w:p>
    <w:p>
      <w:pPr>
        <w:ind w:right="620"/>
        <w:spacing w:after="0" w:line="255" w:lineRule="auto"/>
        <w:rPr>
          <w:rFonts w:ascii="Arial" w:cs="Arial" w:eastAsia="Arial" w:hAnsi="Arial"/>
          <w:sz w:val="16"/>
          <w:szCs w:val="16"/>
          <w:color w:val="auto"/>
        </w:rPr>
      </w:pPr>
      <w:r>
        <w:rPr>
          <w:rFonts w:ascii="Arial" w:cs="Arial" w:eastAsia="Arial" w:hAnsi="Arial"/>
          <w:sz w:val="18"/>
          <w:szCs w:val="18"/>
          <w:color w:val="auto"/>
        </w:rPr>
        <w:t>the Non-U.S. Holder or from another financial institution acting on behalf of such holder and furnishes us or the paying agent with a copy thereof and otherwise complies with the applicable IRS requirements. Other methods may be available to satisfy the certification requirements described above, depending on the circumstances applicable to the Non-U.S. Holder.</w:t>
      </w:r>
    </w:p>
    <w:p>
      <w:pPr>
        <w:spacing w:after="0" w:line="1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gross amount of payments of interest that do not qualify for the exception from withholding described above (the “portfolio interest exemption”) will be subject to United States income tax withholding at a rate of 30% unless (i) the Non-U.S. Holder provides a properly completed IRS Form W-8BEN or W-8BEN-E, as applicable (or successor form) claiming an exemption from or reduction in withholding under an applicable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treaty or (ii) such interest is effectively connected with the conduct of a United States trade or business by such Non-U.S. Holder (unless an applicable treaty provides otherwise) and the holder provides a properly completed IRS Form W-8ECI (or successor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interest or other income received with respect to a note is effectively connected with a United States trade or business conducted by a Non-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Holder, the Non-U.S. Holder generally will be subject to United States federal income tax on such interest or other income in the same manner as if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 U.S. Holder, unless an applicable treaty provides otherwise. In addition, if the Non-U.S. Holder is a foreign corporation, it may be subject to a branch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profits tax equal to 30% of its effectively connected earnings and profits for the taxable year, subject to certain adjustments, unless reduced or eliminated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applicable tax treaty. Even though such effectively connected income is subject to income tax, and may be subject to the branch profits tax, it is not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withholding tax if the Non-U.S. Holder satisfies the certification requirements described above.</w:t>
      </w:r>
    </w:p>
    <w:p>
      <w:pPr>
        <w:spacing w:after="0" w:line="211"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 xml:space="preserve">Under certain circumstances, we may be required to make additional payments to holders of such notes. Such payments may be treated as interest, subject to the rules described above, or as gain realized on the sale, exchange, retirement or other taxable disposition of a note. </w:t>
      </w:r>
      <w:r>
        <w:rPr>
          <w:rFonts w:ascii="Arial" w:cs="Arial" w:eastAsia="Arial" w:hAnsi="Arial"/>
          <w:sz w:val="17"/>
          <w:szCs w:val="17"/>
          <w:b w:val="1"/>
          <w:bCs w:val="1"/>
          <w:color w:val="auto"/>
        </w:rPr>
        <w:t>Non-U.S. Holders should</w:t>
      </w:r>
      <w:r>
        <w:rPr>
          <w:rFonts w:ascii="Arial" w:cs="Arial" w:eastAsia="Arial" w:hAnsi="Arial"/>
          <w:sz w:val="17"/>
          <w:szCs w:val="17"/>
          <w:color w:val="auto"/>
        </w:rPr>
        <w:t xml:space="preserve"> </w:t>
      </w:r>
      <w:r>
        <w:rPr>
          <w:rFonts w:ascii="Arial" w:cs="Arial" w:eastAsia="Arial" w:hAnsi="Arial"/>
          <w:sz w:val="17"/>
          <w:szCs w:val="17"/>
          <w:b w:val="1"/>
          <w:bCs w:val="1"/>
          <w:color w:val="auto"/>
        </w:rPr>
        <w:t>consult their own tax advisors as to the tax considerations relating to debt instruments that provide for one or more contingent payments, in particular as to the availability of the portfolio interest exemption, and the ability of Non-U.S. Holders to claim the benefits of income tax treaty exemptions from United States withholding tax in respect of any such additional payments.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the Notes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Subject to the discussions below concerning backup withholding and FATCA (as defined below), a Non-U.S. Holder will not be subject to United States federal income tax on gain realized on the sale, exchange, retirement or other taxable disposition of a note, unless (i) such Non-U.S. Holder is an individual who is present in the United States for 183 days or more in the taxable year of disposition, and certain other conditions are met or (ii) such gain is effectively connected with the conduct by such Non-U.S. Holder of a trade or business in the United States and, if required by an applicable income tax treaty, is attributable to a United States permanent establishment or fixed base maintained by such Non-U.S. Holder. If the first exception applies, the non-</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 Holder generally will be subject to United States federal income tax at a rate of 30% (unless an applicable treaty provides otherwise) on the amount by which such non-U.S. Holder’s capital gains allocable to U.S. sources exceed capital losses allocable to U.S. sources during the taxable year of the disposition. If the second exception applies, the Non-U.S. Holder generally will be subject to United States federal income tax with respect to such gain in the same manner as a U.S. Holder, unless otherwise provided in an applicable income tax treaty, and a Non-U.S. Holder that is a corporation for United States federal income tax purposes may also be subject to a branch profits tax with respect to such gain at a rate of 30% (or at a reduced rate under an applicable income tax treaty). Any amounts received in connection with such sale, exchange, retirement or other taxable disposition attributable to accrued but unpaid interest not previously included in income will be taxed as interest,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Generally, we must report annually to the IRS and to Non-U.S. Holders the amount of interest paid to such holders and the amount of tax, if any, withheld with respect to those payments. Copies of the information returns reporting such interest and withholding may also be made available to the tax authorities in the country in which a Non-U.S. Holder resides under the provisions of an applicable income tax treaty.</w:t>
      </w:r>
    </w:p>
    <w:p>
      <w:pPr>
        <w:spacing w:after="0" w:line="1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current United States federal income tax law, backup withholding generally will not apply to payments of interest that we make if the certifications described under “—Taxation of Non-U.S. Holders—Payments of Interest” are received; provided that we or the paying agent, as the case may be, do not have actual knowledge or reason to know that the payee is a U.S.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Payments on the sale, exchange, retirement or other taxable disposition of a note made within the United States or through certain United States related financial intermediaries will be subject to information reporting to the IRS, unless the Non-U.S. Holder certifies under penalties of perjury that such holder is a Non-U.S. Holder or otherwise establishes an exemption. Backup withholding may apply to any payment that a foreign broker is required to report if the broker has actual knowledge that the payee is a U.S. person. Payments to or through the U.S. office of a broker will be subject to backup withholding and information reporting unless the holder certifies, under penalties of perjury, that it is not a U.S. person (and the broker does not have actual knowledge or reason to know that the payee is a U.S. person), or the payee otherwise establishes an exemption.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Backup withholding is not an additional tax. Any amounts withheld from a payment to a Non-U.S. Holder under the backup withholding rules will be allowed as a credit against such holder’s United States federal income tax liability and may entitle such holder to a refund; provided that the required information is timely furnished to the IRS. </w:t>
      </w:r>
      <w:r>
        <w:rPr>
          <w:rFonts w:ascii="Arial" w:cs="Arial" w:eastAsia="Arial" w:hAnsi="Arial"/>
          <w:sz w:val="18"/>
          <w:szCs w:val="18"/>
          <w:b w:val="1"/>
          <w:bCs w:val="1"/>
          <w:color w:val="auto"/>
        </w:rPr>
        <w:t>Non-U.S. Holders should consult their tax advisors regarding the application of information reporting and</w:t>
      </w:r>
      <w:r>
        <w:rPr>
          <w:rFonts w:ascii="Arial" w:cs="Arial" w:eastAsia="Arial" w:hAnsi="Arial"/>
          <w:sz w:val="18"/>
          <w:szCs w:val="18"/>
          <w:color w:val="auto"/>
        </w:rPr>
        <w:t xml:space="preserve"> </w:t>
      </w:r>
      <w:r>
        <w:rPr>
          <w:rFonts w:ascii="Arial" w:cs="Arial" w:eastAsia="Arial" w:hAnsi="Arial"/>
          <w:sz w:val="18"/>
          <w:szCs w:val="18"/>
          <w:b w:val="1"/>
          <w:bCs w:val="1"/>
          <w:color w:val="auto"/>
        </w:rPr>
        <w:t>backup withholding in their particular situations, the availability of an exemption from backup withholding and the procedure for obtaining such an exemption, if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w:t>
      </w:r>
    </w:p>
    <w:p>
      <w:pPr>
        <w:spacing w:after="0" w:line="11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7"/>
          <w:szCs w:val="17"/>
          <w:color w:val="auto"/>
        </w:rPr>
        <w:t xml:space="preserve">Pursuant to Sections 1471 through 1474 of the Code, Treasury regulations and other Treasury Department or IRS guidance issued thereunder, and intergovernmental agreements, legislation, rules and other official guidance adopted pursuant to such intergovernmental agreements (including any regulations, guidance, agreements and amendments issued after the date hereof) (collectively, “FATCA”), issuers of certain debt instruments and their agents are required to withhold 30% of any U.S.-source interest paid with respect to such instruments, and, on or after January 1, 2017, 30% of the gross proceeds from the sale or other disposition (including redemption) of those instruments, in each case paid to a holder (including a holder acting as an intermediary) if such holder fails to provide the issuer or its agents with the information, certifications or documentation required under FATCA, including information, certifications or documentation necessary for the issuer or its agents to (i) determine whether the holder is a non-U.S. person or a U.S. person and, if it is a non-U.S. person, whether the non-U.S. person has “substantial United States owners” and/or is in compliance with (or meets an exception from) FATCA requirements and (ii) comply with the reporting and withholding requirements of FATCA. Such withholding generally will apply without regard to whether the holder would otherwise be entitled to an exemption from the imposition of withholding tax pursuant to an applicable tax treaty with the United States or U.S. domestic law. An intergovernmental agreement between the United States and a foreign country where a holder or intermediary is located may further modify these requirements. </w:t>
      </w:r>
      <w:r>
        <w:rPr>
          <w:rFonts w:ascii="Arial" w:cs="Arial" w:eastAsia="Arial" w:hAnsi="Arial"/>
          <w:sz w:val="17"/>
          <w:szCs w:val="17"/>
          <w:b w:val="1"/>
          <w:bCs w:val="1"/>
          <w:color w:val="auto"/>
        </w:rPr>
        <w:t>Holders should consult their own tax advisors regarding the possible implications of FATCA on their investment in the</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Goldman, Sachs &amp; Co. and Merrill Lynch, Pierce, Fenner &amp; Smith Incorporated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gridSpan w:val="2"/>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7"/>
                <w:szCs w:val="7"/>
                <w:color w:val="auto"/>
              </w:rPr>
            </w:pPr>
          </w:p>
        </w:tc>
        <w:tc>
          <w:tcPr>
            <w:tcW w:w="156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7"/>
                <w:szCs w:val="7"/>
                <w:color w:val="auto"/>
              </w:rPr>
            </w:pPr>
          </w:p>
        </w:tc>
        <w:tc>
          <w:tcPr>
            <w:tcW w:w="13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38"/>
        </w:trPr>
        <w:tc>
          <w:tcPr>
            <w:tcW w:w="10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Notes Due 2020</w:t>
            </w:r>
          </w:p>
        </w:tc>
        <w:tc>
          <w:tcPr>
            <w:tcW w:w="12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Notes Due 2022</w:t>
            </w: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Notes Due 2025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Notes Due 2045</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465,000,000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310,000,000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542,500,000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gridSpan w:val="3"/>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60" w:type="dxa"/>
            <w:vAlign w:val="bottom"/>
            <w:gridSpan w:val="3"/>
          </w:tcPr>
          <w:p>
            <w:pPr>
              <w:ind w:left="960"/>
              <w:spacing w:after="0"/>
              <w:rPr>
                <w:sz w:val="20"/>
                <w:szCs w:val="20"/>
                <w:color w:val="auto"/>
              </w:rPr>
            </w:pPr>
            <w:r>
              <w:rPr>
                <w:rFonts w:ascii="Arial" w:cs="Arial" w:eastAsia="Arial" w:hAnsi="Arial"/>
                <w:sz w:val="18"/>
                <w:szCs w:val="18"/>
                <w:color w:val="auto"/>
              </w:rPr>
              <w:t>Incorporated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405,000,000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270,000,000</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472,500,000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472,500,000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97,500,000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65,000,000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97,500,000</w:t>
            </w:r>
          </w:p>
        </w:tc>
        <w:tc>
          <w:tcPr>
            <w:tcW w:w="1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65,000,000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113,750,000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97,500,000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65,000,000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Mitsubishi UFJ Securities (USA),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75,000,000</w:t>
            </w:r>
          </w:p>
        </w:tc>
        <w:tc>
          <w:tcPr>
            <w:tcW w:w="1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50,000,000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87,500,000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87,500,000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85,000,000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148,750,000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HSBC Securities (USA)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45,000,000</w:t>
            </w:r>
          </w:p>
        </w:tc>
        <w:tc>
          <w:tcPr>
            <w:tcW w:w="1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45,000,000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U.S. Bancorp Investments, Inc.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45,000,000</w:t>
            </w:r>
          </w:p>
        </w:tc>
        <w:tc>
          <w:tcPr>
            <w:tcW w:w="1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52,500,000</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1,500,000,000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1,000,000,000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1,750,000,000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1,750,000,000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have agreed to indemnify the several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The representatives of each of the underwriters have advised us that the underwriters propose initially to offer the notes to the public at the public offering price set forth on the cover page of this prospectus supplement and to certain dealers at such price less (i) a selling concession not in excess of</w:t>
      </w:r>
    </w:p>
    <w:p>
      <w:pPr>
        <w:ind w:right="120"/>
        <w:spacing w:after="0" w:line="252" w:lineRule="auto"/>
        <w:rPr>
          <w:sz w:val="20"/>
          <w:szCs w:val="20"/>
          <w:color w:val="auto"/>
        </w:rPr>
      </w:pPr>
      <w:r>
        <w:rPr>
          <w:rFonts w:ascii="Arial" w:cs="Arial" w:eastAsia="Arial" w:hAnsi="Arial"/>
          <w:sz w:val="18"/>
          <w:szCs w:val="18"/>
          <w:color w:val="auto"/>
        </w:rPr>
        <w:t>0.360% of the principal amount of the notes due 2020 and reallowances not in excess of 0.200% of the principal amount of the notes due 2020, (ii) a selling concession not in excess of 0.375% of the principal amount of the notes due 2022 and reallowances not in excess of 0.250% of the principal amount of the notes due 2022, (iii) a selling concession not in excess of 0.400% of the principal amount of the notes due 2025 and reallowances not in excess of 0.250% of the principal amount of the notes due 2025 and (iv) a selling concession not in excess of 0.525% of the principal amount of the notes due 2045 and reallowances not in excess of 0.250% of the principal amount of the notes due 2045. After the initial offering, the public offering price, selling concession or any other term of the offering may be changed.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expenses of the offering, not including underwriting discounts, are estimated at approximately $7.8 million and are payable by us. The underwriters have agreed to reimburse us for certain expenses related to the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Securities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notes are a new issue of securities with no established trading market. We do not intend to apply for listing of the notes on any national securities exchange or for inclusion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Positions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addition, affiliates of certain of the underwriters are agents and lenders under our Credit Agreement.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in the ordinary course of their business activities, the underwriters and their respective affiliates, officers, directors and employees may purchase,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In relation to each member state of the European Economic Area (each, a “Member State”), no offer of notes which are the subject of the offering has been, or will be made to the public in that Member State, other than under the following exemptions under the Prospectus Directive:</w:t>
      </w:r>
    </w:p>
    <w:p>
      <w:pPr>
        <w:spacing w:after="0" w:line="5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left="460" w:right="420"/>
        <w:spacing w:after="0" w:line="34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the Company or any Representative to publish a prospectus pursuant to Article 3 of the Prospectus Directive or supplement a prospectus pursuant to Article 16 of the Prospectus Directive.</w:t>
      </w:r>
    </w:p>
    <w:p>
      <w:pPr>
        <w:spacing w:after="0" w:line="12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Member State of notes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notes in circumstances in which an obligation arises for the Company or the Representatives to publish a prospectus for such offer.</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ind w:right="20" w:firstLine="8"/>
        <w:spacing w:after="0" w:line="254"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Where the notes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notes under Section 275 of the SFA except: (1) to an institutional investor under Section 274 of the SFA or to a relevant person (as defined in Section 275(2) of the SFA),</w:t>
      </w:r>
    </w:p>
    <w:p>
      <w:pPr>
        <w:spacing w:after="0" w:line="2" w:lineRule="exact"/>
        <w:rPr>
          <w:sz w:val="20"/>
          <w:szCs w:val="20"/>
          <w:color w:val="auto"/>
        </w:rPr>
      </w:pPr>
    </w:p>
    <w:p>
      <w:pPr>
        <w:ind w:right="20" w:firstLine="8"/>
        <w:spacing w:after="0" w:line="25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or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VALIDITY OF THE NOTES</w:t>
      </w:r>
    </w:p>
    <w:p>
      <w:pPr>
        <w:spacing w:after="0" w:line="229" w:lineRule="exact"/>
        <w:rPr>
          <w:sz w:val="20"/>
          <w:szCs w:val="20"/>
          <w:color w:val="auto"/>
        </w:rPr>
      </w:pPr>
    </w:p>
    <w:p>
      <w:pPr>
        <w:jc w:val="center"/>
        <w:ind w:left="700"/>
        <w:spacing w:after="0" w:line="449" w:lineRule="auto"/>
        <w:rPr>
          <w:sz w:val="20"/>
          <w:szCs w:val="20"/>
          <w:color w:val="auto"/>
        </w:rPr>
      </w:pPr>
      <w:r>
        <w:rPr>
          <w:rFonts w:ascii="Arial" w:cs="Arial" w:eastAsia="Arial" w:hAnsi="Arial"/>
          <w:sz w:val="18"/>
          <w:szCs w:val="18"/>
          <w:color w:val="auto"/>
        </w:rPr>
        <w:t>Certain legal matters relating to the notes will be passed upon for us by Ropes &amp; Gray LLP and for the underwriters by Davis Polk &amp; Wardwell LLP. S-44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172085</wp:posOffset>
            </wp:positionV>
            <wp:extent cx="1560830" cy="523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6083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329565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Biogen Inc. may offer to sell debt securities from time to time, in one or more offerings. The terms of the debt securities will be described in supplements to this prospectus, together with other terms and matters related to the offering. The prospectus supplements may also add, update or change information contained or incorporated by reference in this document. This prospectus may be used to offer and sell securities only if accompanied by a prospectus supplement. You should read carefully both this prospectus and any prospectus supplement, along with the additional information described under the heading “Where You Can Find More Information,” before making an investment decision.</w:t>
      </w:r>
    </w:p>
    <w:p>
      <w:pPr>
        <w:spacing w:after="0" w:line="2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may offer and sell the debt securities on an immediate, continuous or delayed basis directly to investors or through underwriters, dealers or agents, or through a combination of these methods.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trades on the NASDAQ Global Select Market under the symbol “BIIB.”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firstLine="456"/>
        <w:spacing w:after="0" w:line="254" w:lineRule="auto"/>
        <w:rPr>
          <w:rFonts w:ascii="Arial" w:cs="Arial" w:eastAsia="Arial" w:hAnsi="Arial"/>
          <w:sz w:val="21"/>
          <w:szCs w:val="21"/>
          <w:b w:val="1"/>
          <w:bCs w:val="1"/>
          <w:color w:val="0000EE"/>
        </w:rPr>
      </w:pPr>
      <w:hyperlink w:anchor="page52">
        <w:r>
          <w:rPr>
            <w:rFonts w:ascii="Arial" w:cs="Arial" w:eastAsia="Arial" w:hAnsi="Arial"/>
            <w:sz w:val="21"/>
            <w:szCs w:val="21"/>
            <w:b w:val="1"/>
            <w:bCs w:val="1"/>
            <w:color w:val="auto"/>
          </w:rPr>
          <w:t>Investing in these securities involves certain risks. Please carefully read the information under the heading “</w:t>
        </w:r>
        <w:r>
          <w:rPr>
            <w:rFonts w:ascii="Arial" w:cs="Arial" w:eastAsia="Arial" w:hAnsi="Arial"/>
            <w:sz w:val="21"/>
            <w:szCs w:val="21"/>
            <w:b w:val="1"/>
            <w:bCs w:val="1"/>
            <w:u w:val="single" w:color="auto"/>
            <w:color w:val="0000EE"/>
          </w:rPr>
          <w:t>Risk</w:t>
        </w:r>
      </w:hyperlink>
      <w:r>
        <w:rPr>
          <w:rFonts w:ascii="Arial" w:cs="Arial" w:eastAsia="Arial" w:hAnsi="Arial"/>
          <w:sz w:val="21"/>
          <w:szCs w:val="21"/>
          <w:b w:val="1"/>
          <w:bCs w:val="1"/>
          <w:color w:val="auto"/>
        </w:rPr>
        <w:t xml:space="preserve"> </w:t>
      </w:r>
      <w:hyperlink w:anchor="page52">
        <w:r>
          <w:rPr>
            <w:rFonts w:ascii="Arial" w:cs="Arial" w:eastAsia="Arial" w:hAnsi="Arial"/>
            <w:sz w:val="21"/>
            <w:szCs w:val="21"/>
            <w:b w:val="1"/>
            <w:bCs w:val="1"/>
            <w:u w:val="single" w:color="auto"/>
            <w:color w:val="0000EE"/>
          </w:rPr>
          <w:t>Factors</w:t>
        </w:r>
        <w:r>
          <w:rPr>
            <w:rFonts w:ascii="Arial" w:cs="Arial" w:eastAsia="Arial" w:hAnsi="Arial"/>
            <w:sz w:val="21"/>
            <w:szCs w:val="21"/>
            <w:b w:val="1"/>
            <w:bCs w:val="1"/>
            <w:color w:val="000000"/>
          </w:rPr>
          <w:t xml:space="preserve">” beginning on page 3 of this prospectus before you invest in our securities. We may include additional risk </w:t>
        </w:r>
      </w:hyperlink>
      <w:r>
        <w:rPr>
          <w:rFonts w:ascii="Arial" w:cs="Arial" w:eastAsia="Arial" w:hAnsi="Arial"/>
          <w:sz w:val="21"/>
          <w:szCs w:val="21"/>
          <w:b w:val="1"/>
          <w:bCs w:val="1"/>
          <w:color w:val="0000EE"/>
        </w:rPr>
        <w:t xml:space="preserve">factors </w:t>
      </w:r>
      <w:r>
        <w:rPr>
          <w:rFonts w:ascii="Arial" w:cs="Arial" w:eastAsia="Arial" w:hAnsi="Arial"/>
          <w:sz w:val="21"/>
          <w:szCs w:val="21"/>
          <w:b w:val="1"/>
          <w:bCs w:val="1"/>
          <w:color w:val="000000"/>
        </w:rPr>
        <w:t>in any supplement, any related free writing prospectus and/or any other future filings we make with the Securities and Exchange Commission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285750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address of our principal executive offices is 225 Binney Street, Cambridge, Massachusetts 02142 and our telephone number at our principal executive offices is (617) 679-2000.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288925</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September 8, 2015.</w:t>
      </w:r>
    </w:p>
    <w:p>
      <w:pPr>
        <w:sectPr>
          <w:pgSz w:w="11900" w:h="16838" w:orient="portrait"/>
          <w:cols w:equalWidth="0" w:num="1">
            <w:col w:w="11360"/>
          </w:cols>
          <w:pgMar w:left="240" w:top="459"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54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780" w:type="dxa"/>
            <w:vAlign w:val="bottom"/>
          </w:tcPr>
          <w:p>
            <w:pPr>
              <w:spacing w:after="0"/>
              <w:rPr>
                <w:sz w:val="17"/>
                <w:szCs w:val="17"/>
                <w:color w:val="auto"/>
              </w:rPr>
            </w:pPr>
          </w:p>
        </w:tc>
      </w:tr>
      <w:tr>
        <w:trPr>
          <w:trHeight w:val="534"/>
        </w:trPr>
        <w:tc>
          <w:tcPr>
            <w:tcW w:w="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80" w:type="dxa"/>
            <w:vAlign w:val="bottom"/>
          </w:tcPr>
          <w:p>
            <w:pPr>
              <w:jc w:val="right"/>
              <w:ind w:right="483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3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50">
              <w:r>
                <w:rPr>
                  <w:rFonts w:ascii="Arial" w:cs="Arial" w:eastAsia="Arial" w:hAnsi="Arial"/>
                  <w:sz w:val="18"/>
                  <w:szCs w:val="18"/>
                  <w:b w:val="1"/>
                  <w:bCs w:val="1"/>
                  <w:color w:val="0000EE"/>
                  <w:w w:val="97"/>
                </w:rPr>
                <w:t>ABOUT THIS PROSPECTUS</w:t>
              </w:r>
            </w:hyperlink>
          </w:p>
        </w:tc>
        <w:tc>
          <w:tcPr>
            <w:tcW w:w="2180" w:type="dxa"/>
            <w:vAlign w:val="bottom"/>
            <w:gridSpan w:val="3"/>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404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WHERE YOU CAN FIND MORE INFORMATION</w:t>
              </w:r>
            </w:hyperlink>
          </w:p>
        </w:tc>
        <w:tc>
          <w:tcPr>
            <w:tcW w:w="500" w:type="dxa"/>
            <w:vAlign w:val="bottom"/>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THE COMPANY</w:t>
              </w:r>
            </w:hyperlink>
          </w:p>
        </w:tc>
        <w:tc>
          <w:tcPr>
            <w:tcW w:w="3180" w:type="dxa"/>
            <w:vAlign w:val="bottom"/>
            <w:gridSpan w:val="7"/>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04"/>
        </w:trPr>
        <w:tc>
          <w:tcPr>
            <w:tcW w:w="1340" w:type="dxa"/>
            <w:vAlign w:val="bottom"/>
            <w:tcBorders>
              <w:bottom w:val="single" w:sz="8" w:color="0000EE"/>
            </w:tcBorders>
            <w:gridSpan w:val="2"/>
          </w:tcPr>
          <w:p>
            <w:pPr>
              <w:spacing w:after="0"/>
              <w:rPr>
                <w:rFonts w:ascii="Arial" w:cs="Arial" w:eastAsia="Arial" w:hAnsi="Arial"/>
                <w:sz w:val="18"/>
                <w:szCs w:val="18"/>
                <w:b w:val="1"/>
                <w:bCs w:val="1"/>
                <w:color w:val="0000EE"/>
                <w:w w:val="97"/>
              </w:rPr>
            </w:pPr>
            <w:hyperlink w:anchor="page52">
              <w:r>
                <w:rPr>
                  <w:rFonts w:ascii="Arial" w:cs="Arial" w:eastAsia="Arial" w:hAnsi="Arial"/>
                  <w:sz w:val="18"/>
                  <w:szCs w:val="18"/>
                  <w:b w:val="1"/>
                  <w:bCs w:val="1"/>
                  <w:color w:val="0000EE"/>
                  <w:w w:val="97"/>
                </w:rPr>
                <w:t>RISK FACTORS</w:t>
              </w:r>
            </w:hyperlink>
          </w:p>
        </w:tc>
        <w:tc>
          <w:tcPr>
            <w:tcW w:w="3200" w:type="dxa"/>
            <w:vAlign w:val="bottom"/>
            <w:gridSpan w:val="8"/>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1680" w:type="dxa"/>
            <w:vAlign w:val="bottom"/>
            <w:tcBorders>
              <w:bottom w:val="single" w:sz="8" w:color="0000EE"/>
            </w:tcBorders>
            <w:gridSpan w:val="5"/>
          </w:tcPr>
          <w:p>
            <w:pPr>
              <w:spacing w:after="0"/>
              <w:rPr>
                <w:rFonts w:ascii="Arial" w:cs="Arial" w:eastAsia="Arial" w:hAnsi="Arial"/>
                <w:sz w:val="18"/>
                <w:szCs w:val="18"/>
                <w:b w:val="1"/>
                <w:bCs w:val="1"/>
                <w:color w:val="0000EE"/>
                <w:w w:val="95"/>
              </w:rPr>
            </w:pPr>
            <w:hyperlink w:anchor="page52">
              <w:r>
                <w:rPr>
                  <w:rFonts w:ascii="Arial" w:cs="Arial" w:eastAsia="Arial" w:hAnsi="Arial"/>
                  <w:sz w:val="18"/>
                  <w:szCs w:val="18"/>
                  <w:b w:val="1"/>
                  <w:bCs w:val="1"/>
                  <w:color w:val="0000EE"/>
                  <w:w w:val="95"/>
                </w:rPr>
                <w:t>USE OF PROCEEDS</w:t>
              </w:r>
            </w:hyperlink>
          </w:p>
        </w:tc>
        <w:tc>
          <w:tcPr>
            <w:tcW w:w="2860" w:type="dxa"/>
            <w:vAlign w:val="bottom"/>
            <w:gridSpan w:val="5"/>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37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RATIO OF EARNINGS TO FIXED CHARGES</w:t>
              </w:r>
            </w:hyperlink>
          </w:p>
        </w:tc>
        <w:tc>
          <w:tcPr>
            <w:tcW w:w="820" w:type="dxa"/>
            <w:vAlign w:val="bottom"/>
            <w:gridSpan w:val="2"/>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4540" w:type="dxa"/>
            <w:vAlign w:val="bottom"/>
            <w:gridSpan w:val="10"/>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PLAN OF DISTRIBUTION</w:t>
              </w:r>
            </w:hyperlink>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15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2"/>
          </w:tcPr>
          <w:p>
            <w:pPr>
              <w:spacing w:after="0"/>
              <w:rPr>
                <w:sz w:val="24"/>
                <w:szCs w:val="24"/>
                <w:color w:val="auto"/>
              </w:rPr>
            </w:pPr>
          </w:p>
        </w:tc>
        <w:tc>
          <w:tcPr>
            <w:tcW w:w="2380" w:type="dxa"/>
            <w:vAlign w:val="bottom"/>
            <w:gridSpan w:val="4"/>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04"/>
        </w:trPr>
        <w:tc>
          <w:tcPr>
            <w:tcW w:w="840" w:type="dxa"/>
            <w:vAlign w:val="bottom"/>
            <w:tcBorders>
              <w:bottom w:val="single" w:sz="8" w:color="0000EE"/>
            </w:tcBorders>
          </w:tcPr>
          <w:p>
            <w:pPr>
              <w:spacing w:after="0"/>
              <w:rPr>
                <w:rFonts w:ascii="Arial" w:cs="Arial" w:eastAsia="Arial" w:hAnsi="Arial"/>
                <w:sz w:val="18"/>
                <w:szCs w:val="18"/>
                <w:b w:val="1"/>
                <w:bCs w:val="1"/>
                <w:color w:val="0000EE"/>
                <w:w w:val="97"/>
              </w:rPr>
            </w:pPr>
            <w:hyperlink w:anchor="page54">
              <w:r>
                <w:rPr>
                  <w:rFonts w:ascii="Arial" w:cs="Arial" w:eastAsia="Arial" w:hAnsi="Arial"/>
                  <w:sz w:val="18"/>
                  <w:szCs w:val="18"/>
                  <w:b w:val="1"/>
                  <w:bCs w:val="1"/>
                  <w:color w:val="0000EE"/>
                  <w:w w:val="97"/>
                </w:rPr>
                <w:t>EXPERTS</w:t>
              </w:r>
            </w:hyperlink>
          </w:p>
        </w:tc>
        <w:tc>
          <w:tcPr>
            <w:tcW w:w="3700" w:type="dxa"/>
            <w:vAlign w:val="bottom"/>
            <w:gridSpan w:val="9"/>
          </w:tcPr>
          <w:p>
            <w:pPr>
              <w:spacing w:after="0"/>
              <w:rPr>
                <w:sz w:val="24"/>
                <w:szCs w:val="24"/>
                <w:color w:val="auto"/>
              </w:rPr>
            </w:pPr>
          </w:p>
        </w:tc>
        <w:tc>
          <w:tcPr>
            <w:tcW w:w="67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Each time we offer debt securities using this prospectus, we will provide a prospectus supplement that will contain specific information about the terms of that offering. The prospectus supplements also may add, update or change the information contained or incorporated by reference in this prospectus and also will describe the specific manner in which we will offer these securities. You should read carefully both this prospectus and any prospectus supplement together with the additional information described under the heading “Where You Can Find More Information.”</w:t>
      </w:r>
    </w:p>
    <w:p>
      <w:pPr>
        <w:spacing w:after="0" w:line="1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to sell these debt securities in any jurisdiction where the offer or sale is not permitted. You should assume that the information appearing in this prospectus or incorporated by reference herein is accurate only as of the date on the front of this prospectus or the respective dates of filing of the incorporated documents. Our business, financial condition, results of operations and prospects may have changed since that date.</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Unless otherwise indicated or unless the context requires otherwise, all references in this prospectus to “Company,” “Biogen,” “we,” “us” and “our” refer to Biogen Inc. (formerly Biogen Idec Inc.).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or the SEC. You may read and copy any materials that we file with the SEC at 100 F Street, N.E., Washington, D.C. 20549. You may call the SEC at 1-800-732-0330 for further information. Our SEC filings are also available to the public from the SEC’s website at http://www.sec.gov.</w:t>
      </w:r>
    </w:p>
    <w:p>
      <w:pPr>
        <w:spacing w:after="0" w:line="18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SEC’s rules allow us to “incorporate by reference” the information we have filed with the SEC, which means that we can disclose important information by referring you to those documents. The information incorporated by reference is a part of this prospectus, and information that we file later with the SEC will automatically update and supersede the information included and/or incorporated by reference in this prospectus. We incorporate by reference into this prospectus the documents listed below and any future filings made by us with the SEC under Sections 13(a), 13(c), 14 and 15(d) of the Securities Exchange Act of 1934, as amended (the “Exchange Act”) (excluding those portions of any Form 8-K that are deemed furnished and not filed in accordance with SEC rules):</w:t>
      </w:r>
    </w:p>
    <w:p>
      <w:pPr>
        <w:spacing w:after="0" w:line="99" w:lineRule="exact"/>
        <w:rPr>
          <w:sz w:val="20"/>
          <w:szCs w:val="20"/>
          <w:color w:val="auto"/>
        </w:rPr>
      </w:pPr>
    </w:p>
    <w:p>
      <w:pPr>
        <w:ind w:left="900" w:right="1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(including the portions of our Definitive Proxy Statement on Schedule 14A, filed with the SEC on April 30, 2015 incorporated by reference therein), filed with the SEC on February 4, 2015;</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and June 30, 2015, filed with the SEC on April 24, 2015 and July 24, 2015, respectively;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27, 2015, June 11, 2015 and September 1, 2015.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may obtain documents incorporated by reference into this prospectus at no cost by requesting them in writing or telephoning us at the following address: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Biogen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225 Binney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Cambridge, Massachusetts 02142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(617) 464-2442</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Copies of these filings are also available, without charge, on our website at http://www.biogen.com. The contents of our website have not been, and shall not be deemed to be, incorporated by reference into, and do not form a part of, this prospectus.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by reference herein will be deemed to be modified or superseded for purposes of this prospectus to the extent that a statement contained herein or therein, or in any other subsequently filed document that also is incorporated herein or therein by reference, modifies or supersedes such statement. Any such statement so modified or superseded will not be deemed to constitute a part of this prospectus except as so modified or superseded.</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prospectus constitutes a part of a registration statement on Form S-3 (referred to herein, including all amendments and exhibits, as the “Registration Statement”) that we have filed with the SEC under the Securities Act of 1933, as amended (the “Securities Act”). This prospectus does not contain all of the information contained in the Registration Statement, certain parts of which are omitted in accordance with the rules and regulations of the SEC. We refer you to the Registration Statement and related exhibits for further information regarding us and our debt securities. The Registration Statement may be inspected at the SEC at the address set forth above or from the SEC’s web site at http://www.sec.gov. Statements contained in this prospectus or in a document incorporated or deemed to be incorporated by reference herein concerning the provisions of any document filed as an exhibit to the Registration Statement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a global biopharmaceutical company focused on discovering, developing, manufacturing and delivering therapies for neurological, autoimmune and hematologic disorders. Our marketed products include AVONEX</w:t>
      </w:r>
      <w:r>
        <w:rPr>
          <w:rFonts w:ascii="Arial" w:cs="Arial" w:eastAsia="Arial" w:hAnsi="Arial"/>
          <w:sz w:val="14"/>
          <w:szCs w:val="14"/>
          <w:color w:val="auto"/>
        </w:rPr>
        <w:t>®</w:t>
      </w:r>
      <w:r>
        <w:rPr>
          <w:rFonts w:ascii="Arial" w:cs="Arial" w:eastAsia="Arial" w:hAnsi="Arial"/>
          <w:sz w:val="17"/>
          <w:szCs w:val="17"/>
          <w:color w:val="auto"/>
        </w:rPr>
        <w:t>, PLEGRIDY</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TYSABRI</w:t>
      </w:r>
      <w:r>
        <w:rPr>
          <w:rFonts w:ascii="Arial" w:cs="Arial" w:eastAsia="Arial" w:hAnsi="Arial"/>
          <w:sz w:val="14"/>
          <w:szCs w:val="14"/>
          <w:color w:val="auto"/>
        </w:rPr>
        <w:t>®</w:t>
      </w:r>
      <w:r>
        <w:rPr>
          <w:rFonts w:ascii="Arial" w:cs="Arial" w:eastAsia="Arial" w:hAnsi="Arial"/>
          <w:sz w:val="17"/>
          <w:szCs w:val="17"/>
          <w:color w:val="auto"/>
        </w:rPr>
        <w:t>, and FAMPYRA™ for the treatment of multiple sclerosis (MS), ALPROLIX</w:t>
      </w:r>
      <w:r>
        <w:rPr>
          <w:rFonts w:ascii="Arial" w:cs="Arial" w:eastAsia="Arial" w:hAnsi="Arial"/>
          <w:sz w:val="14"/>
          <w:szCs w:val="14"/>
          <w:color w:val="auto"/>
        </w:rPr>
        <w:t>®</w:t>
      </w:r>
      <w:r>
        <w:rPr>
          <w:rFonts w:ascii="Arial" w:cs="Arial" w:eastAsia="Arial" w:hAnsi="Arial"/>
          <w:sz w:val="17"/>
          <w:szCs w:val="17"/>
          <w:color w:val="auto"/>
        </w:rPr>
        <w:t xml:space="preserve"> for the treatment of hemophilia B and ELOCTATE</w:t>
      </w:r>
      <w:r>
        <w:rPr>
          <w:rFonts w:ascii="Arial" w:cs="Arial" w:eastAsia="Arial" w:hAnsi="Arial"/>
          <w:sz w:val="14"/>
          <w:szCs w:val="14"/>
          <w:color w:val="auto"/>
        </w:rPr>
        <w:t>®</w:t>
      </w:r>
      <w:r>
        <w:rPr>
          <w:rFonts w:ascii="Arial" w:cs="Arial" w:eastAsia="Arial" w:hAnsi="Arial"/>
          <w:sz w:val="17"/>
          <w:szCs w:val="17"/>
          <w:color w:val="auto"/>
        </w:rPr>
        <w:t xml:space="preserve"> for the treatment of hemophilia A, and FUMADERM</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plaque psoriasis. We also generate revenue from our collaboration with Genentech, Inc., a wholly-owned member of the Roche Group, with respect to RITUXAN</w:t>
      </w:r>
      <w:r>
        <w:rPr>
          <w:rFonts w:ascii="Arial" w:cs="Arial" w:eastAsia="Arial" w:hAnsi="Arial"/>
          <w:sz w:val="14"/>
          <w:szCs w:val="14"/>
          <w:color w:val="auto"/>
        </w:rPr>
        <w:t>®</w:t>
      </w:r>
      <w:r>
        <w:rPr>
          <w:rFonts w:ascii="Arial" w:cs="Arial" w:eastAsia="Arial" w:hAnsi="Arial"/>
          <w:sz w:val="17"/>
          <w:szCs w:val="17"/>
          <w:color w:val="auto"/>
        </w:rPr>
        <w:t xml:space="preserve"> for the treatment of non-Hodgkin’s lymphoma, chronic lymphocytic leukemia and other conditions, and share profits and losses with Genentech for GAZYVA</w:t>
      </w:r>
      <w:r>
        <w:rPr>
          <w:rFonts w:ascii="Arial" w:cs="Arial" w:eastAsia="Arial" w:hAnsi="Arial"/>
          <w:sz w:val="14"/>
          <w:szCs w:val="14"/>
          <w:color w:val="auto"/>
        </w:rPr>
        <w:t>®</w:t>
      </w:r>
      <w:r>
        <w:rPr>
          <w:rFonts w:ascii="Arial" w:cs="Arial" w:eastAsia="Arial" w:hAnsi="Arial"/>
          <w:sz w:val="17"/>
          <w:szCs w:val="17"/>
          <w:color w:val="auto"/>
        </w:rPr>
        <w:t>, which is approved for the treatment of chronic lymphocytic leukemia.</w:t>
      </w:r>
    </w:p>
    <w:p>
      <w:pPr>
        <w:spacing w:after="0" w:line="178"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are focused on discovering and developing new therapies that improve the lives of patients having diseases with high unmet medical needs. We support our mission through the commitment of significant resources to research and development programs and business development opportunities, particularly within areas of our scientific, manufacturing and technical expertise—neurology, immunology and hematology, and scientific adjacencies.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ALPROLIX</w:t>
      </w:r>
      <w:r>
        <w:rPr>
          <w:rFonts w:ascii="Arial" w:cs="Arial" w:eastAsia="Arial" w:hAnsi="Arial"/>
          <w:sz w:val="14"/>
          <w:szCs w:val="14"/>
          <w:color w:val="auto"/>
        </w:rPr>
        <w:t>®</w:t>
      </w:r>
      <w:r>
        <w:rPr>
          <w:rFonts w:ascii="Arial" w:cs="Arial" w:eastAsia="Arial" w:hAnsi="Arial"/>
          <w:sz w:val="17"/>
          <w:szCs w:val="17"/>
          <w:color w:val="auto"/>
        </w:rPr>
        <w:t>, AVONEX</w:t>
      </w:r>
      <w:r>
        <w:rPr>
          <w:rFonts w:ascii="Arial" w:cs="Arial" w:eastAsia="Arial" w:hAnsi="Arial"/>
          <w:sz w:val="14"/>
          <w:szCs w:val="14"/>
          <w:color w:val="auto"/>
        </w:rPr>
        <w:t>®</w:t>
      </w:r>
      <w:r>
        <w:rPr>
          <w:rFonts w:ascii="Arial" w:cs="Arial" w:eastAsia="Arial" w:hAnsi="Arial"/>
          <w:sz w:val="17"/>
          <w:szCs w:val="17"/>
          <w:color w:val="auto"/>
        </w:rPr>
        <w:t>, ELOCTATE</w:t>
      </w:r>
      <w:r>
        <w:rPr>
          <w:rFonts w:ascii="Arial" w:cs="Arial" w:eastAsia="Arial" w:hAnsi="Arial"/>
          <w:sz w:val="14"/>
          <w:szCs w:val="14"/>
          <w:color w:val="auto"/>
        </w:rPr>
        <w:t>®</w:t>
      </w:r>
      <w:r>
        <w:rPr>
          <w:rFonts w:ascii="Arial" w:cs="Arial" w:eastAsia="Arial" w:hAnsi="Arial"/>
          <w:sz w:val="17"/>
          <w:szCs w:val="17"/>
          <w:color w:val="auto"/>
        </w:rPr>
        <w:t>, FUMADERM</w:t>
      </w:r>
      <w:r>
        <w:rPr>
          <w:rFonts w:ascii="Arial" w:cs="Arial" w:eastAsia="Arial" w:hAnsi="Arial"/>
          <w:sz w:val="14"/>
          <w:szCs w:val="14"/>
          <w:color w:val="auto"/>
        </w:rPr>
        <w:t>™</w:t>
      </w:r>
      <w:r>
        <w:rPr>
          <w:rFonts w:ascii="Arial" w:cs="Arial" w:eastAsia="Arial" w:hAnsi="Arial"/>
          <w:sz w:val="17"/>
          <w:szCs w:val="17"/>
          <w:color w:val="auto"/>
        </w:rPr>
        <w:t>, PLEGRIDY</w:t>
      </w:r>
      <w:r>
        <w:rPr>
          <w:rFonts w:ascii="Arial" w:cs="Arial" w:eastAsia="Arial" w:hAnsi="Arial"/>
          <w:sz w:val="14"/>
          <w:szCs w:val="14"/>
          <w:color w:val="auto"/>
        </w:rPr>
        <w:t>®</w:t>
      </w:r>
      <w:r>
        <w:rPr>
          <w:rFonts w:ascii="Arial" w:cs="Arial" w:eastAsia="Arial" w:hAnsi="Arial"/>
          <w:sz w:val="17"/>
          <w:szCs w:val="17"/>
          <w:color w:val="auto"/>
        </w:rPr>
        <w:t>, RITUXAN</w:t>
      </w:r>
      <w:r>
        <w:rPr>
          <w:rFonts w:ascii="Arial" w:cs="Arial" w:eastAsia="Arial" w:hAnsi="Arial"/>
          <w:sz w:val="14"/>
          <w:szCs w:val="14"/>
          <w:color w:val="auto"/>
        </w:rPr>
        <w:t>®</w:t>
      </w:r>
      <w:r>
        <w:rPr>
          <w:rFonts w:ascii="Arial" w:cs="Arial" w:eastAsia="Arial" w:hAnsi="Arial"/>
          <w:sz w:val="17"/>
          <w:szCs w:val="17"/>
          <w:color w:val="auto"/>
        </w:rPr>
        <w:t>, TECFIDERA</w:t>
      </w:r>
      <w:r>
        <w:rPr>
          <w:rFonts w:ascii="Arial" w:cs="Arial" w:eastAsia="Arial" w:hAnsi="Arial"/>
          <w:sz w:val="14"/>
          <w:szCs w:val="14"/>
          <w:color w:val="auto"/>
        </w:rPr>
        <w:t>®</w:t>
      </w:r>
      <w:r>
        <w:rPr>
          <w:rFonts w:ascii="Arial" w:cs="Arial" w:eastAsia="Arial" w:hAnsi="Arial"/>
          <w:sz w:val="17"/>
          <w:szCs w:val="17"/>
          <w:color w:val="auto"/>
        </w:rPr>
        <w:t xml:space="preserve"> and TYSABRI</w:t>
      </w:r>
      <w:r>
        <w:rPr>
          <w:rFonts w:ascii="Arial" w:cs="Arial" w:eastAsia="Arial" w:hAnsi="Arial"/>
          <w:sz w:val="14"/>
          <w:szCs w:val="14"/>
          <w:color w:val="auto"/>
        </w:rPr>
        <w:t>®</w:t>
      </w:r>
      <w:r>
        <w:rPr>
          <w:rFonts w:ascii="Arial" w:cs="Arial" w:eastAsia="Arial" w:hAnsi="Arial"/>
          <w:sz w:val="17"/>
          <w:szCs w:val="17"/>
          <w:color w:val="auto"/>
        </w:rPr>
        <w:t xml:space="preserve"> are trademarks of Biogen.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FAMPYRA™ is a trademark of Acorda Therapeutics, Inc. and GAZYVA</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Genentech, Inc.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Investing in our debt securities involves certain risks. For a discussion of the factors you should carefully consider before deciding to purchase any of these debt securities, see “Part I, Item 1A—Risk Factors” of our Annual Report on Form 10-K for the fiscal year ended December 31, 2014 and “Part II, Item 1A—Risk Factors” of our Quarterly Reports on Form 10-Q for the quarters ended March 31, 2015 and June 30, 2015, which are incorporated by reference in this prospectus, and subsequent filings containing updated disclosures of such factors, together with all of the other information included in this prospectus and in the “Risk Factors” section of any applicable prospectus supplement and the other information that we have incorporated by reference.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otherwise indicated in a prospectus supplement, we will use all or a portion of the net proceeds from the sale of our debt securities offered by this prospectus and an accompanying prospectus supplement for general corporate and working capital purposes. General corporate and working capital purposes may include repayment of debt, capital expenditures, possible acquisitions, share repurchases of our common stock and any other purposes that may be stated in any prospectus supplement. The net proceeds may be invested temporarily or applied to repay short-term or revolving debt until they are used for their stated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ratios of earnings to fixed charges for each of the periods indicated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360" w:type="dxa"/>
            <w:vAlign w:val="bottom"/>
          </w:tcPr>
          <w:p>
            <w:pPr>
              <w:jc w:val="center"/>
              <w:ind w:left="2384"/>
              <w:spacing w:after="0"/>
              <w:rPr>
                <w:sz w:val="20"/>
                <w:szCs w:val="20"/>
                <w:color w:val="auto"/>
              </w:rPr>
            </w:pPr>
            <w:r>
              <w:rPr>
                <w:rFonts w:ascii="Arial" w:cs="Arial" w:eastAsia="Arial" w:hAnsi="Arial"/>
                <w:sz w:val="14"/>
                <w:szCs w:val="14"/>
                <w:b w:val="1"/>
                <w:bCs w:val="1"/>
                <w:color w:val="auto"/>
                <w:w w:val="93"/>
              </w:rPr>
              <w:t>Six Months</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3360" w:type="dxa"/>
            <w:vAlign w:val="bottom"/>
          </w:tcPr>
          <w:p>
            <w:pPr>
              <w:jc w:val="center"/>
              <w:ind w:left="2364"/>
              <w:spacing w:after="0" w:line="149" w:lineRule="exact"/>
              <w:rPr>
                <w:sz w:val="20"/>
                <w:szCs w:val="20"/>
                <w:color w:val="auto"/>
              </w:rPr>
            </w:pPr>
            <w:r>
              <w:rPr>
                <w:rFonts w:ascii="Arial" w:cs="Arial" w:eastAsia="Arial" w:hAnsi="Arial"/>
                <w:sz w:val="14"/>
                <w:szCs w:val="14"/>
                <w:b w:val="1"/>
                <w:bCs w:val="1"/>
                <w:color w:val="auto"/>
                <w:w w:val="93"/>
              </w:rPr>
              <w:t>Ended</w:t>
            </w:r>
          </w:p>
        </w:tc>
        <w:tc>
          <w:tcPr>
            <w:tcW w:w="540" w:type="dxa"/>
            <w:vAlign w:val="bottom"/>
          </w:tcPr>
          <w:p>
            <w:pPr>
              <w:spacing w:after="0"/>
              <w:rPr>
                <w:sz w:val="12"/>
                <w:szCs w:val="12"/>
                <w:color w:val="auto"/>
              </w:rPr>
            </w:pPr>
          </w:p>
        </w:tc>
        <w:tc>
          <w:tcPr>
            <w:tcW w:w="1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3360" w:type="dxa"/>
            <w:vAlign w:val="bottom"/>
          </w:tcPr>
          <w:p>
            <w:pPr>
              <w:jc w:val="center"/>
              <w:ind w:left="2384"/>
              <w:spacing w:after="0" w:line="149"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760" w:type="dxa"/>
            <w:vAlign w:val="bottom"/>
            <w:gridSpan w:val="3"/>
            <w:vMerge w:val="continue"/>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3360" w:type="dxa"/>
            <w:vAlign w:val="bottom"/>
          </w:tcPr>
          <w:p>
            <w:pPr>
              <w:jc w:val="right"/>
              <w:ind w:right="224"/>
              <w:spacing w:after="0"/>
              <w:rPr>
                <w:sz w:val="20"/>
                <w:szCs w:val="20"/>
                <w:color w:val="auto"/>
              </w:rPr>
            </w:pPr>
            <w:r>
              <w:rPr>
                <w:rFonts w:ascii="Arial" w:cs="Arial" w:eastAsia="Arial" w:hAnsi="Arial"/>
                <w:sz w:val="14"/>
                <w:szCs w:val="14"/>
                <w:b w:val="1"/>
                <w:bCs w:val="1"/>
                <w:color w:val="auto"/>
              </w:rPr>
              <w:t>2015</w:t>
            </w:r>
          </w:p>
        </w:tc>
        <w:tc>
          <w:tcPr>
            <w:tcW w:w="540" w:type="dxa"/>
            <w:vAlign w:val="bottom"/>
            <w:vMerge w:val="continue"/>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3360" w:type="dxa"/>
            <w:vAlign w:val="bottom"/>
            <w:shd w:val="clear" w:color="auto" w:fill="CCEEFF"/>
          </w:tcPr>
          <w:p>
            <w:pPr>
              <w:jc w:val="right"/>
              <w:ind w:right="184"/>
              <w:spacing w:after="0"/>
              <w:rPr>
                <w:sz w:val="20"/>
                <w:szCs w:val="20"/>
                <w:color w:val="auto"/>
              </w:rPr>
            </w:pPr>
            <w:r>
              <w:rPr>
                <w:rFonts w:ascii="Arial" w:cs="Arial" w:eastAsia="Arial" w:hAnsi="Arial"/>
                <w:sz w:val="18"/>
                <w:szCs w:val="18"/>
                <w:color w:val="auto"/>
              </w:rPr>
              <w:t>129.2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59.8</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29.6</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computed the ratios of earnings to fixed charges by dividing pre-tax income from continuing operations before adjustment for loss from equity investees, plus fixed charges, less capitalized interest and net income or loss attributable to noncontrolling interests, net of tax, by fixed charges. Fixed charges consist of interest costs, whether expensed or capitalized, the interest component of rental expense and amortization of debt discounts and issuance costs. Interest expense does not include interest related to uncertain tax positions.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may be sold:</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or through underwriting syndicates represented by managing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or through one or more underwriters without a syndicate;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dealers or agents;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 in negotiated sales or in competitive bid transactions.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prospectus supplement for each series of debt securities we sell will describe, to the extent required, information with respect to that offering, including:</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or names of any underwriters and the respective amounts underwritten;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purchase price and the proceeds to us from that sale;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initial public offering price and any discounts or concessions allowed or reallowed or paid to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material relationships with the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underwriters are used in the sale, we will execute an underwriting agreement with those underwriters relating to the debt securities that we will offer. Unless otherwise set forth in the applicable prospectus supplement, the obligations of the underwriters to purchase these debt securities will be subject to conditions and the underwriters will be obligated to purchase all of these debt securities if any are purchased.</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debt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debt securities for whom they may act as agent. Underwriters may sell these debt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may also sell any of the debt securities through agents designated by us from time to time. We will name any agent involved in the offer or sale of these debt securities and will list commissions payable by us to these agents in the applicable prospectus supplement. These agents will be acting on a best efforts basis to solicit purchases for the period of its appointment, unless we state otherwise in the applicable prospectus supplement.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We may sell any of the debt securities directly to purchasers. In this case, we will not engage underwriters or agents in the offer and sale of the applicable debt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may indemnify underwriters, dealers or agents who participate in the distribution of debt securities against certain liabilities, including liabilities under the Securities Act, and agree to contribute to payments which these underwriters, dealers or agents may be required to make.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assurance of liquidity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securities registered hereby may be a new issue of debt securities with no established trading market. Any underwriters that purchase debt securities from us may make a market in these debt securities. The underwriters will not be obligated, however, to make a market and may discontinue market-making at any time without notice to holders of the debt securities. We cannot assure you that there will be liquidity in the trading market for any debt securities of any series.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debt securities offered by this prospectus and any prospectus supplement will be passed upon for us by Ropes &amp; Gray LLP, Boston, Massachusetts.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of Biogen Inc.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726440</wp:posOffset>
            </wp:positionV>
            <wp:extent cx="1560830" cy="523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0830" cy="5232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$1,500,000,000 2.900% Senior Notes due 2020</w:t>
      </w:r>
    </w:p>
    <w:p>
      <w:pPr>
        <w:spacing w:after="0" w:line="152"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$1,000,000,000 3.625% Senior Notes due 2022</w:t>
      </w:r>
    </w:p>
    <w:p>
      <w:pPr>
        <w:spacing w:after="0" w:line="152"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$1,750,000,000 4.050% Senior Notes due 2025</w:t>
      </w:r>
    </w:p>
    <w:p>
      <w:pPr>
        <w:spacing w:after="0" w:line="152"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$1,750,000,000 5.200%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582930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BofA Merrill Lynch</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Credit Suisse</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Deutsche Bank Securities</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J.P. Morgan</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Morgan Stanley</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MUFG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HSBC</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Mizuho Securities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560070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upperLetter"/>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2)"/>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upperLetter"/>
      <w:start w:val="2"/>
    </w:lvl>
  </w:abstractNum>
  <w:abstractNum w:abstractNumId="33">
    <w:nsid w:val="5C482A97"/>
    <w:multiLevelType w:val="hybridMultilevel"/>
    <w:lvl w:ilvl="0">
      <w:lvlJc w:val="left"/>
      <w:lvlText w:val="(%1)"/>
      <w:numFmt w:val="upperLetter"/>
      <w:start w:val="3"/>
    </w:lvl>
  </w:abstractNum>
  <w:abstractNum w:abstractNumId="34">
    <w:nsid w:val="2463B9EA"/>
    <w:multiLevelType w:val="hybridMultilevel"/>
    <w:lvl w:ilvl="0">
      <w:lvlJc w:val="left"/>
      <w:lvlText w:val="%1."/>
      <w:numFmt w:val="upperLetter"/>
      <w:start w:val="1"/>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2019-12-06T05:58:54Z</dcterms:created>
  <dcterms:modified xsi:type="dcterms:W3CDTF">2019-12-06T05:58:54Z</dcterms:modified>
</cp:coreProperties>
</file>