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AS FILED WITH THE SECURITIES AND EXCHANGE COMMISSION ON MAY 21, 1996</w:t>
      </w:r>
    </w:p>
    <w:p>
      <w:pPr>
        <w:spacing w:after="0" w:line="200" w:lineRule="exact"/>
        <w:rPr>
          <w:sz w:val="24"/>
          <w:szCs w:val="24"/>
          <w:color w:val="auto"/>
        </w:rPr>
      </w:pPr>
    </w:p>
    <w:p>
      <w:pPr>
        <w:spacing w:after="0" w:line="318" w:lineRule="exact"/>
        <w:rPr>
          <w:sz w:val="24"/>
          <w:szCs w:val="24"/>
          <w:color w:val="auto"/>
        </w:rPr>
      </w:pPr>
    </w:p>
    <w:p>
      <w:pPr>
        <w:ind w:left="4920"/>
        <w:spacing w:after="0"/>
        <w:rPr>
          <w:sz w:val="20"/>
          <w:szCs w:val="20"/>
          <w:color w:val="auto"/>
        </w:rPr>
      </w:pPr>
      <w:r>
        <w:rPr>
          <w:rFonts w:ascii="Courier New" w:cs="Courier New" w:eastAsia="Courier New" w:hAnsi="Courier New"/>
          <w:sz w:val="15"/>
          <w:szCs w:val="15"/>
          <w:color w:val="auto"/>
        </w:rPr>
        <w:t>REGISTRATION NO. 333-4424</w:t>
      </w:r>
    </w:p>
    <w:p>
      <w:pPr>
        <w:spacing w:after="0" w:line="17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AMENDMENT NO. 1</w:t>
      </w:r>
    </w:p>
    <w:p>
      <w:pPr>
        <w:spacing w:after="0" w:line="200" w:lineRule="exact"/>
        <w:rPr>
          <w:sz w:val="24"/>
          <w:szCs w:val="24"/>
          <w:color w:val="auto"/>
        </w:rPr>
      </w:pPr>
    </w:p>
    <w:p>
      <w:pPr>
        <w:spacing w:after="0" w:line="318"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IDEC PHARMACEUTICALS CORPORATION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8"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3860" w:type="dxa"/>
            <w:vAlign w:val="bottom"/>
          </w:tcPr>
          <w:p>
            <w:pPr>
              <w:ind w:left="900"/>
              <w:spacing w:after="0"/>
              <w:rPr>
                <w:sz w:val="20"/>
                <w:szCs w:val="20"/>
                <w:color w:val="auto"/>
              </w:rPr>
            </w:pPr>
            <w:r>
              <w:rPr>
                <w:rFonts w:ascii="Courier New" w:cs="Courier New" w:eastAsia="Courier New" w:hAnsi="Courier New"/>
                <w:sz w:val="15"/>
                <w:szCs w:val="15"/>
                <w:color w:val="auto"/>
              </w:rPr>
              <w:t>CALIFORNIA</w:t>
            </w:r>
          </w:p>
        </w:tc>
        <w:tc>
          <w:tcPr>
            <w:tcW w:w="3040" w:type="dxa"/>
            <w:vAlign w:val="bottom"/>
          </w:tcPr>
          <w:p>
            <w:pPr>
              <w:jc w:val="center"/>
              <w:ind w:left="985"/>
              <w:spacing w:after="0"/>
              <w:rPr>
                <w:sz w:val="20"/>
                <w:szCs w:val="20"/>
                <w:color w:val="auto"/>
              </w:rPr>
            </w:pPr>
            <w:r>
              <w:rPr>
                <w:rFonts w:ascii="Courier New" w:cs="Courier New" w:eastAsia="Courier New" w:hAnsi="Courier New"/>
                <w:sz w:val="15"/>
                <w:szCs w:val="15"/>
                <w:color w:val="auto"/>
                <w:w w:val="99"/>
              </w:rPr>
              <w:t>33-0112644</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3040" w:type="dxa"/>
            <w:vAlign w:val="bottom"/>
          </w:tcPr>
          <w:p>
            <w:pPr>
              <w:jc w:val="center"/>
              <w:ind w:left="985"/>
              <w:spacing w:after="0"/>
              <w:rPr>
                <w:sz w:val="20"/>
                <w:szCs w:val="20"/>
                <w:color w:val="auto"/>
              </w:rPr>
            </w:pPr>
            <w:r>
              <w:rPr>
                <w:rFonts w:ascii="Courier New" w:cs="Courier New" w:eastAsia="Courier New" w:hAnsi="Courier New"/>
                <w:sz w:val="15"/>
                <w:szCs w:val="15"/>
                <w:color w:val="auto"/>
                <w:w w:val="98"/>
              </w:rPr>
              <w:t>(I.R.S. EMPLOYER</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3040" w:type="dxa"/>
            <w:vAlign w:val="bottom"/>
          </w:tcPr>
          <w:p>
            <w:pPr>
              <w:jc w:val="center"/>
              <w:ind w:left="985"/>
              <w:spacing w:after="0"/>
              <w:rPr>
                <w:sz w:val="20"/>
                <w:szCs w:val="20"/>
                <w:color w:val="auto"/>
              </w:rPr>
            </w:pPr>
            <w:r>
              <w:rPr>
                <w:rFonts w:ascii="Courier New" w:cs="Courier New" w:eastAsia="Courier New" w:hAnsi="Courier New"/>
                <w:sz w:val="15"/>
                <w:szCs w:val="15"/>
                <w:color w:val="auto"/>
                <w:w w:val="99"/>
              </w:rPr>
              <w:t>IDENTIFICATION NUMBER)</w:t>
            </w:r>
          </w:p>
        </w:tc>
      </w:tr>
    </w:tbl>
    <w:p>
      <w:pPr>
        <w:spacing w:after="0" w:line="346"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11011 TORREYANA ROAD</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SAN DIEGO, CA 92121</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(619) 550-8500</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WILLIAM H. RASTETTER, PH.D.</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IDEC PHARMACEUTICALS CORPORATION</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11011 TORREYANA ROAD</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SAN DIEGO, CA 92121</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(619) 550-8500</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(NAME AND ADDRESS, INCLUDING ZIP CODE, AND TELEPHONE NUMBER, INCLUDING AREA</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CODE, OF AGENT FOR SERVICE)</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18" w:lineRule="exact"/>
        <w:rPr>
          <w:sz w:val="24"/>
          <w:szCs w:val="24"/>
          <w:color w:val="auto"/>
        </w:rPr>
      </w:pPr>
    </w:p>
    <w:tbl>
      <w:tblPr>
        <w:tblLayout w:type="fixed"/>
        <w:tblInd w:w="800" w:type="dxa"/>
        <w:tblCellMar>
          <w:top w:w="0" w:type="dxa"/>
          <w:left w:w="0" w:type="dxa"/>
          <w:bottom w:w="0" w:type="dxa"/>
          <w:right w:w="0" w:type="dxa"/>
        </w:tblCellMar>
      </w:tblPr>
      <w:tr>
        <w:trPr>
          <w:trHeight w:val="170"/>
        </w:trPr>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J. STEPHAN</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DOLEZALEK, ESQ.</w:t>
            </w:r>
          </w:p>
        </w:tc>
        <w:tc>
          <w:tcPr>
            <w:tcW w:w="3940" w:type="dxa"/>
            <w:vAlign w:val="bottom"/>
            <w:gridSpan w:val="2"/>
          </w:tcPr>
          <w:p>
            <w:pPr>
              <w:jc w:val="center"/>
              <w:ind w:left="645"/>
              <w:spacing w:after="0"/>
              <w:rPr>
                <w:sz w:val="20"/>
                <w:szCs w:val="20"/>
                <w:color w:val="auto"/>
              </w:rPr>
            </w:pPr>
            <w:r>
              <w:rPr>
                <w:rFonts w:ascii="Courier New" w:cs="Courier New" w:eastAsia="Courier New" w:hAnsi="Courier New"/>
                <w:sz w:val="15"/>
                <w:szCs w:val="15"/>
                <w:color w:val="auto"/>
                <w:w w:val="99"/>
              </w:rPr>
              <w:t>ROBERT V. GUNDERSON, JR., ESQ.</w:t>
            </w:r>
          </w:p>
        </w:tc>
      </w:tr>
      <w:tr>
        <w:trPr>
          <w:trHeight w:val="172"/>
        </w:trPr>
        <w:tc>
          <w:tcPr>
            <w:tcW w:w="3660" w:type="dxa"/>
            <w:vAlign w:val="bottom"/>
            <w:gridSpan w:val="2"/>
          </w:tcPr>
          <w:p>
            <w:pPr>
              <w:jc w:val="center"/>
              <w:ind w:right="625"/>
              <w:spacing w:after="0"/>
              <w:rPr>
                <w:sz w:val="20"/>
                <w:szCs w:val="20"/>
                <w:color w:val="auto"/>
              </w:rPr>
            </w:pPr>
            <w:r>
              <w:rPr>
                <w:rFonts w:ascii="Courier New" w:cs="Courier New" w:eastAsia="Courier New" w:hAnsi="Courier New"/>
                <w:sz w:val="15"/>
                <w:szCs w:val="15"/>
                <w:color w:val="auto"/>
                <w:w w:val="99"/>
              </w:rPr>
              <w:t>FAYE H. RUSSELL, ESQ.</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JAY</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K. HACHIGIAN, ESQ.</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BROBECK, PHLEGER &amp; HARRISON, LLP</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GUNDERSON</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w w:val="98"/>
              </w:rPr>
              <w:t>DETTMER STOUGH VILLENEUVE</w:t>
            </w:r>
          </w:p>
        </w:tc>
      </w:tr>
      <w:tr>
        <w:trPr>
          <w:trHeight w:val="172"/>
        </w:trPr>
        <w:tc>
          <w:tcPr>
            <w:tcW w:w="3660" w:type="dxa"/>
            <w:vAlign w:val="bottom"/>
            <w:gridSpan w:val="2"/>
          </w:tcPr>
          <w:p>
            <w:pPr>
              <w:jc w:val="center"/>
              <w:ind w:right="625"/>
              <w:spacing w:after="0"/>
              <w:rPr>
                <w:sz w:val="20"/>
                <w:szCs w:val="20"/>
                <w:color w:val="auto"/>
              </w:rPr>
            </w:pPr>
            <w:r>
              <w:rPr>
                <w:rFonts w:ascii="Courier New" w:cs="Courier New" w:eastAsia="Courier New" w:hAnsi="Courier New"/>
                <w:sz w:val="15"/>
                <w:szCs w:val="15"/>
                <w:color w:val="auto"/>
                <w:w w:val="99"/>
              </w:rPr>
              <w:t>TWO EMBARCADERO PLACE</w:t>
            </w:r>
          </w:p>
        </w:tc>
        <w:tc>
          <w:tcPr>
            <w:tcW w:w="3940" w:type="dxa"/>
            <w:vAlign w:val="bottom"/>
            <w:gridSpan w:val="2"/>
          </w:tcPr>
          <w:p>
            <w:pPr>
              <w:jc w:val="center"/>
              <w:ind w:left="745"/>
              <w:spacing w:after="0"/>
              <w:rPr>
                <w:sz w:val="20"/>
                <w:szCs w:val="20"/>
                <w:color w:val="auto"/>
              </w:rPr>
            </w:pPr>
            <w:r>
              <w:rPr>
                <w:rFonts w:ascii="Courier New" w:cs="Courier New" w:eastAsia="Courier New" w:hAnsi="Courier New"/>
                <w:sz w:val="15"/>
                <w:szCs w:val="15"/>
                <w:color w:val="auto"/>
                <w:w w:val="99"/>
              </w:rPr>
              <w:t>FRANKLIN &amp; HACHIGIAN, LLP</w:t>
            </w:r>
          </w:p>
        </w:tc>
      </w:tr>
      <w:tr>
        <w:trPr>
          <w:trHeight w:val="172"/>
        </w:trPr>
        <w:tc>
          <w:tcPr>
            <w:tcW w:w="1200" w:type="dxa"/>
            <w:vAlign w:val="bottom"/>
          </w:tcPr>
          <w:p>
            <w:pPr>
              <w:ind w:left="800"/>
              <w:spacing w:after="0"/>
              <w:rPr>
                <w:sz w:val="20"/>
                <w:szCs w:val="20"/>
                <w:color w:val="auto"/>
              </w:rPr>
            </w:pPr>
            <w:r>
              <w:rPr>
                <w:rFonts w:ascii="Courier New" w:cs="Courier New" w:eastAsia="Courier New" w:hAnsi="Courier New"/>
                <w:sz w:val="15"/>
                <w:szCs w:val="15"/>
                <w:color w:val="auto"/>
              </w:rPr>
              <w:t>2200</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GENG ROAD</w:t>
            </w:r>
          </w:p>
        </w:tc>
        <w:tc>
          <w:tcPr>
            <w:tcW w:w="3940" w:type="dxa"/>
            <w:vAlign w:val="bottom"/>
            <w:gridSpan w:val="2"/>
          </w:tcPr>
          <w:p>
            <w:pPr>
              <w:jc w:val="center"/>
              <w:ind w:left="645"/>
              <w:spacing w:after="0"/>
              <w:rPr>
                <w:sz w:val="20"/>
                <w:szCs w:val="20"/>
                <w:color w:val="auto"/>
              </w:rPr>
            </w:pPr>
            <w:r>
              <w:rPr>
                <w:rFonts w:ascii="Courier New" w:cs="Courier New" w:eastAsia="Courier New" w:hAnsi="Courier New"/>
                <w:sz w:val="15"/>
                <w:szCs w:val="15"/>
                <w:color w:val="auto"/>
                <w:w w:val="99"/>
              </w:rPr>
              <w:t>600 HANSEN WAY, SECOND FLOOR</w:t>
            </w:r>
          </w:p>
        </w:tc>
      </w:tr>
      <w:tr>
        <w:trPr>
          <w:trHeight w:val="172"/>
        </w:trPr>
        <w:tc>
          <w:tcPr>
            <w:tcW w:w="3660" w:type="dxa"/>
            <w:vAlign w:val="bottom"/>
            <w:gridSpan w:val="2"/>
          </w:tcPr>
          <w:p>
            <w:pPr>
              <w:jc w:val="center"/>
              <w:ind w:right="645"/>
              <w:spacing w:after="0"/>
              <w:rPr>
                <w:sz w:val="20"/>
                <w:szCs w:val="20"/>
                <w:color w:val="auto"/>
              </w:rPr>
            </w:pPr>
            <w:r>
              <w:rPr>
                <w:rFonts w:ascii="Courier New" w:cs="Courier New" w:eastAsia="Courier New" w:hAnsi="Courier New"/>
                <w:sz w:val="15"/>
                <w:szCs w:val="15"/>
                <w:color w:val="auto"/>
                <w:w w:val="99"/>
              </w:rPr>
              <w:t>PALO ALTO, CALIFORNIA 94303</w:t>
            </w:r>
          </w:p>
        </w:tc>
        <w:tc>
          <w:tcPr>
            <w:tcW w:w="3940" w:type="dxa"/>
            <w:vAlign w:val="bottom"/>
            <w:gridSpan w:val="2"/>
          </w:tcPr>
          <w:p>
            <w:pPr>
              <w:jc w:val="center"/>
              <w:ind w:left="725"/>
              <w:spacing w:after="0"/>
              <w:rPr>
                <w:sz w:val="20"/>
                <w:szCs w:val="20"/>
                <w:color w:val="auto"/>
              </w:rPr>
            </w:pPr>
            <w:r>
              <w:rPr>
                <w:rFonts w:ascii="Courier New" w:cs="Courier New" w:eastAsia="Courier New" w:hAnsi="Courier New"/>
                <w:sz w:val="15"/>
                <w:szCs w:val="15"/>
                <w:color w:val="auto"/>
                <w:w w:val="99"/>
              </w:rPr>
              <w:t>PALO ALTO, CA 94304</w:t>
            </w:r>
          </w:p>
        </w:tc>
      </w:tr>
      <w:tr>
        <w:trPr>
          <w:trHeight w:val="172"/>
        </w:trPr>
        <w:tc>
          <w:tcPr>
            <w:tcW w:w="36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(415) 424-0160</w:t>
            </w:r>
          </w:p>
        </w:tc>
        <w:tc>
          <w:tcPr>
            <w:tcW w:w="16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(415) 843-0500</w:t>
            </w:r>
          </w:p>
        </w:tc>
      </w:tr>
    </w:tbl>
    <w:p>
      <w:pPr>
        <w:spacing w:after="0" w:line="346"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As soon as practicable after this Registration Statement becomes effective.</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5"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__________________</w:t>
      </w:r>
    </w:p>
    <w:p>
      <w:pPr>
        <w:spacing w:after="0" w:line="175" w:lineRule="exact"/>
        <w:rPr>
          <w:sz w:val="24"/>
          <w:szCs w:val="24"/>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w:t>
      </w:r>
    </w:p>
    <w:p>
      <w:pPr>
        <w:sectPr>
          <w:pgSz w:w="11900" w:h="16838" w:orient="portrait"/>
          <w:cols w:equalWidth="0" w:num="1">
            <w:col w:w="10219"/>
          </w:cols>
          <w:pgMar w:left="240" w:top="231" w:right="1440" w:bottom="0" w:gutter="0" w:footer="0" w:header="0"/>
        </w:sectPr>
      </w:pPr>
    </w:p>
    <w:bookmarkStart w:id="1" w:name="page2"/>
    <w:bookmarkEnd w:id="1"/>
    <w:p>
      <w:pPr>
        <w:spacing w:after="0"/>
        <w:tabs>
          <w:tab w:leader="none" w:pos="2120" w:val="left"/>
          <w:tab w:leader="none" w:pos="2560" w:val="left"/>
        </w:tabs>
        <w:rPr>
          <w:sz w:val="20"/>
          <w:szCs w:val="20"/>
          <w:color w:val="auto"/>
        </w:rPr>
      </w:pPr>
      <w:r>
        <w:rPr>
          <w:rFonts w:ascii="Courier New" w:cs="Courier New" w:eastAsia="Courier New" w:hAnsi="Courier New"/>
          <w:sz w:val="15"/>
          <w:szCs w:val="15"/>
          <w:color w:val="auto"/>
        </w:rPr>
        <w:t>for the same offering.</w:t>
        <w:tab/>
        <w:t>/ /</w:t>
        <w:tab/>
        <w:t>__________________</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 SHALL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A FURTHER AMENDMENT WHICH SPECIFICALLY STATES THAT THE REGISTRATION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ACT OF 1933 OR UNTIL THE REGISTRATION STATEMENT SHALL BECOME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ON SUCH DATE AS THE COMMISSION ACTING PURSUANT TO SAID SECTION 8(A)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DETERMINE.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40"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448" w:right="3079"/>
        <w:spacing w:after="0" w:line="241"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w:t>
      </w:r>
    </w:p>
    <w:p>
      <w:pPr>
        <w:spacing w:after="0" w:line="4" w:lineRule="exact"/>
        <w:rPr>
          <w:sz w:val="20"/>
          <w:szCs w:val="20"/>
          <w:color w:val="auto"/>
        </w:rPr>
      </w:pPr>
    </w:p>
    <w:p>
      <w:pPr>
        <w:ind w:left="448" w:right="3439"/>
        <w:spacing w:after="0" w:line="241" w:lineRule="auto"/>
        <w:rPr>
          <w:sz w:val="20"/>
          <w:szCs w:val="20"/>
          <w:color w:val="auto"/>
        </w:rPr>
      </w:pPr>
      <w:r>
        <w:rPr>
          <w:rFonts w:ascii="Courier New" w:cs="Courier New" w:eastAsia="Courier New" w:hAnsi="Courier New"/>
          <w:sz w:val="15"/>
          <w:szCs w:val="15"/>
          <w:color w:val="auto"/>
        </w:rPr>
        <w:t>MAY NOT BE SOLD NOR MAY OFFERS TO BUY BE ACCEPTED PRIOR TO THE TIME THE REGISTRATION STATEMENT BECOMES EFFECTIVE. THIS PROSPECTUS SHALL NOT CONSTITUTE AN OFFER TO SELL OR THE SOLICITATION OF AN OFFER TO BUY</w:t>
      </w:r>
    </w:p>
    <w:p>
      <w:pPr>
        <w:spacing w:after="0" w:line="4" w:lineRule="exact"/>
        <w:rPr>
          <w:sz w:val="20"/>
          <w:szCs w:val="20"/>
          <w:color w:val="auto"/>
        </w:rPr>
      </w:pPr>
    </w:p>
    <w:p>
      <w:pPr>
        <w:ind w:left="448" w:right="3159"/>
        <w:spacing w:after="0" w:line="241" w:lineRule="auto"/>
        <w:rPr>
          <w:sz w:val="20"/>
          <w:szCs w:val="20"/>
          <w:color w:val="auto"/>
        </w:rPr>
      </w:pPr>
      <w:r>
        <w:rPr>
          <w:rFonts w:ascii="Courier New" w:cs="Courier New" w:eastAsia="Courier New" w:hAnsi="Courier New"/>
          <w:sz w:val="15"/>
          <w:szCs w:val="15"/>
          <w:color w:val="auto"/>
        </w:rPr>
        <w:t>NOR SHALL THERE BE ANY SALE OF THESE SECURITIES IN ANY STATE IN WHICH SUCH OFFER, SOLICITATION OR SALE WOULD BE UNLAWFUL PRIOR TO REGISTRATION OR QUALIFICATION UNDER THE SECURITIES LAWS OF ANY SUCH STATE.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Issued May 21, 1996</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1,500,000 Shares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OF THE SHARES OF COMMON STOCK OFFERED HEREBY ARE BEING SOLD BY THE COMPANY.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COMMON STOCK OF THE COMPANY IS QUOTED ON THE NASDAQ NATIONAL</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MARKET UNDER THE SYMBOL "IDPH." ON MAY 20, 1996,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REPORTED LAST SALE PRICE OF THE COMMON STOCK ON</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THE NASDAQ NATIONAL MARKET WAS $30 1/8</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PER SHARE.</w:t>
      </w:r>
    </w:p>
    <w:p>
      <w:pPr>
        <w:spacing w:after="0" w:line="346"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OFFERING INVOLVES A HIGH DEGREE OF RISK. SEE "RISK FACTORS"</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BEGINNING ON PAGE 6 FOR INFORMATION THAT SHOULD BE</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CONSIDERED BY PROSPECTIVE INVESTORS.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PROSPECTUS. ANY REPRESENTATION TO THE CONTRARY IS A</w:t>
      </w:r>
    </w:p>
    <w:p>
      <w:pPr>
        <w:spacing w:after="0" w:line="2"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CRIMINAL OFFENSE.</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1"/>
        <w:spacing w:after="0"/>
        <w:tabs>
          <w:tab w:leader="none" w:pos="1040" w:val="left"/>
        </w:tabs>
        <w:rPr>
          <w:sz w:val="20"/>
          <w:szCs w:val="20"/>
          <w:color w:val="auto"/>
        </w:rPr>
      </w:pPr>
      <w:r>
        <w:rPr>
          <w:rFonts w:ascii="Courier New" w:cs="Courier New" w:eastAsia="Courier New" w:hAnsi="Courier New"/>
          <w:sz w:val="15"/>
          <w:szCs w:val="15"/>
          <w:color w:val="auto"/>
        </w:rPr>
        <w:t>PRICE $</w:t>
      </w:r>
      <w:r>
        <w:rPr>
          <w:sz w:val="20"/>
          <w:szCs w:val="20"/>
          <w:color w:val="auto"/>
        </w:rPr>
        <w:tab/>
      </w:r>
      <w:r>
        <w:rPr>
          <w:rFonts w:ascii="Courier New" w:cs="Courier New" w:eastAsia="Courier New" w:hAnsi="Courier New"/>
          <w:sz w:val="15"/>
          <w:szCs w:val="15"/>
          <w:color w:val="auto"/>
        </w:rPr>
        <w:t>A SHARE</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0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PRICE TO</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PUBLIC</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UNDERWRITING</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DISCOUNTS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COMMISSIONS(1)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COMPANY(2)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5108" w:space="160"/>
            <w:col w:w="1700" w:space="180"/>
            <w:col w:w="3079"/>
          </w:cols>
          <w:pgMar w:left="232" w:top="289" w:right="1440" w:bottom="1022"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568" w:space="720"/>
            <w:col w:w="1080" w:space="720"/>
            <w:col w:w="1240" w:space="720"/>
            <w:col w:w="2179"/>
          </w:cols>
          <w:pgMar w:left="232" w:top="289" w:right="1440" w:bottom="1022" w:gutter="0" w:footer="0" w:header="0"/>
          <w:type w:val="continuous"/>
        </w:sectPr>
      </w:pPr>
    </w:p>
    <w:p>
      <w:pPr>
        <w:spacing w:after="0" w:line="146" w:lineRule="exact"/>
        <w:rPr>
          <w:sz w:val="20"/>
          <w:szCs w:val="20"/>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708" w:right="3159" w:hanging="350"/>
        <w:spacing w:after="0" w:line="241" w:lineRule="auto"/>
        <w:tabs>
          <w:tab w:leader="none" w:pos="70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$275,000.</w:t>
      </w:r>
    </w:p>
    <w:p>
      <w:pPr>
        <w:spacing w:after="0" w:line="3" w:lineRule="exact"/>
        <w:rPr>
          <w:rFonts w:ascii="Courier New" w:cs="Courier New" w:eastAsia="Courier New" w:hAnsi="Courier New"/>
          <w:sz w:val="15"/>
          <w:szCs w:val="15"/>
          <w:color w:val="auto"/>
        </w:rPr>
      </w:pPr>
    </w:p>
    <w:p>
      <w:pPr>
        <w:ind w:left="708" w:right="3079" w:hanging="350"/>
        <w:spacing w:after="0" w:line="260" w:lineRule="auto"/>
        <w:tabs>
          <w:tab w:leader="none" w:pos="708"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the Underwriters an option, exercisable within 30 days of the date hereof, to purchase up to an aggregate of 225,000 additional Shares at the price to public less underwriting discounts and commissions for the purpose of covering over-allotments, if any. If the</w:t>
      </w:r>
    </w:p>
    <w:tbl>
      <w:tblPr>
        <w:tblLayout w:type="fixed"/>
        <w:tblInd w:w="708"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Underwriters</w:t>
            </w:r>
          </w:p>
        </w:tc>
        <w:tc>
          <w:tcPr>
            <w:tcW w:w="1260" w:type="dxa"/>
            <w:vAlign w:val="bottom"/>
          </w:tcPr>
          <w:p>
            <w:pPr>
              <w:ind w:left="60"/>
              <w:spacing w:after="0"/>
              <w:rPr>
                <w:sz w:val="20"/>
                <w:szCs w:val="20"/>
                <w:color w:val="auto"/>
              </w:rPr>
            </w:pPr>
            <w:r>
              <w:rPr>
                <w:rFonts w:ascii="Courier New" w:cs="Courier New" w:eastAsia="Courier New" w:hAnsi="Courier New"/>
                <w:sz w:val="15"/>
                <w:szCs w:val="15"/>
                <w:color w:val="auto"/>
              </w:rPr>
              <w:t>exercise such</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option in full, the total price to public,</w:t>
            </w:r>
          </w:p>
        </w:tc>
      </w:tr>
      <w:tr>
        <w:trPr>
          <w:trHeight w:val="172"/>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1260" w:type="dxa"/>
            <w:vAlign w:val="bottom"/>
          </w:tcPr>
          <w:p>
            <w:pPr>
              <w:ind w:left="60"/>
              <w:spacing w:after="0"/>
              <w:rPr>
                <w:sz w:val="20"/>
                <w:szCs w:val="20"/>
                <w:color w:val="auto"/>
              </w:rPr>
            </w:pPr>
            <w:r>
              <w:rPr>
                <w:rFonts w:ascii="Courier New" w:cs="Courier New" w:eastAsia="Courier New" w:hAnsi="Courier New"/>
                <w:sz w:val="15"/>
                <w:szCs w:val="15"/>
                <w:color w:val="auto"/>
              </w:rPr>
              <w:t>discounts and</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w w:val="98"/>
              </w:rPr>
              <w:t>commissions and proceeds to Company will be</w:t>
            </w:r>
          </w:p>
        </w:tc>
      </w:tr>
      <w:tr>
        <w:trPr>
          <w:trHeight w:val="172"/>
        </w:trPr>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ind w:left="680"/>
              <w:spacing w:after="0"/>
              <w:rPr>
                <w:sz w:val="20"/>
                <w:szCs w:val="20"/>
                <w:color w:val="auto"/>
              </w:rPr>
            </w:pPr>
            <w:r>
              <w:rPr>
                <w:rFonts w:ascii="Courier New" w:cs="Courier New" w:eastAsia="Courier New" w:hAnsi="Courier New"/>
                <w:sz w:val="15"/>
                <w:szCs w:val="15"/>
                <w:color w:val="auto"/>
              </w:rPr>
              <w:t>and $</w:t>
            </w:r>
          </w:p>
        </w:tc>
        <w:tc>
          <w:tcPr>
            <w:tcW w:w="3880" w:type="dxa"/>
            <w:vAlign w:val="bottom"/>
          </w:tcPr>
          <w:p>
            <w:pPr>
              <w:ind w:left="580"/>
              <w:spacing w:after="0"/>
              <w:rPr>
                <w:sz w:val="20"/>
                <w:szCs w:val="20"/>
                <w:color w:val="auto"/>
              </w:rPr>
            </w:pPr>
            <w:r>
              <w:rPr>
                <w:rFonts w:ascii="Courier New" w:cs="Courier New" w:eastAsia="Courier New" w:hAnsi="Courier New"/>
                <w:sz w:val="15"/>
                <w:szCs w:val="15"/>
                <w:color w:val="auto"/>
              </w:rPr>
              <w:t>, respectively. See "Underwriters."</w:t>
            </w:r>
          </w:p>
        </w:tc>
      </w:tr>
    </w:tbl>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Shares are offered, subject to prior sale, when, as and if accepted by the Underwriters named herein and subject to the approval of certain legal matters by Gunderson Dettmer Stough Villeneuve Franklin &amp; Hachigian, LLP, counsel for the Underwriters. It is expected that delivery of the Shares will be</w:t>
      </w:r>
    </w:p>
    <w:p>
      <w:pPr>
        <w:spacing w:after="0" w:line="1"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made on or about , 1996 at the offices of Morgan Stanley &amp; Co. Incorporated, New York, N.Y., against payment therefor in same day funds. ------------------------</w:t>
      </w:r>
    </w:p>
    <w:p>
      <w:pPr>
        <w:sectPr>
          <w:pgSz w:w="11900" w:h="16838" w:orient="portrait"/>
          <w:cols w:equalWidth="0" w:num="1">
            <w:col w:w="10227"/>
          </w:cols>
          <w:pgMar w:left="232" w:top="289" w:right="1440" w:bottom="1022" w:gutter="0" w:footer="0" w:header="0"/>
          <w:type w:val="continuous"/>
        </w:sectPr>
      </w:pP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MORGAN STANLEY &amp; CO.</w:t>
      </w:r>
    </w:p>
    <w:p>
      <w:pPr>
        <w:spacing w:after="0" w:line="2"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Incorporated</w:t>
      </w:r>
    </w:p>
    <w:p>
      <w:pPr>
        <w:spacing w:after="0" w:line="2"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5"/>
          <w:szCs w:val="15"/>
          <w:color w:val="auto"/>
        </w:rPr>
        <w:t>June</w:t>
      </w:r>
      <w:r>
        <w:rPr>
          <w:sz w:val="20"/>
          <w:szCs w:val="20"/>
          <w:color w:val="auto"/>
        </w:rPr>
        <w:tab/>
      </w:r>
      <w:r>
        <w:rPr>
          <w:rFonts w:ascii="Courier New" w:cs="Courier New" w:eastAsia="Courier New" w:hAnsi="Courier New"/>
          <w:sz w:val="15"/>
          <w:szCs w:val="15"/>
          <w:color w:val="auto"/>
        </w:rPr>
        <w:t>, 1996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PUNK, ZIEGEL &amp; KNOELL</w:t>
      </w:r>
    </w:p>
    <w:p>
      <w:pPr>
        <w:sectPr>
          <w:pgSz w:w="11900" w:h="16838" w:orient="portrait"/>
          <w:cols w:equalWidth="0" w:num="2">
            <w:col w:w="4548" w:space="720"/>
            <w:col w:w="4959"/>
          </w:cols>
          <w:pgMar w:left="232" w:top="289" w:right="1440" w:bottom="1022" w:gutter="0" w:footer="0" w:header="0"/>
          <w:type w:val="continuous"/>
        </w:sectPr>
      </w:pPr>
    </w:p>
    <w:bookmarkStart w:id="3" w:name="page4"/>
    <w:bookmarkEnd w:id="3"/>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PERSON IS AUTHORIZED IN CONNECTION WITH THE OFFERING MADE HEREBY TO GIVE ANY INFORMATION OR TO MAKE ANY REPRESENTATIONS OTHER THAN AS CONTAINED IN THIS PROSPECTUS AND, IF GIVEN OR MADE, SUCH INFORMATION OR REPRESENTATIONS MUST NOT BE RELIED UPON AS HAVING BEEN AUTHORIZED BY THE COMPANY OR ANY UNDERWRITER. THIS PROSPECTUS DOES NOT CONSTITUTE AN OFFER TO SELL OR A SOLICITATION OF AN OFFER TO BUY ANY SECURITIES OTHER THAN THE SHARES OF COMMON STOCK OFFERED HEREBY, NOR DOES IT CONSTITUTE AN OFFER TO SELL OR A SOLICITATION OF AN OFFER TO BUY ANY OF THE SHARES OFFERED HEREBY TO ANY PERSON IN ANY JURISDICTION IN WHICH SUCH OFFER OR SOLICITATION WOULD BE UNLAWFUL. NEITHER THE DELIVERY OF THIS PROSPECTUS NOR ANY SALE MADE HEREUNDER SHALL UNDER ANY CIRCUMSTANCES CREATE ANY IMPLICATION THAT THE INFORMATION CONTAINED HEREIN IS CORRECT AS OF ANY DATE SUBSEQUENT TO THE DATE HEREOF.</w:t>
      </w:r>
    </w:p>
    <w:p>
      <w:pPr>
        <w:spacing w:after="0" w:line="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dot" w:pos="41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Common Stock Price Range and Dividends</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w:t>
      </w:r>
    </w:p>
    <w:p>
      <w:pPr>
        <w:spacing w:after="0" w:line="2" w:lineRule="exact"/>
        <w:rPr>
          <w:sz w:val="20"/>
          <w:szCs w:val="20"/>
          <w:color w:val="auto"/>
        </w:rPr>
      </w:pPr>
    </w:p>
    <w:p>
      <w:pPr>
        <w:ind w:left="180"/>
        <w:spacing w:after="0"/>
        <w:tabs>
          <w:tab w:leader="dot" w:pos="408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17</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Principal Shareholders</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Underwriters</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F-1</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following documents or portions of documents filed by the Company (File No. 0-19311) with the Commission are incorporated herein by reference: (a) Annual Report on Form 10-K for the fiscal year ended December 31, 1995; (b) Quarterly Report on Form 10-Q for the quarter ended March 31, 1996; and (c) the description of the Company's Common Stock which is contained in its Registration Statement on Form 8-A filed under the Exchange Act on May 24, 1991, including any amendments or reports filed for the purpose of updating such description.</w:t>
      </w:r>
    </w:p>
    <w:p>
      <w:pPr>
        <w:spacing w:after="0" w:line="33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reports and other documents subsequently filed by the Company pursuant to Sections 13(a), 13(c), 14 or 15(d) of the Exchange Act, prior to the filing of a post-effective amendment which indicates that all securities offered hereby have been sold or which deregisters all securities remaining unsold, shall be deemed to be incorporated by reference herein and to be a part hereof from the date of filing of such reports and documents. Any statement contained in a document incorporated by reference herein shall be deemed modified or superseded for purposes of this Prospectus to the extent that a statement contained or incorporated by reference herein modifies or supersedes such statement. Any statement so modified or superseded shall not be deemed, except as so modified or superseded, to constitute a part of this Prospectus.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a copy of any or all of such documents which are incorporated herein by reference (other than exhibits to such documents unless such exhibits are specifically incorporated by reference into the documents that this Prospectus incorporates). Written or oral requests for copies should be directed to Secretary, IDEC Pharmaceuticals Corporation, at the Company's executive offices located at 11011 Torreyana Road, San Diego, CA 92121; (619)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550-8500.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IDEC Pharmaceuticals(R), the Company's stylized logo and PRIMATIZED(R) are registered United States trademarks of the Company and PROVAX(TM) is a trademark of the Company.</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CONNECTION WITH THIS OFFERING, THE UNDERWRITERS MAY OVER-ALLOT OR EFFECT TRANSACTIONS WHICH STABILIZE OR MAINTAIN THE MARKET PRICE OF THE COMPANY'S COMMON STOCK AT A LEVEL ABOVE THAT WHICH MIGHT OTHERWISE PREVAIL IN THE OPEN MARKET. SUCH STABILIZATION, IF COMMENCED, MAY BE DISCONTINUED AT ANY TIME. SUCH TRANSACTIONS MAY BE EFFECTED IN THE OVER-THE-COUNTER MARKET OR OTHERWISE.</w:t>
      </w:r>
    </w:p>
    <w:p>
      <w:pPr>
        <w:sectPr>
          <w:pgSz w:w="11900" w:h="16841" w:orient="portrait"/>
          <w:cols w:equalWidth="0" w:num="1">
            <w:col w:w="10219"/>
          </w:cols>
          <w:pgMar w:left="240" w:top="289" w:right="1440" w:bottom="0" w:gutter="0" w:footer="0" w:header="0"/>
        </w:sectPr>
      </w:pPr>
    </w:p>
    <w:bookmarkStart w:id="4" w:name="page5"/>
    <w:bookmarkEnd w:id="4"/>
    <w:p>
      <w:pPr>
        <w:ind w:right="3159" w:firstLine="447"/>
        <w:spacing w:after="0" w:line="265" w:lineRule="auto"/>
        <w:rPr>
          <w:sz w:val="20"/>
          <w:szCs w:val="20"/>
          <w:color w:val="auto"/>
        </w:rPr>
      </w:pPr>
      <w:r>
        <w:rPr>
          <w:rFonts w:ascii="Courier New" w:cs="Courier New" w:eastAsia="Courier New" w:hAnsi="Courier New"/>
          <w:sz w:val="14"/>
          <w:szCs w:val="14"/>
          <w:color w:val="auto"/>
        </w:rPr>
        <w:t>IN CONNECTION WITH THIS OFFERING, CERTAIN UNDERWRITERS AND SELLING GROUP MEMBERS MAY ENGAGE IN PASSIVE MARKET MAKING TRANSACTIONS IN THE COMMON STOCK ON THE NASDAQ NATIONAL MARKET IN ACCORDANCE WITH RULE 10B-6A UNDER THE SECURITIES EXCHANGE ACT OF 1934, AS AMENDED (THE "EXCHANGE ACT"). SEE "UNDERWRITERS."</w:t>
      </w:r>
    </w:p>
    <w:p>
      <w:pPr>
        <w:spacing w:after="0" w:line="1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1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and consolidated financial statements and notes thereto appearing elsewhere in this Prospectus. Unless otherwise indicated, the information contained in this Prospectus assumes no exercise of the Underwriters' over-allotment option. Unless the context otherwise requires, references in this Prospectus to "IDEC Pharmaceuticals" and the "Company" shall refer to IDEC Pharmaceuticals Corporation and its wholly owned subsidiary IDEC Seiyaku, a Japanese corporation. This Prospectus contains, in addition to historical information, forward-looking statements that involve risks and uncertainties. Investors should carefully consider the information set forth under the heading "Risk Factors."</w:t>
      </w:r>
    </w:p>
    <w:p>
      <w:pPr>
        <w:spacing w:after="0" w:line="35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Corporation ("IDEC Pharmaceuticals" or the "Company") is a biopharmaceutical company developing products for the long-term management of immune system cancers and autoimmune and inflammatory diseases. The Company is currently focused on non-Hodgkin's B-cell lymphomas, which afflict approximately 225,000 patients in the United States, and rheumatoid arthritis, which afflicts approximately 2 million people in the United States. The Company's two antibody products for treatment of non-Hodgkin's B-cell lymphomas are being developed in collaboration with Genentech, Inc. ("Genentech") in the United States, Genentech's affiliate F. Hoffmann-LaRoche Ltd. ("Hoffmann-LaRoche") worldwide except the United States and Japan and Zenyaku Kogyo, Ltd. ("Zenyaku") in Japan. The Company's lead PRIMATIZED antibody product for the treatment of rheumatoid arthritis is being developed worldwide in collaboration with SmithKline Beecham, p.l.c. ("SmithKline Beecham"). IDEC Pharmaceuticals has seven additional product candidates in various stages of development.</w:t>
      </w:r>
    </w:p>
    <w:p>
      <w:pPr>
        <w:spacing w:after="0" w:line="354"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Company's lead cancer product, IDEC-C2B8, is a pan-B antibody genetically engineered to harness the patient's own immune system for the treatment of non-Hodgkin's B-cell lymphomas. The Company has completed enrollment in a Phase III clinical trial of IDEC-C2B8 as a single agent. In May 1996, the Company announced preliminary results on the first 48 evaluable patients (out of 166 patients enrolled) in its Phase III trial which confirmed the response rate and safety profile seen in clinical trials to date. Specifically, of the first 48 evaluable patients, 23 responded to treatment with IDEC-C2B8, for an overall response rate of 47.9%. Six of these responses were complete responses (12.5%) and 17 were partial responses (35.4%). In these clinical trials, IDEC-C2B8 as a single agent has shown response rates that are equivalent to or greater than those produced by single agent chemotherapies, yet patients have suffered neither the bone marrow damage nor the range and severity of other toxicities associated with conventional cancer treatments. Furthermore, treatment with IDEC-C2B8 can be completed in a matter of weeks rather than over several months, which is typical of chemotherapy. In a Phase I/II clinical trial of IDEC-C2B8 involving 34 evaluable patients with relapsed disease, 17 patients (50%) experienced a complete or partial response (i.e., tumor shrinkage of 50% or greater) and five of these patients had tumor remissions lasting for more than 20 months, three of which are ongoing. The Company is also conducting a 40-patient Phase II trial of IDEC-C2B8 administered in combination with conventional chemotherapy. An interim analysis of the first 29 evaluable patients showed that all patients had experienced a complete or partial response, of which 28 have ongoing remissions of six to 22 months.</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second cancer product under development with Genentech, IDEC-Y2B8, is an antibody linked to an yttrium radioisotope, a source of radiation suitable for outpatient radiotherapy, and is designed to provide a targeted, injectable treatment for non-Hodgkin's B-cell lymphomas. IDEC-Y2B8 is used in conjunction with IDEC-In2B8, which provides tumor imaging and dosing information prior to therapeutic administration of IDEC-Y2B8. The Company completed a Phase I study of IDEC-Y2B8 in 14 patients in early 1995; 64% of these patients experienced complete or partial responses following a single dose of IDEC-Y2B8. Single doses of IDEC-Y2B8 showed clinical activity comparable to that of intensive, multiple dose, salvage chemotherapy and provided response durations exceeding those of the patients' most recent chemotherapy. During 1996, the Company and Genentech plan to initiate a Phase I/II study with IDEC-Y2B8 using a kit that simplifies product administration.</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Patient treatment has been completed in a Phase II randomized, placebo-controlled, double-blinded clinical trial of the Company's lead PRIMATIZED antibody product, IDEC-CE9.1, for the treatment of rheumatoid arthritis. PRIMATIZED antibodies are proprietary, genetically-engineered, monoclonal antibodies assembled from portions of monkey and human antibodies designed to avoid adverse immune reactions and are intended for use in the long-term management of chronic autoimmune diseases such as rheumatoid arthritis. In a Phase I/II clinical trial in patients with moderate to severe rheumatoid arthritis, 20 of 40 patients treated with IDEC-CE9.1 experienced clinically significant reductions of their rheumatoid arthritis symptoms. These results were obtained without infusion-related or serious therapy-related adverse effects, or diminution of therapeutic response following repeat administration. Currently clinical development of this product is being conducted by the Company's partner, SmithKline Beecham, which also has begun Phase II clinical trials for a second indication, severe asthma. The Company has extended its PRIMATIZED technology to other research and development collaborations with Mitsubishi Chemical Corporation ("Mitsubishi"), Seikagaku Corporation ("Seikagaku") and Eisai Co., Ltd. ("Eisai") directed at the development of additional proprietary products for treatment of autoimmune or inflammatory diseases.</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manufactured supplies of each of the antibodies used in its clinical programs and expects to meet early commercial demand for IDEC-C2B8 from its existing manufacturing facility. The Company's manufacturing process employs a proprietary technology involving a gene expression system that allows the efficient production of proteins at yields that may be significantly higher than current, competing cell-culture methods. During 1996, the Company will manufacture IDEC-C2B8, IDEC-Y2B8, IDEC-In2B8 and other product candidates for clinical trials and has provided production or process development services to several biopharmaceutical and pharmaceutical companies on a contract basis, including Pharmacia &amp; Upjohn, Inc. ("Pharmacia &amp; Upjohn") and OraVax, Inc. ("OraVax"). Additionally, the Company is performing contract cell-line development for Hoffmann-La Roche, Pharmacia &amp; Upjohn and Biogen, Inc. ("Biogen") and has licensed its gene-expression technology to Genentech and Chugai Pharmaceutical Co., Ltd. ("Chugai").</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strategy is to capitalize on its specialized antibody development strengths by addressing serious and inadequately managed indications in immune system cancers and autoimmune and inflammatory diseases by: (i) developing products that target immune system cells and exert their therapeutic activity in a selective and relatively non-toxic manner; (ii) leveraging its technology platform to a number of disease indications representing significant unmet medical needs; (iii) utilizing its high-yield, proprietary, mammalian cell expression technology to become a world-class biologics manufacturer; (iv) establishing strategic alliances to cover pre-clinical and clinical development costs while retaining substantial North American marketing rights; and (v) focusing the Company's products on cost-effective long-term management of disease.</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other information contained in this Prospectus, the discussion of risk factors on pages 6 to 12 of this Prospectus should be considered carefully in evaluating an investment in the Common Stock. The risks of investing in the Common Stock include the following factors: "Uncertainties Associated with Clinical Trials;" "Reliance on Third Party Development and Marketing Efforts;" "Lengthy Regulatory Process; No Assurance of Regulatory Approvals;" "Additional Financing Requirements and Uncertain Access to Capital Markets;" "Limited Manufacturing Experience;" "Patents and Proprietary Rights;" "Dependence on Key Personnel;" "Rapid Technological Change and Substantial Competition;" "Limited Sales and Marketing Experience;" "History of Operating Losses; Accumulated Deficit;" "Possible Volatility of Stock Price;" "Uncertainties Regarding Health Care Reimbursement and Reform;" "Product Liability Exposure;" "Dilution;" "Effect of Certain Charter Provisions; Antitakeover Effects of Articles of Incorporation, California Law and Certain Agreements;" and "Environmental Concerns."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THE OFFERING</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86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80"/>
              </w:rPr>
              <w:t>Common Stock offered.............................</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1,500,000 shares(1)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Common Stock to be outstanding after the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9"/>
              </w:rPr>
              <w:t>offering.......................................</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16,771,261 shares(1)(2)</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80"/>
              </w:rPr>
              <w:t>Use of proceeds..................................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Primarily to fund the establishment of a</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marketing and sales infrastructure, to</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fund detailed engineering studies for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expansion of manufacturing capacity, to</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secure additional office, laboratory and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warehouse facilities, to provide working</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capital for the product launch of</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IDEC-C2B8, if approved, and for general</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8"/>
              </w:rPr>
              <w:t>corporate purposes. See "Use of Proceeds."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80"/>
              </w:rPr>
              <w:t>Nasdaq National Market symbol....................</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IDPH</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8"/>
        </w:trPr>
        <w:tc>
          <w:tcPr>
            <w:tcW w:w="5180" w:type="dxa"/>
            <w:vAlign w:val="bottom"/>
            <w:gridSpan w:val="5"/>
          </w:tcPr>
          <w:p>
            <w:pPr>
              <w:ind w:left="1960"/>
              <w:spacing w:after="0"/>
              <w:rPr>
                <w:sz w:val="20"/>
                <w:szCs w:val="20"/>
                <w:color w:val="auto"/>
              </w:rPr>
            </w:pPr>
            <w:r>
              <w:rPr>
                <w:rFonts w:ascii="Courier New" w:cs="Courier New" w:eastAsia="Courier New" w:hAnsi="Courier New"/>
                <w:sz w:val="15"/>
                <w:szCs w:val="15"/>
                <w:color w:val="auto"/>
              </w:rPr>
              <w:t>SUMMARY CONSOLIDATED FINANCIAL DATA</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860"/>
        </w:trPr>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Courier New" w:cs="Courier New" w:eastAsia="Courier New" w:hAnsi="Courier New"/>
                <w:sz w:val="15"/>
                <w:szCs w:val="15"/>
                <w:color w:val="auto"/>
              </w:rPr>
              <w:t>YEAR ENDED DECEMBER 31,</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7"/>
              </w:rPr>
              <w:t>ENDED MARCH 31,</w:t>
            </w:r>
          </w:p>
        </w:tc>
      </w:tr>
      <w:tr>
        <w:trPr>
          <w:trHeight w:val="172"/>
        </w:trPr>
        <w:tc>
          <w:tcPr>
            <w:tcW w:w="304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3"/>
                <w:szCs w:val="3"/>
                <w:color w:val="auto"/>
                <w:w w:val="84"/>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1991</w:t>
            </w: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1992</w:t>
            </w:r>
          </w:p>
        </w:tc>
        <w:tc>
          <w:tcPr>
            <w:tcW w:w="320" w:type="dxa"/>
            <w:vAlign w:val="bottom"/>
          </w:tcPr>
          <w:p>
            <w:pPr>
              <w:spacing w:after="0"/>
              <w:rPr>
                <w:sz w:val="14"/>
                <w:szCs w:val="14"/>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04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4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w w:val="98"/>
              </w:rPr>
              <w:t>(IN THOUSANDS, EXCEPT SHARE DATA)</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4"/>
        </w:trPr>
        <w:tc>
          <w:tcPr>
            <w:tcW w:w="428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STATEMENTS OF OPERATIONS DATA:</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w w:val="90"/>
              </w:rPr>
              <w:t>Contract research revenue..........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3,212</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$ 12,136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3,347</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$ 2,936</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License fees.......................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8,385</w:t>
            </w:r>
          </w:p>
        </w:tc>
        <w:tc>
          <w:tcPr>
            <w:tcW w:w="1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2,300</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11,500</w:t>
            </w:r>
          </w:p>
        </w:tc>
        <w:tc>
          <w:tcPr>
            <w:tcW w:w="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2"/>
        </w:trPr>
        <w:tc>
          <w:tcPr>
            <w:tcW w:w="304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revenues.................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6,233</w:t>
            </w:r>
          </w:p>
        </w:tc>
        <w:tc>
          <w:tcPr>
            <w:tcW w:w="220" w:type="dxa"/>
            <w:vAlign w:val="bottom"/>
          </w:tcPr>
          <w:p>
            <w:pPr>
              <w:spacing w:after="0"/>
              <w:rPr>
                <w:sz w:val="14"/>
                <w:szCs w:val="14"/>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5,212</w:t>
            </w:r>
          </w:p>
        </w:tc>
        <w:tc>
          <w:tcPr>
            <w:tcW w:w="32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12,714</w:t>
            </w:r>
          </w:p>
        </w:tc>
        <w:tc>
          <w:tcPr>
            <w:tcW w:w="1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23,636</w:t>
            </w:r>
          </w:p>
        </w:tc>
        <w:tc>
          <w:tcPr>
            <w:tcW w:w="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8,347</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9,936</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Total operating expenses(3)..........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13,139</w:t>
            </w:r>
          </w:p>
        </w:tc>
        <w:tc>
          <w:tcPr>
            <w:tcW w:w="220" w:type="dxa"/>
            <w:vAlign w:val="bottom"/>
          </w:tcPr>
          <w:p>
            <w:pPr>
              <w:spacing w:after="0"/>
              <w:rPr>
                <w:sz w:val="14"/>
                <w:szCs w:val="14"/>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20,715</w:t>
            </w:r>
          </w:p>
        </w:tc>
        <w:tc>
          <w:tcPr>
            <w:tcW w:w="32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22,985</w:t>
            </w:r>
          </w:p>
        </w:tc>
        <w:tc>
          <w:tcPr>
            <w:tcW w:w="1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25,959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40,037</w:t>
            </w:r>
          </w:p>
        </w:tc>
        <w:tc>
          <w:tcPr>
            <w:tcW w:w="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18,630</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7,495</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Net income (loss)....................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(5,780)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$(12,704)</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(8,882)</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$(18,031)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$(17,292)</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$(10,424)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$ 1,847</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w w:val="90"/>
              </w:rPr>
              <w:t>Net income (loss) per share..........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Shares used in calculation of net</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 per share............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6,544</w:t>
            </w:r>
          </w:p>
        </w:tc>
        <w:tc>
          <w:tcPr>
            <w:tcW w:w="220" w:type="dxa"/>
            <w:vAlign w:val="bottom"/>
          </w:tcPr>
          <w:p>
            <w:pPr>
              <w:spacing w:after="0"/>
              <w:rPr>
                <w:sz w:val="14"/>
                <w:szCs w:val="14"/>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9,168</w:t>
            </w:r>
          </w:p>
        </w:tc>
        <w:tc>
          <w:tcPr>
            <w:tcW w:w="32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9,265</w:t>
            </w:r>
          </w:p>
        </w:tc>
        <w:tc>
          <w:tcPr>
            <w:tcW w:w="1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10,931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14,650</w:t>
            </w:r>
          </w:p>
        </w:tc>
        <w:tc>
          <w:tcPr>
            <w:tcW w:w="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13,937</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5020"/>
        <w:spacing w:after="0"/>
        <w:rPr>
          <w:sz w:val="20"/>
          <w:szCs w:val="20"/>
          <w:color w:val="auto"/>
        </w:rPr>
      </w:pPr>
      <w:r>
        <w:rPr>
          <w:rFonts w:ascii="Courier New" w:cs="Courier New" w:eastAsia="Courier New" w:hAnsi="Courier New"/>
          <w:sz w:val="15"/>
          <w:szCs w:val="15"/>
          <w:color w:val="auto"/>
        </w:rPr>
        <w:t>AS OF MARCH 31, 1996</w:t>
      </w:r>
    </w:p>
    <w:p>
      <w:pPr>
        <w:spacing w:after="0" w:line="2" w:lineRule="exact"/>
        <w:rPr>
          <w:sz w:val="20"/>
          <w:szCs w:val="20"/>
          <w:color w:val="auto"/>
        </w:rPr>
      </w:pPr>
    </w:p>
    <w:p>
      <w:pPr>
        <w:ind w:left="70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068"/>
        <w:spacing w:after="0"/>
        <w:tabs>
          <w:tab w:leader="none" w:pos="8128"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ADJUSTED(4)</w:t>
      </w:r>
    </w:p>
    <w:p>
      <w:pPr>
        <w:spacing w:after="0" w:line="2" w:lineRule="exact"/>
        <w:rPr>
          <w:sz w:val="20"/>
          <w:szCs w:val="20"/>
          <w:color w:val="auto"/>
        </w:rPr>
      </w:pPr>
    </w:p>
    <w:p>
      <w:pPr>
        <w:ind w:left="7068"/>
        <w:spacing w:after="0"/>
        <w:tabs>
          <w:tab w:leader="none" w:pos="81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7608"/>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BALANCE SHEETS DATA:</w:t>
      </w:r>
    </w:p>
    <w:p>
      <w:pPr>
        <w:spacing w:after="0" w:line="2" w:lineRule="exact"/>
        <w:rPr>
          <w:sz w:val="20"/>
          <w:szCs w:val="20"/>
          <w:color w:val="auto"/>
        </w:rPr>
      </w:pPr>
    </w:p>
    <w:p>
      <w:pPr>
        <w:ind w:left="8"/>
        <w:spacing w:after="0"/>
        <w:tabs>
          <w:tab w:leader="none" w:pos="7048" w:val="left"/>
          <w:tab w:leader="none" w:pos="8388" w:val="left"/>
        </w:tabs>
        <w:rPr>
          <w:sz w:val="20"/>
          <w:szCs w:val="20"/>
          <w:color w:val="auto"/>
        </w:rPr>
      </w:pPr>
      <w:r>
        <w:rPr>
          <w:rFonts w:ascii="Courier New" w:cs="Courier New" w:eastAsia="Courier New" w:hAnsi="Courier New"/>
          <w:sz w:val="15"/>
          <w:szCs w:val="15"/>
          <w:color w:val="auto"/>
        </w:rPr>
        <w:t>Cash, cash equivalents and securities available-for-sale.....................</w:t>
        <w:tab/>
        <w:t>$25,849</w:t>
      </w:r>
      <w:r>
        <w:rPr>
          <w:sz w:val="20"/>
          <w:szCs w:val="20"/>
          <w:color w:val="auto"/>
        </w:rPr>
        <w:tab/>
      </w:r>
      <w:r>
        <w:rPr>
          <w:rFonts w:ascii="Courier New" w:cs="Courier New" w:eastAsia="Courier New" w:hAnsi="Courier New"/>
          <w:sz w:val="14"/>
          <w:szCs w:val="14"/>
          <w:color w:val="auto"/>
        </w:rPr>
        <w:t>$ 68,057</w:t>
      </w:r>
    </w:p>
    <w:p>
      <w:pPr>
        <w:spacing w:after="0" w:line="2" w:lineRule="exact"/>
        <w:rPr>
          <w:sz w:val="20"/>
          <w:szCs w:val="20"/>
          <w:color w:val="auto"/>
        </w:rPr>
      </w:pPr>
    </w:p>
    <w:p>
      <w:pPr>
        <w:ind w:left="8"/>
        <w:spacing w:after="0"/>
        <w:tabs>
          <w:tab w:leader="none" w:pos="7128" w:val="left"/>
          <w:tab w:leader="none" w:pos="8568" w:val="left"/>
        </w:tabs>
        <w:rPr>
          <w:sz w:val="20"/>
          <w:szCs w:val="20"/>
          <w:color w:val="auto"/>
        </w:rPr>
      </w:pPr>
      <w:r>
        <w:rPr>
          <w:rFonts w:ascii="Courier New" w:cs="Courier New" w:eastAsia="Courier New" w:hAnsi="Courier New"/>
          <w:sz w:val="15"/>
          <w:szCs w:val="15"/>
          <w:color w:val="auto"/>
        </w:rPr>
        <w:t>Total assets.................................................................</w:t>
        <w:tab/>
        <w:t>55,206</w:t>
      </w:r>
      <w:r>
        <w:rPr>
          <w:sz w:val="20"/>
          <w:szCs w:val="20"/>
          <w:color w:val="auto"/>
        </w:rPr>
        <w:tab/>
      </w:r>
      <w:r>
        <w:rPr>
          <w:rFonts w:ascii="Courier New" w:cs="Courier New" w:eastAsia="Courier New" w:hAnsi="Courier New"/>
          <w:sz w:val="15"/>
          <w:szCs w:val="15"/>
          <w:color w:val="auto"/>
        </w:rPr>
        <w:t>97,414</w:t>
      </w:r>
    </w:p>
    <w:p>
      <w:pPr>
        <w:spacing w:after="0" w:line="2" w:lineRule="exact"/>
        <w:rPr>
          <w:sz w:val="20"/>
          <w:szCs w:val="20"/>
          <w:color w:val="auto"/>
        </w:rPr>
      </w:pPr>
    </w:p>
    <w:p>
      <w:pPr>
        <w:ind w:left="8"/>
        <w:spacing w:after="0"/>
        <w:tabs>
          <w:tab w:leader="none" w:pos="7228" w:val="left"/>
          <w:tab w:leader="none" w:pos="8648" w:val="left"/>
        </w:tabs>
        <w:rPr>
          <w:sz w:val="20"/>
          <w:szCs w:val="20"/>
          <w:color w:val="auto"/>
        </w:rPr>
      </w:pPr>
      <w:r>
        <w:rPr>
          <w:rFonts w:ascii="Courier New" w:cs="Courier New" w:eastAsia="Courier New" w:hAnsi="Courier New"/>
          <w:sz w:val="15"/>
          <w:szCs w:val="15"/>
          <w:color w:val="auto"/>
        </w:rPr>
        <w:t>Notes payable, less current portion..........................................</w:t>
      </w:r>
      <w:r>
        <w:rPr>
          <w:sz w:val="20"/>
          <w:szCs w:val="20"/>
          <w:color w:val="auto"/>
        </w:rPr>
        <w:tab/>
      </w:r>
      <w:r>
        <w:rPr>
          <w:rFonts w:ascii="Courier New" w:cs="Courier New" w:eastAsia="Courier New" w:hAnsi="Courier New"/>
          <w:sz w:val="15"/>
          <w:szCs w:val="15"/>
          <w:color w:val="auto"/>
        </w:rPr>
        <w:t>6,385</w:t>
      </w:r>
      <w:r>
        <w:rPr>
          <w:sz w:val="20"/>
          <w:szCs w:val="20"/>
          <w:color w:val="auto"/>
        </w:rPr>
        <w:tab/>
      </w:r>
      <w:r>
        <w:rPr>
          <w:rFonts w:ascii="Courier New" w:cs="Courier New" w:eastAsia="Courier New" w:hAnsi="Courier New"/>
          <w:sz w:val="15"/>
          <w:szCs w:val="15"/>
          <w:color w:val="auto"/>
        </w:rPr>
        <w:t>6,385</w:t>
      </w:r>
    </w:p>
    <w:p>
      <w:pPr>
        <w:spacing w:after="0" w:line="2" w:lineRule="exact"/>
        <w:rPr>
          <w:sz w:val="20"/>
          <w:szCs w:val="20"/>
          <w:color w:val="auto"/>
        </w:rPr>
      </w:pPr>
    </w:p>
    <w:p>
      <w:pPr>
        <w:ind w:left="8"/>
        <w:spacing w:after="0"/>
        <w:tabs>
          <w:tab w:leader="none" w:pos="7128" w:val="left"/>
          <w:tab w:leader="none" w:pos="8568" w:val="left"/>
        </w:tabs>
        <w:rPr>
          <w:sz w:val="20"/>
          <w:szCs w:val="20"/>
          <w:color w:val="auto"/>
        </w:rPr>
      </w:pPr>
      <w:r>
        <w:rPr>
          <w:rFonts w:ascii="Courier New" w:cs="Courier New" w:eastAsia="Courier New" w:hAnsi="Courier New"/>
          <w:sz w:val="15"/>
          <w:szCs w:val="15"/>
          <w:color w:val="auto"/>
        </w:rPr>
        <w:t>Total shareholders' equity...................................................</w:t>
        <w:tab/>
        <w:t>39,478</w:t>
      </w:r>
      <w:r>
        <w:rPr>
          <w:sz w:val="20"/>
          <w:szCs w:val="20"/>
          <w:color w:val="auto"/>
        </w:rPr>
        <w:tab/>
      </w:r>
      <w:r>
        <w:rPr>
          <w:rFonts w:ascii="Courier New" w:cs="Courier New" w:eastAsia="Courier New" w:hAnsi="Courier New"/>
          <w:sz w:val="15"/>
          <w:szCs w:val="15"/>
          <w:color w:val="auto"/>
        </w:rPr>
        <w:t>81,686</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699"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Underwriters' over-allotment option is not exercised. See "Underwriters."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outstanding warrants to purchase 740,149 shares of Common Stock, outstanding options to purchase 3,267,539 shares of Common Stock and outstanding convertible preferred stock convertible into 2,067,120 shares of Common Stock as of March 31, 1996.</w:t>
      </w:r>
    </w:p>
    <w:p>
      <w:pPr>
        <w:spacing w:after="0" w:line="17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one-time charge of $3,000,000 for the year ended December 31, 1992 for unification of the Company's operations in San Diego, California and $11,437,000 for the year ended December 31, 1995 and during the three months ended March 31, 1995 for the repurchase of technology rights to the Company's lymphoma products from ML/MS Associates, L.P.</w:t>
      </w:r>
    </w:p>
    <w:p>
      <w:pPr>
        <w:spacing w:after="0" w:line="175"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sale by the Company of 1,500,000 shares offered hereby and the anticipated use of proceeds.</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699" w:firstLine="447"/>
        <w:spacing w:after="0" w:line="241" w:lineRule="auto"/>
        <w:rPr>
          <w:sz w:val="20"/>
          <w:szCs w:val="20"/>
          <w:color w:val="auto"/>
        </w:rPr>
      </w:pPr>
      <w:r>
        <w:rPr>
          <w:rFonts w:ascii="Courier New" w:cs="Courier New" w:eastAsia="Courier New" w:hAnsi="Courier New"/>
          <w:sz w:val="15"/>
          <w:szCs w:val="15"/>
          <w:color w:val="auto"/>
        </w:rPr>
        <w:t>Prospective purchasers of the Shares offered hereby should carefully consider the following risk factors in addition to the other information presented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UNCERTAINTIES ASSOCIATED WITH CLINICAL TRIALS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Corporation ("IDEC Pharmaceuticals" or the "Company") has conducted and plans to continue to undertake extensive and costly clinical testing to assess the safety and efficacy of its potential products. The rate of completion of the Company's clinical trials is dependent upon, among other factors, the rate of patient enrollment. Patient enrollment is a function of many factors, including the nature of the Company's clinical trial protocols, existence of competing protocols, size of the patient population, proximity of patients to clinical sites and eligibility criteria for the study. Delays in patient enrollment will result in increased costs and delays, which could have a material adverse effect on the Company. The Company cannot assure that patients enrolled in the Company's clinical trials will respond to the Company's product candidates. Setbacks are to be expected in conducting human clinical trials. Failure to comply with the United States Food and Drug Administration ("FDA") regulations applicable to such testing can result in delay, suspension or cancellation of such testing, and/or refusal by the FDA to accept the results of such testing. In addition, the FDA may suspend clinical trials at any time if it concludes that the subjects or patients participating in such trials are being exposed to unacceptable health risks. Further, there can be no assurance that human clinical testing will show any current or future product candidate to be safe and effective or that data derived therefrom will be suitable for submission to the FDA. See "Business -- Government Regulation."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THIRD PARTY DEVELOPMENT AND MARKETING EFFORTS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adopted a research, development and product commercialization strategy that is dependent upon various arrangements with strategic partners and others. The success of the Company's products is substantially dependent upon the success of these outside parties in performing their obligations, which include, but are not limited to, providing funding and performing research and development with respect to the Company's products. The Company's strategic partners may also develop products that may compete with the Company. Although IDEC Pharmaceuticals believes that its partners have an economic incentive to succeed in performing their contractual obligations, the amount and timing of resources that they devote to these activities is not within the control of the Company. There can be no assurance that these parties will perform their obligations as expected or that any revenue will be derived from such arrangements. The Company has entered into collaborative agreements with Genentech, Inc. ("Genentech"), Zenyaku Kogyo, Ltd. ("Zenyaku"), SmithKline Beecham, p.l.c. ("SmithKline Beecham"), Mitsubishi Chemical Corporation ("Mitsubishi"), Seikagaku Corporation ("Seikagaku") and Eisai Co., Ltd. ("Eisai"). These agreements generally may be terminated at any time by the strategic partner, typically on short notice to the Company. If one or more of these partners elect to terminate their relationship with the Company, or if the Company or its partners fail to achieve certain milestones, it could have a material adverse effect on the Company's ability to fund the related programs and to develop any products that may have resulted from such collaborations. There can be no assurance that these collaborations will be successful. In addition, some of the Company's current partners have certain rights to control the planning and execution of product development and clinical programs, and there can be no assurance that such partners' rights to control aspects of such programs will not impede the Company's ability to conduct such programs in accordance with the schedules currently contemplated by the Company for such programs and will not otherwise impact the Company's strategy. See "Management's Discussion and Analysis of Financial Condition and Results of Operations" and "Business -- Strategic Alliances."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LENGTHY REGULATORY PROCESS; NO ASSURANCE OF REGULATORY APPROVALS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testing, manufacturing, labeling, advertising, promotion, export and marketing, among other things, of the Company's proposed products are subject to extensive regulation by governmental authorities in the United States and other countries. In the United States, pharmaceutical products are regulated by the FDA</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the Federal Food, Drug, and Cosmetic Act and other laws, including, in the case of biologics, the Public Health Service Act. At the present time, the Company believes that its products will be regulated by the FDA as biologics. Manufacturers of biologics may also be subject to state regulation.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steps required before a biologic may be approved for marketing in the United States generally include (i) preclinical laboratory tests and animal tests, (ii) the submission to the FDA of an Investigational New Drug application ("IND") for human clinical testing, which must become effective before human clinical trials may commence, (iii) adequate and well-controlled human clinical trials to establish the safety and efficacy of the product, (iv) the submission to the FDA of a Product License Application ("PLA") and Establishment License Application ("ELA"), (v) FDA review of the PLA and the ELA, and (vi) satisfactory completion of an FDA inspection of the manufacturing facility or facilities at which the product is made to assess compliance with Good Manufacturing Practices ("GMP"). The testing and approval process requires substantial time, effort, and financial resources and there can be no assurance that any approval will be granted on a timely basis, if at all. There can be no assurance that Phase I, Phase II or Phase III testing will be completed successfully within any specific time period, if at all, with respect to any of the Company's product candidates. Furthermore, the FDA may suspend clinical trials at any time on various grounds, including a finding that the subjects or patients are being exposed to an unacceptable health risk.</w:t>
      </w:r>
    </w:p>
    <w:p>
      <w:pPr>
        <w:spacing w:after="0" w:line="35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results of the preclinical studies and clinical studies, together with detailed information on the manufacture and composition of the product, are submitted to the FDA in the form of a PLA/ELA or BLA requesting approval to market the product. Before approving a PLA/ELA or BLA, the FDA will inspect the facilities at which the product is manufactured, and will not approve the product unless GMP compliance is satisfactory. The FDA may deny a PLA/ELA or BLA if applicable regulatory criteria are not satisfied, require additional testing or information, and/or require postmarketing testing and surveillance to monitor the safety or efficacy of a product. There can be no assurance that FDA approval of any PLA/ELA or BLA submitted by the Company will be granted on a timely basis or at all. Also, if regulatory approval of a product is granted, such approval may entail limitations on the indicated uses for which it may be marketed.</w:t>
      </w:r>
    </w:p>
    <w:p>
      <w:pPr>
        <w:spacing w:after="0" w:line="200" w:lineRule="exact"/>
        <w:rPr>
          <w:sz w:val="20"/>
          <w:szCs w:val="20"/>
          <w:color w:val="auto"/>
        </w:rPr>
      </w:pPr>
    </w:p>
    <w:p>
      <w:pPr>
        <w:spacing w:after="0" w:line="31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Both before and after approval is obtained, violations of regulatory requirements, including the preclinical and clinical testing process, the PLA/ELA or BLA review process, or thereafter (including after approval) may result in various adverse consequences, including the FDA's delay in approving or refusal to approve a product, withdrawal of an approved product from the market, and/or the imposition of criminal penalties against the manufacturer and/or license holder. For example, license holders are required to report certain adverse reactions to the FDA, and to comply with certain requirements concerning advertising and promotional labeling for their products. Also, quality control and manufacturing procedures must continue to conform to GMP regulations after approval, and the FDA periodically inspects manufacturing facilities to assess compliance with GMP. Accordingly, manufacturers must continue to expend time, monies and effort in the area of production and quality control to maintain GMP compliance. In addition, discovery of problems may result in restrictions on a product, manufacturer or holder, including withdrawal of the product from the market. Also, new government requirements may be established that could delay or prevent regulatory approval of the Company's products under development.</w:t>
      </w:r>
    </w:p>
    <w:p>
      <w:pPr>
        <w:spacing w:after="0" w:line="35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will also be subject to a variety of foreign regulations governing clinical trials and sales of its products. Whether or not FDA approval has been obtained, approval of a product by the comparable regulatory authorities of foreign countries must be obtained prior to the commencement of marketing of the product in those countries. The approval process varies from country to country and the time may be longer or shorter than that required for FDA approval. At least initially, the Company intends, to the extent possible, to rely on foreign licensees to obtain regulatory approval for marketing its products in foreign countries.</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Orphan Drug Act, the FDA may grant orphan drug designation to drugs intended to treat a "rare disease or condition," which generally is a disease or condition that affects fewer than 200,000 individuals in the United States. Orphan drug designation must be requested before submitting a PLA/ELA or BLA. After the FDA grants orphan drug designation, the generic identity of the therapeutic agent and its potential orphan use are publicly disclosed by the FDA. Orphan drug designation does not convey any advantage in, or shorten the duration of, the regulatory review and approval process. If a product that has an</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orphan drug designation subsequently receives FDA approval for the indication for which it has such designation, the product is entitled to orphan exclusivity, i.e., the FDA may not approve any other applications to market the same drug for the same indication, except in certain very limited circumstances, for a period of seven years.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1994, the Company obtained orphan drug designation for IDEC-C2B8, IDEC-Y2B8 and IDEC-In2B8 from the FDA to treat low-grade B-cell lymphoma. There can be no assurance that any of these compounds will receive orphan exclusivity for the low-grade B-cell lymphoma indication, and it is possible that competitors of the Company could obtain approval, and attendant orphan drug exclusivity, for these same compounds for the low-grade B-cell lymphoma indication, thus precluding the Company from marketing its products for the same indication in the United States. In addition, even if the Company does obtain orphan exclusivity for any of its compounds for low-grade B-cell lymphoma, there can be no assurance that competitors will not receive approval of other, different drugs or biologics for low-grade B-cell lymphoma. Although obtaining FDA approval to market a product with orphan drug exclusivity can be advantageous, there can be no assurance that the scope of protection or the level of marketing exclusivity that is currently afforded by orphan drug designation will remain in effect in the future. See "Business -- Government Regulations."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FINANCING REQUIREMENTS AND UNCERTAIN ACCESS TO CAPITAL MARKETS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expended and will continue to expend substantial funds to complete the research, development, manufacturing and marketing of its products. The Company intends to seek additional funding for these purposes through a combination of new collaborative arrangements, strategic alliances, additional equity or debt financings or from other sources. There can be no assurance that such additional funds will be available on acceptable terms, if at all. Even if available, the cost of funds may result in substantial dilution to current shareholders. If adequate funds are not available from operations or additional sources of financing, the Company's business could be materially and adversely affected. See "Management's Discussion and Analysis of Financial Condition and Results of Operations -- Liquidity and Capital Resources."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MANUFACTURING EXPERIENCE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not yet commercialized any products. To conduct clinical trials on a timely basis, to obtain regulatory approval and to be commercially successful, the Company must manufacture its products either directly or through third parties in commercial quantities in compliance with regulatory requirements and at an acceptable cost. Although the Company has produced its products in the laboratory, scaled its production process to pilot levels and has the ability to manufacture commercial quantities of certain of its products, the Company has not yet produced commercial quantities nor received regulatory approval for such production. The Company anticipates that production of its products in commercial quantities will create technical as well as financial challenges for the Company. The Company has limited experience in manufacturing, and no assurance can be given as to the ultimate performance of the Company's manufacturing facility in San Diego, its suitability for approval for commercial production or the Company's ability to make a successful transition to commercial production.</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1996, the Company will manufacture IDEC-C2B8, IDEC-Y2B8 and IDEC-In2B8 and other product candidates for clinical trials at its manufacturing facility in San Diego, California. The Company anticipates that its facility in San Diego should provide sufficient production capacity to meet clinical and early commercial requirements of IDEC-C2B8 product. However, there can be no assurance that the Company will be able to produce adequate quantities of its products to meet clinical and early commercial requirements in a cost-effective manner or that the Company's current manufacturing facility will be approved by the FDA.</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Company is dependent upon Genentech to fulfill long-term manufacturing demands for its IDEC-C2B8 product and SmithKline Beecham to fulfill all of the manufacturing requirements for IDEC-CE9.1. Genentech is currently constructing a larger manufacturing plant to satisfy such long-term demands. The Company is considering the addition of another manufacturing facility to meet its long-term</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requirements for additional products under development. Failure by the Company or its strategic partners to establish additional manufacturing capacity on a timely basis would have a material adverse effect on the Company. See "Business -- Manufacturing."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success will depend, in large part, on its ability to maintain a proprietary position in its products through patents, trade secret and orphan drug designation. IDEC Pharmaceuticals holds one issued and one allowed United States patent, 18 United States patent applications and numerous corresponding foreign patent applications, and has licenses to patents or patent applications of other entities. No assurance can be given, however, that the patent applications of the Company or the Company's licensors will be issued or that any issued patents will provide competitive advantages for the Company's products or will not be successfully challenged or circumvented by its competitors. Moreover, there can be no assurance that any patents issued to the Company or the Company's licensors will not be infringed by others or will be enforceable against others. In addition, there can be no assurance that the patents, if issued, would not be held invalid or unenforceable by a court of competent jurisdiction. Enforcement of the Company's patents may require substantial financial and human resources. Moreover, the Company may have to participate in interference proceedings if declared by the United States Patent and Trademark Office to determine priority of inventions, which typically take several years to resolve and could result in substantial cost to the Company.</w:t>
      </w:r>
    </w:p>
    <w:p>
      <w:pPr>
        <w:spacing w:after="0" w:line="18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 substantial number of patents have already been issued to other biotechnology and biopharmaceutical companies. Particularly in the monoclonal antibody field, competitors may have filed applications for or have been issued patents and may obtain additional patents and proprietary rights relating to products or processes competitive with or similar to those of the Company. To date, no consistent policy has emerged regarding the breadth of claims allowed in biopharmaceutical patents. There can be no assurance that patents do not exist in the United States or in foreign countries or that patents will not be issued that would have an adverse effect on the Company's ability to market its products. Accordingly, the Company expects that commercializing monoclonal antibody-based products may require licensing and/or cross-licensing of patents with other companies in this field. There can be no assurance that the licenses, which might be required for the Company's processes or products, would be available, if at all, on commercially acceptable terms. The ability to license any such patents and the likelihood of successfully contesting the scope or validity of such patents are uncertain and the costs associated therewith may be significant. If the Company is required to acquire rights to valid and enforceable patents but cannot do so at a reasonable cost, the Company's ability to manufacture or market its products would be materially adversely affected.</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Specifically, the Company is aware of several patents and patent applications which may affect the Company's ability to make, use and sell its products, including United States patent applications and foreign counterparts filed by Bristol-Myers that disclose antibodies to a B7 antigen, a recently issued United States patent assigned to Columbia University which the Company believes has been exclusively licensed to Biogen, Inc. ("Biogen") that discloses monoclonal antibodies to the 5C8 antigen found on T cells, a European patent issued in January 1996 to Protein Design Labs, Inc. ("Protein Design Labs") that discloses methods of making amino acid substitutions in antibody structures and a number of issued patents that relate to various aspects of radioimmunotherapy and methods of treating patients with anti-CD4 antibodies.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owners, or licensees of the owners, of these patents may assert that one or more of the Company's products infringe one or more claims of such patents. If legal action is commenced against the Company to enforce any of these patents and the plaintiff in such action prevails, the Company could be prevented from practicing the subject matter claimed in such patents. In such event or under other appropriate circumstances, the Company may attempt to obtain licenses to such patents. However, no assurance can be given that any owner would license the patents to the Company at all or on terms that would permit commercialization of the Company's products. An inability to commercialize such products could have a material adverse effect impact on the Company's operations and ability to pursue its long-term objectives.</w:t>
      </w:r>
    </w:p>
    <w:p>
      <w:pPr>
        <w:spacing w:after="0" w:line="17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Furthermore, the patent position worldwide of biotechnology companies in relation to proprietary products is highly uncertain and involves complex legal and factual questions. There is a substantial backlog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biotechnology patents at the United States Patent and Trademark Office. The Company also relies on trade secrets and proprietary know-how which it seeks to protect, in part, by confidentiality agreements with its employees and consultants. There can be no assurance that these agreements will not be breached, that the Company will have adequate remedies for any breach, or that the Company's trade secrets will not otherwise become known or be independently developed by competitors. See "Business -- Patents and Proprietary Technology."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PERSONNEL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Company's success depends in part upon the continued contributions of its senior management and key scientific and technical personnel. The Company's success is also dependent upon its ability to attract and retain additional qualified scientific, technical, manufacturing and managerial personnel and to develop and maintain relationships with qualified clinical researchers. Significant competition exists among pharmaceutical and biotechnology companies for such personnel, and there can be no assurance that the Company will retain such personnel or that it will be able to attract, assimilate and retain such personnel as may be required in the future or to develop and maintain relationships with such researchers. The Company does not maintain or intend to purchase "key person" life insurance on any of its personnel. See "Business -- Employees" and "Management."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RAPID TECHNOLOGICAL CHANGE AND SUBSTANTIAL COMPETITION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pharmaceutical industry is subject to rapid and substantial technological change. Technological competition in the industry from pharmaceutical and biotechnology companies, universities, governmental entities and others diversifying into the field is intense and is expected to increase. Most of these entities have significantly greater research and development capabilities than the Company, as well as substantially more marketing, financial and managerial resources, and represent significant competition for the Company. Acquisitions of or investments in competing biotechnology companies by large pharmaceutical companies could increase such competitors' financial, marketing and other resources. There can be no assurance that developments by others will not render the Company's products or technologies noncompetitive or that the Company will be able to keep pace with technological developments. Competitors have developed or are in the process of developing technologies that are or, in the future, may be the basis for competitive products. Some of these products may have an entirely different approach or means of accomplishing similar therapeutic effects to those products being developed by the Company. These competing products may be more effective and less costly than the products developed by the Company. In addition, conventional drug therapy, surgery and other more familiar treatments and modalities will offer competition to the Company's products. See "Business -- Competition."</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SALES AND MARKETING EXPERIENCE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Commercialization of the Company's products is expensive and time-consuming. The Company has adopted a strategy of pursuing collaborative agreements with strategic partners that provide for co-promotion of certain of the Company's products. In the event that the Company elects to participate in co-promotion efforts in the United States or Canada, and in those instances where the Company has retained exclusive marketing rights in specified territories, the Company will need to build a sales and marketing capability in the targeted markets. The Company currently has a limited marketing staff and no sales personnel. There can be no assurance that the Company will be able to establish a successful direct sales and marketing capability in any or all targeted markets or that it will be successful in gaining market acceptance for its products. To the extent that the Company enters into co-promotion or other licensing arrangements, any revenues received by the Company will be dependent on the efforts of third parties and there can be no assurance that such efforts will be successful. Outside of the United States and Canada, the Company has adopted a strategy to pursue collaborative arrangements with established pharmaceutical companies for marketing, distribution and sale of its products. There can be no assurance that any of these companies or their sublicensees will successfully market, distribute or sell the Company's products or that the Company will be able to establish and maintain successful co-promotion or distribution arrangements. Failure to establish a sales capability in the United States or outside the United States may have a material adverse effect on the Company. See "Business -- Sales and Marketing."</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OF OPERATING LOSSES; ACCUMULATED DEFICIT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incurred annual operating losses since its inception in 1985. As of March 31, 1996, the Company's accumulated deficit was approximately $77.0 million. The Company anticipates that such operating losses will continue for at least the next two years. Such losses have been and will be principally the result of the various costs associated with the Company's research and development, clinical and manufacturing activities. The Company has not generated operating profits from the commercial sale of its products. All revenues to date have resulted from collaborative research, development and licensing arrangements, research grants and interest income. The Company has no products approved by the FDA or any foreign authority and does not expect to achieve profitable operations on an annual basis unless product candidates now under development receive FDA or foreign regulatory approval and are thereafter commercialized successfully. See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VOLATILITY OF STOCK PRICE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stock market has from time to time experienced significant price and volume fluctuations that may be unrelated to the operating performance of particular companies. In addition, the market price of the Company's Common Stock, like the stock prices of many publicly traded biotechnology companies, has been highly volatile. Announcements of technological innovations or new commercial products by the Company or its competitors, developments or disputes concerning patent or proprietary rights, publicity regarding actual or potential medical results relating to products under development by the Company or its competitors, regulatory developments in both the United States and foreign countries, public concern as to the safety of biotechnology products and economic and other external factors, as well as period-to-period fluctuations in financial results may have a significant impact on the market price of the Company's Common Stock. It is likely that in some future quarter the Company's operating results will be below the expectations of public market analysts and investors. In such event, the price of the Company's Common Stock would likely be materially adversely affected.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UNCERTAINTIES REGARDING HEALTH CARE REIMBURSEMENT AND REFORM</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future revenues and profitability of biopharmaceutical companies as well as the availability of capital may be affected by the continuing efforts of government and third party payors to contain or reduce costs of health 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similar government controls. While the Company cannot predict whether any such legislative or regulatory proposals will be adopted, the announcement or adoption of such proposals could have a material adverse effect on the Company's business, financial condition or prospects.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Company's ability to commercialize its products successfully will depend in part on the extent which appropriate reimbursement levels for the cost of such products and related treatment are obtained from governmental authorities, private health insurers and other organizations, such as health maintenance organizations ("HMOs"). Third-party payors are increasingly challenging the prices charged for medical products and services. Also, the trend toward managed health care in the United States and the concurrent growth of organizations such as HMOs, which could control or significantly influence the purchase of health care services and products, as well as legislative proposals to reform health care or reduce government insurance programs may all result in lower prices for the Company's products. The cost containment measures that health care payors and providers are instituting and the effect of any health care reform could materially adversely affect the Company's ability to operate profitably. See "Business -- Pharmaceutical Pricing and Reimbursement."</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LIABILITY EXPOSURE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Clinical trials, manufacturing, marketing and sale of any of the Company's or its strategic partners' pharmaceutical products licensed by the Company may expose the Company to product liability claims. The Company currently carries limited product liability insurance. There can be no assurance that the Company or its strategic partners will be able to continue to maintain or obtain additional insurance or, if available, that sufficient coverage can be acquired at a reasonable cost. An inability to obtain sufficient insurance coverage at an acceptable cost or otherwise protect against potential product liability claims could prevent or inhibit the commercialization of pharmaceutical products developed by the Company or its strategic partners. A product liability claim or recall would have a material adverse effect on the business and financial condition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public offering price will exceed the Company's net tangible book value per share immediately after the offering. New investors will experience an immediate dilution in net tangible book value as of March 31, 1996 of approximately $25.26 per share. See "Dilution." Additional dilution will occur upon exercise of outstanding options and warrants and conversion of convertible preferred stock. See "Description of Capital Stock."</w:t>
      </w:r>
    </w:p>
    <w:p>
      <w:pPr>
        <w:spacing w:after="0" w:line="348"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EFFECT OF CERTAIN CHARTER PROVISIONS; ANTITAKEOVER EFFECTS OF ARTICLES OF INCORPORATION, CALIFORNIA LAW AND CERTAIN AGREEMENTS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Board of Directors has the authority to issue up to 8,000,000 shares of Preferred Stock and to determine the price, rights, preferences, privileges and restrictions, including voting and conversion rights of such shares, without any further vote or action by the Company's shareholders. The rights of the holders of Common Stock will be subject to, and may be adversely affected by, the rights of the holders of any Preferred Stock that may be issued in the future. The issuance of Preferred Stock, while providing desirable flexibility in connection with possible acquisitions and other corporate purposes, could have the effect of making it more difficult for a third party to acquire a majority of the outstanding voting stock of the Company. Further, certain provisions of the Company's Articles of Incorporation and of California law could delay or make more difficult a merger, tender offer or proxy contest involving the Company. In addition, the</w:t>
      </w:r>
    </w:p>
    <w:p>
      <w:pPr>
        <w:spacing w:after="0" w:line="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Company's collaborative agreement with Genentech provides Genentech with the right to purchase the Company's co-promotion rights under such agreement upon a change of control of the Company. All of the foregoing could discourage potential acquisition proposals for the Company. See "Business -- Strategic Alliances" and "Description of Capital Stock -- Preferred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CONCERNS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research and development involves the controlled use of hazardous materials, chemicals and radioactive compounds. Although the Company believes that its safety procedures for handling and disposing of such materials comply with the standards prescribed by state and federal regulations, the risk of accidental contamination or injury from these materials cannot be completely eliminated. In the event of such an accident, the Company could be held liable for any damages that result and any such liability could exceed the resources of the Company. In addition, disposal of radioactive materials used by the Company in its research efforts may only be made at approved facilities. Approval of a site in California has been delayed indefinitely. The Company currently stores such radioactive materials on site. The Company may incur substantial cost to comply with environmental regulations. See "Business -- Environmental Regulation."</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proceeds to the Company from the sale of the 1,500,000 shares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 hereby are estimated to be approximately $42.2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($48.6 million if the Underwriters' over-allotment option is exercised in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deducting underwriting discounts and commissions and expenses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The Company anticipates that the net proceeds of this offering will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used primarily to fund the Company's establishment of a marketing and sales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infrastructure, to fund detailed engineering studies for expansion of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capacity, to secure additional office, laboratory and warehouse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to provide working capital for the product launch of IDEC-C2B8, if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and for general corporate purposes. The use of proceeds is subject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based upon competitive developments, the rate of the Company's progress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product development, the timing of regulatory approval and the availability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various methods of financing, including agreements with other companies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to the development and marketing of the Company's products.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reserves the right, at the discretion of its Board of Directors, to reallocate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use of the proceeds of this offering in response to these and other factors.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such uses, the net proceeds will be temporarily invested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investment-grade, interest-bearing marketable securities.</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COMMON STOCK PRICE RANGE AND DIVIDENDS</w:t>
      </w:r>
    </w:p>
    <w:p>
      <w:pPr>
        <w:spacing w:after="0" w:line="176"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The Company's Common Stock is traded on The Nasdaq National Market under the symbol "IDPH." The following table sets forth for the periods indicated the high and low reported sale prices as reported by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COMMON</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5560" w:type="dxa"/>
            <w:vAlign w:val="bottom"/>
          </w:tcPr>
          <w:p>
            <w:pPr>
              <w:spacing w:after="0"/>
              <w:rPr>
                <w:sz w:val="14"/>
                <w:szCs w:val="14"/>
                <w:color w:val="auto"/>
              </w:rPr>
            </w:pPr>
          </w:p>
        </w:tc>
        <w:tc>
          <w:tcPr>
            <w:tcW w:w="13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STOCK PRICE</w:t>
            </w:r>
          </w:p>
        </w:tc>
        <w:tc>
          <w:tcPr>
            <w:tcW w:w="260" w:type="dxa"/>
            <w:vAlign w:val="bottom"/>
          </w:tcPr>
          <w:p>
            <w:pPr>
              <w:spacing w:after="0"/>
              <w:rPr>
                <w:sz w:val="14"/>
                <w:szCs w:val="14"/>
                <w:color w:val="auto"/>
              </w:rPr>
            </w:pPr>
          </w:p>
        </w:tc>
      </w:tr>
      <w:tr>
        <w:trPr>
          <w:trHeight w:val="172"/>
        </w:trPr>
        <w:tc>
          <w:tcPr>
            <w:tcW w:w="55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2"/>
        </w:trPr>
        <w:tc>
          <w:tcPr>
            <w:tcW w:w="55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4"/>
                <w:szCs w:val="14"/>
                <w:color w:val="auto"/>
              </w:rPr>
            </w:pPr>
          </w:p>
        </w:tc>
      </w:tr>
      <w:tr>
        <w:trPr>
          <w:trHeight w:val="172"/>
        </w:trPr>
        <w:tc>
          <w:tcPr>
            <w:tcW w:w="55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344"/>
        </w:trPr>
        <w:tc>
          <w:tcPr>
            <w:tcW w:w="5560" w:type="dxa"/>
            <w:vAlign w:val="bottom"/>
          </w:tcPr>
          <w:p>
            <w:pPr>
              <w:spacing w:after="0"/>
              <w:rPr>
                <w:sz w:val="20"/>
                <w:szCs w:val="20"/>
                <w:color w:val="auto"/>
              </w:rPr>
            </w:pPr>
            <w:r>
              <w:rPr>
                <w:rFonts w:ascii="Courier New" w:cs="Courier New" w:eastAsia="Courier New" w:hAnsi="Courier New"/>
                <w:sz w:val="15"/>
                <w:szCs w:val="15"/>
                <w:color w:val="auto"/>
              </w:rPr>
              <w:t>Year Ended December 31, 1994</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First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$ 3 7/8</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Second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Third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Fourth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4"/>
                <w:szCs w:val="14"/>
                <w:color w:val="auto"/>
              </w:rPr>
            </w:pP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556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First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Second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Third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Fourth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5560" w:type="dxa"/>
            <w:vAlign w:val="bottom"/>
          </w:tcPr>
          <w:p>
            <w:pPr>
              <w:spacing w:after="0"/>
              <w:rPr>
                <w:sz w:val="20"/>
                <w:szCs w:val="20"/>
                <w:color w:val="auto"/>
              </w:rPr>
            </w:pPr>
            <w:r>
              <w:rPr>
                <w:rFonts w:ascii="Courier New" w:cs="Courier New" w:eastAsia="Courier New" w:hAnsi="Courier New"/>
                <w:sz w:val="15"/>
                <w:szCs w:val="15"/>
                <w:color w:val="auto"/>
              </w:rPr>
              <w:t>Year Ending December 31, 1996</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First Quarter...........................................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2"/>
        </w:trPr>
        <w:tc>
          <w:tcPr>
            <w:tcW w:w="5560" w:type="dxa"/>
            <w:vAlign w:val="bottom"/>
          </w:tcPr>
          <w:p>
            <w:pPr>
              <w:ind w:left="460"/>
              <w:spacing w:after="0"/>
              <w:rPr>
                <w:sz w:val="20"/>
                <w:szCs w:val="20"/>
                <w:color w:val="auto"/>
              </w:rPr>
            </w:pPr>
            <w:r>
              <w:rPr>
                <w:rFonts w:ascii="Courier New" w:cs="Courier New" w:eastAsia="Courier New" w:hAnsi="Courier New"/>
                <w:sz w:val="15"/>
                <w:szCs w:val="15"/>
                <w:color w:val="auto"/>
              </w:rPr>
              <w:t>Second Quarter (through May 20, 1996)...................</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540" w:type="dxa"/>
            <w:vAlign w:val="bottom"/>
          </w:tcPr>
          <w:p>
            <w:pPr>
              <w:spacing w:after="0"/>
              <w:rPr>
                <w:sz w:val="14"/>
                <w:szCs w:val="14"/>
                <w:color w:val="auto"/>
              </w:rPr>
            </w:pP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bl>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 recent reported last sale price for the Company's Common Stock as reported on The Nasdaq National Market is set forth on the cover page of this Prospectus. On April 1, 1996, there were approximately 508 holders of record of the Company's Common Stock.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never declared or paid any cash dividends on the Common Stock. The Company expects to retain its earnings for the development and expansion of its business and, therefore, does not intend to pay dividends on its Common Stock in the foreseeable future. Any future determination to pay cash dividends will be at the discretion of the Company's Board of Directors and will depend upon the earnings of the Company, its financial condition, capital requirements and other factors as the Company's Board of Directors may deem relevant.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CAPITALIZATION</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capitalization of the Company at March 31, 1996, and as adjusted to reflect the sale of 1,500,000 shares of Common Stock offered by the Company hereby and the application of the estimated net proceeds therefrom at an assumed public offering price of $30.13 per share (after deducting estimated underwriting discounts and commissions and estimated offering expenses payable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MARCH 31, 1996</w:t>
            </w:r>
          </w:p>
        </w:tc>
      </w:tr>
      <w:tr>
        <w:trPr>
          <w:trHeight w:val="172"/>
        </w:trPr>
        <w:tc>
          <w:tcPr>
            <w:tcW w:w="634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ACTUAL</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6340" w:type="dxa"/>
            <w:vAlign w:val="bottom"/>
          </w:tcPr>
          <w:p>
            <w:pPr>
              <w:spacing w:after="0"/>
              <w:rPr>
                <w:sz w:val="14"/>
                <w:szCs w:val="14"/>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Notes payable, less current portion (1)...............................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6,385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6,385</w:t>
            </w:r>
          </w:p>
        </w:tc>
      </w:tr>
      <w:tr>
        <w:trPr>
          <w:trHeight w:val="172"/>
        </w:trPr>
        <w:tc>
          <w:tcPr>
            <w:tcW w:w="6340" w:type="dxa"/>
            <w:vAlign w:val="bottom"/>
          </w:tcPr>
          <w:p>
            <w:pPr>
              <w:jc w:val="right"/>
              <w:ind w:right="4385"/>
              <w:spacing w:after="0"/>
              <w:rPr>
                <w:sz w:val="20"/>
                <w:szCs w:val="20"/>
                <w:color w:val="auto"/>
              </w:rPr>
            </w:pPr>
            <w:r>
              <w:rPr>
                <w:rFonts w:ascii="Courier New" w:cs="Courier New" w:eastAsia="Courier New" w:hAnsi="Courier New"/>
                <w:sz w:val="15"/>
                <w:szCs w:val="15"/>
                <w:color w:val="auto"/>
                <w:w w:val="98"/>
              </w:rPr>
              <w:t>Shareholders' equity:</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3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Convertible preferred stock, no par value, 8,000,000 shares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229,889 shares issued and outstanding, at liquidation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value............................................................</w:t>
            </w: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19,086</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19,086</w:t>
            </w: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no par value, 50,000,000 shares authorized; 15,271,261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shares issued and outstanding; 16,771,261 shares issued and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 as adjusted (2).....................................</w:t>
            </w: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94,476</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136,684</w:t>
            </w: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Paid-in capital.....................................................</w:t>
            </w: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2,923</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2,923</w:t>
            </w: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gains on securities available-for-sale...................</w:t>
            </w: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(77,013)</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(77,013)</w:t>
            </w:r>
          </w:p>
        </w:tc>
      </w:tr>
      <w:tr>
        <w:trPr>
          <w:trHeight w:val="172"/>
        </w:trPr>
        <w:tc>
          <w:tcPr>
            <w:tcW w:w="6340" w:type="dxa"/>
            <w:vAlign w:val="bottom"/>
          </w:tcPr>
          <w:p>
            <w:pPr>
              <w:spacing w:after="0"/>
              <w:rPr>
                <w:sz w:val="14"/>
                <w:szCs w:val="14"/>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39,478</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81,686</w:t>
            </w:r>
          </w:p>
        </w:tc>
      </w:tr>
      <w:tr>
        <w:trPr>
          <w:trHeight w:val="172"/>
        </w:trPr>
        <w:tc>
          <w:tcPr>
            <w:tcW w:w="6340" w:type="dxa"/>
            <w:vAlign w:val="bottom"/>
          </w:tcPr>
          <w:p>
            <w:pPr>
              <w:spacing w:after="0"/>
              <w:rPr>
                <w:sz w:val="14"/>
                <w:szCs w:val="14"/>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45,863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88,071</w:t>
            </w:r>
          </w:p>
        </w:tc>
      </w:tr>
      <w:tr>
        <w:trPr>
          <w:trHeight w:val="172"/>
        </w:trPr>
        <w:tc>
          <w:tcPr>
            <w:tcW w:w="6340" w:type="dxa"/>
            <w:vAlign w:val="bottom"/>
          </w:tcPr>
          <w:p>
            <w:pPr>
              <w:spacing w:after="0"/>
              <w:rPr>
                <w:sz w:val="14"/>
                <w:szCs w:val="14"/>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 of Notes to Consolidated Financial Statements for information concerning the Company's notes payable.</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(i) warrants to purchase 740,149 shares of Common Stock, (ii) options to purchase 3,267,539 shares of Common Stock and (iii) convertible preferred stock convertible into 2,067,120 shares of Common Stock, each outstanding as of March 31, 1996. See Note 8 of Notes to Consolidated Financial Statements.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DILUTION</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net tangible book value of the Company at March 31, 1996 was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$39,478,000 or $2.59 per share. Net tangible book value per share represents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total tangible assets less total liabilities of the Company, divided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the number of shares of Common Stock outstanding. After giving effect to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 by the Company of 1,500,000 shares of Common Stock in this offering at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assumed offering price of $30.13 per share (calculated after deduction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underwriting discount and commissions and estimated expenses associated with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offering) the net tangible book value of the Company at March 31, 1996 would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have been $81,686,000 or $4.87 per share of Common Stock. This represents 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immediate increase in net tangible book value of $2.28 per share to existing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shareholders and an immediate dilution in net tangible book value of $25.26 per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 to the purchasers of the Common Stock in the offering.</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following table illustrates the calculation of the per share dilution described above:</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8"/>
        <w:spacing w:after="0"/>
        <w:rPr>
          <w:sz w:val="20"/>
          <w:szCs w:val="20"/>
          <w:color w:val="auto"/>
        </w:rPr>
      </w:pPr>
      <w:r>
        <w:rPr>
          <w:rFonts w:ascii="Courier New" w:cs="Courier New" w:eastAsia="Courier New" w:hAnsi="Courier New"/>
          <w:sz w:val="14"/>
          <w:szCs w:val="14"/>
          <w:color w:val="auto"/>
        </w:rPr>
        <w:t>Assumed public offering price per share(1)..........................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$ 30.13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6788" w:space="720"/>
            <w:col w:w="2719"/>
          </w:cols>
          <w:pgMar w:left="232" w:top="289" w:right="1440" w:bottom="1440" w:gutter="0" w:footer="0" w:header="0"/>
          <w:type w:val="continuous"/>
        </w:sectPr>
      </w:pPr>
    </w:p>
    <w:p>
      <w:pPr>
        <w:ind w:left="528"/>
        <w:spacing w:after="0"/>
        <w:rPr>
          <w:sz w:val="20"/>
          <w:szCs w:val="20"/>
          <w:color w:val="auto"/>
        </w:rPr>
      </w:pPr>
      <w:r>
        <w:rPr>
          <w:rFonts w:ascii="Courier New" w:cs="Courier New" w:eastAsia="Courier New" w:hAnsi="Courier New"/>
          <w:sz w:val="14"/>
          <w:szCs w:val="14"/>
          <w:color w:val="auto"/>
        </w:rPr>
        <w:t>Net tangible book value per share prior to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$ 2.59</w:t>
      </w:r>
    </w:p>
    <w:p>
      <w:pPr>
        <w:spacing w:after="0" w:line="13" w:lineRule="exact"/>
        <w:rPr>
          <w:sz w:val="20"/>
          <w:szCs w:val="20"/>
          <w:color w:val="auto"/>
        </w:rPr>
      </w:pPr>
    </w:p>
    <w:p>
      <w:pPr>
        <w:sectPr>
          <w:pgSz w:w="11900" w:h="16838" w:orient="portrait"/>
          <w:cols w:equalWidth="0" w:num="2">
            <w:col w:w="6448" w:space="180"/>
            <w:col w:w="3599"/>
          </w:cols>
          <w:pgMar w:left="232" w:top="289" w:right="1440" w:bottom="1440" w:gutter="0" w:footer="0" w:header="0"/>
          <w:type w:val="continuous"/>
        </w:sectPr>
      </w:pPr>
    </w:p>
    <w:p>
      <w:pPr>
        <w:ind w:left="528"/>
        <w:spacing w:after="0"/>
        <w:rPr>
          <w:sz w:val="20"/>
          <w:szCs w:val="20"/>
          <w:color w:val="auto"/>
        </w:rPr>
      </w:pPr>
      <w:r>
        <w:rPr>
          <w:rFonts w:ascii="Courier New" w:cs="Courier New" w:eastAsia="Courier New" w:hAnsi="Courier New"/>
          <w:sz w:val="14"/>
          <w:szCs w:val="14"/>
          <w:color w:val="auto"/>
        </w:rPr>
        <w:t>Increase in net tangible book value per share attributable to new</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investors......................................................</w:t>
      </w:r>
    </w:p>
    <w:p>
      <w:pPr>
        <w:spacing w:after="0" w:line="20" w:lineRule="exact"/>
        <w:rPr>
          <w:sz w:val="20"/>
          <w:szCs w:val="20"/>
          <w:color w:val="auto"/>
        </w:rPr>
      </w:pPr>
      <w:r>
        <w:rPr>
          <w:sz w:val="20"/>
          <w:szCs w:val="20"/>
          <w:color w:val="auto"/>
        </w:rPr>
        <w:br w:type="column"/>
      </w:r>
    </w:p>
    <w:p>
      <w:pPr>
        <w:jc w:val="right"/>
        <w:ind w:right="3079"/>
        <w:spacing w:after="0"/>
        <w:rPr>
          <w:sz w:val="20"/>
          <w:szCs w:val="20"/>
          <w:color w:val="auto"/>
        </w:rPr>
      </w:pPr>
      <w:r>
        <w:rPr>
          <w:rFonts w:ascii="Courier New" w:cs="Courier New" w:eastAsia="Courier New" w:hAnsi="Courier New"/>
          <w:sz w:val="15"/>
          <w:szCs w:val="15"/>
          <w:color w:val="auto"/>
        </w:rPr>
        <w:t>2.28</w:t>
      </w:r>
    </w:p>
    <w:p>
      <w:pPr>
        <w:spacing w:after="0" w:line="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6448" w:space="180"/>
            <w:col w:w="3599"/>
          </w:cols>
          <w:pgMar w:left="232" w:top="289" w:right="1440" w:bottom="1440" w:gutter="0" w:footer="0" w:header="0"/>
          <w:type w:val="continuous"/>
        </w:sectPr>
      </w:pPr>
    </w:p>
    <w:p>
      <w:pPr>
        <w:ind w:left="348" w:right="340"/>
        <w:spacing w:after="0" w:line="397" w:lineRule="auto"/>
        <w:rPr>
          <w:sz w:val="20"/>
          <w:szCs w:val="20"/>
          <w:color w:val="auto"/>
        </w:rPr>
      </w:pPr>
      <w:r>
        <w:rPr>
          <w:rFonts w:ascii="Courier New" w:cs="Courier New" w:eastAsia="Courier New" w:hAnsi="Courier New"/>
          <w:sz w:val="14"/>
          <w:szCs w:val="14"/>
          <w:color w:val="auto"/>
        </w:rPr>
        <w:t>Net tangible book value per share after giving effect to the offering.......................................................... Dilution per share to new investors.................................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4.87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$ 25.26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788" w:space="720"/>
            <w:col w:w="2719"/>
          </w:cols>
          <w:pgMar w:left="232" w:top="289" w:right="1440" w:bottom="1440" w:gutter="0" w:footer="0" w:header="0"/>
          <w:type w:val="continuous"/>
        </w:sect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348" w:right="3339" w:hanging="348"/>
        <w:spacing w:after="0" w:line="274" w:lineRule="auto"/>
        <w:tabs>
          <w:tab w:leader="none" w:pos="3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deduction of underwriting discounts and commissions and estimated offering expenses associated with the offering to be paid by the Company.</w:t>
      </w:r>
    </w:p>
    <w:p>
      <w:pPr>
        <w:spacing w:after="0" w:line="15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All of the above computations assume no exercise of outstanding warrants or options to purchase Common Stock and no conversion of outstanding convertible preferred stock. As of March 31, 1996, the Company also has an additional 740,149 shares of Common Stock issuable upon exercise of outstanding warrants. As of March 31, 1996, options to purchase 3,267,539 shares of Common Stock were outstanding under the Company's stock option plans. Finally, as of March 31, 1996, 2,067,120 shares of Common Stock are issuable upon conversion of outstanding convertible preferred stock. Further dilution may result from the exercise of such outstanding warrants and options or the conversion of such outstanding shares of preferred stock. See "Description of Capital Stock."</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89"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4040" w:firstLine="447"/>
        <w:spacing w:after="0" w:line="242" w:lineRule="auto"/>
        <w:rPr>
          <w:sz w:val="20"/>
          <w:szCs w:val="20"/>
          <w:color w:val="auto"/>
        </w:rPr>
      </w:pPr>
      <w:r>
        <w:rPr>
          <w:rFonts w:ascii="Courier New" w:cs="Courier New" w:eastAsia="Courier New" w:hAnsi="Courier New"/>
          <w:sz w:val="15"/>
          <w:szCs w:val="15"/>
          <w:color w:val="auto"/>
        </w:rPr>
        <w:t>The selected consolidated financial data presented below under the captions "Consolidated Statements of Operations Data" and "Consolidated Balance Sheets Data" for, and as of the end of, each of the years in the five-year period ended December 31, 1995, are derived from the consolidated financial statements of the Company, which consolidated financial statements have been audited by KPMG Peat Marwick LLP, independent certified public accountants. The consolidated financial statements as of December 31, 1994 and 1995, and for each of the years in the three-year period ended December 31, 1995, and the report thereon, are included elsewhere in this Prospectus. The selected consolidated financial data presented below for the three months ended March 31, 1995 and 1996, and as of March 31, 1996, are derived from the unaudited consolidated financial statements of the Company included elsewhere in this Prospectus that, in the opinion of management, include all adjustments (consisting of normal recurring adjustments) necessary for a fair presentation of the information included therein. The information set forth below is not necessarily indicative of the results of future operations and should be read in conjunction with the Consolidated Financial Statements and related Notes thereto that are included in this Prospectus and with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THREE MONTHS</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43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4"/>
                <w:szCs w:val="4"/>
                <w:color w:val="auto"/>
                <w:w w:val="7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1991</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4"/>
              </w:rPr>
              <w:t>1993</w:t>
            </w:r>
          </w:p>
        </w:tc>
        <w:tc>
          <w:tcPr>
            <w:tcW w:w="180" w:type="dxa"/>
            <w:vAlign w:val="bottom"/>
          </w:tcPr>
          <w:p>
            <w:pPr>
              <w:spacing w:after="0"/>
              <w:rPr>
                <w:sz w:val="14"/>
                <w:szCs w:val="14"/>
                <w:color w:val="auto"/>
              </w:rPr>
            </w:pPr>
          </w:p>
        </w:tc>
        <w:tc>
          <w:tcPr>
            <w:tcW w:w="8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1994</w:t>
            </w: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1995</w:t>
            </w:r>
          </w:p>
        </w:tc>
        <w:tc>
          <w:tcPr>
            <w:tcW w:w="100" w:type="dxa"/>
            <w:vAlign w:val="bottom"/>
          </w:tcPr>
          <w:p>
            <w:pPr>
              <w:spacing w:after="0"/>
              <w:rPr>
                <w:sz w:val="14"/>
                <w:szCs w:val="14"/>
                <w:color w:val="auto"/>
              </w:rPr>
            </w:pPr>
          </w:p>
        </w:tc>
        <w:tc>
          <w:tcPr>
            <w:tcW w:w="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4"/>
                <w:szCs w:val="14"/>
                <w:color w:val="auto"/>
              </w:rPr>
            </w:pPr>
          </w:p>
        </w:tc>
        <w:tc>
          <w:tcPr>
            <w:tcW w:w="68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438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DATA:</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Contract research revenues....................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$ 12,136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 fees..................................</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8,385</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11,500</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w:t>
            </w:r>
          </w:p>
        </w:tc>
      </w:tr>
      <w:tr>
        <w:trPr>
          <w:trHeight w:val="172"/>
        </w:trPr>
        <w:tc>
          <w:tcPr>
            <w:tcW w:w="43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582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9"/>
              </w:rPr>
              <w:t>---------  ---------  ---------  ---------  ---------  ---------</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6,233</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12,714</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23,636</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8,347</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9,936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10,928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14,519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18,723</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21,191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22,488</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5,538</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5,641</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4,262</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4,768</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6,112</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1,655</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technology rights....................</w:t>
            </w:r>
          </w:p>
        </w:tc>
        <w:tc>
          <w:tcPr>
            <w:tcW w:w="260" w:type="dxa"/>
            <w:vAlign w:val="bottom"/>
          </w:tcPr>
          <w:p>
            <w:pPr>
              <w:spacing w:after="0"/>
              <w:rPr>
                <w:sz w:val="14"/>
                <w:szCs w:val="14"/>
                <w:color w:val="auto"/>
              </w:rPr>
            </w:pPr>
          </w:p>
        </w:tc>
        <w:tc>
          <w:tcPr>
            <w:tcW w:w="7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11,437</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11,437</w:t>
            </w:r>
          </w:p>
        </w:tc>
        <w:tc>
          <w:tcPr>
            <w:tcW w:w="22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Unification costs.............................</w:t>
            </w:r>
          </w:p>
        </w:tc>
        <w:tc>
          <w:tcPr>
            <w:tcW w:w="260" w:type="dxa"/>
            <w:vAlign w:val="bottom"/>
          </w:tcPr>
          <w:p>
            <w:pPr>
              <w:spacing w:after="0"/>
              <w:rPr>
                <w:sz w:val="14"/>
                <w:szCs w:val="14"/>
                <w:color w:val="auto"/>
              </w:rPr>
            </w:pPr>
          </w:p>
        </w:tc>
        <w:tc>
          <w:tcPr>
            <w:tcW w:w="7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3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582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9"/>
              </w:rPr>
              <w:t>---------  ---------  ---------  ---------  ---------  ---------</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13,139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20,715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22,985</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25,959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40,037</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18,630</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7,495</w:t>
            </w:r>
          </w:p>
        </w:tc>
      </w:tr>
      <w:tr>
        <w:trPr>
          <w:trHeight w:val="172"/>
        </w:trPr>
        <w:tc>
          <w:tcPr>
            <w:tcW w:w="43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582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9"/>
              </w:rPr>
              <w:t>---------  ---------  ---------  ---------  ---------  ---------</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from operations...................</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(6,906)</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(15,503)</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(10,271)</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(18,516)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(16,401)</w:t>
            </w:r>
          </w:p>
        </w:tc>
        <w:tc>
          <w:tcPr>
            <w:tcW w:w="10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(10,283)</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2,441</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(expense), net..................</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1,174</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(891)</w:t>
            </w:r>
          </w:p>
        </w:tc>
        <w:tc>
          <w:tcPr>
            <w:tcW w:w="10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income....................................</w:t>
            </w:r>
          </w:p>
        </w:tc>
        <w:tc>
          <w:tcPr>
            <w:tcW w:w="260" w:type="dxa"/>
            <w:vAlign w:val="bottom"/>
          </w:tcPr>
          <w:p>
            <w:pPr>
              <w:spacing w:after="0"/>
              <w:rPr>
                <w:sz w:val="14"/>
                <w:szCs w:val="14"/>
                <w:color w:val="auto"/>
              </w:rPr>
            </w:pPr>
          </w:p>
        </w:tc>
        <w:tc>
          <w:tcPr>
            <w:tcW w:w="7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3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(5,780)</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$(12,704)</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(8,882)</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$(18,031)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$(17,292)</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$(10,424)</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1,847</w:t>
            </w:r>
          </w:p>
        </w:tc>
      </w:tr>
      <w:tr>
        <w:trPr>
          <w:trHeight w:val="172"/>
        </w:trPr>
        <w:tc>
          <w:tcPr>
            <w:tcW w:w="43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(loss) per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used in calculation of net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2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9,265</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10,931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14,650</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13,937</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ind w:left="42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DECEMBER 31,</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44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6"/>
              </w:rPr>
              <w:t>----------------------------------------------------</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1991</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1992</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1994</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ind w:left="420"/>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DATA:</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Cash, cash equivalents and securities available-</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for-sale.......................................</w:t>
            </w:r>
          </w:p>
        </w:tc>
        <w:tc>
          <w:tcPr>
            <w:tcW w:w="108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$ 54,251</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$ 43,624</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$ 26,503</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20,601</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$ 24,010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$ 25,849</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58,399</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52,649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50,728</w:t>
            </w:r>
          </w:p>
        </w:tc>
        <w:tc>
          <w:tcPr>
            <w:tcW w:w="3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45,494</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47,626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55,206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Notes payable, less current portion..............</w:t>
            </w:r>
          </w:p>
        </w:tc>
        <w:tc>
          <w:tcPr>
            <w:tcW w:w="108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222</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3,572</w:t>
            </w:r>
          </w:p>
        </w:tc>
        <w:tc>
          <w:tcPr>
            <w:tcW w:w="3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7,386</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6,598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6,385</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08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$ 54,893</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$ 43,787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$ 35,674</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27,896</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$ 31,169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$ 39,478</w:t>
            </w:r>
          </w:p>
        </w:tc>
      </w:tr>
    </w:tbl>
    <w:p>
      <w:pPr>
        <w:spacing w:after="0" w:line="200" w:lineRule="exact"/>
        <w:rPr>
          <w:sz w:val="20"/>
          <w:szCs w:val="20"/>
          <w:color w:val="auto"/>
        </w:rPr>
      </w:pPr>
    </w:p>
    <w:p>
      <w:pPr>
        <w:sectPr>
          <w:pgSz w:w="11900" w:h="16838" w:orient="portrait"/>
          <w:cols w:equalWidth="0" w:num="1">
            <w:col w:w="11180"/>
          </w:cols>
          <w:pgMar w:left="240" w:top="289" w:right="479" w:bottom="1440" w:gutter="0" w:footer="0" w:header="0"/>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180"/>
          </w:cols>
          <w:pgMar w:left="240" w:top="289" w:right="479"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Prospectus contains predictions, estimates and other forward-looking statements that involve a number of risks and uncertainties including, without limitation, those set forth in "Risk Factors." While this outlook represents the Company's current judgment on the future direction of its business, such risks and uncertainties could cause actual results to differ materially from any future performance suggested in this Management's Discussion and Analysis of Financial Condition and Results of Operations.</w:t>
      </w:r>
    </w:p>
    <w:p>
      <w:pPr>
        <w:spacing w:after="0" w:line="177" w:lineRule="exact"/>
        <w:rPr>
          <w:sz w:val="20"/>
          <w:szCs w:val="20"/>
          <w:color w:val="auto"/>
        </w:rPr>
      </w:pPr>
    </w:p>
    <w:p>
      <w:pPr>
        <w:jc w:val="both"/>
        <w:ind w:right="4139" w:firstLine="447"/>
        <w:spacing w:after="0" w:line="241"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related Notes thereto of IDEC Pharmaceuticals.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is primarily engaged in the research and development of products for the long-term management of immune system cancers and autoimmune and inflammatory diseases. To date, the Company has not received any revenue from the commercial sale of its products. The Company has funded its operations primarily through the sale of equity securities and the issuance of debt, as well as through contract research and license fee revenues received in connection with collaborative arrangements entered into with the Company's strategic partners. In 1995, the Company recognized aggregate contract research and license fee revenues of $23.6 million.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incurred increasing annual operating expenses and, as the Company prepares for product commercialization, it expects such trends to continue. In 1995, the Company incurred aggregate operating expenses of approximately $40.0 million. The Company has incurred annual operating losses since its inception in 1985, and anticipates that such operating losses will continue for at least the next two years. As of March 31, 1996, the Company had incurred a cumulative net loss of approximately $77.0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THREE MONTHS ENDED MARCH 31, 1996 AND 1995</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Contract Research Revenues. Contract research revenues totaled $2.9 million for the three months ended March 31, 1996 compared to $3.3 million for the comparable period in 1995. The decrease in contract research revenues was primarily due to decreased revenues from SmithKline Beecham as a result of the transfer of clinical development of IDEC-CE9.1 to SmithKline Beecham in late 1995, partially offset by revenues from a new collaboration entered into with Eisai in December 1995.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License Fees. License fees totaled $7.0 million for the three months ended March 31, 1996 compared to $5.0 million for the comparable period in 1995. License fees for the first three months of 1996 included $4.5 million for the license to Chugai of the Company's proprietary vector technology for high expression of recombinant proteins in mammalian cells, $1.5 million from Genentech for the expansion of its collaboration with the Company to include two radioconjugates, IDEC-Y2B8 and IDEC-In2B8, for the treatment and imaging, respectively, of B-cell lymphomas and $1.0 million from Seikagaku for the achievement of a product development milestone. License fees for the quarter ended March 31, 1995 consisted of one-time licensing fees from new strategic partnerships with Genentech and Seikagaku. License fee revenues can vary significantly from year to year based upon the consummation of new strategic alliances and the achievement of milestone events.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Expenses. Research and development expenses totaled $5.6 million for the three months ended March 31, 1996 compared to $5.5 million for the comparable period in 1995. Research and development expenses consist of basic research and development, preclinical and clinical testing of the Company's various products under development and manufacturing of products. The Company expects to incur higher research and development expenses in the future due to additional personnel to handle expanded manufacturing operations, expanded clinical trials and additional regulatory related costs associated with obtaining regulatory approvals for the Company's products and increased costs to support expanding research and development programs.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Beginning in 1988, the Company obtained funds from ML/MS Associates, L.P. ("ML/MS") for the development of the Company's lymphoma products. In connection with such funding, ML/MS obtained rights in such products. In March 1995 the Company repurchased such rights by the issuance of 1.0 million shares of its Common Stock and 69,375 shares of 10% Series B Nonvoting Cumulative Convertible Preferred Stock to ML/MS. For the three months ended March 31, 1995, the Company recorded a noncash charge of $11.4 million, representing the purchase of the acquired technology rights.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General and administrative expenses totaled $1.9 million for the three months ended March 31, 1996 compared to $1.7 million for the comparable period in 1995. General and administrative expenses increased due to higher personnel and patent related expenses. General and administrative expenses necessary to support expanded manufacturing operations, expanded clinical trials, research and development and the creation of a marketing and sales capability are expected to continue to increase for the foreseeable future.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Interest Expense. Net interest expense totaled $.6 million for the three months ended March 31, 1996 compared to $.1 million during the comparable period in 1995. Net interest expense increased during the first quarter of 1996 and may increase significantly in the future due to an accounting requirement under which the Company records a noncash charge to interest expense for the excess of fair market value over the exercise price of certain common stock warrants issued in connection with a debt financing.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YEARS ENDED DECEMBER 31, 1995 AND 1994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Contract Research Revenues. Contract research revenues totaled $12.1 million in 1995 compared to $5.1 million in 1994. The increase in contract research revenues was primarily a result of the new collaborations entered into with Genentech and Eisai and ongoing efforts under a collaborative agreement entered into with Seikagaku in December 1994. The Company expects that contract research revenue derived from the SmithKline Beecham collaboration ($3.5 million during 1995) will decrease significantly in future periods as the Company completes its responsibility for clinical development of IDEC-CE9.1.</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Fees. License fees totaled $11.5 million in 1995 compared to $2.3 million in 1994. License fees increased in 1995 due to up-front licensing fees earned from the new collaborations with Genentech, Eisai and Seikagaku in addition to the licensing fees recognized from Zenyaku for the development and marketing rights for IDEC-C2B8 in Japan.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Expenses. Research and development expenses totaled $22.5 million in 1995 compared to $21.2 million in 1994. The increase in research and development expenses in 1995 was due primarily to higher personnel and related expenses and license fee payments to acquire certain technology and patent rights. In addition, the Company repurchased rights to its lymphoma products from ML/MS in March 1995. See "-- Three Months Ended March 31, 1996 and 1995."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General and administrative expenses totaled $6.1 million in 1995 compared to $4.8 million in 1994. The increase in general and administrative expenses in 1995 was due primarily to advisory and other professional fees associated with structuring collaborative agreements, including those associated with the Genentech collaboration, increased patent filing fees related to recently-enacted patent treaties and higher personnel and related expenses.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Income/Expense. Net interest expense totaled $.9 million compared to net interest income of $.5 million in 1994. The increase in net interest expense in 1995 was the result of higher interest rates on new notes payable, non-cash interest charges as described below, partially offset by increased interest earnings on cash, cash equivalents and securities available-for-sale.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Interest expense in 1995 also increased over the prior years and may increase significantly in future periods due to an accounting requirement under which the Company records a non-cash charge to interest expense for the excess of the fair market value over the exercise price of certain common stock warrants issued in connection with a debt financing as described in Note 8 to the Consolidated Financial Statements. Interest expense for 1995 includes $.7 million in such non-cash charges to interest expense.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IDEC Pharmaceuticals has incurred losses on an annualized basis since inception; therefore, no provision for income taxes has been recorded. The Company's net operating loss carryforwards available to offset future taxable income are approximately $61.8 million for federal income tax purposes and expire between 1999 and 2010. The future utilization of net operating loss carryforwards may be limited under the Internal Revenue Code due to an ownership change that occurred during 1991. However, the Company believes that such limitations will not have a material impact upon the utilization of the net operating loss carryforwards.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YEARS ENDED DECEMBER 31, 1994 AND 1993</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Contract Research Revenues. Contract research revenues for the year ended December 31, 1994, increased to $5.1 million from $4.3 million in 1993. The increase in contract research revenues in 1994 were primarily related to the Company's ongoing collaborative efforts with SmithKline Beecham and Mitsubishi.</w:t>
      </w:r>
    </w:p>
    <w:p>
      <w:pPr>
        <w:spacing w:after="0" w:line="160"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License Fees. License fees totaled $2.3 million in 1994 compared to $8.4 million in 1993. License fees declined in 1994 due to the timing of license fee and milestone payments earned by the Company in 1993 for expanding its agreement with SmithKline Beecham.</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Expenses. Research and development expenses increased to $21.2 million in 1994 from $18.7 million in 1993. The increase in research and development expenses in 1994 was due primarily to higher facility and manufacturing expenses, personnel and related expenses, and payments to medical centers in support of expanded clinical trials.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to $4.8 million in 1994 from $4.3 million in 1993. The increase from 1993 to 1994 was due to expenses necessary to support the Company's expansion of research and development.</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Interest Income/Expense. Net interest income for the year ended December 31, 1994 was $.5 million compared to $1.2 million in 1993. The decrease in net interest income from 1993 to 1994 is due to lower balances in cash, cash equivalents and securities available-for-sale, and an increase in interest expense resulting from increases in notes payable used to finance certain capital purchases.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financed its operations and capital expenditures since inception principally through the sale of equity securities, contract research revenues, license fees, lease financing transactions and interest income. The Company expects to finance its current and planned operations principally through the proceeds of this offering, cash on hand and with funds from existing collaborative agreements and contracts, which the Company believes will be sufficient to meet its near-term operating requirements. Existing agreements and contracts however, could be canceled by the parties to such contracts. In addition, the Company intends to seek required additional funding through a combination of new collaborative agreements, strategic alliances, additional equity and debt financings or from other sources. There can be no assurance that such additional funds will be available on acceptable terms, if at all. Should the Company not enter into any such arrangements, the Company anticipates its cash (including the proceeds of this offering), cash equivalents and securities available-for-sale, together with the existing agreements and contracts, will be sufficient to finance the Company's currently anticipated needs for operating and capital expenditures through 1998. If adequate funds are not available from operations or from additional sources of financing, the Company's business could be materially and adversely affected.</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working capital and capital requirements will depend upon numerous factors, including: the progress of the Company's preclinical and clinical testing; manufacturing, research and development programs; timing and cost of obtaining regulatory approvals; levels of resources that the Company devotes to the development of manufacturing and marketing capabilities; technological advances; status of competitors; and the ability of the Company to establish collaborative arrangements with other organizations.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Until required for operations, the Company's policy is to keep its cash reserves in bank deposits, certificates of deposit, commercial paper, corporate notes, United States government instruments and other readily marketable debt instruments, all of which are investment-grade quality.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1996, the Company had $25.8 million in cash, cash equivalents and securities available-for-sale compared to cash, cash equivalents and securities available-for-sale of $24.0 million at December 31, 1995. Sources of cash, cash equivalents and securities available-for-sale at March 31, 1996 include $5.6 million from the issuance of convertible preferred and common stock and $.8 million from the funding under an existing lease line. Uses of cash, cash equivalents and securities available-for-sale during the three months ended March 31, 1996 include $3.4 million used in operations and $.8 million used to pay notes payable.</w:t>
      </w:r>
    </w:p>
    <w:p>
      <w:pPr>
        <w:spacing w:after="0" w:line="17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In March 1995, the Company issued 1.0 million shares of its Common Stock and 69,375 shares of 10% Series B Nonvoting Cumulative Convertible Preferred Stock to ML/MS for the repurchase of all ML/MS rights in the Company's lymphoma products. In the first quarter of 1995, the Company recorded a non-cash charge of $11.4 million, representing the purchase of the acquired technology rights.</w:t>
      </w:r>
    </w:p>
    <w:p>
      <w:pPr>
        <w:spacing w:after="0" w:line="33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Company issued to Genentech 100,000 shares of its Series A-1 Nonvoting Convertible Preferred Stock, 38,000 shares of its Series A-2 Nonvoting Convertible Preferred Stock, 23,000 shares of its Series A-3 Nonvoting Convertible Preferred Stock and 100,000 shares of its Series A-6 Nonvoting Convertible Preferred Stock in April 1995, August 1995, March 1996, and May 1996, respectively. The issuances resulted in net proceeds of $19.6 million.</w:t>
      </w:r>
    </w:p>
    <w:p>
      <w:pPr>
        <w:spacing w:after="0" w:line="200" w:lineRule="exact"/>
        <w:rPr>
          <w:sz w:val="20"/>
          <w:szCs w:val="20"/>
          <w:color w:val="auto"/>
        </w:rPr>
      </w:pPr>
    </w:p>
    <w:p>
      <w:pPr>
        <w:spacing w:after="0" w:line="30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December 1995, the Company entered into a $1.5 million lease financing agreement to finance equipment purchases. As of March 31, 1996, $.8 million in capital equipment purchases have been funded under this agreement and the remaining funding under this agreement is available until July 1, 1996. Included in property and equipment at March 31, 1996, is $.2 million in equipment that the Company anticipates financing under this agreement during the second quarter of 1996.</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is a biopharmaceutical company developing products for the long-term management of immune system cancers and autoimmune and inflammatory diseases. The Company is currently focused on non-Hodgkin's B-cell lymphomas, which afflict approximately 225,000 patients in the United States, and rheumatoid arthritis, which afflicts approximately 2 million people in the United States. The Company's two antibody products for treatment of non-Hodgkin's B-cell lymphomas are being developed in collaboration with Genentech in the United States, Genentech's affiliate Hoffmann-LaRoche worldwide except the United States and Japan and Zenyaku in Japan. The Company's lead PRIMATIZED antibody product for the treatment of rheumatoid arthritis is being developed worldwide in collaboration with SmithKline Beecham. IDEC Pharmaceuticals has seven additional product candidates in various stages of development.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ANTIBODIES AND THE IMMUNE SYSTEM</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immune system is composed of specialized cells, including B cells and T cells, that function in the recognition, destruction and elimination of disease causing foreign substances and of virally infected or malignant cells. The role of these specialized cells is determined by receptors on the cell surface which govern the interaction of the cell with foreign substances and with the rest of the immune system. For example, each differentiated B cell of the immune system has a different antibody anchored to its surface which serves as a receptor to recognize foreign substances. This antibody then triggers the production of additional antibodies which as free-floating molecules bind to and eliminate these foreign substances. Each foreign substance is individually identifiable by structures on its surface known as antigens, which serve as binding sites for the specific antibodies. T cells play more diverse roles, including the identification and destruction of virally infected or malignant cells.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variety of technologies have been developed to produce antibodies as therapeutic agents. These include hybridoma technology and molecular biology techniques such as gene cloning and expression, which can now be applied to the generation, selection and production of hybrid monoclonal antibody varieties known as chimeric and humanized antibodies, as well as strictly human antibodies. Chimeric antibodies are constructed from portions of non-human species (e.g., mouse) antibodies and human antibodies. In these applications, the portion of the antibody responsible for antigen binding (the "variable region") is taken from a non-human antibody and the remainder of the antibody (the "constant region") is taken from a human antibody. Compared to mouse ("murine") monoclonal antibodies, chimeric antibodies generally exhibit lower immunogenicity (the tendency to trigger an often adverse immune response such as a human anti-mouse antibody, or "HAMA" response), are cleared more slowly from the body, and function more naturally in the human immune system. Humanized antibodies can be constructed by grafting several small pieces of a murine antibody's variable region onto a constant region framework provided by a human antibody. This process, known as "CDR grafting," reduces the amount of foreign materials in the antibody, rendering it closer to a human antibody. However, the construction of humanized antibodies by CDR grafting requires complex computer modeling, and the properties of the resulting antibody are not completely predictable and may, in fact, still trigger a HAMA response.</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NON-HODGKIN'S B-CELL LYMPHOMAS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with other cell types in the body, B cells and T cells may become malignant and grow as immune system tumors, such as lymphomas. Non-Hodgkin's B-cell lymphomas are cancers of the immune system which currently afflict approximately 225,000 patients in the United States. Although there are treatments for non-Hodgkin's B-cell lymphomas, there are currently no products in the United States that have been approved by the FDA for use in treating these cancers. Non-Hodgkin's B-cell lymphomas are diverse with respect to prognosis and treatment, and are generally classified into one of three groups (low, intermediate or high-grade) based on histology and clinical features. The Company estimates that approximately 146,000 patients in the United States have low-grade, 65,000 have intermediate-grade, and 14,000 have high-grade non-Hodgkin's B-cell lymphoma. Patients with low-grade lymphomas have a fairly long life expectancy from the</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time of diagnosis (median survival 6.6 years), despite the fact that low-grade lymphomas are almost always incurable. Intermediate-grade and high-grade lymphomas are more rapidly growing forms of these cancers, which in a minority of cases can be cured with early, aggressive chemotherapy. New diagnoses of non-Hodgkin's lymphomas have increased approximately 7% annually over the past decade, with 52,700 new diagnoses estimated for 1996. The increase is due in part to the increasing prevalence of lymphomas in the AIDS patient population. In approximately 90% of the cases in the United States, non-Hodgkin's lymphomas are of B-cell origin, the remainder are T-cell lymphomas.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Owing to the fluid nature of the immune system, B-cell lymphomas are usually widely disseminated and characterized by multiple tumors at various sites throughout the body at first presentation. Treatment courses with chemotherapy or radiation therapy are the current standard of care and often result in a limited number of remissions for patients with B-cell lymphomas. The majority of patients in remission will relapse and ultimately die either from their cancer or from complications of standard therapy. Fewer patients achieve additional remissions following relapse and those remissions are generally of shorter duration as the tumors become increasingly resistant to subsequent courses of chemotherapy. Therapeutic product development efforts for these cancers have focused on both improving treatment results and minimizing the toxicities associated with standard treatment regimens. Immunotherapies with low toxicity and demonstrated efficacy can be expected to reduce treatment and hospitalization costs associated with side effects or opportunistic infections, which can result from the use of chemotherapy and radiation therapy.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AUTOIMMUNE AND INFLAMMATORY DISEASES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Rheumatoid arthritis, systemic lupus erythematosus ("SLE"), psoriasis, inflammatory bowel disease ("IBD") and multiple sclerosis ("MS") are autoimmune and inflammatory diseases that require ongoing therapy and afflict more than 6 million patients in the United States. Of these, approximately 2 million people are afflicted with rheumatoid arthritis. Autoimmune disease occurs when the patient's immune system goes awry, initiating a cascade of events which results in an attack by the patient's immune system against otherwise healthy tissue and often includes inflammation of the involved tissue. In rheumatoid arthritis, the disease attacks the synovial lining of the patient's joints, usually resulting in the destruction of the joints of the hands, hips and knees. The patient's condition evolves from constantly painful joints to the disability of deformed, misaligned joints. Autoimmune diseases such as rheumatoid arthritis are typically treated with products such as steroids and nonsteroidal, anti-inflammatory agents and with other therapies, all of which are limited for several reasons, including their lack of specificity and ineffectiveness when used chronically. Furthermore, steroids suppress the immune system and make the patient susceptible to infections while nonsteroidal, anti-inflammatory agents have been implicated in the formation of gastro-intestinal ulcerations.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ANTIBODIES AND THE REGULATION OF IMMUNE SYSTEM CELLS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Monoclonal antibodies may be used to bind to specific subsets of human immune system cells and may act to deplete or to suppress the activity of the targeted cells. Indeed, the high specificity of monoclonal antibodies enables them to discriminately act against different types of B cells or T cells. Depletion of diseased immune cells or suppression of disease-causing immune activities may be possible by using antibodies that attach to specific determinants on the surface of target immune system cells. In particular, the individual B and T cells of the immune system express a broad variety of surface determinants (cell surface markers). Such determinants not only differentiate one cell type from another, but also differentiate individual cells from other cells with specificity for different antigens.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IDEC PHARMACEUTICALS'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is developing products for the long-term management of immune system cancers and autoimmune and inflammatory diseases. The Company's antibody products bind to specific subsets of human immune system cells and act to deplete or to suppress the activity of these targeted cells. The products are administered intravenously and target cells located in easily accessible compartments of the body, specifically the blood, the lymphatic fluid and the synovial fluid.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For treatment of non-Hodgkin's B-cell lymphomas, the Company's products target a cell surface marker known as CD20 which is present only on B cells but not on B cell precursors. These products act to reduce total B cell levels, including both malignant and normal B cells. The depletion of normal B cells observed in clinical experience, to date, has been only temporary, with regeneration occurring within months. The Company believes that the successful development of immunotherapeutic agents, such as IDEC-C2B8 and IDEC-Y2B8, will complement and, in some cases, replace chemotherapeutic agents in the treatment of non-Hodgkin's B-cell lymphomas.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Due to their specificity and affinity for cell surface receptors, monoclonal antibodies are also an attractive means by which to treat autoimmune diseases. Attachment of monoclonal antibodies to specific cell surface receptors can be used to suppress aberrant and unwanted immune activity. Historically, however, the use of monoclonal antibodies as a ongoing therapy has been limited by the body's rejection of the mouse derived components of the antibodies. Murine monoclonal antibodies, which are structurally different from human antibodies, tend to trigger adverse immune reactions when used as therapies. These reactions include a HAMA response in which the patient's immune system produces antibodies against the therapeutic antibody, thus limiting its effectiveness.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developed a proprietary PRIMATIZED antibody technology to overcome HAMA responses and to avoid other immunogenicity problems by developing monoclonal antibodies from primate rather than mouse B cells. These antibodies are characterized by their strong similarity to human antibodies and by the absence of mouse components. In March 1996, the Company received a Notice of Allowance for a United States patent application claiming the Company's PRIMATIZED antibodies. Underlying this proprietary technology is the Company's discovery that macaque monkeys produce antibodies that are structurally indistinguishable from human antibodies in their variable (antigen-binding) regions. Further, the Company found that the macaque monkey can be immunized to make antibodies that react with human, but not with macaque, antigens. Genetic engineering techniques are then used to isolate the portions of the macaque antibody gene which encode the variable region from a macaque B cell. This genetic material is combined with constant region genetic material from a human B cell and inserted into a host cell line which then expresses the desired antibody specific to the given antigen. The result is a part human, part macaque PRIMATIZED antibody which appears structurally to be so similar to human antibodies that it may be accepted by the patient's immune system as "self." This development allows the possibility of therapeutic intervention in chronic diseases or other conditions that are not amenable to treatment with antibodies containing mouse components.</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also discovered a proprietary antigen formulation, PROVAX, which has shown the ability to induce cellular immunity, manifested by cytotoxic T lymphocytes, in animals immunized with protein antigens. Cellular immunity is a counterpart to antibody-based immunity and is responsible for the direct destruction of virally infected and malignant cells. PROVAX is a combination of defined chemical entities and may provide a practical means for the development of effective immunotherapies that act through the induction of both antibody and cell-mediated immunity. The Company believes such immunotherapies may be useful for the treatment of certain cancers and viral diseases. Preliminary studies also indicate that PROVAX can be safely administered by injection to human subjects. The Company intends to make PROVAX available through licenses and collaborations to interested partners for development of immunotherapeutic vaccines.</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6" w:name="page27"/>
    <w:bookmarkEnd w:id="26"/>
    <w:p>
      <w:pPr>
        <w:jc w:val="center"/>
        <w:ind w:right="9519"/>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strategy is to capitalize on its specialized antibody development strengths by addressing serious and inadequately managed indications in immune system cancers and autoimmune and inflammatory diseases. The key elements of the Company's strategy include: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DEVELOPING PRODUCTS THAT TARGET IMMUNE SYSTEM CELLS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focused its development efforts to date on immune system cancers and autoimmune diseases where current therapies are inadequate and where monoclonal antibodies directed against immune system cells can play a therapeutic role.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LEVERAGING ITS TECHNOLOGY PLATFORM</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Company's products share characteristics that allow the Company to leverage its human and financial resources efficiently by applying a single technology platform to a number of disease targets representing significant unmet medical needs. Specifically, these products all target easily accessible cells within the immune system and they are made using the same proprietary mammalian cell expression technology and manufacturing process.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UTILIZING ITS HIGH-YIELD, PROPRIETARY, MAMMALIAN CELL EXPRESSION TECHNOLOGY TO BECOME A WORLD-CLASS BIOLOGICS MANUFACTURER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highly productive mammalian cell expression technology allows the Company to use its current "pilot" facility to manufacture commercial quantities of product using a simple, reproducible cell culture process. Exploiting a highly efficient recovery and purification process, the Company is able to manufacture its products at a relatively low cost. The current facility was completed in 1994 and its capacity was doubled in 1995.</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ESTABLISHING STRATEGIC ALLIANCES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strategic partnering arrangements provide research and development funding for the Company's North American product development. These arrangements have also allowed the Company to postpone significant infrastructure investments until revenue and cash flow from its products can support these functions and until they are needed for the launch of products which the Company has retained for itself in North America. Until then, the Company plans to rely on its partners for the infrastructure required to support product sales, such as through co-promotion, customer service, order entry, etc. Outside of North America, the Company will rely on its partners to provide access to foreign markets and potentially to act as customers for its manufacturing capacity.</w:t>
      </w:r>
    </w:p>
    <w:p>
      <w:pPr>
        <w:spacing w:after="0" w:line="179"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FOCUSING THE COMPANY'S PRODUCTS ON COST-EFFECTIVE LONG-TERM MANAGEMENT OF DISEASE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developing products that exert their therapeutic activity in a targeted manner, thus having significant therapeutic effect without the unwanted side-effects of less targeted therapies. The ease of use of these products, when combined with their favorable side-effect profile allows their use in outpatient settings, thereby potentially lowering the cost of treatment and improving the patient's quality of life during therapy. The Company's targeted physician audience is made up of the approximately 2,000 community-based oncology group practices and 3,000 rheumatologists in the United States, which are easily definable and can be accessed with a relatively small United States-based sales force.</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PRODUCTS UNDER DEVELOPMENT</w:t>
      </w:r>
    </w:p>
    <w:p>
      <w:pPr>
        <w:spacing w:after="0" w:line="176" w:lineRule="exact"/>
        <w:rPr>
          <w:sz w:val="20"/>
          <w:szCs w:val="20"/>
          <w:color w:val="auto"/>
        </w:rPr>
      </w:pPr>
    </w:p>
    <w:p>
      <w:pPr>
        <w:ind w:left="8" w:right="3339" w:firstLine="447"/>
        <w:spacing w:after="0" w:line="263" w:lineRule="auto"/>
        <w:rPr>
          <w:sz w:val="20"/>
          <w:szCs w:val="20"/>
          <w:color w:val="auto"/>
        </w:rPr>
      </w:pPr>
      <w:r>
        <w:rPr>
          <w:rFonts w:ascii="Courier New" w:cs="Courier New" w:eastAsia="Courier New" w:hAnsi="Courier New"/>
          <w:sz w:val="14"/>
          <w:szCs w:val="14"/>
          <w:color w:val="auto"/>
        </w:rPr>
        <w:t>The Company's primary products under development address immune system cancers, such as lymphomas, and autoimmune and inflammatory diseases, such as rheumatoid arthritis. In addition, the Company has discovered certain other products through the application of its technology platform. The products in pre-clinical and clinical development by the Company include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DEVELOPMENT/MARKETING</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PRODUCT CANDIDATE</w:t>
            </w:r>
          </w:p>
        </w:tc>
        <w:tc>
          <w:tcPr>
            <w:tcW w:w="2420" w:type="dxa"/>
            <w:vAlign w:val="bottom"/>
          </w:tcPr>
          <w:p>
            <w:pPr>
              <w:ind w:left="620"/>
              <w:spacing w:after="0"/>
              <w:rPr>
                <w:sz w:val="20"/>
                <w:szCs w:val="20"/>
                <w:color w:val="auto"/>
              </w:rPr>
            </w:pPr>
            <w:r>
              <w:rPr>
                <w:rFonts w:ascii="Courier New" w:cs="Courier New" w:eastAsia="Courier New" w:hAnsi="Courier New"/>
                <w:sz w:val="15"/>
                <w:szCs w:val="15"/>
                <w:color w:val="auto"/>
              </w:rPr>
              <w:t>INDICATION</w:t>
            </w:r>
          </w:p>
        </w:tc>
        <w:tc>
          <w:tcPr>
            <w:tcW w:w="2320" w:type="dxa"/>
            <w:vAlign w:val="bottom"/>
          </w:tcPr>
          <w:p>
            <w:pPr>
              <w:ind w:left="620"/>
              <w:spacing w:after="0"/>
              <w:rPr>
                <w:sz w:val="20"/>
                <w:szCs w:val="20"/>
                <w:color w:val="auto"/>
              </w:rPr>
            </w:pPr>
            <w:r>
              <w:rPr>
                <w:rFonts w:ascii="Courier New" w:cs="Courier New" w:eastAsia="Courier New" w:hAnsi="Courier New"/>
                <w:sz w:val="15"/>
                <w:szCs w:val="15"/>
                <w:color w:val="auto"/>
              </w:rPr>
              <w:t>STATUS(1)</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PARTNER AND TERRITORY</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IMMUNE SYSTEM CANCER PRODUCTS</w:t>
            </w:r>
          </w:p>
        </w:tc>
        <w:tc>
          <w:tcPr>
            <w:tcW w:w="23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IDEC-C2B8</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Non-Hodgkin's B-cell</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Phase III (patient</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Genentech (U.S.)</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lymphomas</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accrual completed)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Zenyaku (Japan)</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Hoffmann-La Roche</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(through Genentech, rest</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of world)</w:t>
            </w: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IDEC-Y2B8</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Non-Hodgkin's B-cell</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Phase I/II</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Genentech (worldwide)</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lymphomas</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(radioimmunotherapy)</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IDEC-In2B8</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Non-Hodgkin's B-cell</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Phase I/II</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Genentech (worldwide)</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lymphomas (tumor imaging</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and dosimetry)</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AUTOIMMUNE AND INFLAMMATORY PRODUCTS</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PRIMATIZED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Rheumatoid arthritis</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Phase II (randomized,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SmithKline Beecham</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IDEC-CE9.1</w:t>
            </w:r>
          </w:p>
        </w:tc>
        <w:tc>
          <w:tcPr>
            <w:tcW w:w="24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double-blinded, placebo-</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(worldwide)</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controlled; patient</w:t>
            </w:r>
          </w:p>
        </w:tc>
        <w:tc>
          <w:tcPr>
            <w:tcW w:w="250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treatment completed)</w:t>
            </w: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PRIMATIZED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Asthma</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Phase II</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SmithKline Beecham</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IDEC-CE9.1</w:t>
            </w: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(worldwide)</w:t>
            </w: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PRIMATIZED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Various autoimmune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Lead compound selected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Mitsubishi (Asia)</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Anti-B7</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diseases</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PRIMATIZED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Various allergic</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Lead compound selected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Seikagaku (Europe and</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Anti-CD23</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conditions</w:t>
            </w:r>
          </w:p>
        </w:tc>
        <w:tc>
          <w:tcPr>
            <w:tcW w:w="23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Asia)</w:t>
            </w: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Humanized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Various autoimmune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Lead compound selected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Eisai (Europe and Asia)</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Anti-gp39</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diseases</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PRIMATIZED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Various autoimmune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Discovery</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Eisai (Europe and Asia)</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Anti-gp39</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diseases</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OTHER PRODUCTS</w:t>
            </w: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Human Anti-</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Respiratory syncytial</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Lead compounds selected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No current partner</w:t>
            </w: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RSV</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virus infection</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Antibodies</w:t>
            </w:r>
          </w:p>
        </w:tc>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PROVAX</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Antigen formulation for</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Phase I</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No current partner</w:t>
            </w:r>
          </w:p>
        </w:tc>
      </w:tr>
      <w:tr>
        <w:trPr>
          <w:trHeight w:val="172"/>
        </w:trPr>
        <w:tc>
          <w:tcPr>
            <w:tcW w:w="17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therapeutic vaccination</w:t>
            </w:r>
          </w:p>
        </w:tc>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079" w:hanging="348"/>
        <w:spacing w:after="0" w:line="261" w:lineRule="auto"/>
        <w:tabs>
          <w:tab w:leader="none" w:pos="34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"Lead compound selected" means agents have been identified that meet preselected criteria in assays for activity and potency. "Phase I" means initial human studies designed to establish the safety, dose tolerance and pharmacokinetics of a compound. "Phase I/II" means initial human studies designed to establish the safety, dose tolerance and pharmacokinetics of a compound and which maybe designed to show preliminary activity of a compound in patients with the targeted disease. "Phase II" means human studies designed to establish safety, optimal dosage and preliminary activity of a compound. "Phase III" means human studies designed to lead to accumulation of data sufficient to support a PLA, including data relating to efficacy.</w:t>
      </w:r>
    </w:p>
    <w:p>
      <w:pPr>
        <w:spacing w:after="0" w:line="16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IMMUNE SYSTEM CANCER PRODUCTS</w:t>
      </w:r>
    </w:p>
    <w:p>
      <w:pPr>
        <w:spacing w:after="0" w:line="176" w:lineRule="exact"/>
        <w:rPr>
          <w:sz w:val="20"/>
          <w:szCs w:val="20"/>
          <w:color w:val="auto"/>
        </w:rPr>
      </w:pPr>
    </w:p>
    <w:p>
      <w:pPr>
        <w:ind w:right="3519" w:firstLine="447"/>
        <w:spacing w:after="0" w:line="267" w:lineRule="auto"/>
        <w:rPr>
          <w:sz w:val="20"/>
          <w:szCs w:val="20"/>
          <w:color w:val="auto"/>
        </w:rPr>
      </w:pPr>
      <w:r>
        <w:rPr>
          <w:rFonts w:ascii="Courier New" w:cs="Courier New" w:eastAsia="Courier New" w:hAnsi="Courier New"/>
          <w:sz w:val="14"/>
          <w:szCs w:val="14"/>
          <w:color w:val="auto"/>
        </w:rPr>
        <w:t>IDEC Pharmaceuticals' objective with respect to treating non-Hodgkin's B-cell lymphomas is to use its pan-B antibodies to target, bind to and selectively eliminate both the patient's normal and malignant B cells.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IDEC-C2B8. IDEC-C2B8 is a genetically engineered, chimeric pan-B antibody designed to harness the patient's own immune mechanisms to destroy tumor cells. Laboratory studies performed by the Company have shown that the antibody attaches to the CD20 antigen on B cells and activates a group of proteins known as "complement," leading to normal and malignant B-cell destruction. Additionally, the antibody, when bound to the CD20 antigen, recruits macrophages and natural killer cells to attack the B cell. Through these and other mechanisms, the antibody utilizes the body's immune defenses to lyse (rupture) and deplete B cells. B cells have the capacity to regenerate from early precursor cells that do not express the CD20 determinant. The depletion of normal B cells observed in clinical experience to date has been only temporary, with normal B cell regeneration occurring within months. The capacity of a tumor to regrow after treatment with IDEC-C2B8 will depend on the number of malignant B cells, or malignant B-cell precursors (if the malignancy first appeared within a precursor cell), remaining after treatment.</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April 1995, the Company and Genentech began a pivotal Phase III trial of IDEC-C2B8 at over 30 clinical sites including leading cancer centers in the United States and Canada. Patient enrollment for this trial was completed in March 1996. In this single-arm, single-agent Phase III clinical trial, patients with low-grade or follicular non-Hodgkin's B-cell lymphomas receive four weekly infusions of IDEC-C2B8. The study will evaluate the tumor response rate to treatment and duration of response in approximately 150 patients with relapsed disease. In May 1996, the Company announced preliminary results on the first 48 evaluable patients (out of 166 patients enrolled) in its pivotal Phase III trial of IDEC-C2B8. The preliminary results confirmed the response rate and safety profile of the antibody seen in clinical trials to date. Specifically, of the first 48 evaluable patients, 23 responded to treatment with IDEC-C2B8, for an overall response rate of 47.9%. Six of these responses were complete responses (12.5%) and 17 were partial responses (35.4%).</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1994, the Company completed the Phase II portion of a Phase I/II clinical trial with IDEC-C2B8 involving 34 evaluable patients with relapsed low-grade or follicular lymphomas who received four weekly infusions of IDEC-C2B8. In this trial, 17 of 34 (50%) evaluable patients experienced a complete or partial response (i.e., tumor shrinkage of 50% or greater), with five of these patients having tumor remissions lasting for more than 20 months without maintenance therapy; three of these remissions are ongoing for periods ranging from over 20 months to over 23 months. In clinical trials to date, IDEC-C2B8 as a single agent has shown response rates which are equivalent to or greater than that produced by single agent chemotherapy, yet patients have suffered neither the bone marrow damage nor the range and severity of other toxicities associated with conventional cancer treatments. Furthermore, treatment with IDEC-C2B8 can be completed in a matter of weeks rather than over several months, which is typical of chemotherapy.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1995, the Company completed enrollment for a Phase II clinical trial of IDEC-C2B8 in combination with chemotherapy for the treatment of low-grade, B-cell lymphoma. In this trial, patients were given alternating cycles of IDEC-C2B8 and CHOP combination chemotherapy (cyclophosphamide, doxorubicin, vincristine and prednisone), beginning and ending with the antibody. In this ongoing combination therapy trial, all of the patients treated to date have responded (100% overall response rate), while 28 out of 29 patients have ongoing responses ranging from over six to over 22 months. Of the 29 patients completing all scheduled treatments, 19 (66%) have achieved a complete response and 10 (34%) have achieved a partial response. In addition, because IDEC-C2B8's mode of action is separate from that of conventional anti-cancer drugs, the two treatments do not exhibit overlapping toxicities. The addition of IDEC-C2B8 to the conventional chemotherapy regimen is designed to extend both the quality and duration of tumor remissions achievable with chemotherapy alone, without adding significantly to the toxicity of chemotherapy. This trial is being conducted in parallel with ongoing studies of IDEC-C2B8 as a single agent for treatment of lymphoma, and is an additional step in the development of this product to show the possible breadth of applications of antibody therapy for treatment of lymphomas.</w:t>
      </w:r>
    </w:p>
    <w:p>
      <w:pPr>
        <w:sectPr>
          <w:pgSz w:w="11900" w:h="16838" w:orient="portrait"/>
          <w:cols w:equalWidth="0" w:num="1">
            <w:col w:w="10219"/>
          </w:cols>
          <w:pgMar w:left="240" w:top="289" w:right="1440"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these findings, the Company observed, following combination treatment with chemotherapy in six of seven patients, the disappearance from their bone marrow of bcl-2, a chromosomal marker associated with malignant cells, which was present prior to treatment. In the pivotal Phase III trial as reported in May 1996, 28 patients who had completed therapy with IDEC-C2B8 were evaluated for the presence of the bcl-2 tumor marker either in the blood or in the marrow. The blood test showed 12 of 16 patients converting from positive to negative bcl-2 status and the marrow sampling showed six of 12 patients converting. Tracking this marker may provide information on patient outcome, as well as a way to monitor minimal residual disease after therapy. Research has shown that patients treated with conventional chemotherapy alone do not become bcl-2 negative in the bone marrow. In addition, the presence of residual bcl-2 positive cells in reinfused, purged autologous bone marrow appears to correspond to a significantly increased risk of relapse in lymphoma patients undergoing bone marrow transplantation. In future clinical studies, the Company plans to evaluate further the effect of IDEC-C2B8 on this chromosomal marker.</w:t>
      </w:r>
    </w:p>
    <w:p>
      <w:pPr>
        <w:spacing w:after="0" w:line="35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IDEC-Y2B8 and IDEC-In2B8. Due to the sensitivity of B-cell tumors to radiation, radiation therapy has historically played, and continues to play, an important role in the management of B-cell lymphomas. Radiation therapy currently consists of external beam radiation focused on certain areas of the body with tumor burden. IDEC Pharmaceuticals is developing two antibody products which are intended to deliver targeted immunotherapy by means of injectable radiation to target sites expressing the CD20 determinant, such as lymphatic B-cell tumors. In clinical testing, IDEC-In2B8 is first used to image the patient's tumor and to provide information for determining the proper dose of the therapeutic product. The low-energy gamma particle emitted by IDEC-In2B8 is detectable outside the body, thereby allowing an image to be taken. The companion therapeutic product, IDEC-Y2B8, provides targeted radiation therapy by emitting a high-energy beta particle which is absorbed by surrounding tissue, leading to tumor destruction. The Company's objective with these products is to provide safer, more effective radiation therapy than is possible with external beam radiation and to provide this radiation therapy in an outpatient setting.</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IDEC-Y2B8 is an anti-CD20 murine antibody that is radiolabeled with the isotope yttrium-90. This radioisotope is well suited for therapeutic purposes because of its energy, radius of activity and half-life. It emits only beta radiation. Other radioisotopes, such as iodine-131, emit both beta and gamma radiation and at certain therapeutic doses require that the patient be hospitalized and isolated in a lead-shielded room for several days. In contrast, the beta particle emitted by yttrium-90 is absorbed by tissue immediately adjacent to the antibody. The Company believes that this short penetrating radiation will permit the use of the product in outpatient therapy.</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completed a dose-escalating Phase I clinical trial with IDEC-Y2B8 in early 1995. Response rates for this trial from single doses of IDEC-Y2B8 in 14 patients included four complete responses (28%) and five partial responses (36%) for an overall response rate (complete plus partial responses) of 64%. Single doses of IDEC-Y2B8 showed clinical activity comparable to that of intensive, multiple dose, salvage chemotherapy, with response durations exceeding those of the patients' most recent chemotherapy. Starting at low doses (20 milliCuries of yttrium-90), each patient in a group of three was given a measured dose of radiation. As each radiation dose level was shown to be well tolerated, each patient in a subsequent group was given a higher dose (up to 50 milliCuries of yttrium-90). As expected, at higher radiation doses, there was observed destruction of cells in the bone marrow in addition to anti-tumor activity. This adverse side effect was managed through autologous bone marrow transplantation, involving the reconstitution of bone marrow from the patient's own bone marrow cells and/or peripheral blood stem cells which were harvested and, to the extent possible, purged of malignant cells prior to radiation therapy. Three patients over 17 courses of therapy required this type of supportive treatment following radiation therapy with IDEC-Y2B8. During 1996, the Company and Genentech plan to initiate a Phase I/II clinical trial of IDEC-Y2B8 using a kit that simplifies product administration.</w:t>
      </w:r>
    </w:p>
    <w:p>
      <w:pPr>
        <w:spacing w:after="0" w:line="3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AUTOIMMUNE AND INFLAMMATORY PRODUCTS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IDEC Pharmaceuticals is developing a new class of antibodies, termed PRIMATIZED antibodies, that are of part human, part macaque monkey, origin. These antibodies are structurally similar to, and potentially indistinguishable by a patient's immune system from, human antibodies. PRIMATIZED antibodies may</w:t>
      </w:r>
    </w:p>
    <w:p>
      <w:pPr>
        <w:sectPr>
          <w:pgSz w:w="11900" w:h="16838" w:orient="portrait"/>
          <w:cols w:equalWidth="0" w:num="1">
            <w:col w:w="10219"/>
          </w:cols>
          <w:pgMar w:left="240" w:top="289" w:right="1440" w:bottom="1440" w:gutter="0" w:footer="0" w:header="0"/>
        </w:sectPr>
      </w:pP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 therapeutic intervention for diseases or conditions not amenable to chronic treatment with mouse-derived antibodies. The Company's objective with its PRIMATIZED antibodies is to provide therapies that can be used to control autoimmune diseases characterized by overactive immune functions. The Company has entered into research and development collaborations with SmithKline Beecham, Mitsubishi, Seikagaku and Eisai which all utilize the Company's PRIMATIZED technology and which target distinct, cell surface determinants. See "-- Strategic Alliances."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PRIMATIZED IDEC-CE9.1. Through its collaboration with SmithKline Beecham, IDEC Pharmaceuticals is developing therapeutic products for the treatment of autoimmune disease based on PRIMATIZED anti-CD4 antibodies. In order to develop a PRIMATIZED anti-CD4 antibody, Company scientists immunized macaque monkeys with the human CD4 antigen and harvested the resulting antibody-producing immune cells. The gene responsible for the production of the desired anti-CD4 antibody was isolated and used to develop the PRIMATIZED anti-CD4 antibody, IDEC-CE9.1. This antibody consists of a variable region from a macaque monkey and a constant region, that portion responsible for interaction with the immune system, from a human. Upon analysis of the amino acid sequences comprising the IDEC-CE9.1 antibody, its structure was found to be indistinguishable from antibodies normally produced by humans. In addition, IDEC-CE9.1 binds tightly to the CD4 antigen and exhibits desirable immunosuppressive activities. In October 1995, the Company and SmithKline Beecham completed a Phase I/II clinical trial of IDEC-CE9.1. The Phase I/II trial was a multi-dose, dose-escalating study of IDEC-CE9.1 in 40 patients with moderate to severe rheumatoid arthritis. In the study, 20 of the 40 patients treated over all dose groups experienced a reduction of at least 20% in their rheumatoid arthritis symptoms (as measured by the American College of Rheumatology criteria) and 13 of these responders showed improvement of greater than 50%. These results were obtained without infusion-related or serious therapy-related adverse effects, diminution of therapeutic response following repeat administration or prolonged T-cell depletion that others have observed with other anti-CD4 antibodies. SmithKline Beecham is conducting a second, larger Phase II study of IDEC-CE9.1 in patients with rheumatoid arthritis, that is randomized, double-blinded and placebo-controlled; patient treatment in this trial was completed in the first quarter of 1996. In addition, IDEC Pharmaceuticals and SmithKline Beecham have begun expanding their investigation of IDEC-CE9.1 for potential use in the treatment of asthma.</w:t>
      </w:r>
    </w:p>
    <w:p>
      <w:pPr>
        <w:spacing w:after="0" w:line="192" w:lineRule="exact"/>
        <w:rPr>
          <w:sz w:val="20"/>
          <w:szCs w:val="20"/>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PRIMATIZED Anti-B7. In November 1993, the Company entered into a research and development collaboration with Mitsubishi that focuses on the development of PRIMATIZED antibodies directed at a B7 determinant. This B7 determinant appears on the surface of antigen-presenting cells and is involved in the interaction of these cells with T cells in triggering a cascade of immune system responses.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Antibodies directed at B7 determinants may block this cascade and, therefore, may be useful in preventing unwanted immune responses in certain inflammatory and chronic autoimmune conditions. Mitsubishi has actively shared in the development process, generating animal models and participating in research with the Company. This effort has resulted in the identification of a PRIMATIZED antibody lead candidate which will undergo preclinical testing, process development and manufacturing of clinical material during 1996.</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PRIMATIZED Anti-CD23. In December 1994, the Company entered into a collaboration with Seikagaku aimed at the development of PRIMATIZED anti-CD23 antibodies for the potential treatment of allergic rhinitis, asthma and other allergic conditions. Antibodies against the CD23 receptor on certain white blood cells inhibit the production of immune system molecules called immunoglobulin class E, or IgE, which are known to trigger allergic conditions. At the same time, anti-CD23 antibodies do not affect the production of the immunoglobulins (the patient's own antibodies) responsible for granting protective immunity to infectious agents. Thus, PRIMATIZED anti-CD23 antibodies may provide a unique new approach to treating chronic illnesses such as allergic rhinitis and asthma. This effort has resulted in the identification of a PRIMATIZED antibody lead candidate which will undergo preclinical testing, process development and manufacturing of clinical material during 1997.</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Humanized and PRIMATIZED Anti-gp39. In December 1995, the Company entered into a research and development collaborative agreement with Eisai. The collaboration focuses on developing humanized and PRIMATIZED antibodies against the gp39 antigen. This antigen, also referred to as the CD40 ligand, is an essential immune system trigger for B-cell activation and antibody production. Potential target indications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include transplantation and antibody-mediated autoimmune diseases such as idiopathic thrombocytopenic purpura ("ITP") and SLE.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development of a humanized anti-gp39 antibody is based on technology that the Company licensed from Dartmouth University where researchers have shown that the binding of gp39 to its CD40 receptor on B cells is essential for proper immune system function. These researchers generated anti-gp39 antibodies that blocked this T-cell and B-cell interaction and halted disease progression in a variety of animal models of disease characterized by abnormal or unwanted immune response. Moreover, when researchers ended the animals' anti-gp39 treatments, the animals' antibody-producing capacity returned to normal levels, but their disease remained suppressed. Treatment with the anti-gp39 antibodies appeared to have reset the animals' immune systems and restored a normal immune response. Under the collaborative agreement, the Company and Eisai have agreed to develop a humanized anti-gp39 antibody and launch additional efforts to develop a second generation, PRIMATIZED anti-gp39 antibody. This effort has resulted in the identification of a humanized anti-gp39 antibody lead candidate which will undergo preclinical testing, process development and manufacturing of clinical trial material in late 1996 or early 1997.</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PRODUCTS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Company has discovered certain other products through the application of its technology platform.</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Human Anti-RSV Antibodies. The Company has applied its technology to the discovery and generation of fully human antibodies directed against the respiratory syncytial virus ("RSV") which infects the lungs. RSV is responsible for approximately 100,000 hospitalizations in the United States each year. The Company intends to seek a commercial strategic partner with an infectious disease franchise to conduct human clinical studies and to commercialize the anti-RSV antibodies.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PROVAX. The Company has developed a proprietary antigen formulation, PROVAX, that when mixed with soluble antigens, safely induces specific cytotoxic T-lymphocyte ("CTL") responses, as well as strong antibody responses. CTLs are important effectors of the immune response against virally infected or cancerous cells and act by recognizing specific antigen fragments on those cells. The Company announced in December 1995 that it had received a notice of allowance for a United States patent covering methods using PROVAX to induce specific CTL-mediated responses in humans and animals. The Company intends to seek strategic partners for the development of PROVAX as an antigen formulation for therapeutic vaccines.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expenses of the Company were $18.7 million, $21.2 million and $22.5 million in 1993, 1994 and 1995, respectively, and $5.5 million and $5.6 million in the three months ended March 31, 1995 and 1996, respectively. See "-- Strategic Alliances."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ALLIANCES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entered into one or more strategic partnering arrangements for each of its principal product development programs. Through these strategic partners, the Company is funding a significant portion of its product development costs and is capitalizing on the production, development, regulatory, marketing and sales capabilities of its partners. Unless otherwise indicated, the amounts shown below as potential payments include license fees, research and development fees and, with respect to Genentech, SmithKline Beecham and Zenyaku, equity investments, but do not include potential royalties. The Company's entitlement to such payments depends on achieving milestones related to development, clinical trials results and regulatory approvals and other factors. These arrangements include:</w:t>
      </w:r>
    </w:p>
    <w:p>
      <w:pPr>
        <w:spacing w:after="0" w:line="179"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Genentech, Inc. In March 1995, the Company and Genentech entered into a collaborative agreement for the clinical development and commercialization of the Company's anti-CD20 monoclonal antibody, IDEC-C2B8, for the treatment of non-Hodgkin's B-cell lymphomas. In February 1996, the parties extended this collaboration to include two radioconjugates, IDEC-Y2B8 and IDEC-In2B8. Concurrent with the collaborative agreement, the Company and Genentech also entered into an expression technology license agreement for a proprietary gene expression technology developed by the Company and a preferred stock purchase agreement providing for certain equity investments in the Company by Genentech. Under the terms of these agreements, the Company may receive payments totaling $57.0 million, subject to the attainment of certain milestones, of which $19.5 million has been recognized as of March 31, 1996. In addition, the</w:t>
      </w:r>
    </w:p>
    <w:p>
      <w:pPr>
        <w:sectPr>
          <w:pgSz w:w="11900" w:h="16838" w:orient="portrait"/>
          <w:cols w:equalWidth="0" w:num="1">
            <w:col w:w="10219"/>
          </w:cols>
          <w:pgMar w:left="240" w:top="289" w:right="1440" w:bottom="1440" w:gutter="0" w:footer="0" w:header="0"/>
        </w:sectPr>
      </w:pP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 and Genentech will co-promote IDEC-C2B8 in the United States and the Company and Genentech or its sublicensee will co-promote IDEC-C2B8 in Canada, with the Company receiving a share of profits. Genentech will retain commercialization rights throughout the rest of the world, except in Japan where Zenyaku will be responsible for development, marketing and sales. Genentech has granted Hoffmann-La Roche marketing rights outside of the United States. The Company will receive royalties on sales outside the United States and Canada. Additionally, pursuant to an expression technology license agreement, the Company is entitled to receive royalties on sales of Genentech products manufactured using the Company's proprietary gene expression technology. Genentech may terminate this agreement for any reason beginning on the date of availability of data from the first Phase III clinical trial of IDEC-C2B8. In connection with the collaboration, Genentech purchased shares of the Company's convertible preferred stock. The collaborative agreement between the Company and Genentech provides two independent mechanisms by which either party may purchase or sell its rights in the co-promotion territory from/to the other party. Upon the occurrence of certain events that constitute a change of control of the Company, Genentech may elect to present an offer to the Company to purchase the Company's co-promotion rights. The Company must then accept Genentech's offer or purchase Genentech's co-promotion rights for an amount scaled (using the profit sharing ratio between the parties) to Genentech's offer. Under a second mechanism, after a specified period of commercial sales and (i) upon a certain number of years of declining co-promotion profits or (ii) if Genentech files for U.S. regulatory approval on a competitive product during a limited period of time, either party may offer to purchase the other party's co-promotion rights. The offeree may either accept the offer price or purchase the offeror's co-promotion rights at the offer price scaled to the offeror's share of co-promotion profits. See "Principal Shareholders" and "Description of Capital Stock."</w:t>
      </w:r>
    </w:p>
    <w:p>
      <w:pPr>
        <w:spacing w:after="0" w:line="19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SmithKline Beecham, p.l.c. In October 1992, the Company and SmithKline Beecham entered into an exclusive worldwide collaborative research and license agreement limited to the development and commercialization of therapeutic products based on the Company's PRIMATIZED anti-CD4 antibodies. Under the terms of this agreement, the Company may receive payments in excess of $60.0 million, subject to the attainment of certain milestones, of which $28.6 million has been recognized as of March 31, 1996. The Company will receive funding for anti-CD4 related research and development programs, as well as royalties and a share of co-promotion profits in the United States and Canada on sales of products which may be commercialized as a result of the collaboration. At any time, SmithKline Beecham may terminate this agreement by giving the Company 30 days' written notice based on a reasonable determination that the products do not justify continued development or marketing. In connection with the collaboration, SmithKline Beecham purchased shares of Common Stock and warrants exercisable into Common Stock. See "Principal Shareholders."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Mitsubishi Chemical Corporation. In November 1993, the Company entered into a three-year collaborative agreement with Mitsubishi for the development of a PRIMATIZED anti-B7 antibody. The Company and Mitsubishi are currently in discussions with Mitsubishi to extend the term of the agreement; there can be no assurance that such discussions will be successful. Under the terms of the agreement, the Company may receive payments totaling $12.2 million to fund research of the PRIMATIZED anti-B7 antibody, subject to the attainment of certain milestones, of which $5.7 million has been recognized as of March 31, 1996. Under the agreement, the Company has granted Mitsubishi an exclusive license in Asia to make, use and sell PRIMATIZED anti-B7 antibody products. The Company will receive royalties on sales of the developed products by Mitsubishi. At any time, Mitsubishi may terminate this agreement by giving the Company 30 days' written notice based on a reasonable determination that the products do not justify continued development or marketing or based on failure to reach milestones.</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Seikagaku Corporation. In December 1994, the Company and Seikagaku entered into a collaborative development agreement and a license agreement aimed at the development and commercialization of therapeutic products based on the Company's PRIMATIZED anti-CD23 antibodies. Under the terms of these agreements, Seikagaku may provide up to $26.0 million in milestone payments and support for research and development, subject to the attainment of certain milestones, of which $5.4 million has been recognized as of March 31, 1996. Under the agreement, Seikagaku has received exclusive rights in Europe and Asia to all products emerging from the collaboration. The Company will receive royalties on eventual product sales by</w:t>
      </w:r>
    </w:p>
    <w:p>
      <w:pPr>
        <w:sectPr>
          <w:pgSz w:w="11900" w:h="16838" w:orient="portrait"/>
          <w:cols w:equalWidth="0" w:num="1">
            <w:col w:w="10219"/>
          </w:cols>
          <w:pgMar w:left="240" w:top="289" w:right="1440" w:bottom="1440" w:gutter="0" w:footer="0" w:header="0"/>
        </w:sectPr>
      </w:pP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Seikagaku. At any time, Seikagaku may terminate this agreement by giving the Company 60 days' written notice based on a reasonable determination that the products do not justify continued development or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Eisai Co., Ltd. In December 1995, the Company and Eisai entered into a collaborative development agreement and a license agreement aimed at the development and commercialization of humanized and PRIMATIZED anti-gp39 antibodies. Under the terms of these agreements, Eisai may provide up to $37.5 million in milestone payments and support for research and development, subject to the attainment of certain milestones, of which $5.9 million has been recognized as of March 31, 1996. Eisai will receive exclusive rights in Asia and Europe to develop and market resulting products emerging from the collaboration, with the Company receiving royalties on eventual product sales by Eisai. At any time, Eisai may terminate this agreement by giving the Company 60 days' written notice based on a reasonable determination that the products do not justify continued development or marketing.</w:t>
      </w:r>
    </w:p>
    <w:p>
      <w:pPr>
        <w:spacing w:after="0" w:line="180"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Chugai Pharmaceutical Co., Ltd. In March 1996, the Company and Chugai entered into a worldwide license agreement (co-exclusive with IDEC Pharmaceuticals, Genentech and up to two additional companies) for IDEC Pharmaceuticals' proprietary vector technology for high expression of recombinant proteins in mammalian cells. As part of the agreement, Chugai paid an upfront licensing fee of $4.5 million to IDEC Pharmaceuticals, and will pay royalties on sales of Chugai products manufactured using the technology.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From its inception, the Company has focused on establishing and maintaining a leadership position in cell culture techniques for antibody manufacturing. Cell culture provides a method for GMP manufacturing of clinical and commercial grade protein products by reproducible techniques at various scales, up to many kilograms of antibody. The Company's state-of-the-art manufacturing facility is based on the suspension culture of mammalian cells in stainless steel vessels. Suspension culture fermentation provides greater flexibility and more rapid production of the large amounts of antibodies required for pivotal trials than the bench-scale systems that were previously utilized by the Company. During 1995, the Company doubled the cell culture manufacturing capacity of its facility with the installation of a second 2,750-liter production vessel that is supported by existing upstream and downstream equipment. Consequently, the Company believes it may be able to utilize its current facility for the early commercialization of IDEC-C2B8 in the United States prior to relying on additional capacity from a larger manufacturing plant currently under construction by Genentech. Currently, the manufacturing facility is used to produce clinical material for IDEC and to do contract manufacturing for Upjohn &amp; Pharmacia and Oravax. However, commercial sale of product manufactured at the Company's manufacturing facility may occur only after approval of a BLA including facility inspection by the FDA. See "-- Government Regulation." The Company's facility is designed to provide same-site, same-scale manufacture of products for both pivotal trial and commercial uses.</w:t>
      </w:r>
    </w:p>
    <w:p>
      <w:pPr>
        <w:spacing w:after="0" w:line="33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1996, the Company will manufacture IDEC-C2B8, IDEC-Y2B8, IDEC-In2B8 and other product candidates for clinical trials at its manufacturing facility in San Diego, California. The Company anticipates that its facility in San Diego should provide sufficient production capacity to meet clinical and early commercial requirements of IDEC-C2B8. The Company is relying on Genentech to fulfill long-term manufacturing demands for its IDEC-C2B8 product and SmithKline Beecham to fulfill all of the manufacturing requirements for IDEC-CE9.1. The Company is considering the addition of another manufacturing facility to meet its long-term requirements for its future pipeline products.</w:t>
      </w:r>
    </w:p>
    <w:p>
      <w:pPr>
        <w:spacing w:after="0" w:line="178"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Company has developed a method of engineering mammalian cell cultures using a proprietary gene expression technology that rapidly and reproducibly selects for stable cells, producing high levels of desired proteins. This technology allows the efficient production of proteins at yields that may be significantly higher, and costs that may be significantly lower, than current, competing cell culture methods. IDEC Pharmaceuticals has successfully applied this technology to the commercial scale production of IDEC-C2B8.</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Company has made its production technology platform available for licensing to a small number of other biopharmaceutical and pharmaceutical companies. In March 1995, Genentech, one of the premier companies in recombinant DNA-based production, became the first to license the Company's gene expression</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technology for its own product development efforts. This technology has also been licensed to Chugai. Additionally, the Company is applying its gene expression technology on a contract basis to develop specific high-yielding cell lines for firms seeking to shorten product development cycles and reduce production costs. In 1995, the Company established cell line development contracts with Hoffmann-La Roche, Biogen and Pharmacia &amp; Upjohn and manufacturing contracts with OraVax and Pharmacia &amp; Upjohn.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TECHNOLOGY</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biopharmaceutical field is characterized by a large number of patent filings. A substantial number of patents have already been issued to other biotechnology and biopharmaceutical companies. Particularly in the monoclonal antibody field, competitors may have filed applications for or have been issued patents and may obtain additional patents and proprietary rights relating to products or processes competitive with or similar to those of the Company. To date, no consistent policy has emerged regarding the breadth of claims allowed in biopharmaceutical patents. There can be no assurance that patents do not exist in the United States or in foreign countries or that patents will not be issued that would have an adverse effect on the Company's ability to market its products. Accordingly, the Company expects that commercializing monoclonal antibody-based products may require licensing and/or cross-licensing of patents with other companies in the field. There can be no assurance that the licenses, which might be required for the Company's processes or products, would be available on commercially acceptable terms, it at all. The ability to license any such patents and the likelihood of successfully contesting the scope or validity of such patents are uncertain and the costs associated therewith may be significant. If the Company is required to acquire rights to valid and enforceable patents but cannot do so at a reasonable cost, the Company's ability to manufacture or market its products would be materially adversely affected.</w:t>
      </w:r>
    </w:p>
    <w:p>
      <w:pPr>
        <w:spacing w:after="0" w:line="16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IDEC Pharmaceuticals holds one issued and one allowed United States patent, 18 United States patent applications and numerous corresponding foreign patent applications. Certain other patents and/or applications owned by third parties have been exclusively licensed, as in the case of anti-gp39 technology licensed from Dartmouth University, or non-exclusively licensed by IDEC Pharmaceuticals. The Company has filed trademark applications in the United States, Canada and in certain international markets for the trademarks "PRIMATIZED," "PROVAX," "IDEC Pharmaceuticals" and the Company's stylized logo. "IDEC Pharmaceuticals," the logo and "PRIMATIZED" have been registered as trademarks in the United States.</w:t>
      </w:r>
    </w:p>
    <w:p>
      <w:pPr>
        <w:spacing w:after="0" w:line="33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 pending United States patent application and foreign counterparts broadly directed to its pan-B antibody technology, including IDEC-C2B8, and the radioimmunoconjugates, IDEC-Y2B8 and IDEC-In2B8. The Company's radioimmunoconjugate products include a patented chelating agent that is non-exclusively licensed to the Company. The Company has received a notice of intent to grant from the European Patent Office on a patent covering IDEC-C2B8. Genentech, IDEC Pharmaceuticals' collaborative partner for IDEC-C2B8, has recently secured an exclusive license to a United States patent and counterpart foreign patent applications assigned to Xoma Corporation ("XOMA") that relate to chimeric antibodies against the CD20 antigen. Genentech has granted IDEC Pharmaceuticals a sublicense to make, have made, use, and sell certain products, including IDEC-C2B8, under such patents/applications. Genentech and the Company will share certain up-front licensing fees and any royalties due to XOMA in the Genentech/IDEC co-promotion territory.</w:t>
      </w:r>
    </w:p>
    <w:p>
      <w:pPr>
        <w:spacing w:after="0" w:line="3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filed for worldwide patent protection on its PRIMATIZED antibody technology. In March 1996, the Company received a Notice of Allowance for a United States patent application claiming the Company's PRIMATIZED antibodies. These applications generically and specifically cover the Company's PRIMATIZED antibody technology.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PROVAX, the Company's antigen formulation, is the subject matter of an issued United States Patent; foreign counterparts are pending. In addition, United States and foreign patent applications have been filed on aspects of the Company's proprietary high-yield gene expression technology.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Specifically, the Company is aware of several patents and patent applications which may affect the Company's ability to make, use and sell its products, including:</w:t>
      </w:r>
    </w:p>
    <w:p>
      <w:pPr>
        <w:spacing w:after="0" w:line="348" w:lineRule="exact"/>
        <w:rPr>
          <w:sz w:val="20"/>
          <w:szCs w:val="20"/>
          <w:color w:val="auto"/>
        </w:rPr>
      </w:pPr>
    </w:p>
    <w:p>
      <w:pPr>
        <w:ind w:left="440" w:right="3259" w:firstLine="446"/>
        <w:spacing w:after="0"/>
        <w:tabs>
          <w:tab w:leader="none" w:pos="124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applications and foreign counterparts filed by Bristol-Myers that disclose antibodies to a B7 antigen.</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440" w:right="3079" w:firstLine="446"/>
        <w:spacing w:after="0" w:line="242" w:lineRule="auto"/>
        <w:tabs>
          <w:tab w:leader="none" w:pos="133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recently issued United States patent assigned to Columbia University which the Company believes has been exclusively licensed to Biogen, disclosing monoclonal antibodies to the 5C8 antigen found on T cells. The Company believes the 5C8 antigen and gp39, the target for the Company's anti-gp39 antibodies and its collaboration with Eisai, may be the same protein expressed on the surface of T cells.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440" w:right="3159" w:firstLine="446"/>
        <w:spacing w:after="0" w:line="242" w:lineRule="auto"/>
        <w:tabs>
          <w:tab w:leader="none" w:pos="142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European patent issued in January 1996 to Protein Design Labs which discloses methods of making amino acid substitutions in antibody structures and may relate to the Company's "humanized" anti-gp39 antibody being developed in collaboration with Eisai.</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0" w:right="3519" w:firstLine="446"/>
        <w:spacing w:after="0" w:line="241" w:lineRule="auto"/>
        <w:tabs>
          <w:tab w:leader="none" w:pos="133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of issued patents that relate to various aspects of radioimmunotherapy and to methods of treating patients with anti-CD4 antibodies.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owners, or licensees of the owners, of these patents may assert that one or more of the Company's products infringe one or more claims of such patents. If legal action is commenced against the Company to enforce any of these patents and the plaintiff in such action prevails, the Company could be prevented from practicing the subject matter claimed in such patents. In such event or under other appropriate circumstances, the Company may attempt to obtain licenses to such patents. However, no assurance can be given that any owner would license the patents to the Company, at all or on terms that would permit commercialization of the Company's products using such technology. An inability to commercialize such products would have a material adverse effect on the Company's operations and ability to pursue its long-term objectives.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Company is required to enforce any of its patents, such enforcement may require the use of substantial financial and human resources of the Company. The Company may also have to participate in interference proceedings if declared by the United State Patent and Trademark Office to determine priority of invention, which typically take years to resolve and could also result in substantial costs to the Company. Moreover, should the Company need to circumvent existing patents, substantial delays and expense in product redesign and development or significant legal expense and uncertainty in asserting non-infringement, invalidity and/or unenforceability of any patent may also result. The Company also relies upon unpatented trade secrets, and no assurance can be given that others will not independently develop substantially equivalent proprietary information and techniques or otherwise gain access to the Company's trade secrets or disclose such technology, or that the Company can meaningfully protect such rights.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requires its employees, consultants, outside scientific collaborators and sponsored researchers and other advisers to execute confidentiality agreements upon the commencement of employment or consulting relationships with the Company. These agreements provide that all confidential information developed or made known to the individual during the course of the individual's relationship with IDEC Pharmaceuticals is to be kept confidential and not disclosed to third parties except in specific circumstances. In the case of employees of the Company, the agreement provides that all inventions conceived by such employees shall be the exclusive property of the Company. There can be no assurance, however, that these agreements will provide meaningful protection or adequate remedies for the Company's trade secrets in the event of unauthorized use or disclosure of such information.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development of therapeutic agents for human disease is intensely competitive. Many different approaches are being developed or have already been adopted into routine use for the management of diseases targeted by the Company. Competitive approaches to the Company's products include radioimmunotherapies and antibody-drug and antibody-toxin conjugates for cancers, and chemotherapeutic agents and various immunologically based agents for cancers and autoimmune disorders. Ultimately, the Company believes that</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its products will be competitive or complementary to existing products and other products still in development. In some cases, the Company's products may be used along with other agents in "combination therapies."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of the Company's existing or potential competitors have substantially greater financial, technical and human resources than the Company and may be better equipped to develop, manufacture and market products. In addition, many of these companies have extensive experience in preclinical testing and human clinical trials. These companies may develop and introduce products and processes competitive with or superior to those of the Company. The Company is aware that certain other companies are in the process of clinical testing of potentially competitive biotechnology-based products. If approved for the same indications for which the Company is developing products, such products may make it more difficult for the Company to obtain approval of its own products or reduce the potential market shares for the Company's products.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competition will be determined in part by the potential indications for which the Company's antibodies are developed and ultimately approved by regulatory authorities. For certain of the Company's potential products, an important factor in competition may be the timing of market introduction versus that of competitive products. Accordingly, the relative speed with which the Company develops its products, completes the required approval processes and generates and markets commercial product quantities are expected to be important competitive factors. The Company expects that competition among products approved for sale will be based, among other factors, on product activity, safety, reliability, availability, price, patent position and new usage and purchasing patterns established by managed care and other group purchasing organizations.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competitive position also depends upon its ability to attract and retain qualified personnel, obtain patent protection or otherwise develop proprietary products or processes, secure sufficient capital resources to complete product development and regulatory processes, to build a marketing and sales organization, and to build or obtain large-scale manufacturing facilities, if required beyond its facility in San Diego.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testing, manufacturing, labeling, advertising, promotion, export and marketing, among other things, of the Company's proposed products are subject to extensive regulation by governmental authorities in the United States and other countries. In the United States, pharmaceutical products are regulated by the FDA under the Federal Food, Drug, and Cosmetic Act and other laws, including, in the case of biologics, the Public Health Service Act. At the present time, the Company believes that its products will be regulated by the FDA as biologics. Manufacturers of biologics may also be subject to state regulation.</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steps required before a biologic may be approved for marketing in the United States generally include (i) preclinical laboratory tests and animal tests, (ii) the submission to the FDA of an IND for human clinical testing, which must become effective before human clinical trials may commence, (iii) adequate and well-controlled human clinical trials to establish the safety and efficacy of the product, (iv) the submission to the FDA of a PLA and ELA, or in certain circumstances (discussed below) a BLA, (v) FDA review of the PLA and the ELA, or, where applicable, the BLA, and (vi) satisfactory completion of an FDA inspection of the manufacturing facility or facilities at which the product is made to assess compliance with GMP. The testing and approval process requires substantial time, effort, and financial resources and there can be no assurance that any approval will be granted on a timely basis, if at all.</w:t>
      </w:r>
    </w:p>
    <w:p>
      <w:pPr>
        <w:spacing w:after="0" w:line="35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Preclinical tests include laboratory evaluation of the product, as well as animal studies to assess the potential safety and efficacy of the product. The results of the preclinical tests, together with manufacturing information and analytical data, are submitted to the FDA as part of an IND, which must become effective before human clinical trials may be commenced. The IND will automatically become effective 30 days after receipt by the FDA, unless the FDA before that time raises concerns or questions about the conduct of the trials as outlined in the IND. In such a case, the IND sponsor and the FDA must resolve any outstanding concerns before clinical trials can proceed. There can be no assurance that submission of an IND will result in FDA authorization to commence clinical trials.</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Clinical trials involve the administration of the investigational product to healthy volunteers or patients under the supervision of a qualified principal investigator. Further, each clinical study must be reviewed and approved by an independent Institutional Review Board.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Clinical trials typically are conducted in three sequential phases, but the phases may overlap. In Phase I, the initial introduction of the drug into human subjects, the drug is usually tested for safety (adverse effects), dosage tolerance, absorption, metabolism, distribution, excretion and pharmacodynamics. Phase II usually involves studies in a limited patient population to (i) evaluate preliminarily the efficacy of the drug for specific, targeted indications, (ii) determine dosage tolerance and optimal dosage and (iii) identify possible adverse effects and safety risks. Phase III trials generally further evaluate clinical efficacy and test further for safety within an expanded patient population.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the case of products for severe or life-threatening diseases, the initial human testing is sometimes done in patients rather than in healthy volunteers. Since these patients are already afflicted with the target disease, it is possible that such studies may provide evidence of efficacy traditionally obtained in Phase II trials. These trials are frequently referred to as "Phase I/II" trials. There can be no assurance that Phase I, Phase II or Phase III testing will be completed successfully within any specific time period, if at all, with respect to any of the Company's product candidates. Furthermore, the FDA may suspend clinical trials at any time on various grounds, including a finding that the subjects or patients are being exposed to an unacceptable health risk.</w:t>
      </w:r>
    </w:p>
    <w:p>
      <w:pPr>
        <w:spacing w:after="0" w:line="35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results of the preclinical studies and clinical studies, together with detailed information on the manufacture and composition of the product, are submitted to the FDA in the form of a PLA/ELA or BLA requesting approval to market the product. Before approving a PLA/ELA or BLA, the FDA will inspect the facilities at which the product is manufactured, and will not approve the product unless GMP compliance is satisfactory. The FDA may deny a PLA/ELA or BLA if applicable regulatory criteria are not satisfied, require additional testing or information, and/or require postmarketing testing and surveillance to monitor the safety or efficacy of a product. There can be no assurance that FDA approval of any PLA/ELA or BLA submitted by the Company will be granted on a timely basis or at all. Also, if regulatory approval of a product is granted, such approval may entail limitations on the indicated uses for which it may be marketed.</w:t>
      </w:r>
    </w:p>
    <w:p>
      <w:pPr>
        <w:spacing w:after="0" w:line="200" w:lineRule="exact"/>
        <w:rPr>
          <w:sz w:val="20"/>
          <w:szCs w:val="20"/>
          <w:color w:val="auto"/>
        </w:rPr>
      </w:pPr>
    </w:p>
    <w:p>
      <w:pPr>
        <w:spacing w:after="0" w:line="31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May 14, 1996, the FDA adopted a new regulation, effective May 24, 1996, regarding the license application process for certain biological products. Those biological products that fall within the regulation will be reviewed on the basis of a single BLA, rather than a PLA/ELA. The BLA includes the same information as the current PLA, but certain of the data now required as part of the ELA do not have to be submitted or reviewed during the approval process. This new rule is intended, at least in part, to lessen the regulatory burden on manufacturers of certain biologics and accelerate the approval process. The Company believes that its products currently in clinical trials fall within the new regulation as monoclonal antibody products for in-vivo use. There can be no assurance, however, that the FDA will consider the new regulation applicable to any of the Company's products, or that the BLA process, if applicable to the Company's products, will have the intended effect of reducing review times.</w:t>
      </w:r>
    </w:p>
    <w:p>
      <w:pPr>
        <w:spacing w:after="0" w:line="200" w:lineRule="exact"/>
        <w:rPr>
          <w:sz w:val="20"/>
          <w:szCs w:val="20"/>
          <w:color w:val="auto"/>
        </w:rPr>
      </w:pPr>
    </w:p>
    <w:p>
      <w:pPr>
        <w:spacing w:after="0" w:line="32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Additionally, in March 1996, the FDA announced a new policy intended to accelerate the approval process for cancer therapies. Previously, cancer therapies have been approved primarily on the basis of data regarding patient survival rates and/or improved quality of life. Evidence of partial tumor shrinkage, while often part of the data relied on for approval, was considered insufficient by itself to warrant approval of a cancer therapy, except in limited situations. Under the FDA's new policy, which became effective immediately, the FDA has significantly broadened the circumstances in which evidence of partial tumor shrinkage is considered sufficient for approval. This policy is intended to make it easier to study cancer therapies and shorten the total time for marketing approvals.</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general matter, data regarding partial tumor shrinkage can be developed in less time than survival data, and it may therefore be possible under this policy to submit a BLA (or PLA/ELA if necessary) for cancer therapies earlier than had previously been anticipated. There can be no assurance, however, that the FDA's new policy will be deemed to apply to IDEC-C2B8 or any of the Company's other products, or that, if applicable, the policy will, in fact, accelerate the approval process. Moreover, the accelerated approval process does not necessarily increase the likelihood that any of the Company's products will be approved by the FDA.</w:t>
      </w:r>
    </w:p>
    <w:p>
      <w:pPr>
        <w:sectPr>
          <w:pgSz w:w="11900" w:h="16838" w:orient="portrait"/>
          <w:cols w:equalWidth="0" w:num="1">
            <w:col w:w="10219"/>
          </w:cols>
          <w:pgMar w:left="240" w:top="289" w:right="1440" w:bottom="850"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85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Both before and after approval is obtained, violations of regulatory requirements, including the preclinical and clinical testing process, the PLA/ELA or BLA review process, or thereafter (including after approval) may result in various adverse consequences, including the FDA's delay in approving or refusal to approve a product, withdrawal of an approved product from the market, and/or the imposition of criminal penalties against the manufacturer and/or license holder. For example, license holders are required to report certain adverse reactions to the FDA, and to comply with certain requirements concerning advertising and promotional labeling for their products. Also, quality control and manufacturing procedures must continue to conform to GMP regulations after approval, and the FDA periodically inspects manufacturing facilities to assess compliance with GMP. Accordingly, manufacturers must continue to expend time, monies and effort in the area of production and quality control to maintain GMP compliance. In addition, discovery of problems may result in restrictions on a product, manufacturer or license holder, including withdrawal of the product from the market. Also, new government requirements may be established that could delay or prevent regulatory approval of the Company's products under development.</w:t>
      </w:r>
    </w:p>
    <w:p>
      <w:pPr>
        <w:spacing w:after="0" w:line="200" w:lineRule="exact"/>
        <w:rPr>
          <w:sz w:val="20"/>
          <w:szCs w:val="20"/>
          <w:color w:val="auto"/>
        </w:rPr>
      </w:pPr>
    </w:p>
    <w:p>
      <w:pPr>
        <w:spacing w:after="0" w:line="32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will also be subject to a variety of foreign regulations governing clinical trials and sales of its products. Whether or not FDA approval has been obtained, approval of a product by the comparable regulatory authorities of foreign countries must be obtained prior to the commencement of marketing of the product in those countries. The approval process varies from country to country and the time may be longer or shorter than that required for FDA approval. At least initially, the Company intends, to the extent possible, to rely on foreign licensees to obtain regulatory approval for marketing its products in foreign countries.</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Orphan Drug Designation. Under the Orphan Drug Act, the FDA may grant orphan drug designation to drugs intended to treat a "rare disease or condition," which generally is a disease or condition that affects fewer than 200,000 individuals in the United States. Orphan drug designation must be requested before submitting a PLA/ELA or BLA. After the FDA grants orphan drug designation, the generic identity of the therapeutic agent and its potential orphan use are publicly disclosed by the FDA. Orphan drug designation does not convey any advantage in, or shorten the duration of, the regulatory review and approval process. If a product which has an orphan drug designation subsequently receives FDA approval for the indication for which it has such designation, the product is entitled to orphan exclusivity, i.e., the FDA may not approve any other applications to market the same drug for the same indication, except in certain very limited circumstances, for a period of seven years.</w:t>
      </w:r>
    </w:p>
    <w:p>
      <w:pPr>
        <w:spacing w:after="0" w:line="200" w:lineRule="exact"/>
        <w:rPr>
          <w:sz w:val="20"/>
          <w:szCs w:val="20"/>
          <w:color w:val="auto"/>
        </w:rPr>
      </w:pPr>
    </w:p>
    <w:p>
      <w:pPr>
        <w:spacing w:after="0" w:line="31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1994, the Company obtained orphan drug designation for IDEC-C2B8, IDEC-Y2B8, and IDEC-In2B8 from the FDA to treat low-grade B-cell lymphoma. There can be no assurance that any of these compounds will receive orphan exclusivity for the low-grade B-cell lymphoma indication, and it is possible that competitors of the Company could obtain approval, and attendant orphan drug exclusivity, for these same compounds for the low-grade B-cell lymphoma indication, thus precluding the Company from marketing its product(s) for the same indication in the United States. In addition, even if the Company does obtain orphan exclusivity for any of its compounds for low-grade B-cell lymphoma, there can be no assurance that competitors will not receive approval of other, different drugs or biologics for low-grade B-cell lymphoma. Although obtaining FDA approval to market a product with orphan drug exclusivity can be advantageous, there can be no assurance that the scope of protection or the level of marketing exclusivity that is currently afforded by orphan drug designation will remain in effect in the future.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PHARMACEUTICAL PRICING AND REIMBURSEMENT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future revenues and profitability of biopharmaceutical companies as well as the availability of capital may be affected by the continuing efforts of government and third party payors to contain or reduce costs of health care through various means. In the United States, there have been, and the Company expects that there will continue to be, a number of federal and state proposals to implement governmental control on pharmaceutical pricing. While the Company cannot predict whether any such legislative or regulatory proposals will be adopted, the adoption of such proposals could have a material adverse effect on the Company's business, financial condition or prospects. In addition, the Company's ability to commercialize its products successfully will depend in part on the extent which appropriate reimbursement levels for the cost of such products and related treatment are obtained from governmental authorities, private health insurers and</w:t>
      </w:r>
    </w:p>
    <w:p>
      <w:pPr>
        <w:sectPr>
          <w:pgSz w:w="11900" w:h="16838" w:orient="portrait"/>
          <w:cols w:equalWidth="0" w:num="1">
            <w:col w:w="10219"/>
          </w:cols>
          <w:pgMar w:left="240" w:top="289" w:right="1440" w:bottom="85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85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 organizations, such as HMOs. Third party payors are increasingly challenging the prices charged for medical products and services. Also, the trend toward managed health care in the United States and the concurrent growth of organizations such as HMOs, which could control or significantly influence the purchase of health care services and products, as well as legislative proposals to reform health care or reduce government insurance programs may all result in lower prices for the Company's products. The cost containment measures that health care payors and providers are instituting and the effect of any health care reform could adversely affect the Company's ability to sell its products and may have a material adverse effect on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Commercialization of the Company's products is expensive and time-consuming. The Company has adopted a strategy of pursuing collaborative agreements with strategic partners that provide for co-promotion of certain of the Company's products. In the event that the Company elects to participate in co-promotion efforts in the United States or Canada, and in those instances where the Company has retained exclusive marketing rights in specified territories, the Company will need to build a sales and marketing capability in the targeted markets. The Company currently has a limited marketing staff. There can be no assurance that the Company will be able to establish a sales and marketing capability in any or all targeted markets or that it will be successful in gaining market acceptance for its products. To the extent that the Company enters into co-promotion or other licensing arrangements, any revenues received by the Company will be dependent on the efforts of third parties and there can be no assurance that such efforts will be successful.</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Outside of the United States and Canada, the Company has adopted a strategy to pursue collaborative arrangements with established pharmaceutical companies for marketing, distribution and sales of its products. There can be no assurance that any of these companies or their sublicensees will successfully market or distribute the Company's products or that the Company will be able to establish a successful direct sales organization, co-promotion or distribution arrangements.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As of March 31, 1996, the Company employed 185 persons, including 180 full-time and five part-time employees. The Company has 134 employees in research and development, of whom 23 hold Ph.D. or M.D. degrees. In addition, the Company retains 22 independent contractors. None of the Company's employees are represented by a labor union or bound by a collective bargaining agreement. Management believes that its overall relations with its employees are good.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research and development involves the controlled use of hazardous materials, chemicals and various radioactive compounds. Although the Company believes that its safety procedures for handling and disposing of such materials comply with the standards prescribed by state and federal regulations, the risk of accidental contamination or injury from these materials cannot be completely eliminated. In the event of such an accident, the Company could be held liable for any damages that result and any such liability could exceed the resources of the Company. The Company may incur substantial cost to comply with environmental regulations. The Company anticipates no material capital expenditures to be incurred for environmental compliance in fiscal year 1996. In addition, disposal of radioactive materials used by the Company in its research efforts may only be made at approved facilities. Approval of a site in California has been delayed indefinitely. The Company currently stores such radioactive materials on site.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40" w:name="page41"/>
    <w:bookmarkEnd w:id="40"/>
    <w:p>
      <w:pPr>
        <w:ind w:left="268"/>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Certain information about the Company's executive officers and directors as of March 31, 1996 is set forth below:</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20" w:type="dxa"/>
            <w:vAlign w:val="bottom"/>
          </w:tcPr>
          <w:p>
            <w:pPr>
              <w:ind w:left="1240"/>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AGE</w:t>
            </w:r>
          </w:p>
        </w:tc>
        <w:tc>
          <w:tcPr>
            <w:tcW w:w="4380" w:type="dxa"/>
            <w:vAlign w:val="bottom"/>
          </w:tcPr>
          <w:p>
            <w:pPr>
              <w:ind w:left="188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William H. Rastetter, Ph.D.......</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2"/>
        </w:trPr>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Antonio J. Grillo-Lopez, M.D.....</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Medical and Regulatory</w:t>
            </w:r>
          </w:p>
        </w:tc>
      </w:tr>
      <w:tr>
        <w:trPr>
          <w:trHeight w:val="172"/>
        </w:trPr>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Affairs</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Nabil Hanna, Ph.D................</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Research and</w:t>
            </w:r>
          </w:p>
        </w:tc>
      </w:tr>
      <w:tr>
        <w:trPr>
          <w:trHeight w:val="172"/>
        </w:trPr>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Preclinical Development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William R. Rohn..................</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Commercial and</w:t>
            </w:r>
          </w:p>
        </w:tc>
      </w:tr>
      <w:tr>
        <w:trPr>
          <w:trHeight w:val="172"/>
        </w:trPr>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Corporate Development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Christopher J. Burman............</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Manufacturing Sciences</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Connie L. Matsui.................</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Planning and Resource</w:t>
            </w:r>
          </w:p>
        </w:tc>
      </w:tr>
      <w:tr>
        <w:trPr>
          <w:trHeight w:val="172"/>
        </w:trPr>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Development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Phillip M. Schneider.............</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Kenneth J. Woolcott..............</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Secretary, General Counsel and</w:t>
            </w:r>
          </w:p>
        </w:tc>
      </w:tr>
      <w:tr>
        <w:trPr>
          <w:trHeight w:val="172"/>
        </w:trPr>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Licensing Executive</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Brook H. Byers(1)................</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Charles C. Edwards, M.D..........</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John Groom.......................</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Kazuhiro Hashimoto...............</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Peter Barton Hutt................</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Franklin P. Johnson, Jr..........</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John P. McLaughlin...............</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Honorable Lynn Schenk........</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079"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Byers is not standing for re-election at the Company's annual meeting of shareholders to be held May 22, 1996.</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DR. RASTETTER has served as President and Chief Executive Officer of the Company since December 1986 and Chief Financial Officer from 1988 to 1993. Dr. Rastetter has served as a Director of the Company since 1986. From 1984 to 1986, he was Director of Corporate Ventures at Genentech. From 1982 to 1984, Dr. Rastetter served in a scientific capacity at Genentech, directing the Biocatalysis and Chemical Sciences groups. From 1975 to 1982, he held various faculty positions at the Massachusetts Institute of Technology. Dr. Rastetter received his Ph.D. in chemistry from Harvard University in 1975.</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DR. GRILLO-LOPEZ joined the Company as Vice President, Medical and Regulatory Affairs in November 1992 from Du Pont Merck Pharmaceutical Company. In January 1996, he was promoted to Senior Vice President, Medical and Regulatory Affairs. He was employed by Du Pont Merck from 1987 to 1992, where he most recently was Executive Medical Director for International Clinical Research and Development and previously held various clinical and medical director positions at the company. From 1980 to 1987, Dr. Grillo-Lopez was a Vice President in charge of clinical therapeutics and Director of Clinical Oncology Research at Warner Lambert Company's Parke Davis Pharmaceutical Research Division. He trained as a hematologist and oncologist at the University of Puerto Rico School of Medicine, San Juan, where he received his medical degree and subsequently held faculty appointments. He has been an adjunct associate professor in the Department of Medicine (Hematology and Medical Oncology) at the University of Michigan Medical School; was a founder of the Puerto Rico Society of Hematology and the Latin American Society of Hematology; and is a fellow of the International Society of Hematology and the Royal Society of Medicine (London).</w:t>
      </w:r>
    </w:p>
    <w:p>
      <w:pPr>
        <w:spacing w:after="0" w:line="184"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DR. HANNA joined the Company in February 1990 as Vice President, Research and Preclinical Development. In 1993, Dr. Hanna was promoted to Senior Vice President, Research and Preclinical Development. From 1981 to 1990, Dr. Hanna served as Associate Director and then Director of the</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Department of Immunology at a SmithKline Beecham company focusing on autoimmune and chronic inflammatory diseases. From 1978 to 1981, he was a research scientist at the NCI-Frederick Cancer Research Center, where he studied the role of immune system cells in host defenses against cancer. From 1973 to 1978, Dr. Hanna was a lecturer in the Department of Immunology at the Hebrew University Medical School in Israel, where he received his Ph.D. in immunology.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ROHN joined the Company in August 1993 as Senior Vice President, Commercial and Corporate Development. Prior to joining IDEC Pharmaceuticals, Mr. Rohn was employed by Adria Laboratories from 1984, most recently as Senior Vice President of Sales and Marketing with responsibilities for strategic and commercial partnerships as well as all sales and marketing functions in the United States. Prior to Adria, Mr. Rohn held marketing and sales management positions at Abbott Laboratories, Warren-Teed Pharmaceuticals, Miles Laboratories and Mead Johnson Laboratories. Mr. Rohn has a B.A. from Michigan State University.</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MR. BURMAN joined the Company in May 1992 as Vice President, Manufacturing Sciences. He previously served from 1989 to 1992 as Director of Manufacturing Technology at Life Sciences International. From 1985 to 1989, he was t-PA Operations and Technical Services Manager at Genentech, where he was responsible for the start-up of the t-PA manufacturing facility and commercial-scale manufacturing operations. From 1967 to 1985, he held a series of positions at Wellcome Biotech Ltd., culminating in responsibility for worldwide cell culture manufacturing operations. Mr. Burman holds a B.Sc. degree with honors in Applied Biology from the Council for National Academic Awards in the United Kingdom. He also holds graduate qualifications in Industrial Microbiology.</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MS. MATSUI joined the Company in November 1992 as Senior Director, Planning and Resource Development with primary responsibility for strategic planning and human resources. In December 1994, Ms. Matsui was promoted to Vice President, Planning and Resource Development. As a consultant during 1992, Ms. Matsui assisted in the planning and implementation of the Company's unification from sites in Northern and Southern California to its present site in San Diego. From 1977 to 1991, she served in a variety of marketing and general management positions at Wells Fargo Bank including Vice President and Manager responsible for Consumer Retirement Programs and Vice President and Manager in charge of company wide Employee Relations and Communications. Ms. Matsui has a B.A. and an M.B.A. from Stanford University.</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SCHNEIDER joined the Company in February 1987 as Director, Finance and Administration and served as Senior Director, Finance and Administration from 1990 to 1991. In 1991, he became Vice President, Finance and Administration and in 1996 he was appointed Vice President and Chief Financial Officer. From 1984 to 1987, Mr. Schneider served as the Manager of Financial Reporting and as a Senior Analyst for Syntex Laboratories. He earned his C.P.A. while working for KPMG Peat Marwick LLP as a Senior Accountant, received his M.B.A. at the University of Southern California and received a B.S. from University of California, Davis in biochemistry.</w:t>
      </w:r>
    </w:p>
    <w:p>
      <w:pPr>
        <w:spacing w:after="0" w:line="17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MR. WOOLCOTT joined the Company in March 1989 as Intellectual Property Counsel. In 1990, he became Intellectual Property and Licensing Counsel. Mr. Woolcott was promoted to Deputy General Counsel in 1991 and General Counsel in 1992. In 1993, Mr. Woolcott was appointed Secretary of the Company. In 1994, he was promoted to Vice President, Secretary, General Counsel &amp; Licensing Executive. From 1985 to 1987, he served as Patent Counsel and Associate Counsel at Hybritech, Inc. From 1987 to 1989, he was engaged in the private practice of law in Seattle, Washington. Mr. Woolcott earned his J.D. from George Washington University and a B.S. from Pacific Lutheran University in biochemistry.</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BYERS has been a Director of the Company since its founding, has served as Chairman of the Board since April 1986, and was its President and Chief Executive Officer through November 1986. He has been a General Partner since 1977 at Kleiner Perkins Caufield &amp; Byers, an investor in the Company and was the founding president of four life science companies, including Hybritech, Inc. Mr. Byers is a Director of five other publicly traded life sciences companies, Arris Pharmaceuticals, InSite Vision Incorporated, Athena Neurosciences, Inc., Pharmacopeia, Inc. and Ligand Pharmaceuticals Incorporated. Mr. Byers also sits on the Foundation Board of Directors of the University of California at San Francisco, and is a Director of seven</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699"/>
        <w:spacing w:after="0" w:line="274" w:lineRule="auto"/>
        <w:rPr>
          <w:sz w:val="20"/>
          <w:szCs w:val="20"/>
          <w:color w:val="auto"/>
        </w:rPr>
      </w:pPr>
      <w:r>
        <w:rPr>
          <w:rFonts w:ascii="Courier New" w:cs="Courier New" w:eastAsia="Courier New" w:hAnsi="Courier New"/>
          <w:sz w:val="14"/>
          <w:szCs w:val="14"/>
          <w:color w:val="auto"/>
        </w:rPr>
        <w:t>privately held companies. He is a graduate of the Georgia Institute of Technology and holds an M.B.A. from Stanford Graduate School of Business.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DR. EDWARDS is the retired President and Chief Executive Officer of Scripps Institution of Medicine and Science, having joined the Institution in 1991. Dr. Edwards served as the President and Chief Executive Officer of Scripps Clinic and Research Foundation from 1977 to 1991. Previously, Dr. Edwards held a number of positions with private, public and governmental entities including Commissioner of the U. S. Food and Drug Administration and several positions with the American Medical Association. Dr. Edwards is director of three other publicly traded companies, Bergen Brunswig Corporation, Molecular Biosystems, Inc. and Northern Trust of California. He received his B.S., M.D. and Honorary Degree, Doctor of Science from the University of Colorado and received his M.S. of Surgery from the University of Minnesota. Dr. Edwards has served as a Director of the Company since May 1995.</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GROOM has been President, Chief Executive Officer, and a Director of Athena Neurosciences, Inc. since 1987. Mr. Groom also serves as a Director of Ligand Pharmaceuticals Incorporated. From 1960 to 1985, Mr. Groom was employed by Smith Kline &amp; French Laboratories (SK&amp;F), the pharmaceutical division of the former SmithKline Beckman Corporation. He held a number of positions at SK&amp;F, including: President of SK&amp;F International from 1980 to 1985; Vice President, Europe; Managing Director, United Kingdom; Regional Director of Africa, Asia and the Middle East; Managing Director, India; and Managing Director, Pakistan. Mr. Groom has also served as Chairman of the International Section of the Pharmaceutical Manufacturers Association. Mr. Groom is a Fellow of the Association of Certified Accountants (UK) and has served as a Director of the Company since September 1992.</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HASHIMOTO has been, since 1981, Director of Research and Development of Zenyaku, a private pharmaceutical company in Tokyo, Japan, and an investor in the Company. Mr. Hashimoto was promoted to President of Zenyaku in July 1994. He has served on Zenyaku's Board of Directors since 1977 and is a Director of two privately held companies. Mr. Hashimoto has served as a Director of the Company since July 1991.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HUTT, former Chief Counsel of the U. S. Food and Drug Administration, is a Partner of the law firm of Covington &amp; Burling in Washington, D.C., having joined the firm in 1960. Mr. Hutt is a Director of CellGenesys, Inc., Emisphere Technologies, Inc., Sparta Pharmaceuticals, Inc., Vivus, Inc., Parexel International, Inc. and Interneuron Pharmaceuticals, Inc., as well as a Director of one privately held company. Mr. Hutt received his L.L.B. degree from Harvard University, received an L.L.M. degree from New York University and received an A.B. degree from Yale University. He has served as a Director of the Company since March 1991.</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MR. JOHNSON has been a General Partner at AMC Partners 84 since 1984. AMC Partners 84 is the General Partner of Asset Management Associates 1984, an investor in the Company. Mr. Johnson is also a Director of Amgen, Inc., Boole &amp; Babbage, Inc., and Tandem Computers Incorporated, as well as a Director of four privately held companies. He has served as a Director of the Company since 1986.</w:t>
      </w:r>
    </w:p>
    <w:p>
      <w:pPr>
        <w:spacing w:after="0" w:line="163"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MR. MCLAUGHLIN joined Genentech, an investor in and corporate partner of the Company, in 1987 as Vice President of Government Affairs. In February 1989, Mr. McLaughlin was named Vice President, General Counsel and Secretary, and in June 1993 he was named Senior Vice President and Secretary. In December 1995, Mr. McLaughlin was appointed Executive Vice President and Secretary of Genentech. Before joining Genentech, Mr. McLaughlin was a partner in Royer, Shacknai &amp; Mehle, where he represented major pharmaceutical companies and other manufacturers. Previously, Mr. McLaughlin was counsel to the House Energy and Commerce Subcommittee on Health and the Environment. He obtained his B.A. from the University of Notre Dame and his J.D. from the Catholic University of America. Mr. McLaughlin has served as a Director of the Company since May 1995.</w:t>
      </w:r>
    </w:p>
    <w:p>
      <w:pPr>
        <w:spacing w:after="0" w:line="16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MS. SCHENK, currently an attorney, previously served as the United States Congresswoman for the 49th District of the State of California from 1993 to 1995. She previously was an attorney in private practice from 1983 to 1993 and served as the California Secretary of Business, Transportation and Housing from 1980 to 1983. Ms. Schenk is also a Director of Toy Biz, Inc. She received her B.A. in Political Science from the University of California at Los Angeles, earned her J.D. from the University of San Diego and attended the London School of Economics. Ms. Schenk has served as a Director of the Company since May 1995.</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PRINCIPAL SHAREHOLDERS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following table sets forth certain information known to the Company with respect to the beneficial ownership of the Company's Common Stock as of March 31, 1996, by (i) all persons who are beneficial owners of five percent or more of the Company's Common Stock, (ii) each director; (iii) certain executive officers, and (iv) all current directors and executive officers as a group.</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PERCENTAGE OF SHARES</w:t>
            </w:r>
          </w:p>
        </w:tc>
      </w:tr>
      <w:tr>
        <w:trPr>
          <w:trHeight w:val="172"/>
        </w:trPr>
        <w:tc>
          <w:tcPr>
            <w:tcW w:w="5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BENEFICIALLY OWNED(1)</w:t>
            </w:r>
          </w:p>
        </w:tc>
      </w:tr>
      <w:tr>
        <w:trPr>
          <w:trHeight w:val="172"/>
        </w:trPr>
        <w:tc>
          <w:tcPr>
            <w:tcW w:w="56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2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BENEFICIALLY</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BEFORE</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AFTER</w:t>
            </w:r>
          </w:p>
        </w:tc>
      </w:tr>
      <w:tr>
        <w:trPr>
          <w:trHeight w:val="172"/>
        </w:trPr>
        <w:tc>
          <w:tcPr>
            <w:tcW w:w="5620" w:type="dxa"/>
            <w:vAlign w:val="bottom"/>
          </w:tcPr>
          <w:p>
            <w:pPr>
              <w:ind w:left="1060"/>
              <w:spacing w:after="0"/>
              <w:rPr>
                <w:sz w:val="20"/>
                <w:szCs w:val="20"/>
                <w:color w:val="auto"/>
              </w:rPr>
            </w:pPr>
            <w:r>
              <w:rPr>
                <w:rFonts w:ascii="Courier New" w:cs="Courier New" w:eastAsia="Courier New" w:hAnsi="Courier New"/>
                <w:sz w:val="15"/>
                <w:szCs w:val="15"/>
                <w:color w:val="auto"/>
              </w:rPr>
              <w:t>NAME AND ADDRESS OF BENEFICIAL OWNER</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OWNED</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OFFERING</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OFFERING</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SmithKline Beecham p.1.c (2).................................</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2,440,860</w:t>
            </w: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w:t>
            </w: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New Horizons Court</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Brentford, Middlesex TW8 9EP England</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Genentech, Inc. (3)..........................................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1,605,140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9.5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w:t>
            </w: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460 Point San Bruno Boulevard</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South San Francisco, California 94080</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ML/MS Associates, L.P........................................</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6.5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c/o Sprout Group</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3000 Sand Hill Road 4-270</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Building 3, Suite 250</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Menlo Park, California 94025</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Amerindo Investment Advisors Inc.............................</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773,500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5.1</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w:t>
            </w: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One Embarcadero Center, Suite 2300</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San Francisco, California 94111</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Christopher J. Burman (4)....................................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72,407</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Brook H. Byers (5)...........................................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62,383</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Charles C. Edwards, M.D. (6).................................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23,500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Antonio J. Grillo-Lopez, M.D. (7)............................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83,747</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John Groom (8)...............................................</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31,041</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Nabil Hanna, Ph.D. (9).......................................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189,614</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Kazuhiro Hashimoto (10)......................................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681,667</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4.5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Peter Barton Hutt (11).......................................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32,500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Franklin P. Johnson, Jr. (12)................................</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71,737</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John P. McLaughlin (3).......................................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1,605,140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9.5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William H. Rastetter, Ph.D. (13).............................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347,044</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William R. Rohn (14).........................................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86,896</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The Honorable Lynn Schenk (15)...............................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24,500</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(16 persons)</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(3 through 15)(16).........................................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3,497,027</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19.6</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hanging="269"/>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76" w:lineRule="exact"/>
        <w:rPr>
          <w:sz w:val="20"/>
          <w:szCs w:val="20"/>
          <w:color w:val="auto"/>
        </w:rPr>
      </w:pPr>
    </w:p>
    <w:p>
      <w:pPr>
        <w:ind w:left="440" w:right="3079" w:hanging="359"/>
        <w:spacing w:after="0" w:line="242"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of beneficial ownership is calculated assuming 15,271,261 shares of Common Stock were outstanding on March 31, 1996. Beneficial ownership is determined in accordance with the rules of the United States Securities and Exchange Commission and generally includes voting or investment power with respect to securities. Shares of Common Stock subject to options and warrants currently exercisable or exercisable within 60 days after March 31, 1996, as well as Nonvoting Convertible Preferred Stock, are deemed outstanding for computing the percentage of the person holding such options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180" w:lineRule="exact"/>
        <w:rPr>
          <w:rFonts w:ascii="Courier New" w:cs="Courier New" w:eastAsia="Courier New" w:hAnsi="Courier New"/>
          <w:sz w:val="15"/>
          <w:szCs w:val="15"/>
          <w:color w:val="auto"/>
        </w:rPr>
      </w:pPr>
    </w:p>
    <w:p>
      <w:pPr>
        <w:ind w:left="440" w:right="3159" w:hanging="359"/>
        <w:spacing w:after="0" w:line="241"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1,440,860 shares owned by SmithKline Beecham Corporation and warrants to purchase 400,000 shares held by S.R. One Limited ("S.R. One"). SmithKline Beecham Corporation is a wholly-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left="448" w:right="3159"/>
        <w:spacing w:after="0"/>
        <w:rPr>
          <w:sz w:val="20"/>
          <w:szCs w:val="20"/>
          <w:color w:val="auto"/>
        </w:rPr>
      </w:pPr>
      <w:r>
        <w:rPr>
          <w:rFonts w:ascii="Courier New" w:cs="Courier New" w:eastAsia="Courier New" w:hAnsi="Courier New"/>
          <w:sz w:val="15"/>
          <w:szCs w:val="15"/>
          <w:color w:val="auto"/>
        </w:rPr>
        <w:t>owned subsidiary of SmithKline Beecham and S.R. One is the venture capital subsidiary of SmithKline Beecham.</w:t>
      </w:r>
    </w:p>
    <w:p>
      <w:pPr>
        <w:spacing w:after="0" w:line="348" w:lineRule="exact"/>
        <w:rPr>
          <w:sz w:val="20"/>
          <w:szCs w:val="20"/>
          <w:color w:val="auto"/>
        </w:rPr>
      </w:pPr>
    </w:p>
    <w:p>
      <w:pPr>
        <w:ind w:left="448" w:right="3079" w:hanging="359"/>
        <w:spacing w:after="0" w:line="242"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Nonvoting Convertible Preferred Stock convertible into 1,605,140 shares held by Genentech. Mr. McLaughlin, a director of the Company, disclaims beneficial ownership of the Nonvoting Convertible Preferred Stock held by Genentech. Does not include 100,000 shares of Nonvoting Convertible Preferred Stock issued to Genentech in May 1996. See "Description of Capital Stock -- Preferred Stock."</w:t>
      </w:r>
    </w:p>
    <w:p>
      <w:pPr>
        <w:spacing w:after="0" w:line="346"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72,407 shares held by Mr. Burman.</w:t>
      </w:r>
    </w:p>
    <w:p>
      <w:pPr>
        <w:spacing w:after="0" w:line="175" w:lineRule="exact"/>
        <w:rPr>
          <w:rFonts w:ascii="Courier New" w:cs="Courier New" w:eastAsia="Courier New" w:hAnsi="Courier New"/>
          <w:sz w:val="15"/>
          <w:szCs w:val="15"/>
          <w:color w:val="auto"/>
        </w:rPr>
      </w:pPr>
    </w:p>
    <w:p>
      <w:pPr>
        <w:ind w:left="448" w:right="3159" w:hanging="359"/>
        <w:spacing w:after="0" w:line="242"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1,747 shares beneficially owned by Kleiner Perkins Caufield &amp; Byers IV Associates ("KPCB IV Associates"). Mr. Byers is a General Partner of Kleiner Perkins Caufield &amp; Byers, which is the Manager of KPCB IV Associates. Pursuant to a Form 4 dated October 1995 and filed with the United States Securities and Exchange Commission on November 8, 1995, Mr. Byers, a director of the Company, disclaims beneficial ownership of such shares except to the extent of his pecuniary interest arising from his General and Limited Partner interest in KPCB IV Associates. Includes options to purchase 15,000 shares held by Mr. Byers.</w:t>
      </w:r>
    </w:p>
    <w:p>
      <w:pPr>
        <w:spacing w:after="0" w:line="176"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22,500 shares held by Dr. Edwards.</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79,256 shares held by Dr. Grillo-Lopez.</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31,041 shares held by Mr. Groom.</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172,744 shares held by Dr. Hanna.</w:t>
      </w:r>
    </w:p>
    <w:p>
      <w:pPr>
        <w:spacing w:after="0" w:line="175"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666,667 shares held by Zenyaku. Mr. Hashimoto, a director of the Company, disclaims beneficial ownership of such shares. Includes options to purchase 15,000 shares held by Mr. Hashimoto.</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32,500 shares held by Mr. Hutt.</w:t>
      </w:r>
    </w:p>
    <w:p>
      <w:pPr>
        <w:spacing w:after="0" w:line="175"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34,303 shares beneficially owned by Asset Management Partners. Mr. Johnson, a director of the Company, is the sole General Partner of Asset Management Partners. Mr. Johnson disclaims beneficial ownership of such shares except to the extent of his pecuniary interest arising from his general partner interest in Asset Management Partners. Includes options to purchase 15,000 shares held by Mr. Johnson.</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253,263 shares held by Dr. Rastetter.</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77,071 shares held by Mr. Rohn.</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22,500 shares held by Ms. Schenk.</w:t>
      </w:r>
    </w:p>
    <w:p>
      <w:pPr>
        <w:spacing w:after="0" w:line="175" w:lineRule="exact"/>
        <w:rPr>
          <w:rFonts w:ascii="Courier New" w:cs="Courier New" w:eastAsia="Courier New" w:hAnsi="Courier New"/>
          <w:sz w:val="15"/>
          <w:szCs w:val="15"/>
          <w:color w:val="auto"/>
        </w:rPr>
      </w:pPr>
    </w:p>
    <w:p>
      <w:pPr>
        <w:ind w:left="448" w:right="3599"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961,252 shares and Nonvoting Convertible Preferred Stock exercisable into 1,605,140 shares.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authorized capital stock of the Company consists of 50,000,000 shares of Common Stock, no par value ("Common Stock") and 8,000,000 shares of Preferred Stock, no par value ("Preferred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As of March 31, 1996, there were approximately 15,271,261 shares of Common Stock outstanding. See "Capitalization." The stock is held by 508 shareholders of record. There will be 16,771,261 shares of Common Stock outstanding after giving effect to the sale of the shares of Common Stock offered hereby. The holders of Common Stock are entitled to one vote for each share held of record on all matters submitted to a vote of the shareholders. Subject to preferential rights with respect to any outstanding Preferred Stock, holders of Common Stock are entitled to receive ratably such dividends, if any, as may be declared by the Board of Directors out of funds legally available therefor. In the event of a liquidation, dissolution or winding up of the Company, the holders of Common Stock are entitled to share ratably in all assets remaining after payment of liabilities and satisfaction of preemptive rights. The Common Stock has no conversion rights or other subscription rights. There are no redemption or sinking fund provisions applicable to the Common Stock. The outstanding shares of Common Stock are, and the Common Stock to be outstanding upon completion of the offering will be, fully paid and nonassessable.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March 31, 1996, there were 229,889 shares of Preferred Stock outstanding. Pursuant to the Company's Articles of Incorporation, the Board of Directors is authorized to issue up to an aggregate of 8,000,000 shares of Preferred Stock in one or more series and to fix the rights, preferences, privileges and restrictions, including the dividend rights, conversion rights, voting rights, rights and terms of redemption, redemption price or prices, liquidation preferences and the number of shares constituting any series or the designations of such series, without any further vote or action by the shareholders. The issuance of Preferred Stock in certain circumstances may have the effect of delaying, deferring, or preventing a change in control of the Company without further actions of the shareholders. The issuance of Preferred Stock with voting and conversion rights may adversely affect the voting power of the holders of Common Stock, including the loss of voting control to others.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1995, the Company issued 69,375 shares of 10% Series B Nonvoting Cumulative Convertible Preferred Stock ("Series B Preferred Stock") in connection with the repurchase of all ML/MS rights in the Company's lymphoma products. Dividends on the Series B Preferred Stock accrue until March 15, 1997; thereafter, accrued dividends are payable quarterly. No dividends or other distribution will be paid or declared, other than Common Stock dividends in the Company's Common Stock, or on Series A-7 Convertible Preferred Stock which is not yet issued, unless and until accrued dividends on the Series B Preferred Stock have been paid. On March 16, 1997, the Series B Preferred Stock and accrued dividends will automatically be converted into Common Stock. Each share of Series B Preferred Stock is convertible into the number of shares of Common Stock equal to 100 divided by the higher of $3.75 or the average price of the Company's Common Stock as reported by the Nasdaq National Market for the 20 trading days ending on March 1, 1997.</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the Company issued 100,000 shares of its Series A-1 Nonvoting Convertible Preferred Stock ("Series A-1 Preferred Stock") in April 1995, 37,521 shares of its Series A-2 Nonvoting Convertible Preferred Stock ("Series A-2 Preferred Stock") in August 1995 and 22,993 shares of its Series A-3 Nonvoting Convertible Preferred Stock ("Series A-3 Preferred Stock") in March 1996, to Genentech pursuant to the terms of a preferred stock purchase agreement. Each share of Series A-1, A-2 and A-3 Preferred Stock is convertible at any time into 10 shares of Common Stock.</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May 1996, the Company issued 100,000 shares of its Series A-6 Nonvoting Convertible Preferred Stock ("Series A-6 Preferred Stock") to Genentech pursuant to the terms of a preferred stock purchase agreement. Each share of Series A-6 Preferred Stock is convertible into the number of shares of Common Stock equal to 75 divided by the average closing price of the Company's Common Stock as reported by the</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34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Nasdaq National Market for the 20 trading days following the earlier of (i) FDA approval of IDEC-C2B8 or (ii) September 16, 2000.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March 31, 1996, options to purchase 3,147,539 shares of Common Stock and 120,000 shares were outstanding under its 1988 Employee Stock Option Plan and its 1993 Non-Employee Directors Stock Option Plan, respectively, 1,152,041 of which were exercisable in total on that date.</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an investment agreement, the Company issued to S.R. One warrants exercisable into 400,000 shares of Common Stock. Such warrants have a seven-year term and are immediately exercisable at $12 per share. The Company has the right to require that the warrants be automatically exercised under certain conditions and the Company has notified S.R. One that it will require the exercise thereof upon effectiveness of a registration statement covering resale of the underlying shares. In connection with such exercise, S.R. One and SmithKline Beecham have agreed not to sell any of the shares of the Company held by them for a period of 90 days from the date of this offering, except that number of shares held by S.R. One that will equal $4.8 million in proceeds, which shares may be sold by S.R. One at prices equal to or greater than the price to the public in this offering. The Company expects to file the registration statement covering such resales by S.R. One shortly after completing this offering.</w:t>
      </w:r>
    </w:p>
    <w:p>
      <w:pPr>
        <w:spacing w:after="0" w:line="338"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Company also has issued warrants, in connection with lease equipment arrangements, exercisable into 340,000 shares of Common Stock. Such warrants have a six-year term and are immediately exercisable at prices ranging between $2.29 and $6.22 per share. The holders of the warrants have the option to exchange their warrants, without the payment of cash or consideration, for a number of Common Shares equal to the difference between the number of shares resulting by dividing the aggregate exercise price of the warrants by the fair market value of the Common Stock on the date of exercise and the number of shares that would have been otherwise issued under the exercise.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terms of the 1992 Amended and Restated Registration Rights Agreement among the Company and the holders of the securities registrable thereunder (the "1992 Registrable Securities"), if the Company proposes to register any of its securities under the Act, either for its own account or for the account of other security holders exercising registration rights, such holders are entitled to notice of such registration and are entitled to include shares of such Common Stock therein. These rights are subject to certain conditions and limitations, among them the right of the underwriters of an offering subject to the registration to limit the number of shares included in such registration. Following this offering, the holders of approximately 666,667 shares of Common Stock and 400,000 shares of Common Stock issuable upon exercise of outstanding warrants, or their transferees, will be entitled to certain rights with respect to the registration of their 1992 Registrable Securities under the Securities Act. The holders of the 1992 Registrable Securities may also require the Company on not more than two occasions to file a registration statement under the Act at its expense with respect to their shares of Common Stock (and on not more than one occasion to file a registration statement under the Act at its expense with respect to shares issuable upon the exercise of certain warrants), and the Company is required to use its best efforts to effect such registration, subject to certain conditions and limitations. Further, certain of such holders may require the Company to file additional registration statements on Form S-3, subject to certain conditions and limitations. The holders of the 1992 Registrable Securities have waived their registration rights in connection with the offering made hereby.</w:t>
      </w:r>
    </w:p>
    <w:p>
      <w:pPr>
        <w:spacing w:after="0" w:line="3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terms of the 1994 Registration Rights Agreement among the Company and the holders of warrants exercisable into 340,149 shares of Common Stock (the "1994 Registrable Securities"), if the Company proposes to register any of its securities under the Act for its own account, such holders are entitled to notice of such registration and are entitled to include shares of the 1994 Registrable Securities therein. These rights are subject to certain conditions and limitations, among them the right of the underwriters of an</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348"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offering subject to the registration to limit the number of shares included in such registration. The holders of 1994 Registrable Securities have waived their registration rights in connection with the offering made hereby.</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the terms of the 1995 Registration Rights Agreement among the Company, Genentech and ML/MS, if the Company proposes to register any of its securities under the Act, either for its own account or for the account of other security holders exercising registration rights, Genentech is entitled to notice of such registration and is entitled to include 1995 Registrable Securities therein. These rights are subject to certain conditions and limitations, among them the right of the underwriters of an offering subject to the registration to limit the number of shares included in such registration. Genentech has waived its piggyback registration rights in connection with the offering made hereby. Genentech may also require the Company to file a registration statement under the Act at its expense with respect to its 1995 Registrable Securities, and the Company is required to use its best efforts to effect such registration, subject to certain conditions and limitations. Further, after March 15, 1997 ML/MS may require the Company to file a single registration statement on Form S-3, subject to certain conditions and limitations.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transfer agent and registrar for the Company's Common Stock is Wells Fargo Bank, N.A., Los Angeles, California.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terms and subject to the conditions contained in an Underwriting Agreement dated the date hereof, the Underwriters named below have severally agreed to purchase, and the Company has agreed to sell to them, severally, the respective number of shares of Common Stock set forth opposite their respective names of such Underwriters below:</w:t>
      </w:r>
    </w:p>
    <w:p>
      <w:pPr>
        <w:spacing w:after="0" w:line="200" w:lineRule="exact"/>
        <w:rPr>
          <w:sz w:val="20"/>
          <w:szCs w:val="20"/>
          <w:color w:val="auto"/>
        </w:rPr>
      </w:pPr>
    </w:p>
    <w:p>
      <w:pPr>
        <w:spacing w:after="0" w:line="318" w:lineRule="exact"/>
        <w:rPr>
          <w:sz w:val="20"/>
          <w:szCs w:val="20"/>
          <w:color w:val="auto"/>
        </w:rPr>
      </w:pPr>
    </w:p>
    <w:p>
      <w:pPr>
        <w:ind w:left="7140"/>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jc w:val="both"/>
        <w:ind w:left="3480"/>
        <w:spacing w:after="0"/>
        <w:tabs>
          <w:tab w:leader="none" w:pos="72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SHARES</w:t>
      </w:r>
    </w:p>
    <w:p>
      <w:pPr>
        <w:spacing w:after="0" w:line="2" w:lineRule="exact"/>
        <w:rPr>
          <w:sz w:val="20"/>
          <w:szCs w:val="20"/>
          <w:color w:val="auto"/>
        </w:rPr>
      </w:pPr>
    </w:p>
    <w:p>
      <w:pPr>
        <w:ind w:left="3480"/>
        <w:spacing w:after="0"/>
        <w:tabs>
          <w:tab w:leader="none" w:pos="7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Punk, Ziegel &amp; Knoell,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20"/>
        <w:spacing w:after="0"/>
        <w:tabs>
          <w:tab w:leader="none" w:pos="7120" w:val="left"/>
        </w:tabs>
        <w:rPr>
          <w:sz w:val="20"/>
          <w:szCs w:val="20"/>
          <w:color w:val="auto"/>
        </w:rPr>
      </w:pPr>
      <w:r>
        <w:rPr>
          <w:rFonts w:ascii="Courier New" w:cs="Courier New" w:eastAsia="Courier New" w:hAnsi="Courier New"/>
          <w:sz w:val="15"/>
          <w:szCs w:val="15"/>
          <w:color w:val="auto"/>
        </w:rPr>
        <w:t>Total...................................................................</w:t>
        <w:tab/>
        <w:t>1,500,000</w:t>
      </w:r>
    </w:p>
    <w:p>
      <w:pPr>
        <w:spacing w:after="0" w:line="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pay for and accept delivery of the shares of Common Stock offered hereby are subject to the approval of certain legal matters by their counsel, and to certain other conditions. The Underwriters are obligated to take and pay for all of the shares of Common Stock offered hereby (other than those covered by the over-allotment option described below) if any such shares are taken.</w:t>
      </w:r>
    </w:p>
    <w:p>
      <w:pPr>
        <w:spacing w:after="0" w:line="177" w:lineRule="exact"/>
        <w:rPr>
          <w:sz w:val="20"/>
          <w:szCs w:val="20"/>
          <w:color w:val="auto"/>
        </w:rPr>
      </w:pPr>
    </w:p>
    <w:p>
      <w:pPr>
        <w:ind w:right="3339" w:firstLine="447"/>
        <w:spacing w:after="0" w:line="260" w:lineRule="auto"/>
        <w:rPr>
          <w:sz w:val="20"/>
          <w:szCs w:val="20"/>
          <w:color w:val="auto"/>
        </w:rPr>
      </w:pPr>
      <w:r>
        <w:rPr>
          <w:rFonts w:ascii="Courier New" w:cs="Courier New" w:eastAsia="Courier New" w:hAnsi="Courier New"/>
          <w:sz w:val="14"/>
          <w:szCs w:val="14"/>
          <w:color w:val="auto"/>
        </w:rPr>
        <w:t>The Underwriters initially propose to offer part of the shares of Common Stock offered hereby directly to the public at the public offering price set</w:t>
      </w:r>
    </w:p>
    <w:tbl>
      <w:tblPr>
        <w:tblLayout w:type="fixed"/>
        <w:tblInd w:w="0" w:type="dxa"/>
        <w:tblCellMar>
          <w:top w:w="0" w:type="dxa"/>
          <w:left w:w="0" w:type="dxa"/>
          <w:bottom w:w="0" w:type="dxa"/>
          <w:right w:w="0" w:type="dxa"/>
        </w:tblCellMar>
      </w:tblPr>
      <w:tr>
        <w:trPr>
          <w:trHeight w:val="169"/>
        </w:trPr>
        <w:tc>
          <w:tcPr>
            <w:tcW w:w="110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forth on the</w:t>
            </w:r>
          </w:p>
        </w:tc>
        <w:tc>
          <w:tcPr>
            <w:tcW w:w="270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cover page hereof and part to</w:t>
            </w:r>
          </w:p>
        </w:tc>
        <w:tc>
          <w:tcPr>
            <w:tcW w:w="316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certain dealers at a price that</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represents a</w:t>
            </w: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concession not in excess of $</w:t>
            </w:r>
          </w:p>
        </w:tc>
        <w:tc>
          <w:tcPr>
            <w:tcW w:w="8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per share under the public</w:t>
            </w:r>
          </w:p>
        </w:tc>
      </w:tr>
      <w:tr>
        <w:trPr>
          <w:trHeight w:val="172"/>
        </w:trPr>
        <w:tc>
          <w:tcPr>
            <w:tcW w:w="3800" w:type="dxa"/>
            <w:vAlign w:val="bottom"/>
            <w:gridSpan w:val="3"/>
          </w:tcPr>
          <w:p>
            <w:pPr>
              <w:spacing w:after="0"/>
              <w:rPr>
                <w:sz w:val="20"/>
                <w:szCs w:val="20"/>
                <w:color w:val="auto"/>
              </w:rPr>
            </w:pPr>
            <w:r>
              <w:rPr>
                <w:rFonts w:ascii="Courier New" w:cs="Courier New" w:eastAsia="Courier New" w:hAnsi="Courier New"/>
                <w:sz w:val="15"/>
                <w:szCs w:val="15"/>
                <w:color w:val="auto"/>
                <w:w w:val="99"/>
              </w:rPr>
              <w:t>offering price. Any Underwriter may allow,</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and such</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dealers may reallow, a</w:t>
            </w:r>
          </w:p>
        </w:tc>
      </w:tr>
      <w:tr>
        <w:trPr>
          <w:trHeight w:val="172"/>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concession not in excess of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share to</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other Underwriters or to</w:t>
            </w:r>
          </w:p>
        </w:tc>
      </w:tr>
      <w:tr>
        <w:trPr>
          <w:trHeight w:val="172"/>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certain other dealers.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r>
    </w:tbl>
    <w:p>
      <w:pPr>
        <w:spacing w:after="0" w:line="176"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The Company and the Underwriters have agreed to indemnify each other against certain liabilities, including liabilities under the Securities Act.</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granted to the Underwriters an option, exercisable for 30 days from the date of this Prospectus, to purchase up to 225,000 additional shares of Common Stock at the public offering price set forth on the cover page hereof, less underwriting discounts and commission. The Underwriters may exercise such option to purchase solely for the purpose of covering over-allotments, if any, made in connection with the offering of the shares of Common Stock offered hereby. To the extent such option is exercised, each Underwriter will become obligated, subject to certain conditions, to purchase approximately the same percentage of such additional shares of Common Stock as the number set forth next to such Underwriter's name in the preceding table bears to the total number of shares of Common Stock offered by the Underwriters hereby.</w:t>
      </w:r>
    </w:p>
    <w:p>
      <w:pPr>
        <w:spacing w:after="0" w:line="180" w:lineRule="exact"/>
        <w:rPr>
          <w:sz w:val="20"/>
          <w:szCs w:val="20"/>
          <w:color w:val="auto"/>
        </w:rPr>
      </w:pPr>
    </w:p>
    <w:p>
      <w:pPr>
        <w:ind w:right="3519" w:firstLine="447"/>
        <w:spacing w:after="0" w:line="274" w:lineRule="auto"/>
        <w:rPr>
          <w:sz w:val="20"/>
          <w:szCs w:val="20"/>
          <w:color w:val="auto"/>
        </w:rPr>
      </w:pPr>
      <w:r>
        <w:rPr>
          <w:rFonts w:ascii="Courier New" w:cs="Courier New" w:eastAsia="Courier New" w:hAnsi="Courier New"/>
          <w:sz w:val="14"/>
          <w:szCs w:val="14"/>
          <w:color w:val="auto"/>
        </w:rPr>
        <w:t>The Underwriters have informed the Company that they do not intend to confirm sales to accounts over which they exercise discretionary authority.</w:t>
      </w:r>
    </w:p>
    <w:p>
      <w:pPr>
        <w:spacing w:after="0" w:line="32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and its executive officers and directors and certain shareholders of the Company have agreed not to (a)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(b) 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for a 90-day period after the date of this Prospectus, without the prior written consent of Morgan Stanley &amp; Co. Incorporated, except that the Company may, without such consent, grant</w:t>
      </w:r>
    </w:p>
    <w:p>
      <w:pPr>
        <w:sectPr>
          <w:pgSz w:w="11900" w:h="16838" w:orient="portrait"/>
          <w:cols w:equalWidth="0" w:num="1">
            <w:col w:w="10219"/>
          </w:cols>
          <w:pgMar w:left="240" w:top="289" w:right="1440" w:bottom="1440" w:gutter="0" w:footer="0" w:header="0"/>
        </w:sectPr>
      </w:pP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type w:val="continuous"/>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options or issue stock upon the exercise of outstanding stock options, pursuant to the Company's stock option plans, and issue stock upon exercise of the warrants.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Pursuant to regulations promulgated by the Commission, market makers in the Common Stock who are Underwriters or prospective underwriters ("passive market makers") may, subject to certain limitations, make bids for or purchases of shares of Common Stock until the earlier of the time of commencement (the "Commencement Date") of offers or sales of the Common Stock contemplated by this Prospectus or the time at which a stabilizing bid for such shares is made. In general, on and after the date two business days prior to the Commencement Date</w:t>
      </w: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market maker's net daily purchases of the Common Stock may not exceed</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of its average daily trading volume in such stock for the two full consecutive calendar months immediately preceding the filing date of the Registration Statement of which this Prospectus forms a part, (2) such market maker may not effect transactions in, or display bids for, the Common Stock at a price that exceeds the highest bid for the Common Stock by persons who are not passive market makers and (3) bids made by passive market makers must be identified as such.</w:t>
      </w:r>
    </w:p>
    <w:p>
      <w:pPr>
        <w:spacing w:after="0" w:line="175"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jc w:val="both"/>
        <w:ind w:left="8" w:right="3079" w:firstLine="447"/>
        <w:spacing w:after="0" w:line="242" w:lineRule="auto"/>
        <w:rPr>
          <w:sz w:val="20"/>
          <w:szCs w:val="20"/>
          <w:color w:val="auto"/>
        </w:rPr>
      </w:pPr>
      <w:r>
        <w:rPr>
          <w:rFonts w:ascii="Courier New" w:cs="Courier New" w:eastAsia="Courier New" w:hAnsi="Courier New"/>
          <w:sz w:val="15"/>
          <w:szCs w:val="15"/>
          <w:color w:val="auto"/>
        </w:rPr>
        <w:t>Certain legal matters with respect to the validity of the shares of Common Stock offered hereby are being passed upon for the Company by Brobeck, Phleger &amp; Harrison LLP, Palo Alto, California. Certain legal matters are being passed upon for the Underwriters by Gunderson Dettmer Stough Villeneuve Franklin &amp; Hachigian LLP, Palo Alto, California.</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and schedule of IDEC Pharmaceuticals as of December 31, 1994 and 1995, and for each of the years in the three-year period ended December 31, 1995, have been included herein and incorporated by reference herein and in the Registration Statement in reliance upon the reports of KPMG Peat Marwick LLP, independent certified public accountants, appearing elsewhere herein and incorporated by reference herein, and upon the authority of said firm as experts in accounting and auditing.</w:t>
      </w:r>
    </w:p>
    <w:p>
      <w:pPr>
        <w:spacing w:after="0" w:line="175"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Prospectus, which constitutes a part of a Registration Statement on Form S-3 (the "Registration Statement") filed by the Company with the Securities and Exchange Commission (the "Commission") under the Securities Act of 1933, as amended (the "Securities Act"), omits certain of the information set forth in the Registration Statement. Reference is hereby made to the Registration Statement and to the exhibits thereto for further information with respect to the Company and the securities offered hereby. Copies of the Registration Statement and the exhibits thereto are on file at the offices of the Commission and may be obtained upon payment of the prescribed fee or may be examined without charge at the public reference facilities of the Commission described below.</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is subject to the informational requirements of the Exchange Act and in accordance therewith files reports, proxy statements and other information with the Commission. Such reports, proxy statements and other information filed by the Company with the Commission can be inspected and copied at the public reference facilities maintained by the Commission at Judiciary Plaza, 450 Fifth Street, N.W., Room 1024, Washington, D.C. 20549, and the following regional offices of the Commission: New York Regional Office, Seven World Trade Center, 13th Floor, New York, New York 10048; and Chicago Regional Office, Citicorp Center, 500 West Madison Street, Suite 1400, Chicago, Illinois 60661. Copies of such material can also be obtained from the Public Reference Section of the Commission at 450 Fifth Street, N.W., Washington, D.C. 20549, upon payment of prescribed rates. The Company's Common Stock is quoted on the Nasdaq National Market. Reports, proxy statements and other information concerning the Company may be inspected at the National Association of Securities Dealers, Inc. at 1735 K Street, N.W., Washington, D.C. 20006.</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tcPr>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40" w:type="dxa"/>
            <w:vAlign w:val="bottom"/>
          </w:tcPr>
          <w:p>
            <w:pPr>
              <w:spacing w:after="0"/>
              <w:rPr>
                <w:sz w:val="14"/>
                <w:szCs w:val="14"/>
                <w:color w:val="auto"/>
              </w:rPr>
            </w:pPr>
          </w:p>
        </w:tc>
      </w:tr>
      <w:tr>
        <w:trPr>
          <w:trHeight w:val="688"/>
        </w:trPr>
        <w:tc>
          <w:tcPr>
            <w:tcW w:w="77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7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780" w:type="dxa"/>
            <w:vAlign w:val="bottom"/>
          </w:tcPr>
          <w:p>
            <w:pPr>
              <w:spacing w:after="0"/>
              <w:rPr>
                <w:sz w:val="20"/>
                <w:szCs w:val="20"/>
                <w:color w:val="auto"/>
              </w:rPr>
            </w:pPr>
            <w:r>
              <w:rPr>
                <w:rFonts w:ascii="Courier New" w:cs="Courier New" w:eastAsia="Courier New" w:hAnsi="Courier New"/>
                <w:sz w:val="15"/>
                <w:szCs w:val="15"/>
                <w:color w:val="auto"/>
              </w:rPr>
              <w:t>Report of KPMG Peat Marwick LLP.......................................................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778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7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7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7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77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516"/>
        </w:trPr>
        <w:tc>
          <w:tcPr>
            <w:tcW w:w="778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IDEC Pharmaceuticals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IDEC Pharmaceuticals Corporation and subsidiary as of December 31, 1994 and 1995, and the related consolidated statements of operations, shareholders' equity, and cash flows for each of the years in the three-year period ended December 31, 1995.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IDEC Pharmaceuticals Corporation and subsidiary as of December 31, 1994 and 1995, and the results of their operations and their cash flows for each of the years in the three-year period ended December 31, 1995, in conformity with generally accepted accounting principles.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KPMG PEAT MARWICK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 1996</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9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620" w:type="dxa"/>
            <w:vAlign w:val="bottom"/>
          </w:tcPr>
          <w:p>
            <w:pPr>
              <w:spacing w:after="0"/>
              <w:rPr>
                <w:sz w:val="14"/>
                <w:szCs w:val="14"/>
                <w:color w:val="auto"/>
              </w:rPr>
            </w:pPr>
          </w:p>
        </w:tc>
        <w:tc>
          <w:tcPr>
            <w:tcW w:w="10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1994</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1995</w:t>
            </w:r>
          </w:p>
        </w:tc>
        <w:tc>
          <w:tcPr>
            <w:tcW w:w="300" w:type="dxa"/>
            <w:vAlign w:val="bottom"/>
          </w:tcPr>
          <w:p>
            <w:pPr>
              <w:spacing w:after="0"/>
              <w:rPr>
                <w:sz w:val="14"/>
                <w:szCs w:val="14"/>
                <w:color w:val="auto"/>
              </w:rPr>
            </w:pPr>
          </w:p>
        </w:tc>
        <w:tc>
          <w:tcPr>
            <w:tcW w:w="7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6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$ 13,691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$ 18,828</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18,524</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Securities available-for-sale (note 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6,910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5,182</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7,325</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note receivable (note 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640</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Contract research revenue receivables (note 7)..............</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1,455</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2,747</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fees receivable.....................................</w:t>
            </w:r>
          </w:p>
        </w:tc>
        <w:tc>
          <w:tcPr>
            <w:tcW w:w="10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4,500</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0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911</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1,333</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22,637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27,438</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35,601</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Restricted marketable security (note 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equipment, net (notes 3 and 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19,041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17,955</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17,569</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Note receivable, less current portion (note 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1,249</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1,060</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 and other............................................</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$ 45,494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$ 47,626</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55,206</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LIABILITIES AND SHAREHOLDERS' EQUITY</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notes payable (note 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3,676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3,248</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3,392</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payable -- clinical materials.........................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w:t>
            </w:r>
          </w:p>
        </w:tc>
        <w:tc>
          <w:tcPr>
            <w:tcW w:w="300" w:type="dxa"/>
            <w:vAlign w:val="bottom"/>
          </w:tcPr>
          <w:p>
            <w:pPr>
              <w:spacing w:after="0"/>
              <w:rPr>
                <w:sz w:val="14"/>
                <w:szCs w:val="14"/>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970</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4,280</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4,220</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contract research revenue (note 7).................</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2,024</w:t>
            </w:r>
          </w:p>
        </w:tc>
        <w:tc>
          <w:tcPr>
            <w:tcW w:w="9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8,736</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8,126</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Notes payable, less current portion (note 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7,386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6,598</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6,385</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long-term liabilities...................................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1,217</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Shareholders' equity (notes 2 and 8):</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no par value, 8,000 shares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authorized; issued and outstanding: 207 shares at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1995 and 230 share at March 31, 1996, at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liquidation value........................................</w:t>
            </w:r>
          </w:p>
        </w:tc>
        <w:tc>
          <w:tcPr>
            <w:tcW w:w="10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14,086</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19,086</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no par value, 25,000 shares authorized; issued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and outstanding: 13,728 shares and 15,061 shares at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1994 and 1995, respectively, and 15,271</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at March 31, 1996.................................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87,779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93,554</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94,476</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2,379</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2,923</w:t>
            </w:r>
          </w:p>
        </w:tc>
      </w:tr>
      <w:tr>
        <w:trPr>
          <w:trHeight w:val="172"/>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gains (losses) on securities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available-for-sale.......................................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(61,568)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(78,860)</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(77,013)</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27,896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31,169</w:t>
            </w:r>
          </w:p>
        </w:tc>
        <w:tc>
          <w:tcPr>
            <w:tcW w:w="3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39,478</w:t>
            </w:r>
          </w:p>
        </w:tc>
      </w:tr>
      <w:tr>
        <w:trPr>
          <w:trHeight w:val="172"/>
        </w:trPr>
        <w:tc>
          <w:tcPr>
            <w:tcW w:w="5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Commitments (notes 5, 7 and 10)...............................</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$ 45,494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$ 47,626</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55,206</w:t>
            </w:r>
          </w:p>
        </w:tc>
      </w:tr>
      <w:tr>
        <w:trPr>
          <w:trHeight w:val="172"/>
        </w:trPr>
        <w:tc>
          <w:tcPr>
            <w:tcW w:w="56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7"/>
              </w:rPr>
              <w:t>THREE MONTHS ENDED</w:t>
            </w:r>
          </w:p>
        </w:tc>
      </w:tr>
      <w:tr>
        <w:trPr>
          <w:trHeight w:val="17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4"/>
          </w:tcPr>
          <w:p>
            <w:pPr>
              <w:jc w:val="right"/>
              <w:ind w:right="625"/>
              <w:spacing w:after="0"/>
              <w:rPr>
                <w:sz w:val="20"/>
                <w:szCs w:val="20"/>
                <w:color w:val="auto"/>
              </w:rPr>
            </w:pPr>
            <w:r>
              <w:rPr>
                <w:rFonts w:ascii="Courier New" w:cs="Courier New" w:eastAsia="Courier New" w:hAnsi="Courier New"/>
                <w:sz w:val="15"/>
                <w:szCs w:val="15"/>
                <w:color w:val="auto"/>
              </w:rPr>
              <w:t>YEARS ENDED DECEMBER 31,</w:t>
            </w:r>
          </w:p>
        </w:tc>
        <w:tc>
          <w:tcPr>
            <w:tcW w:w="2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62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8"/>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4"/>
                <w:szCs w:val="14"/>
                <w:color w:val="auto"/>
              </w:rPr>
            </w:pPr>
          </w:p>
        </w:tc>
        <w:tc>
          <w:tcPr>
            <w:tcW w:w="8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Revenues (note 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Contract research revenues.........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4,329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$ 12,136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3,347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2,936</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8,385</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11,500</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5,000</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Total revenues (including</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620"/>
              <w:spacing w:after="0"/>
              <w:rPr>
                <w:sz w:val="20"/>
                <w:szCs w:val="20"/>
                <w:color w:val="auto"/>
              </w:rPr>
            </w:pPr>
            <w:r>
              <w:rPr>
                <w:rFonts w:ascii="Courier New" w:cs="Courier New" w:eastAsia="Courier New" w:hAnsi="Courier New"/>
                <w:sz w:val="15"/>
                <w:szCs w:val="15"/>
                <w:color w:val="auto"/>
              </w:rPr>
              <w:t>related party revenues of</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620"/>
              <w:spacing w:after="0"/>
              <w:rPr>
                <w:sz w:val="20"/>
                <w:szCs w:val="20"/>
                <w:color w:val="auto"/>
              </w:rPr>
            </w:pPr>
            <w:r>
              <w:rPr>
                <w:rFonts w:ascii="Courier New" w:cs="Courier New" w:eastAsia="Courier New" w:hAnsi="Courier New"/>
                <w:sz w:val="15"/>
                <w:szCs w:val="15"/>
                <w:color w:val="auto"/>
              </w:rPr>
              <w:t>$8,583 for the year ended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620"/>
              <w:spacing w:after="0"/>
              <w:rPr>
                <w:sz w:val="20"/>
                <w:szCs w:val="20"/>
                <w:color w:val="auto"/>
              </w:rPr>
            </w:pPr>
            <w:r>
              <w:rPr>
                <w:rFonts w:ascii="Courier New" w:cs="Courier New" w:eastAsia="Courier New" w:hAnsi="Courier New"/>
                <w:sz w:val="15"/>
                <w:szCs w:val="15"/>
                <w:color w:val="auto"/>
              </w:rPr>
              <w:t>December 31, 1995 and $4,000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620"/>
              <w:spacing w:after="0"/>
              <w:rPr>
                <w:sz w:val="20"/>
                <w:szCs w:val="20"/>
                <w:color w:val="auto"/>
              </w:rPr>
            </w:pPr>
            <w:r>
              <w:rPr>
                <w:rFonts w:ascii="Courier New" w:cs="Courier New" w:eastAsia="Courier New" w:hAnsi="Courier New"/>
                <w:sz w:val="15"/>
                <w:szCs w:val="15"/>
                <w:color w:val="auto"/>
              </w:rPr>
              <w:t>and $1,523 for the three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620"/>
              <w:spacing w:after="0"/>
              <w:rPr>
                <w:sz w:val="20"/>
                <w:szCs w:val="20"/>
                <w:color w:val="auto"/>
              </w:rPr>
            </w:pPr>
            <w:r>
              <w:rPr>
                <w:rFonts w:ascii="Courier New" w:cs="Courier New" w:eastAsia="Courier New" w:hAnsi="Courier New"/>
                <w:sz w:val="15"/>
                <w:szCs w:val="15"/>
                <w:color w:val="auto"/>
              </w:rPr>
              <w:t>months ended March 31, 1995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and 1996, respectively).......</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12,714</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23,636</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8,347</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9,936</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 7)........................</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18,723</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21,191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22,488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5,538</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5,641</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4,262</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4,768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6,112</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1,655</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1,854</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Acquired technology rights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 8)........................</w:t>
            </w:r>
          </w:p>
        </w:tc>
        <w:tc>
          <w:tcPr>
            <w:tcW w:w="16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11,437</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11,437</w:t>
            </w:r>
          </w:p>
        </w:tc>
        <w:tc>
          <w:tcPr>
            <w:tcW w:w="260" w:type="dxa"/>
            <w:vAlign w:val="bottom"/>
          </w:tcPr>
          <w:p>
            <w:pPr>
              <w:spacing w:after="0"/>
              <w:rPr>
                <w:sz w:val="14"/>
                <w:szCs w:val="14"/>
                <w:color w:val="auto"/>
              </w:rPr>
            </w:pPr>
          </w:p>
        </w:tc>
        <w:tc>
          <w:tcPr>
            <w:tcW w:w="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22,985</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25,959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40,037</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18,630</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7,495</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from operations........</w:t>
            </w:r>
          </w:p>
        </w:tc>
        <w:tc>
          <w:tcPr>
            <w:tcW w:w="1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(10,271)</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(18,516)</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(16,401)</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(10,283)</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2,441</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1,553</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1,387</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(471)</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(2,278)</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(947)</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w:t>
            </w:r>
          </w:p>
        </w:tc>
        <w:tc>
          <w:tcPr>
            <w:tcW w:w="280" w:type="dxa"/>
            <w:vAlign w:val="bottom"/>
          </w:tcPr>
          <w:p>
            <w:pPr>
              <w:spacing w:after="0"/>
              <w:rPr>
                <w:sz w:val="14"/>
                <w:szCs w:val="14"/>
                <w:color w:val="auto"/>
              </w:rPr>
            </w:pPr>
          </w:p>
        </w:tc>
        <w:tc>
          <w:tcPr>
            <w:tcW w:w="88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other income (expense)....</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1,389</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485</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(891)</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(8,882)</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$(18,031)</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$(17,292)</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$(10,424)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1,847</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0.10</w:t>
            </w: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per share...................</w:t>
            </w:r>
          </w:p>
        </w:tc>
        <w:tc>
          <w:tcPr>
            <w:tcW w:w="1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9,265</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10,931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14,650</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13,937</w:t>
            </w:r>
          </w:p>
        </w:tc>
        <w:tc>
          <w:tcPr>
            <w:tcW w:w="26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19,121</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6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CONVERTIBLE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16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PREFERRED STOCK</w:t>
            </w:r>
          </w:p>
        </w:tc>
        <w:tc>
          <w:tcPr>
            <w:tcW w:w="17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ADDITIONAL</w:t>
            </w:r>
          </w:p>
        </w:tc>
        <w:tc>
          <w:tcPr>
            <w:tcW w:w="224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 GAINS</w:t>
            </w:r>
          </w:p>
        </w:tc>
        <w:tc>
          <w:tcPr>
            <w:tcW w:w="1260" w:type="dxa"/>
            <w:vAlign w:val="bottom"/>
          </w:tcPr>
          <w:p>
            <w:pPr>
              <w:spacing w:after="0"/>
              <w:rPr>
                <w:sz w:val="14"/>
                <w:szCs w:val="14"/>
                <w:color w:val="auto"/>
              </w:rPr>
            </w:pPr>
          </w:p>
        </w:tc>
        <w:tc>
          <w:tcPr>
            <w:tcW w:w="164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192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PAID-IN</w:t>
            </w:r>
          </w:p>
        </w:tc>
        <w:tc>
          <w:tcPr>
            <w:tcW w:w="2240" w:type="dxa"/>
            <w:vAlign w:val="bottom"/>
          </w:tcPr>
          <w:p>
            <w:pPr>
              <w:jc w:val="center"/>
              <w:spacing w:after="0"/>
              <w:rPr>
                <w:sz w:val="20"/>
                <w:szCs w:val="20"/>
                <w:color w:val="auto"/>
              </w:rPr>
            </w:pPr>
            <w:r>
              <w:rPr>
                <w:rFonts w:ascii="Courier New" w:cs="Courier New" w:eastAsia="Courier New" w:hAnsi="Courier New"/>
                <w:sz w:val="15"/>
                <w:szCs w:val="15"/>
                <w:color w:val="auto"/>
                <w:w w:val="98"/>
              </w:rPr>
              <w:t>(LOSSES) ON SECURITIES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640" w:type="dxa"/>
            <w:vAlign w:val="bottom"/>
          </w:tcPr>
          <w:p>
            <w:pPr>
              <w:jc w:val="center"/>
              <w:ind w:left="65"/>
              <w:spacing w:after="0"/>
              <w:rPr>
                <w:sz w:val="20"/>
                <w:szCs w:val="20"/>
                <w:color w:val="auto"/>
              </w:rPr>
            </w:pPr>
            <w:r>
              <w:rPr>
                <w:rFonts w:ascii="Courier New" w:cs="Courier New" w:eastAsia="Courier New" w:hAnsi="Courier New"/>
                <w:sz w:val="15"/>
                <w:szCs w:val="15"/>
                <w:color w:val="auto"/>
              </w:rPr>
              <w:t>SHAREHOLDERS'</w:t>
            </w:r>
          </w:p>
        </w:tc>
      </w:tr>
      <w:tr>
        <w:trPr>
          <w:trHeight w:val="172"/>
        </w:trPr>
        <w:tc>
          <w:tcPr>
            <w:tcW w:w="192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CAPITAL</w:t>
            </w:r>
          </w:p>
        </w:tc>
        <w:tc>
          <w:tcPr>
            <w:tcW w:w="2240" w:type="dxa"/>
            <w:vAlign w:val="bottom"/>
          </w:tcPr>
          <w:p>
            <w:pPr>
              <w:jc w:val="center"/>
              <w:spacing w:after="0"/>
              <w:rPr>
                <w:sz w:val="20"/>
                <w:szCs w:val="20"/>
                <w:color w:val="auto"/>
              </w:rPr>
            </w:pPr>
            <w:r>
              <w:rPr>
                <w:rFonts w:ascii="Courier New" w:cs="Courier New" w:eastAsia="Courier New" w:hAnsi="Courier New"/>
                <w:sz w:val="15"/>
                <w:szCs w:val="15"/>
                <w:color w:val="auto"/>
                <w:w w:val="99"/>
              </w:rPr>
              <w:t>AVAILABLE-FOR-SALE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6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19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31, 1992..........</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9,292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$77,343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$1,099</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(34,655)</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43,787</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option plan.......</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employee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68</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warrants....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600</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600</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(8,882)</w:t>
            </w:r>
          </w:p>
        </w:tc>
        <w:tc>
          <w:tcPr>
            <w:tcW w:w="1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(8,882)</w:t>
            </w:r>
          </w:p>
        </w:tc>
      </w:tr>
      <w:tr>
        <w:trPr>
          <w:trHeight w:val="172"/>
        </w:trPr>
        <w:tc>
          <w:tcPr>
            <w:tcW w:w="192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31, 1993..........</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9,425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77,512</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1,699</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(43,537)</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35,674</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option plan.......</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26</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employee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85</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in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offerings.........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10,156</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10,156</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gains (losses) 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available-for-sale.</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(18,031)</w:t>
            </w:r>
          </w:p>
        </w:tc>
        <w:tc>
          <w:tcPr>
            <w:tcW w:w="1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(18,031)</w:t>
            </w:r>
          </w:p>
        </w:tc>
      </w:tr>
      <w:tr>
        <w:trPr>
          <w:trHeight w:val="172"/>
        </w:trPr>
        <w:tc>
          <w:tcPr>
            <w:tcW w:w="192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31, 1994..........</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13,728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87,779</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1,699</w:t>
            </w:r>
          </w:p>
        </w:tc>
        <w:tc>
          <w:tcPr>
            <w:tcW w:w="224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(61,568)</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27,896</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option plans......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697</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697</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employee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256</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series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A-1 and A-2</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convertible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pursuant to terms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of a collaborative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agreement.........</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7,149</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7,149</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and series B</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convertible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to</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acquire technology</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rights............</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6,937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4,500</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11,437</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for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services..........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322</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322</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Amortization of fair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value change in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warrants..........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680</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680</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gains (losses) 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available-for-sale.</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(17,292)</w:t>
            </w:r>
          </w:p>
        </w:tc>
        <w:tc>
          <w:tcPr>
            <w:tcW w:w="1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(17,292)</w:t>
            </w:r>
          </w:p>
        </w:tc>
      </w:tr>
      <w:tr>
        <w:trPr>
          <w:trHeight w:val="172"/>
        </w:trPr>
        <w:tc>
          <w:tcPr>
            <w:tcW w:w="192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31, 1995..........</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207</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14,086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15,061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93,554</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2,379</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(78,860)</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31,169</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option plans......</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352</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352</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stock under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employee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series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A-3 convertible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pursuant to terms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2"/>
        </w:trPr>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of a collaborative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ectPr>
          <w:pgSz w:w="11900" w:h="16838" w:orient="portrait"/>
          <w:cols w:equalWidth="0" w:num="1">
            <w:col w:w="11520"/>
          </w:cols>
          <w:pgMar w:left="240" w:top="289" w:right="1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agreement.........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5,000</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stock for services.</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w:t>
            </w:r>
          </w:p>
        </w:tc>
        <w:tc>
          <w:tcPr>
            <w:tcW w:w="1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Amortization of fair</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value change in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warrants..........</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544</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544</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gains (losses) on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available-for-sale.</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w:t>
            </w:r>
          </w:p>
        </w:tc>
        <w:tc>
          <w:tcPr>
            <w:tcW w:w="2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1,847</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1,847</w:t>
            </w:r>
          </w:p>
        </w:tc>
      </w:tr>
      <w:tr>
        <w:trPr>
          <w:trHeight w:val="172"/>
        </w:trPr>
        <w:tc>
          <w:tcPr>
            <w:tcW w:w="19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1996 (unaudited)..</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$19,086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15,271</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$94,476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$2,923</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  6</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(77,013)</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39,478</w:t>
            </w:r>
          </w:p>
        </w:tc>
      </w:tr>
      <w:tr>
        <w:trPr>
          <w:trHeight w:val="172"/>
        </w:trPr>
        <w:tc>
          <w:tcPr>
            <w:tcW w:w="19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260"/>
          </w:cols>
          <w:pgMar w:left="240" w:top="140" w:right="39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4"/>
          </w:tcPr>
          <w:p>
            <w:pPr>
              <w:jc w:val="right"/>
              <w:ind w:right="385"/>
              <w:spacing w:after="0"/>
              <w:rPr>
                <w:sz w:val="20"/>
                <w:szCs w:val="20"/>
                <w:color w:val="auto"/>
              </w:rPr>
            </w:pPr>
            <w:r>
              <w:rPr>
                <w:rFonts w:ascii="Courier New" w:cs="Courier New" w:eastAsia="Courier New" w:hAnsi="Courier New"/>
                <w:sz w:val="15"/>
                <w:szCs w:val="15"/>
                <w:color w:val="auto"/>
              </w:rPr>
              <w:t>YEARS ENDED DECEMBER 31,</w:t>
            </w:r>
          </w:p>
        </w:tc>
        <w:tc>
          <w:tcPr>
            <w:tcW w:w="220" w:type="dxa"/>
            <w:vAlign w:val="bottom"/>
          </w:tcPr>
          <w:p>
            <w:pPr>
              <w:spacing w:after="0"/>
              <w:rPr>
                <w:sz w:val="14"/>
                <w:szCs w:val="14"/>
                <w:color w:val="auto"/>
              </w:rPr>
            </w:pPr>
          </w:p>
        </w:tc>
        <w:tc>
          <w:tcPr>
            <w:tcW w:w="15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0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9"/>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1993</w:t>
            </w:r>
          </w:p>
        </w:tc>
        <w:tc>
          <w:tcPr>
            <w:tcW w:w="180" w:type="dxa"/>
            <w:vAlign w:val="bottom"/>
          </w:tcPr>
          <w:p>
            <w:pPr>
              <w:spacing w:after="0"/>
              <w:rPr>
                <w:sz w:val="14"/>
                <w:szCs w:val="14"/>
                <w:color w:val="auto"/>
              </w:rPr>
            </w:pPr>
          </w:p>
        </w:tc>
        <w:tc>
          <w:tcPr>
            <w:tcW w:w="8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1994</w:t>
            </w: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1995</w:t>
            </w:r>
          </w:p>
        </w:tc>
        <w:tc>
          <w:tcPr>
            <w:tcW w:w="8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50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(8,882)</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$(18,031)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$(17,292)</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$(10,424)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$ 1,847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(loss) to net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cash provided by (used in) operating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2,401</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644</w:t>
            </w: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premiums on marketable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Payments on note receivable........................</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495</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w:t>
            </w: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discount on trade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 -- clinical materials....................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Gains (losses) on sales of marketable securities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securities available-for-sale................</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technology rights.........................</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11,437</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11,437</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 common stock for services..............</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w:t>
            </w: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fair value change in common stock</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680</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544</w:t>
            </w: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Change in assets and liabilities: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1,913</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fees receivable..........................</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deposits and other assets......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(713)</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(864)</w:t>
            </w:r>
          </w:p>
        </w:tc>
      </w:tr>
      <w:tr>
        <w:trPr>
          <w:trHeight w:val="172"/>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Accounts payable, accrued expenses and 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1,819</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2,643</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payable -- clinical materials..............</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unification costs........................</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(2,246)</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contract research revenue...............</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1,315</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(2,024)</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Net cash provided by (used in) operating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(4,466)</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(19,137)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(2,589)</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(3,394)</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(17,523)</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(1,315)</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Purchase of marketable securities and securities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available-for-sale.................................</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(34,116)</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(8,218)</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(5,977)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Sales and maturities of marketable securities and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securities available-for-sale......................</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55,873</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14,962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10,715</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3,830</w:t>
            </w:r>
          </w:p>
        </w:tc>
      </w:tr>
      <w:tr>
        <w:trPr>
          <w:trHeight w:val="172"/>
        </w:trPr>
        <w:tc>
          <w:tcPr>
            <w:tcW w:w="50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Net cash provided by (used in) investing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4,234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6,792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1,182</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notes payable..........................</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Payments on notes payable............................</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(4,058)</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common stock, net..........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10,267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953</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convertible preferred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net.........................................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7,149</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w:t>
            </w:r>
          </w:p>
        </w:tc>
        <w:tc>
          <w:tcPr>
            <w:tcW w:w="180" w:type="dxa"/>
            <w:vAlign w:val="bottom"/>
          </w:tcPr>
          <w:p>
            <w:pPr>
              <w:spacing w:after="0"/>
              <w:rPr>
                <w:sz w:val="14"/>
                <w:szCs w:val="14"/>
                <w:color w:val="auto"/>
              </w:rPr>
            </w:pPr>
          </w:p>
        </w:tc>
        <w:tc>
          <w:tcPr>
            <w:tcW w:w="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0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16,367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6,544</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5,495</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5,013</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5,137</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9,669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13,691</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13,691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18,828</w:t>
            </w:r>
          </w:p>
        </w:tc>
      </w:tr>
      <w:tr>
        <w:trPr>
          <w:trHeight w:val="172"/>
        </w:trPr>
        <w:tc>
          <w:tcPr>
            <w:tcW w:w="50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9,669</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$ 13,691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$ 18,828</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$ 11,513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$18,524</w:t>
            </w:r>
          </w:p>
        </w:tc>
      </w:tr>
      <w:tr>
        <w:trPr>
          <w:trHeight w:val="172"/>
        </w:trPr>
        <w:tc>
          <w:tcPr>
            <w:tcW w:w="50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paid during the period for 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1,518</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408</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6" w:lineRule="exact"/>
        <w:rPr>
          <w:sz w:val="20"/>
          <w:szCs w:val="20"/>
          <w:color w:val="auto"/>
        </w:rPr>
      </w:pPr>
    </w:p>
    <w:p>
      <w:pPr>
        <w:jc w:val="center"/>
        <w:ind w:right="3099"/>
        <w:spacing w:after="0" w:line="241" w:lineRule="auto"/>
        <w:rPr>
          <w:sz w:val="20"/>
          <w:szCs w:val="20"/>
          <w:color w:val="auto"/>
        </w:rPr>
      </w:pPr>
      <w:r>
        <w:rPr>
          <w:rFonts w:ascii="Courier New" w:cs="Courier New" w:eastAsia="Courier New" w:hAnsi="Courier New"/>
          <w:sz w:val="15"/>
          <w:szCs w:val="15"/>
          <w:color w:val="auto"/>
        </w:rPr>
        <w:t>NOTES TO CONSOLIDATED FINANCIAL STATEMENTS (THE FINANCIAL INFORMATION AS OF MARCH 31, 1996 AND FOR THE THREE MONTHS ENDED MARCH 31, 1995 AND 1996 IS UNAUDITED)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ORGANIZATION AND SUMMARY OF SIGNIFICANT ACCOUNTING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Organization and Business: IDEC Pharmaceuticals Corporation (the "Company") was incorporated on July 19, 1985, under the laws of the State of California to engage in the research and development of targeted immunotherapies for cancer and autoimmune diseases.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financial statements of IDEC Pharmaceuticals Corporation and its wholly owned subsidiary IDEC Seiyaku. All significant intercompany balances and transactions have been eliminated in consolidation.</w:t>
      </w:r>
    </w:p>
    <w:p>
      <w:pPr>
        <w:spacing w:after="0" w:line="175" w:lineRule="exact"/>
        <w:rPr>
          <w:sz w:val="20"/>
          <w:szCs w:val="20"/>
          <w:color w:val="auto"/>
        </w:rPr>
      </w:pPr>
    </w:p>
    <w:p>
      <w:pPr>
        <w:ind w:right="3699" w:firstLine="447"/>
        <w:spacing w:after="0" w:line="242" w:lineRule="auto"/>
        <w:rPr>
          <w:sz w:val="20"/>
          <w:szCs w:val="20"/>
          <w:color w:val="auto"/>
        </w:rPr>
      </w:pPr>
      <w:r>
        <w:rPr>
          <w:rFonts w:ascii="Courier New" w:cs="Courier New" w:eastAsia="Courier New" w:hAnsi="Courier New"/>
          <w:sz w:val="15"/>
          <w:szCs w:val="15"/>
          <w:color w:val="auto"/>
        </w:rPr>
        <w:t>Cash and Cash Equivalents: For the purposes of financial statement presentation, the Company considers all highly liquid investments in debt securities with original maturities of three months or less to be cash equivalents.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Securities Available-for-Sale: Securities available-for-sale are carried at fair value, with unrealized gains and losses, net of tax, reported as a separate component of shareholders' equity. The cost of securities sold is based on the specific identification method.</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Inventories: Inventories are stated at the lower of cost or market. Cost is determined in a manner which approximates the first-in, first-out (FIFO) method. Inventories consist of work-in process at March 31, 1996.</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Property and Equipment: Property and equipment are stated at cost. Depreciation on property and equipment is calculated using the straight-line method over the estimated useful lives of the assets, generally ranging from three to seven years. Leasehold improvements are amortized straight-line over the shorter of the lease term or estimated useful life of the asset.</w:t>
      </w:r>
    </w:p>
    <w:p>
      <w:pPr>
        <w:spacing w:after="0" w:line="175"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Fair Value of Financial Instruments: Statement of Financial Accounting Standards No. 107, "Disclosures About Fair Value of Financial Instruments," requires that fair values be disclosed for most of the Company's financial instruments. The carrying amount of cash, cash equivalents and securities available-for-sale, note receivable, contract research revenue receivables, accounts payable, accrued expenses, trade payable -- clinical materials and notes payable are considered to be representative of their respective fair values.</w:t>
      </w:r>
    </w:p>
    <w:p>
      <w:pPr>
        <w:spacing w:after="0" w:line="177"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Research and Development Costs: All research and development costs are expensed in the period incurred. Clinical grant costs are fully accrued upon patient enrollment.</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Contract Research Revenues and License Fees: Contract research revenues are recognized at the time research and development activities are performed under the terms of the research contracts. Contract payments received in excess of amounts earned are classified as deferred contract research revenue. Contract research revenue earned in excess of contract payments received is classified as contract research revenue receivables. License fees include milestone payments and non-refundable fees from the sale of product rights under agreements with third parties. Revenues from milestone payments are recognized when the results or events stipulated in the agreement have been achieved.</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Taxes: Income taxes are accounted for under the asset and liability method where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Net Income (Loss) Per Share: Net income per share is computed in accordance with the treasury stock method. Net income per share is based upon the weighted average number of common shares and dilutive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common stock equivalents during the period in which they are outstanding. Common stock equivalents include outstanding stock options under the Company's stock option plans, outstanding warrants to purchase the Company's common stock and outstanding convertible preferred stock convertible into shares of the Company's common stock. Dual presentation of primary and fully diluted net income per share is not shown on the face of the statements of operations because the differences are insignificant. Computations of net loss per share use the weighted average number of common shares outstanding. Common equivalent shares from common stock options, warrants and convertible preferred stock are excluded from the computations as their effect is anti-dilutive.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Use of Estimates: Management of the Company has made a number of estimates and assumptions relating to the reporting of assets and liabilities and the disclosure of contingent liabilities to prepare these consolidated financial statements in conformity with generally accepted accounting principles. Actual results could differ from these estimates.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Unaudited Financial Information: The financial information as of March 31, 1996 and for the three months ended March 31, 1995 and 1996 is unaudited. In the opinion of management, such information includes all adjustments, consisting of normal recurring adjustments, necessary for the fair presentation of results for the interim periods presented. Interim results are not necessarily indicative of results for a full year.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Accounting Standards: Effective January 1, 1996, the Company adopted Financial Accounting Standards Board Statement No. 123, "Accounting for Stock-Based Compensation" ("Statement No. 123"), which does not have a material effect on the Company's consolidated financial statements. Statement No. 123 allows companies to expand the use of fair value accounting for stock compensation plans or requires companies that elect to retain the current approach for recognizing stock-based compensation expense to make annual pro forma disclosures of the Company's operating results as if they had adopted the fair value method. Management of the Company has retained the current approach for recognizing stock-based compensation will provide pro forma disclosures in the notes to the annual 1996 consolidated financial statements.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January 1, 1996, the Company adopted Financial Accounting Standards Board Statement No. 121, "Accounting for the Impairment of Long-Lived Assets and for Long-Lived Assets to be Disposed Of" ("Statement No. 121"). Statement No. 121 requires losses from impairment to be recorded on long-lived assets used in operations when indicators of impairment are present and the undiscounted cash flows estimated to be generated by those assets are less than the assets' carrying amount. The adoption of Statement No. 121 did not have a material effect on the Company's consolidated financial statements for the three months ended March 31, 1996.</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SECURITIES AVAILABLE-FOR-SALE</w:t>
      </w:r>
    </w:p>
    <w:p>
      <w:pPr>
        <w:spacing w:after="0" w:line="176"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Securities available-for-sale consist of the following (tables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DECEMBER 31, 1994</w:t>
            </w:r>
          </w:p>
        </w:tc>
        <w:tc>
          <w:tcPr>
            <w:tcW w:w="760" w:type="dxa"/>
            <w:vAlign w:val="bottom"/>
          </w:tcPr>
          <w:p>
            <w:pPr>
              <w:spacing w:after="0"/>
              <w:rPr>
                <w:sz w:val="14"/>
                <w:szCs w:val="14"/>
                <w:color w:val="auto"/>
              </w:rPr>
            </w:pPr>
          </w:p>
        </w:tc>
      </w:tr>
      <w:tr>
        <w:trPr>
          <w:trHeight w:val="172"/>
        </w:trPr>
        <w:tc>
          <w:tcPr>
            <w:tcW w:w="386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GROSS</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GROSS</w:t>
            </w:r>
          </w:p>
        </w:tc>
        <w:tc>
          <w:tcPr>
            <w:tcW w:w="760" w:type="dxa"/>
            <w:vAlign w:val="bottom"/>
          </w:tcPr>
          <w:p>
            <w:pPr>
              <w:spacing w:after="0"/>
              <w:rPr>
                <w:sz w:val="14"/>
                <w:szCs w:val="14"/>
                <w:color w:val="auto"/>
              </w:rPr>
            </w:pPr>
          </w:p>
        </w:tc>
      </w:tr>
      <w:tr>
        <w:trPr>
          <w:trHeight w:val="172"/>
        </w:trPr>
        <w:tc>
          <w:tcPr>
            <w:tcW w:w="3860" w:type="dxa"/>
            <w:vAlign w:val="bottom"/>
          </w:tcPr>
          <w:p>
            <w:pPr>
              <w:spacing w:after="0"/>
              <w:rPr>
                <w:sz w:val="14"/>
                <w:szCs w:val="14"/>
                <w:color w:val="auto"/>
              </w:rPr>
            </w:pP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AMORTIZED</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MARKET</w:t>
            </w:r>
          </w:p>
        </w:tc>
      </w:tr>
      <w:tr>
        <w:trPr>
          <w:trHeight w:val="172"/>
        </w:trPr>
        <w:tc>
          <w:tcPr>
            <w:tcW w:w="3860" w:type="dxa"/>
            <w:vAlign w:val="bottom"/>
          </w:tcPr>
          <w:p>
            <w:pPr>
              <w:spacing w:after="0"/>
              <w:rPr>
                <w:sz w:val="14"/>
                <w:szCs w:val="14"/>
                <w:color w:val="auto"/>
              </w:rPr>
            </w:pP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COSTS</w:t>
            </w:r>
          </w:p>
        </w:tc>
        <w:tc>
          <w:tcPr>
            <w:tcW w:w="1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GAINS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860" w:type="dxa"/>
            <w:vAlign w:val="bottom"/>
          </w:tcPr>
          <w:p>
            <w:pPr>
              <w:spacing w:after="0"/>
              <w:rPr>
                <w:sz w:val="14"/>
                <w:szCs w:val="14"/>
                <w:color w:val="auto"/>
              </w:rPr>
            </w:pP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Corporate securities......................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$2,998</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Certificate of deposit....................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w:t>
            </w:r>
          </w:p>
        </w:tc>
        <w:tc>
          <w:tcPr>
            <w:tcW w:w="620" w:type="dxa"/>
            <w:vAlign w:val="bottom"/>
          </w:tcPr>
          <w:p>
            <w:pPr>
              <w:spacing w:after="0"/>
              <w:rPr>
                <w:sz w:val="14"/>
                <w:szCs w:val="14"/>
                <w:color w:val="auto"/>
              </w:rPr>
            </w:pPr>
          </w:p>
        </w:tc>
        <w:tc>
          <w:tcPr>
            <w:tcW w:w="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U.S. government agencies..................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3,850</w:t>
            </w:r>
          </w:p>
        </w:tc>
        <w:tc>
          <w:tcPr>
            <w:tcW w:w="620" w:type="dxa"/>
            <w:vAlign w:val="bottom"/>
          </w:tcPr>
          <w:p>
            <w:pPr>
              <w:spacing w:after="0"/>
              <w:rPr>
                <w:sz w:val="14"/>
                <w:szCs w:val="14"/>
                <w:color w:val="auto"/>
              </w:rPr>
            </w:pPr>
          </w:p>
        </w:tc>
        <w:tc>
          <w:tcPr>
            <w:tcW w:w="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3,837</w:t>
            </w:r>
          </w:p>
        </w:tc>
      </w:tr>
      <w:tr>
        <w:trPr>
          <w:trHeight w:val="172"/>
        </w:trPr>
        <w:tc>
          <w:tcPr>
            <w:tcW w:w="3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$ 6,924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$6,910</w:t>
            </w:r>
          </w:p>
        </w:tc>
      </w:tr>
      <w:tr>
        <w:trPr>
          <w:trHeight w:val="172"/>
        </w:trPr>
        <w:tc>
          <w:tcPr>
            <w:tcW w:w="3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19"/>
          </w:cols>
          <w:pgMar w:left="240" w:top="289"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7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50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 FINANCIAL INFORMATION AS OF MARCH 31, 1996 AND FOR THE THREE MONTHS</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60" w:type="dxa"/>
            <w:vAlign w:val="bottom"/>
            <w:gridSpan w:val="3"/>
          </w:tcPr>
          <w:p>
            <w:pPr>
              <w:ind w:left="1260"/>
              <w:spacing w:after="0"/>
              <w:rPr>
                <w:sz w:val="20"/>
                <w:szCs w:val="20"/>
                <w:color w:val="auto"/>
              </w:rPr>
            </w:pPr>
            <w:r>
              <w:rPr>
                <w:rFonts w:ascii="Courier New" w:cs="Courier New" w:eastAsia="Courier New" w:hAnsi="Courier New"/>
                <w:sz w:val="15"/>
                <w:szCs w:val="15"/>
                <w:color w:val="auto"/>
              </w:rPr>
              <w:t>ENDED MARCH 31, 1995 AND 1996 IS UNAUDITED)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DECEMBER 31, 1995</w:t>
            </w:r>
          </w:p>
        </w:tc>
        <w:tc>
          <w:tcPr>
            <w:tcW w:w="760" w:type="dxa"/>
            <w:vAlign w:val="bottom"/>
          </w:tcPr>
          <w:p>
            <w:pPr>
              <w:spacing w:after="0"/>
              <w:rPr>
                <w:sz w:val="24"/>
                <w:szCs w:val="24"/>
                <w:color w:val="auto"/>
              </w:rPr>
            </w:pPr>
          </w:p>
        </w:tc>
      </w:tr>
      <w:tr>
        <w:trPr>
          <w:trHeight w:val="172"/>
        </w:trPr>
        <w:tc>
          <w:tcPr>
            <w:tcW w:w="386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GROSS</w:t>
            </w:r>
          </w:p>
        </w:tc>
        <w:tc>
          <w:tcPr>
            <w:tcW w:w="760" w:type="dxa"/>
            <w:vAlign w:val="bottom"/>
          </w:tcPr>
          <w:p>
            <w:pPr>
              <w:spacing w:after="0"/>
              <w:rPr>
                <w:sz w:val="14"/>
                <w:szCs w:val="14"/>
                <w:color w:val="auto"/>
              </w:rPr>
            </w:pP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AMORTIZED</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UNREALIZED</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MARKET</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COSTS</w:t>
            </w:r>
          </w:p>
        </w:tc>
        <w:tc>
          <w:tcPr>
            <w:tcW w:w="17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LOSSES</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Corporate securities......................</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$ 2,828</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$2,829</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U.S. government agencies..................</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2,344</w:t>
            </w:r>
          </w:p>
        </w:tc>
        <w:tc>
          <w:tcPr>
            <w:tcW w:w="800" w:type="dxa"/>
            <w:vAlign w:val="bottom"/>
          </w:tcPr>
          <w:p>
            <w:pPr>
              <w:spacing w:after="0"/>
              <w:rPr>
                <w:sz w:val="14"/>
                <w:szCs w:val="14"/>
                <w:color w:val="auto"/>
              </w:rPr>
            </w:pPr>
          </w:p>
        </w:tc>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2,353</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$ 5,172</w:t>
            </w:r>
          </w:p>
        </w:tc>
        <w:tc>
          <w:tcPr>
            <w:tcW w:w="17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$5,182</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MARCH 31, 1996</w:t>
            </w:r>
          </w:p>
        </w:tc>
        <w:tc>
          <w:tcPr>
            <w:tcW w:w="760" w:type="dxa"/>
            <w:vAlign w:val="bottom"/>
          </w:tcPr>
          <w:p>
            <w:pPr>
              <w:spacing w:after="0"/>
              <w:rPr>
                <w:sz w:val="24"/>
                <w:szCs w:val="24"/>
                <w:color w:val="auto"/>
              </w:rPr>
            </w:pPr>
          </w:p>
        </w:tc>
      </w:tr>
      <w:tr>
        <w:trPr>
          <w:trHeight w:val="172"/>
        </w:trPr>
        <w:tc>
          <w:tcPr>
            <w:tcW w:w="386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GROSS</w:t>
            </w:r>
          </w:p>
        </w:tc>
        <w:tc>
          <w:tcPr>
            <w:tcW w:w="760" w:type="dxa"/>
            <w:vAlign w:val="bottom"/>
          </w:tcPr>
          <w:p>
            <w:pPr>
              <w:spacing w:after="0"/>
              <w:rPr>
                <w:sz w:val="14"/>
                <w:szCs w:val="14"/>
                <w:color w:val="auto"/>
              </w:rPr>
            </w:pP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AMORTIZED</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UNREALIZED</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MARKET</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COSTS</w:t>
            </w:r>
          </w:p>
        </w:tc>
        <w:tc>
          <w:tcPr>
            <w:tcW w:w="17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LOSSES</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Corporate securities......................</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$ 6,475</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$6,476</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U.S. government agencies..................</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844</w:t>
            </w:r>
          </w:p>
        </w:tc>
        <w:tc>
          <w:tcPr>
            <w:tcW w:w="800" w:type="dxa"/>
            <w:vAlign w:val="bottom"/>
          </w:tcPr>
          <w:p>
            <w:pPr>
              <w:spacing w:after="0"/>
              <w:rPr>
                <w:sz w:val="14"/>
                <w:szCs w:val="14"/>
                <w:color w:val="auto"/>
              </w:rPr>
            </w:pPr>
          </w:p>
        </w:tc>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849</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$ 7,319</w:t>
            </w:r>
          </w:p>
        </w:tc>
        <w:tc>
          <w:tcPr>
            <w:tcW w:w="800" w:type="dxa"/>
            <w:vAlign w:val="bottom"/>
          </w:tcPr>
          <w:p>
            <w:pPr>
              <w:ind w:left="7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$7,325</w:t>
            </w:r>
          </w:p>
        </w:tc>
      </w:tr>
      <w:tr>
        <w:trPr>
          <w:trHeight w:val="172"/>
        </w:trPr>
        <w:tc>
          <w:tcPr>
            <w:tcW w:w="3860" w:type="dxa"/>
            <w:vAlign w:val="bottom"/>
          </w:tcPr>
          <w:p>
            <w:pPr>
              <w:spacing w:after="0"/>
              <w:rPr>
                <w:sz w:val="14"/>
                <w:szCs w:val="14"/>
                <w:color w:val="auto"/>
              </w:rPr>
            </w:pP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net unrealized holding gain (loss) on securities available-for-sale included as a separate component of shareholders' equity at December 31, 1994, 1995 and March 31, 1996 totaled $(14,000), $10,000 and $6,000, respectively. The gross realized gains on sales of securities available-for-sale for the years ended December 31, 1994, and 1995 totaled $9,000 and $4,000, respectively, and the gross realized losses for the years ended December 31, 1994 and 1995 totaled $8,000 and $9,000, respectively.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amortized cost and estimated fair value of securities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gridSpan w:val="4"/>
          </w:tcPr>
          <w:p>
            <w:pPr>
              <w:spacing w:after="0"/>
              <w:rPr>
                <w:sz w:val="20"/>
                <w:szCs w:val="20"/>
                <w:color w:val="auto"/>
              </w:rPr>
            </w:pPr>
            <w:r>
              <w:rPr>
                <w:rFonts w:ascii="Courier New" w:cs="Courier New" w:eastAsia="Courier New" w:hAnsi="Courier New"/>
                <w:sz w:val="15"/>
                <w:szCs w:val="15"/>
                <w:color w:val="auto"/>
              </w:rPr>
              <w:t>available-for-sale by contractual maturity are shown below (table in thousands):</w:t>
            </w:r>
          </w:p>
        </w:tc>
        <w:tc>
          <w:tcPr>
            <w:tcW w:w="1120" w:type="dxa"/>
            <w:vAlign w:val="bottom"/>
          </w:tcPr>
          <w:p>
            <w:pPr>
              <w:spacing w:after="0"/>
              <w:rPr>
                <w:sz w:val="14"/>
                <w:szCs w:val="14"/>
                <w:color w:val="auto"/>
              </w:rPr>
            </w:pPr>
          </w:p>
        </w:tc>
      </w:tr>
      <w:tr>
        <w:trPr>
          <w:trHeight w:val="688"/>
        </w:trPr>
        <w:tc>
          <w:tcPr>
            <w:tcW w:w="4100" w:type="dxa"/>
            <w:vAlign w:val="bottom"/>
          </w:tcPr>
          <w:p>
            <w:pPr>
              <w:spacing w:after="0"/>
              <w:rPr>
                <w:sz w:val="24"/>
                <w:szCs w:val="24"/>
                <w:color w:val="auto"/>
              </w:rPr>
            </w:pPr>
          </w:p>
        </w:tc>
        <w:tc>
          <w:tcPr>
            <w:tcW w:w="24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DECEMBER 31, 1995</w:t>
            </w:r>
          </w:p>
        </w:tc>
        <w:tc>
          <w:tcPr>
            <w:tcW w:w="2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MARCH 31, 1996</w:t>
            </w:r>
          </w:p>
        </w:tc>
      </w:tr>
      <w:tr>
        <w:trPr>
          <w:trHeight w:val="172"/>
        </w:trPr>
        <w:tc>
          <w:tcPr>
            <w:tcW w:w="4100" w:type="dxa"/>
            <w:vAlign w:val="bottom"/>
          </w:tcPr>
          <w:p>
            <w:pPr>
              <w:spacing w:after="0"/>
              <w:rPr>
                <w:sz w:val="14"/>
                <w:szCs w:val="14"/>
                <w:color w:val="auto"/>
              </w:rPr>
            </w:pPr>
          </w:p>
        </w:tc>
        <w:tc>
          <w:tcPr>
            <w:tcW w:w="24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AMORTIZED</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ESTIMATED</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AMORTIZED</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100" w:type="dxa"/>
            <w:vAlign w:val="bottom"/>
          </w:tcPr>
          <w:p>
            <w:pPr>
              <w:spacing w:after="0"/>
              <w:rPr>
                <w:sz w:val="14"/>
                <w:szCs w:val="14"/>
                <w:color w:val="auto"/>
              </w:rPr>
            </w:pPr>
          </w:p>
        </w:tc>
        <w:tc>
          <w:tcPr>
            <w:tcW w:w="13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COST</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10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100" w:type="dxa"/>
            <w:vAlign w:val="bottom"/>
          </w:tcPr>
          <w:p>
            <w:pPr>
              <w:ind w:left="340"/>
              <w:spacing w:after="0"/>
              <w:rPr>
                <w:sz w:val="20"/>
                <w:szCs w:val="20"/>
                <w:color w:val="auto"/>
              </w:rPr>
            </w:pPr>
            <w:r>
              <w:rPr>
                <w:rFonts w:ascii="Courier New" w:cs="Courier New" w:eastAsia="Courier New" w:hAnsi="Courier New"/>
                <w:sz w:val="15"/>
                <w:szCs w:val="15"/>
                <w:color w:val="auto"/>
              </w:rPr>
              <w:t>Due in one year or less..................</w:t>
            </w: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$ 4,672</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$4,681</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$ 7,319</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$7,325</w:t>
            </w:r>
          </w:p>
        </w:tc>
      </w:tr>
      <w:tr>
        <w:trPr>
          <w:trHeight w:val="172"/>
        </w:trPr>
        <w:tc>
          <w:tcPr>
            <w:tcW w:w="4100" w:type="dxa"/>
            <w:vAlign w:val="bottom"/>
          </w:tcPr>
          <w:p>
            <w:pPr>
              <w:ind w:left="340"/>
              <w:spacing w:after="0"/>
              <w:rPr>
                <w:sz w:val="20"/>
                <w:szCs w:val="20"/>
                <w:color w:val="auto"/>
              </w:rPr>
            </w:pPr>
            <w:r>
              <w:rPr>
                <w:rFonts w:ascii="Courier New" w:cs="Courier New" w:eastAsia="Courier New" w:hAnsi="Courier New"/>
                <w:sz w:val="15"/>
                <w:szCs w:val="15"/>
                <w:color w:val="auto"/>
              </w:rPr>
              <w:t>Due after one year through three years...</w:t>
            </w: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500</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501</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10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$ 5,172</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$5,182</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$ 7,319</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$7,325</w:t>
            </w:r>
          </w:p>
        </w:tc>
      </w:tr>
      <w:tr>
        <w:trPr>
          <w:trHeight w:val="172"/>
        </w:trPr>
        <w:tc>
          <w:tcPr>
            <w:tcW w:w="410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PROPERTY AND EQUIPMENT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consists of the following (table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1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1994</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608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697</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8,153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8,349</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15,205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15,639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15,612</w:t>
            </w:r>
          </w:p>
        </w:tc>
      </w:tr>
      <w:tr>
        <w:trPr>
          <w:trHeight w:val="172"/>
        </w:trPr>
        <w:tc>
          <w:tcPr>
            <w:tcW w:w="4920" w:type="dxa"/>
            <w:vAlign w:val="bottom"/>
          </w:tcPr>
          <w:p>
            <w:pPr>
              <w:spacing w:after="0"/>
              <w:rPr>
                <w:sz w:val="14"/>
                <w:szCs w:val="14"/>
                <w:color w:val="auto"/>
              </w:rPr>
            </w:pP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23,307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24,658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Accumulated 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(4,266)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(7,089)</w:t>
            </w:r>
          </w:p>
        </w:tc>
      </w:tr>
      <w:tr>
        <w:trPr>
          <w:trHeight w:val="172"/>
        </w:trPr>
        <w:tc>
          <w:tcPr>
            <w:tcW w:w="4920" w:type="dxa"/>
            <w:vAlign w:val="bottom"/>
          </w:tcPr>
          <w:p>
            <w:pPr>
              <w:spacing w:after="0"/>
              <w:rPr>
                <w:sz w:val="14"/>
                <w:szCs w:val="14"/>
                <w:color w:val="auto"/>
              </w:rPr>
            </w:pP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19,041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$17,955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$17,569</w:t>
            </w:r>
          </w:p>
        </w:tc>
      </w:tr>
      <w:tr>
        <w:trPr>
          <w:trHeight w:val="172"/>
        </w:trPr>
        <w:tc>
          <w:tcPr>
            <w:tcW w:w="4920" w:type="dxa"/>
            <w:vAlign w:val="bottom"/>
          </w:tcPr>
          <w:p>
            <w:pPr>
              <w:spacing w:after="0"/>
              <w:rPr>
                <w:sz w:val="14"/>
                <w:szCs w:val="14"/>
                <w:color w:val="auto"/>
              </w:rPr>
            </w:pP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NOTE RECEIVABLE</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November 1992, the Company loaned $3,200,000 to the landlord of its headquarters in San Diego, California, to assist in financing construction of leasehold improvements. The promissory note bears interest at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6" w:lineRule="exact"/>
        <w:rPr>
          <w:sz w:val="20"/>
          <w:szCs w:val="20"/>
          <w:color w:val="auto"/>
        </w:rPr>
      </w:pPr>
    </w:p>
    <w:p>
      <w:pPr>
        <w:jc w:val="both"/>
        <w:ind w:right="620"/>
        <w:spacing w:after="0" w:line="241" w:lineRule="auto"/>
        <w:rPr>
          <w:sz w:val="20"/>
          <w:szCs w:val="20"/>
          <w:color w:val="auto"/>
        </w:rPr>
      </w:pPr>
      <w:r>
        <w:rPr>
          <w:rFonts w:ascii="Courier New" w:cs="Courier New" w:eastAsia="Courier New" w:hAnsi="Courier New"/>
          <w:sz w:val="15"/>
          <w:szCs w:val="15"/>
          <w:color w:val="auto"/>
        </w:rPr>
        <w:t>8.75 percent and matures in January 2000. Interest and principal payments are due monthly and are paid from the landlord's rents received from the Company (Note 10).</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NOTES PAYABLE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payable consist of the following (table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17.74% notes, due in monthly installments, with a final</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payment of</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$1,125 due at maturity in 1998, secured by</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lease deed of trust, and a patent and trademark</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collateral</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assignment.......................................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$ 7,357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$ 5,758</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17.53% note,</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due in monthly installments, with a final payment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$375 due at maturity in 1999, secured by equipment, lease</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deed of trust, and a patent and trademark collateral</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assignment</w:t>
            </w:r>
          </w:p>
        </w:tc>
        <w:tc>
          <w:tcPr>
            <w:tcW w:w="4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2,245</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10.39% note,</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due in monthly installments, maturing 1995,</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secured by</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10.18% note,</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due in monthly installments, maturing 1997,</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secured by</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2,048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1,413</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10.17% note,</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due in monthly installments, maturing 1995,</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secured by</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886</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9.32% note, due in monthly installments, maturing 1997,</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secured by</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9.92% note, due in monthly installments, maturing 1997,</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secured by</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Other notes,</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due in monthly installments, maturing thru 1997,</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secured by</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11,062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9,846</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Current portion...............................................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(3,248)</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$ 7,386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$ 6,598</w:t>
            </w:r>
          </w:p>
        </w:tc>
      </w:tr>
      <w:tr>
        <w:trPr>
          <w:trHeight w:val="172"/>
        </w:trPr>
        <w:tc>
          <w:tcPr>
            <w:tcW w:w="10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40" w:firstLine="447"/>
        <w:spacing w:after="0" w:line="242" w:lineRule="auto"/>
        <w:rPr>
          <w:sz w:val="20"/>
          <w:szCs w:val="20"/>
          <w:color w:val="auto"/>
        </w:rPr>
      </w:pPr>
      <w:r>
        <w:rPr>
          <w:rFonts w:ascii="Courier New" w:cs="Courier New" w:eastAsia="Courier New" w:hAnsi="Courier New"/>
          <w:sz w:val="15"/>
          <w:szCs w:val="15"/>
          <w:color w:val="auto"/>
        </w:rPr>
        <w:t>In December 1995, the Company entered into a $1,500,000 lease financing agreement to finance equipment. As of March 31, 1996 and December 31, 1995, the unfunded borrowing capacity under this agreement was $712,000 and $1,500,000, respectively, and is available until July 1, 1996, at an interest rate equal to 9.15 percent adjusted for changes in the three-year Treasury Notes at the date of funding.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provided additional security for $2,240,000, $1,543,000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$1,358,000 of the notes payable at December 31, 1994, 1995 and March 31,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with a $1,500,000 irrevocable standby letter of credit at December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1994 and a $750,000 irrevocable standby letter of credit at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March 31, 1996, that renews annually with a final expiration in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1994, the Company pledged as collateral a marketable security to secure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irrevocable standby letter of credit. The restricted marketable security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stated at cost, which approximates market.</w:t>
      </w:r>
    </w:p>
    <w:p>
      <w:pPr>
        <w:spacing w:after="0" w:line="176" w:lineRule="exact"/>
        <w:rPr>
          <w:sz w:val="20"/>
          <w:szCs w:val="20"/>
          <w:color w:val="auto"/>
        </w:rPr>
      </w:pPr>
    </w:p>
    <w:p>
      <w:pPr>
        <w:ind w:right="440" w:firstLine="447"/>
        <w:spacing w:after="0" w:line="242" w:lineRule="auto"/>
        <w:rPr>
          <w:sz w:val="20"/>
          <w:szCs w:val="20"/>
          <w:color w:val="auto"/>
        </w:rPr>
      </w:pPr>
      <w:r>
        <w:rPr>
          <w:rFonts w:ascii="Courier New" w:cs="Courier New" w:eastAsia="Courier New" w:hAnsi="Courier New"/>
          <w:sz w:val="15"/>
          <w:szCs w:val="15"/>
          <w:color w:val="auto"/>
        </w:rPr>
        <w:t>Certain notes payable contain financial covenants, including restrictions on incurring certain additional indebtedness, working capital and a requirement for maintaining minimum aggregated cash, cash equivalents and securities available-for-sale balances of $12,000,000. At March 31, 1996 and December 31, 1995, the Company was in compliance with all covenants.</w:t>
      </w:r>
    </w:p>
    <w:p>
      <w:pPr>
        <w:spacing w:after="0" w:line="175" w:lineRule="exact"/>
        <w:rPr>
          <w:sz w:val="20"/>
          <w:szCs w:val="20"/>
          <w:color w:val="auto"/>
        </w:rPr>
      </w:pPr>
    </w:p>
    <w:p>
      <w:pPr>
        <w:ind w:right="980" w:firstLine="447"/>
        <w:spacing w:after="0" w:line="241" w:lineRule="auto"/>
        <w:rPr>
          <w:sz w:val="20"/>
          <w:szCs w:val="20"/>
          <w:color w:val="auto"/>
        </w:rPr>
      </w:pPr>
      <w:r>
        <w:rPr>
          <w:rFonts w:ascii="Courier New" w:cs="Courier New" w:eastAsia="Courier New" w:hAnsi="Courier New"/>
          <w:sz w:val="15"/>
          <w:szCs w:val="15"/>
          <w:color w:val="auto"/>
        </w:rPr>
        <w:t>The aggregate maturities of notes payable for each of the five years subsequent to December 31, 1995, are as follows: 1996, $3,248,000; 1997, $3,404,000; 1998, $2,754,000; and 1999, $440,000.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0" w:hanging="188"/>
        <w:spacing w:after="0"/>
        <w:tabs>
          <w:tab w:leader="none" w:pos="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5,363</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2,128</w:t>
      </w:r>
    </w:p>
    <w:p>
      <w:pPr>
        <w:spacing w:after="0" w:line="17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1,244</w:t>
      </w:r>
    </w:p>
    <w:p>
      <w:pPr>
        <w:spacing w:after="0" w:line="17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749</w:t>
      </w:r>
    </w:p>
    <w:p>
      <w:pPr>
        <w:spacing w:after="0" w:line="174"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114</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179</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5"/>
          <w:szCs w:val="15"/>
          <w:color w:val="auto"/>
        </w:rPr>
        <w:t>9,777</w:t>
      </w:r>
    </w:p>
    <w:p>
      <w:pPr>
        <w:spacing w:after="0" w:line="4"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4"/>
          <w:szCs w:val="14"/>
          <w:color w:val="auto"/>
        </w:rPr>
        <w:t>(3,392)</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hanging="188"/>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6,385</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500" w:space="360"/>
            <w:col w:w="2359"/>
          </w:cols>
          <w:pgMar w:left="240"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401(K) EMPLOYEE SAVINGS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 qualified 401(k) Employee Savings Plan ("401(k) Plan"), available to substantially all employees over the age of 21. The Company may make discretionary contributions to the 401(k) Plan, which vest immediately. There were no discretionary contributions for the years ended December 31, 1993, 1994, 1995 and the three months ended March 31, 1996.</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RESEARCH AND DEVELOPMENT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December 1995, the Company and Eisai Co. Ltd. ("Eisai") entered into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collaborative development agreement and a license agreement aimed 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commercialization of humanized and PRIMATIZED anti-gp39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antibodies. Under the terms of these agreements, Eisai may provide up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$37,500,000 in milestone payments and support for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Eisai will receive exclusive rights in Asia and Europe to develop and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products emerging from the collaboration, with the Company receiving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royalties on eventual product sales by Eisai. Eisai may terminate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based on a reasonable determination that the products do not justify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development or marketing. Included in contract research revenues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ended December 31, 1995 and for the three months ended March 31,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$2,500,000 and $1,375,000, respectively, to fund product development,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approximates the research and development costs incurred under the program.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license fees for the year ended December 31, 1995, is $2,000,000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under these agreements.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December 1994, the Company and Seikagaku Corporation ("Seikagaku") entered into a collaborative development agreement and a license agreement aimed at the development and commercialization of a PRIMATIZED anti-CD23 antibody. Under the terms of these agreements, Seikagaku may provide up to $26,000,000 in milestone payments and support for research and development. The Company and Seikagaku will share co-exclusive, worldwide rights to all products emerging from the collaboration, with the Company receiving royalties on eventual product sales by Seikagaku. Seikagaku may terminate these agreements based on a reasonable determination that the products do not justify continued development or marketing. Included in contract research revenues for the year ended December 31, 1995 and the three months ended March 31, 1996 is $2,500,000 and $875,000, respectively, to fund product development, which approximates the research and development costs incurred under the program. Included in license fees for the year ended December 31, 1995 and the three months ended March 31, 1996, is $1,000,000 earned under these agreements for each of the respective periods.</w:t>
      </w: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November 1993, the Company entered into a collaborative research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agreement and a license agreement with Mitsubishi Chemical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("Mitsubishi Chemical"), for the development of a PRIMATIZED anti-B7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antibody. Under the terms of the collaboration, Mitsubishi may provide up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$12,000,000 in milestone payments and support for research and development.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will be reimbursed for its research efforts, receive milestone payments,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retain certain marketing rights and receive royalties on sales of any products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commercialized by Mitsubishi Chemical. Mitsubishi Chemical may terminate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if certain development objectives are not attained. Included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research revenues for the years ended December 31, 1994, 1995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1996 is $1,500,000, $2,047,000 and $500,000,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to fund product development, which approximates the research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costs incurred under the program. Included in license fees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milestone and licensing payments of $385,000, $300,000 and $1,000,000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1993, 1994 and 1995, respectively, earned under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October 1992, the Company and SmithKline Beecham p.1.c. ("SmithKline Beecham") entered into a collaborative research and license agreement aimed at the development and commercialization of therapeutic products based on the Company's PRIMATIZED anti-CD4 antibodies. Under the terms of the agreement,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the Company will receive aggregate payments that have the potential of reaching in excess of $60,000,000, subject to the attainment of certain milestones. The Company will receive funding for anti-CD4 related research and development programs, royalties and a share of co-promotion profits (in North America) on sales of products which may be commercialized as a result of the agreement. SmithKline Beecham may terminate this agreement based on a reasonable determination that the products do not justify continued development or marketing. Included in contract research revenues for the years ended December 31, 1993, 1994 and 1995 is $3,700,000, $3,201,000 and $3,488,000, respectively, to fund product development, which approximates the research and development costs incurred under the program. Included in license fees are milestone and licensing payments of $8,000,000, and $2,000,000, for the years ended December 31, 1993 and 1994, respectively, earned under the agreement.</w:t>
      </w:r>
    </w:p>
    <w:p>
      <w:pPr>
        <w:spacing w:after="0" w:line="16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The Company performed research under certain other contracts and, accordingly, realized revenues and recognized expenses in the accompanying consolidated statements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Related Party Arrangements: In March 1995, the Company and Genentech, Inc. ("Genentech") entered into a collaborative agreement for the clinical development and commercialization of the Company's anti-CD20 monoclonal antibody, IDEC-C2B8, for the treatment of non-Hodgkin's B-cell lymphomas. In February 1996, Genentech exercised its option to extend its collaboration with the Company to include two radioconjugates, IDEC-Y2B8 and IDEC-In2B8, also for the treatment of B-cell lymphomas. Concurrent with the collaborative agreement the Company and Genentech also entered into an expression technology license agreement for a proprietary gene expression technology developed by the Company and a preferred stock purchase agreement providing for certain equity investments in the Company by Genentech, see Note 8. Under the terms of these agreements, the Company may receive payments totaling $57,000,000, subject to the attainment of certain milestones. In addition, the Company and Genentech will co-promote IDEC-C2B8 in the United States and the Company and Genentech or its sublicensee will co-promote IDEC-C2B8 in Canada, with the Company receiving a share of profits. Under the terms of separate agreements with Genentech, commercialization of IDEC-C2B8 outside the United States will be the responsibility of F. Hoffmann-La Roche Ltd, one of the world's largest pharmaceuticals firms, except in Japan where Zenyaku Kogyo Co., Ltd will be responsible for development, marketing and sales. The Company will receive royalties on sales outside the U.S. and Canada. Additionally, the Company will receive royalties on sales of Genentech products manufactured using the Company's proprietary gene expression system. Genentech may terminate this agreement for any reason beginning on the date of availability of data from the first Phase III clinical trial of IDEC-C2B8. Included in contract research revenues for year ended December 31, 1995 is $1,083,000 to fund specific product development, which approximates the research and development costs incurred for the services provided. Included in license fees are payments of $5,500,000, and $1,500,000, for the year ended December 31, 1995 and the three months ended March 31, 1996, respectively, earned under the agreement.</w:t>
      </w:r>
    </w:p>
    <w:p>
      <w:pPr>
        <w:spacing w:after="0" w:line="19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1991, the Company and Zenyaku Kogyo Co., Ltd. ("Zenyaku") entered into a product rights agreement and a stock purchase agreement under which the Company granted Zenyaku a license to manufacture, use and sell certain products for cancer and autoimmune therapeutic applications. In November 1995, the Company and Zenyaku terminated the product rights agreement and concurrently the Company, Zenyaku and Genentech entered into a joint development, supply and license agreement where Zenyaku received exclusive rights to develop, market and sell IDEC-C2B8 in Japan which resulted in the Company recognizing $2,000,000 in license fees from Zenyaku for the year ended December 31, 1996. Included in contract research revenues for the three months ended March 31, 1996 is $23,000 to fund specific product development, which approximates the research and development costs incurred for the services provided.</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SHAREHOLDERS' EQUITY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Convertible Preferred stock: In March 1995, the Company entered into an agreement to issue 1,000,000 shares of its common stock and 69,000 shares of 10 percent Series B Nonvoting Cumulative Convertible Preferred Stock ("Series B Preferred Stock") for the repurchase of all Merrill Lynch/Morgan Stanley, L.P. ("ML/MS") rights in the Company's lymphoma products. The stock issuances resulted in a non-cash charge to operating expenses of $11,437,000, representing the purchase of the acquired technology rights. The Series B Preferred Stock is recorded on the balance sheet at its liquidation preference of $100 per share. Dividends shall accrue until March 15, 1997, thereafter, accrued dividends shall be payable quarterly. No dividends or other distribution shall be paid or declared, other than common stock dividends on the Company's common stock, or on Series A-7 Convertible Preferred Stock which is not yet issued, unless and until accrued dividends on the Series B Preferred Stock have been paid. On March 16, 1997, the Series B Preferred Stock and accrued dividends will automatically be converted into common stock. Cumulative dividends in arrears at March 31, 1996 totaled $724,000 or $10.49 per share. Each share of Series B Preferred Stock is convertible into the number of shares of common stock as equals 100 divided by the higher of $3.75 or the average closing price of the Company's common stock as reported by the Nasdaq National Market for the 20 trading days ending on March 1, 1997.</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the Company issued 100,000 shares of its Series A-1 Nonvoting Convertible Preferred Stock ("Series A-1 Preferred Stock") in April 1995, 38,000 shares of its Series A-2 Nonvoting Convertible Preferred Stock ("Series A-2 Preferred Stock") in August 1995 and 23,000 shares of its Series A-3 Nonvoting Convertible Preferred Stock ("Series A-3 Preferred Stock") in March 1996, to Genentech pursuant to the terms of a preferred stock purchase agreement. The preferred stock purchase agreement was entered into concurrently with a collaboration agreement as described in Note 7. The Series A-1 Preferred Stock, Series A-2 Preferred Stock and Series A-3 Preferred Stock are recorded on the balance sheet at their liquidation preference per share of $50, $67 and $217, respectively, net of issuance costs. Each share of Series A-1 Preferred Stock, Series A-2 Preferred Stock and Series A-3 Preferred Stock is convertible at any time into ten shares of common stock.</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Common stock: In March 1995, the Company issued 1,000,000 shares of its common stock for the repurchase of all ML/MS rights in the Company's lymphoma products, see convertible preferred stock above. In May 1994, the shareholders approved an increase in the number of authorized common shares to 25,000,000 shares. In June 1994, the Company completed a public offering of 2,800,000 shares of its common stock resulting in net proceeds of $6,821,000. In December 1994, the Company issued 1,441,000 shares of its common stock pursuant to the terms of a collaborative research and license agreement with SmithKline Beecham resulting in net proceeds of $3,335,000.</w:t>
      </w:r>
    </w:p>
    <w:p>
      <w:pPr>
        <w:spacing w:after="0" w:line="176" w:lineRule="exact"/>
        <w:rPr>
          <w:sz w:val="20"/>
          <w:szCs w:val="20"/>
          <w:color w:val="auto"/>
        </w:rPr>
      </w:pPr>
    </w:p>
    <w:p>
      <w:pPr>
        <w:ind w:left="440"/>
        <w:spacing w:after="0"/>
        <w:tabs>
          <w:tab w:leader="none" w:pos="2300" w:val="left"/>
        </w:tabs>
        <w:rPr>
          <w:sz w:val="20"/>
          <w:szCs w:val="20"/>
          <w:color w:val="auto"/>
        </w:rPr>
      </w:pPr>
      <w:r>
        <w:rPr>
          <w:rFonts w:ascii="Courier New" w:cs="Courier New" w:eastAsia="Courier New" w:hAnsi="Courier New"/>
          <w:sz w:val="15"/>
          <w:szCs w:val="15"/>
          <w:color w:val="auto"/>
        </w:rPr>
        <w:t>Stock Option Plans:</w:t>
      </w:r>
      <w:r>
        <w:rPr>
          <w:sz w:val="20"/>
          <w:szCs w:val="20"/>
          <w:color w:val="auto"/>
        </w:rPr>
        <w:tab/>
      </w:r>
      <w:r>
        <w:rPr>
          <w:rFonts w:ascii="Courier New" w:cs="Courier New" w:eastAsia="Courier New" w:hAnsi="Courier New"/>
          <w:sz w:val="14"/>
          <w:szCs w:val="14"/>
          <w:color w:val="auto"/>
        </w:rPr>
        <w:t>The Company has two active stock option plans.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1988 Employee Stock Option Plan (the "Option Plan") was approved by the shareholders in 1988 and was amended in 1992, 1993, 1994 and 1995. Under the Option Plan, options for the purchase of the Company's common stock may be granted to key employees (including officers), directors and outside consultants. Options may be designated as incentive stock options or as nonqualified stock options and generally vest over four years, except under a provision of the plan which allows them to accelerate their vesting under certain conditions. Options under the Option Plan, which have a term of up to ten years, are exercisable at a price per share not less than the fair market value (85 percent of fair market value for nonqualified options) on the date of grant. The aggregate number of shares authorized for issuance under the Option Plan is 3,480,000. At March 31, 1996, 1,029,000 options were vested and exercisable.</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5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IDEC PHARMACEUTICALS CORPORATION AND SUBSIDIARY</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(CONTINUED)</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7280" w:type="dxa"/>
            <w:vAlign w:val="bottom"/>
            <w:gridSpan w:val="6"/>
          </w:tcPr>
          <w:p>
            <w:pPr>
              <w:ind w:left="340"/>
              <w:spacing w:after="0"/>
              <w:rPr>
                <w:sz w:val="20"/>
                <w:szCs w:val="20"/>
                <w:color w:val="auto"/>
              </w:rPr>
            </w:pPr>
            <w:r>
              <w:rPr>
                <w:rFonts w:ascii="Courier New" w:cs="Courier New" w:eastAsia="Courier New" w:hAnsi="Courier New"/>
                <w:sz w:val="15"/>
                <w:szCs w:val="15"/>
                <w:color w:val="auto"/>
              </w:rPr>
              <w:t>(THE FINANCIAL INFORMATION AS OF MARCH 31, 1996 AND FOR THE THREE MONTHS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4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ENDED MARCH 31, 1995 AND 1996</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IS UNAUDITED)</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4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 September 1993, the Company adopted the</w:t>
            </w:r>
          </w:p>
        </w:tc>
        <w:tc>
          <w:tcPr>
            <w:tcW w:w="3000" w:type="dxa"/>
            <w:vAlign w:val="bottom"/>
            <w:gridSpan w:val="4"/>
          </w:tcPr>
          <w:p>
            <w:pPr>
              <w:spacing w:after="0"/>
              <w:rPr>
                <w:sz w:val="20"/>
                <w:szCs w:val="20"/>
                <w:color w:val="auto"/>
              </w:rPr>
            </w:pPr>
            <w:r>
              <w:rPr>
                <w:rFonts w:ascii="Courier New" w:cs="Courier New" w:eastAsia="Courier New" w:hAnsi="Courier New"/>
                <w:sz w:val="15"/>
                <w:szCs w:val="15"/>
                <w:color w:val="auto"/>
              </w:rPr>
              <w:t>1993 Non-Employee Directors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Stock Option Plan (the "Directors Plan"), which</w:t>
            </w:r>
          </w:p>
        </w:tc>
        <w:tc>
          <w:tcPr>
            <w:tcW w:w="3000" w:type="dxa"/>
            <w:vAlign w:val="bottom"/>
            <w:gridSpan w:val="4"/>
          </w:tcPr>
          <w:p>
            <w:pPr>
              <w:spacing w:after="0"/>
              <w:rPr>
                <w:sz w:val="20"/>
                <w:szCs w:val="20"/>
                <w:color w:val="auto"/>
              </w:rPr>
            </w:pPr>
            <w:r>
              <w:rPr>
                <w:rFonts w:ascii="Courier New" w:cs="Courier New" w:eastAsia="Courier New" w:hAnsi="Courier New"/>
                <w:sz w:val="15"/>
                <w:szCs w:val="15"/>
                <w:color w:val="auto"/>
              </w:rPr>
              <w:t>was approved by the shareholders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in May 1994 and was amended in 1995. A total of</w:t>
            </w:r>
          </w:p>
        </w:tc>
        <w:tc>
          <w:tcPr>
            <w:tcW w:w="3000" w:type="dxa"/>
            <w:vAlign w:val="bottom"/>
            <w:gridSpan w:val="4"/>
          </w:tcPr>
          <w:p>
            <w:pPr>
              <w:spacing w:after="0"/>
              <w:rPr>
                <w:sz w:val="20"/>
                <w:szCs w:val="20"/>
                <w:color w:val="auto"/>
              </w:rPr>
            </w:pPr>
            <w:r>
              <w:rPr>
                <w:rFonts w:ascii="Courier New" w:cs="Courier New" w:eastAsia="Courier New" w:hAnsi="Courier New"/>
                <w:sz w:val="15"/>
                <w:szCs w:val="15"/>
                <w:color w:val="auto"/>
              </w:rPr>
              <w:t>250,000 shares of common stock</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7280" w:type="dxa"/>
            <w:vAlign w:val="bottom"/>
            <w:gridSpan w:val="6"/>
          </w:tcPr>
          <w:p>
            <w:pPr>
              <w:spacing w:after="0"/>
              <w:rPr>
                <w:sz w:val="20"/>
                <w:szCs w:val="20"/>
                <w:color w:val="auto"/>
              </w:rPr>
            </w:pPr>
            <w:r>
              <w:rPr>
                <w:rFonts w:ascii="Courier New" w:cs="Courier New" w:eastAsia="Courier New" w:hAnsi="Courier New"/>
                <w:sz w:val="15"/>
                <w:szCs w:val="15"/>
                <w:color w:val="auto"/>
              </w:rPr>
              <w:t>are reserved for issuance to individuals who serve as non-employee members of</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6120" w:type="dxa"/>
            <w:vAlign w:val="bottom"/>
            <w:gridSpan w:val="5"/>
          </w:tcPr>
          <w:p>
            <w:pPr>
              <w:spacing w:after="0"/>
              <w:rPr>
                <w:sz w:val="20"/>
                <w:szCs w:val="20"/>
                <w:color w:val="auto"/>
              </w:rPr>
            </w:pPr>
            <w:r>
              <w:rPr>
                <w:rFonts w:ascii="Courier New" w:cs="Courier New" w:eastAsia="Courier New" w:hAnsi="Courier New"/>
                <w:sz w:val="15"/>
                <w:szCs w:val="15"/>
                <w:color w:val="auto"/>
                <w:w w:val="99"/>
              </w:rPr>
              <w:t>the Board of Directors. Options under the Directors Plan, which have</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 term of</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7280" w:type="dxa"/>
            <w:vAlign w:val="bottom"/>
            <w:gridSpan w:val="6"/>
          </w:tcPr>
          <w:p>
            <w:pPr>
              <w:spacing w:after="0"/>
              <w:rPr>
                <w:sz w:val="20"/>
                <w:szCs w:val="20"/>
                <w:color w:val="auto"/>
              </w:rPr>
            </w:pPr>
            <w:r>
              <w:rPr>
                <w:rFonts w:ascii="Courier New" w:cs="Courier New" w:eastAsia="Courier New" w:hAnsi="Courier New"/>
                <w:sz w:val="15"/>
                <w:szCs w:val="15"/>
                <w:color w:val="auto"/>
              </w:rPr>
              <w:t>up to ten years, are exercisable at a price per share not less than the fair</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6120" w:type="dxa"/>
            <w:vAlign w:val="bottom"/>
            <w:gridSpan w:val="5"/>
          </w:tcPr>
          <w:p>
            <w:pPr>
              <w:spacing w:after="0"/>
              <w:rPr>
                <w:sz w:val="20"/>
                <w:szCs w:val="20"/>
                <w:color w:val="auto"/>
              </w:rPr>
            </w:pPr>
            <w:r>
              <w:rPr>
                <w:rFonts w:ascii="Courier New" w:cs="Courier New" w:eastAsia="Courier New" w:hAnsi="Courier New"/>
                <w:sz w:val="15"/>
                <w:szCs w:val="15"/>
                <w:color w:val="auto"/>
                <w:w w:val="99"/>
              </w:rPr>
              <w:t>market value on the date or grant and vest over four years. At March</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31, 1996</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6120" w:type="dxa"/>
            <w:vAlign w:val="bottom"/>
            <w:gridSpan w:val="5"/>
          </w:tcPr>
          <w:p>
            <w:pPr>
              <w:spacing w:after="0"/>
              <w:rPr>
                <w:sz w:val="20"/>
                <w:szCs w:val="20"/>
                <w:color w:val="auto"/>
              </w:rPr>
            </w:pPr>
            <w:r>
              <w:rPr>
                <w:rFonts w:ascii="Courier New" w:cs="Courier New" w:eastAsia="Courier New" w:hAnsi="Courier New"/>
                <w:sz w:val="15"/>
                <w:szCs w:val="15"/>
                <w:color w:val="auto"/>
                <w:w w:val="99"/>
              </w:rPr>
              <w:t>and December 31, 1995, 50,000 and 25,000 options, respectively, were</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vested and</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61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 following table summarizes the activity under the Company's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7280" w:type="dxa"/>
            <w:vAlign w:val="bottom"/>
            <w:gridSpan w:val="6"/>
          </w:tcPr>
          <w:p>
            <w:pPr>
              <w:spacing w:after="0"/>
              <w:rPr>
                <w:sz w:val="20"/>
                <w:szCs w:val="20"/>
                <w:color w:val="auto"/>
              </w:rPr>
            </w:pPr>
            <w:r>
              <w:rPr>
                <w:rFonts w:ascii="Courier New" w:cs="Courier New" w:eastAsia="Courier New" w:hAnsi="Courier New"/>
                <w:sz w:val="15"/>
                <w:szCs w:val="15"/>
                <w:color w:val="auto"/>
              </w:rPr>
              <w:t>plans during 1995, 1994 and 1993 (table in thousands, except per share amounts):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88"/>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DIRECTORS PLAN</w:t>
            </w:r>
          </w:p>
        </w:tc>
        <w:tc>
          <w:tcPr>
            <w:tcW w:w="50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 PLAN</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3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5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SHARES</w:t>
            </w:r>
          </w:p>
        </w:tc>
        <w:tc>
          <w:tcPr>
            <w:tcW w:w="104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PRICE</w:t>
            </w:r>
          </w:p>
        </w:tc>
        <w:tc>
          <w:tcPr>
            <w:tcW w:w="44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$ 0.88</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18.25</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Cancelled...........................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18.25</w:t>
            </w:r>
          </w:p>
        </w:tc>
      </w:tr>
      <w:tr>
        <w:trPr>
          <w:trHeight w:val="172"/>
        </w:trPr>
        <w:tc>
          <w:tcPr>
            <w:tcW w:w="3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1,731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18.25</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Cancelled...........................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18.25</w:t>
            </w:r>
          </w:p>
        </w:tc>
      </w:tr>
      <w:tr>
        <w:trPr>
          <w:trHeight w:val="172"/>
        </w:trPr>
        <w:tc>
          <w:tcPr>
            <w:tcW w:w="3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1994....</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2,346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c>
          <w:tcPr>
            <w:tcW w:w="5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 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12.38</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Cancelled...........................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2"/>
        </w:trPr>
        <w:tc>
          <w:tcPr>
            <w:tcW w:w="3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1995....</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c>
          <w:tcPr>
            <w:tcW w:w="5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 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$ 0.88</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12.38</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19.13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1,003</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20.13</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Cancelled...........................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20.13</w:t>
            </w:r>
          </w:p>
        </w:tc>
      </w:tr>
      <w:tr>
        <w:trPr>
          <w:trHeight w:val="172"/>
        </w:trPr>
        <w:tc>
          <w:tcPr>
            <w:tcW w:w="3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March 31, 1996.......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2.38 to 19.13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3,148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$ 0.88</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to 20.13</w:t>
            </w:r>
          </w:p>
        </w:tc>
      </w:tr>
      <w:tr>
        <w:trPr>
          <w:trHeight w:val="172"/>
        </w:trPr>
        <w:tc>
          <w:tcPr>
            <w:tcW w:w="3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Employee Stock Purchase Plan: In May 1993, the shareholders adopted the Company's Employee Stock Purchase Plan (the "Purchase Plan"), which was amended in 1995. A total of 345,000 shares of common stock are reserved for issuance. For the years ended December 31, 1993, 1994, 1995 and the three months ended March 31, 1996, 16,000, 38,000, 63,000 and 43,000 shares, respectively, were issued under the Purchase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 Warrants: Under an investment agreement and in part subject to the Company's accomplishment of certain research and development objectives, SR One Limited, SmithKline Beecham's venture capital subsidiary, purchased 200,000 common stock warrants in each of 1992 and 1993 for $566,000 and $600,000, respectively, net of issuance costs, which was recorded as additional paid-in capital. Such warrants have a seven-year term and are exercisable at $12 per share. The warrants are immediately exercisable and the Company has the right to require that the warrants be automatically exercised if the closing price of the Company's stock exceeds $15 per share for 90 consecutive trading days.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In December 1994 and August 1995, concurrent with the completion of a debt financing, the Company issued warrants for the purchase of 294,000 and 46,000 shares, respectively, of common stock. Such warrants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have a six-year term and are immediately exercisable at prices ranging between $2.29 and $6.22 per share. The holders of the warrants have the option to exchange their warrants, without the payment of cash or consideration, for a number of common shares equal to the difference between the number of shares resulting by dividing the aggregate exercise price of the warrants by the fair market value of the common stock on the date of exercise and the number of shares that would have been otherwise issued under the exercise. The excess, if any, of the fair market value of the warrants on each measurement date over the exercise price is amortized over the remaining periods of the related debt as a non-cash charge to interest expense.</w:t>
      </w:r>
    </w:p>
    <w:p>
      <w:pPr>
        <w:spacing w:after="0" w:line="179"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At March 31, 1996, 740,000 warrants to purchase common stock were outstanding.</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INCOME TAXES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summarizes the tax effects of temporary differences that give rise to significant portions of the deferred tax assets and deferred tax liabilities at December 31, 1994 and 1995 (table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7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rent expense........................................</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451</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contract research revenue...........................</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technology rights...................................</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4,591</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Capitalized state research and experimentation costs.........</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1,883</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1,655</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experimentation credit..........................</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3,907</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3,283</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22,938</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20,566</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541</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57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gross deferred tax assets...........................</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34,564</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27,092</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(34,564)</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(26,912)</w:t>
            </w:r>
          </w:p>
        </w:tc>
      </w:tr>
      <w:tr>
        <w:trPr>
          <w:trHeight w:val="172"/>
        </w:trPr>
        <w:tc>
          <w:tcPr>
            <w:tcW w:w="57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deferred tax assets...................................</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Property and equipment, principally due to difference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2"/>
        </w:trPr>
        <w:tc>
          <w:tcPr>
            <w:tcW w:w="57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gross deferred tax liabilities......................</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2"/>
        </w:trPr>
        <w:tc>
          <w:tcPr>
            <w:tcW w:w="57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deferred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In 1995, the Company recognized an increase in the valuation allowance of $7,652,000.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December 31, 1995, the Company had net operating loss and research and experimentation tax credit carryforwards for Federal income tax purposes of approximately $61,821,000 and $2,804,000, respectively, which expire between 1999 and 2010.</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operating loss carryforwards and research and experimentation tax credit carryforwards as of December 31, 1995 for state income tax purposes are approximately $20,638,000 and $1,102,000, respectively. The net operating loss carryforwards expire between 1996 and 2000 and the research and experimentation tax credit carryforwards expire between 2004 and 2010.</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utilization of net operating losses and tax credits incurred prior to the Company's initial public offering in 1991, may be subject to an annual limitation under the Internal Revenue Code, due to a cumulative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IDEC PHARMACEUTICALS CORPORATION AND SUBSIDIARY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STATEMENTS -- (CONTINUED)</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FINANCIAL INFORMATION AS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OF MARCH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31, 1996 AND FOR THE THREE MONTHS</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1996 IS UNAUDITED)</w:t>
            </w:r>
          </w:p>
        </w:tc>
      </w:tr>
    </w:tbl>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change in ownership of more than 50 percent. However, the Company believes that such limitations will not have a material impact upon the utilization of such net operating loss carryforwards.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tab/>
        <w:t>COMMITMENTS</w:t>
      </w:r>
    </w:p>
    <w:p>
      <w:pPr>
        <w:spacing w:after="0" w:line="174"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5"/>
          <w:szCs w:val="15"/>
          <w:color w:val="auto"/>
        </w:rPr>
        <w:t>Lease Commitments:</w:t>
      </w:r>
      <w:r>
        <w:rPr>
          <w:sz w:val="20"/>
          <w:szCs w:val="20"/>
          <w:color w:val="auto"/>
        </w:rPr>
        <w:tab/>
      </w:r>
      <w:r>
        <w:rPr>
          <w:rFonts w:ascii="Courier New" w:cs="Courier New" w:eastAsia="Courier New" w:hAnsi="Courier New"/>
          <w:sz w:val="14"/>
          <w:szCs w:val="14"/>
          <w:color w:val="auto"/>
        </w:rPr>
        <w:t>In July 1992, the Company entered into a 15-year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lease for its headquarters, which commenced in 1993. The Company has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to extend the term of the lease for two additional periods of five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each. In addition to the monthly lease payments, the lease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for the Company to pay all operating costs associated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lease agreement provides for scheduled rental increases;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 lease expense is recognized on a straight-line basis over the 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lease. In connection with the lease agreement, the Company loaned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$3,200,000 to the landlord (Note 4). The Company also leases laboratory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equipment and another facility under several noncancellable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expiring at various dates through 1997.</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Future minimum lease payments under all operating leases as of December 31, 1995, are as follows (table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1996</w:t>
            </w:r>
          </w:p>
        </w:tc>
        <w:tc>
          <w:tcPr>
            <w:tcW w:w="5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$ 3,299</w:t>
            </w:r>
          </w:p>
        </w:tc>
      </w:tr>
      <w:tr>
        <w:trPr>
          <w:trHeight w:val="172"/>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1997</w:t>
            </w:r>
          </w:p>
        </w:tc>
        <w:tc>
          <w:tcPr>
            <w:tcW w:w="5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3,245</w:t>
            </w:r>
          </w:p>
        </w:tc>
      </w:tr>
      <w:tr>
        <w:trPr>
          <w:trHeight w:val="172"/>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1998</w:t>
            </w:r>
          </w:p>
        </w:tc>
        <w:tc>
          <w:tcPr>
            <w:tcW w:w="5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2,757</w:t>
            </w:r>
          </w:p>
        </w:tc>
      </w:tr>
      <w:tr>
        <w:trPr>
          <w:trHeight w:val="172"/>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1999</w:t>
            </w:r>
          </w:p>
        </w:tc>
        <w:tc>
          <w:tcPr>
            <w:tcW w:w="5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2,867</w:t>
            </w:r>
          </w:p>
        </w:tc>
      </w:tr>
      <w:tr>
        <w:trPr>
          <w:trHeight w:val="172"/>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2000</w:t>
            </w:r>
          </w:p>
        </w:tc>
        <w:tc>
          <w:tcPr>
            <w:tcW w:w="5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2,982</w:t>
            </w:r>
          </w:p>
        </w:tc>
      </w:tr>
      <w:tr>
        <w:trPr>
          <w:trHeight w:val="172"/>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5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thereafter................................................</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24,233</w:t>
            </w:r>
          </w:p>
        </w:tc>
      </w:tr>
      <w:tr>
        <w:trPr>
          <w:trHeight w:val="17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39,383</w:t>
            </w:r>
          </w:p>
        </w:tc>
      </w:tr>
      <w:tr>
        <w:trPr>
          <w:trHeight w:val="172"/>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Sublease income....................................................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(1,498)</w:t>
            </w:r>
          </w:p>
        </w:tc>
      </w:tr>
      <w:tr>
        <w:trPr>
          <w:trHeight w:val="17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$37,885</w:t>
            </w:r>
          </w:p>
        </w:tc>
      </w:tr>
      <w:tr>
        <w:trPr>
          <w:trHeight w:val="17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Lease expense under all operating leases totaled $2,305,000, $3,076,000, $3,097,000 and $797,158 for the years ended December 31, 1993, 1994, 1995, and the three months ended March 31, 1996, respectively.</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Agreements: In connection with its research and development efforts, the Company has entered into various license agreements with unrelated parties which provide the Company with rights to develop, produce and market products using certain know-how, technology and patent rights maintained by the parties. Terms of the various license agreements require the Company to pay royalties from future sales, if any, on specified products using the resulting technology. As of December 31, 1995, such royalties have not commenced on the aforementioned license agreements.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959"/>
          </w:cols>
          <w:pgMar w:left="50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all expenses, other than underwriting discounts and commissions, payable by the Registrant in connection with the sale of the Common Stock being registered. All the amounts shown are estimates, except for the registration fee and the NASD filing fee.</w:t>
      </w:r>
    </w:p>
    <w:p>
      <w:pPr>
        <w:spacing w:after="0" w:line="200" w:lineRule="exact"/>
        <w:rPr>
          <w:sz w:val="20"/>
          <w:szCs w:val="20"/>
          <w:color w:val="auto"/>
        </w:rPr>
      </w:pPr>
    </w:p>
    <w:p>
      <w:pPr>
        <w:spacing w:after="0" w:line="317"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$ 17,176</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Listing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NASD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5,481</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Blue sky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Printing and engraving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Transfer agent and registrar fees.........................................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Miscellaneous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9,843</w:t>
            </w:r>
          </w:p>
        </w:tc>
      </w:tr>
      <w:tr>
        <w:trPr>
          <w:trHeight w:val="172"/>
        </w:trPr>
        <w:tc>
          <w:tcPr>
            <w:tcW w:w="6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$275,000</w:t>
            </w:r>
          </w:p>
        </w:tc>
      </w:tr>
      <w:tr>
        <w:trPr>
          <w:trHeight w:val="172"/>
        </w:trPr>
        <w:tc>
          <w:tcPr>
            <w:tcW w:w="6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OFFICERS AND DIRECTORS.</w:t>
      </w:r>
    </w:p>
    <w:p>
      <w:pPr>
        <w:spacing w:after="0" w:line="176" w:lineRule="exact"/>
        <w:rPr>
          <w:sz w:val="20"/>
          <w:szCs w:val="20"/>
          <w:color w:val="auto"/>
        </w:rPr>
      </w:pPr>
    </w:p>
    <w:p>
      <w:pPr>
        <w:ind w:right="3159" w:firstLine="439"/>
        <w:spacing w:after="0" w:line="242"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317 of the California General Corporation Law provides for the indemnification to officers and directors of the Company and the Subsidiary against expenses, judgments, fines and amounts paid in settlement under certain conditions and subject to certain limitations.</w:t>
      </w:r>
    </w:p>
    <w:p>
      <w:pPr>
        <w:spacing w:after="0" w:line="174" w:lineRule="exact"/>
        <w:rPr>
          <w:rFonts w:ascii="Courier New" w:cs="Courier New" w:eastAsia="Courier New" w:hAnsi="Courier New"/>
          <w:sz w:val="15"/>
          <w:szCs w:val="15"/>
          <w:color w:val="auto"/>
        </w:rPr>
      </w:pPr>
    </w:p>
    <w:p>
      <w:pPr>
        <w:ind w:right="3079" w:firstLine="439"/>
        <w:spacing w:after="0" w:line="242" w:lineRule="auto"/>
        <w:tabs>
          <w:tab w:leader="none" w:pos="89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V, Section 7 of the Bylaws of the Company provides that the Company shall have power to indemnify any person who is or was an agent of the Company as provided in Section 317 of the California General Corporation Law. The rights to indemnity thereunder continue as to a person who has ceased to be a director, officer, employee or agent and shall inure to the benefit of the heirs, executors and administrators of the person. In addition, expenses incurred by a director or officer in defending a civil or criminal action, suit or proceeding by reason of the fact that he or she is or was a director or officer of the Company (or was serving at the Company's request as a director or officer of another corporation) shall be paid by the Company in advance of the final disposition of such action, suit or proceeding upon receipt of an undertaking by or on behalf of such director or officer to repay such amount if it shall ultimately be determined that he or she is not entitled to be indemnified by the Company as authorized by the relevant section of the California General Corporation Law.</w:t>
      </w:r>
    </w:p>
    <w:p>
      <w:pPr>
        <w:spacing w:after="0" w:line="182" w:lineRule="exact"/>
        <w:rPr>
          <w:rFonts w:ascii="Courier New" w:cs="Courier New" w:eastAsia="Courier New" w:hAnsi="Courier New"/>
          <w:sz w:val="15"/>
          <w:szCs w:val="15"/>
          <w:color w:val="auto"/>
        </w:rPr>
      </w:pPr>
    </w:p>
    <w:p>
      <w:pPr>
        <w:ind w:right="3079" w:firstLine="439"/>
        <w:spacing w:after="0" w:line="261" w:lineRule="auto"/>
        <w:tabs>
          <w:tab w:leader="none" w:pos="98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IV of the Company's Amended and Restated Articles of Incorporation ("Restated Articles") provides that the liability of the directors of the Company for monetary damages shall be eliminated to the fullest extent permissible under California law. Accordingly, a director will not be liable for monetary damages for breach of duty to the Company or its shareholders in any action brought by or in the right of the Company. However, a director remains liable to the extent required by law (i) for acts or omissions that involve intentional misconduct or a knowing and culpable violation of law, (ii) for acts or omissions that a director believes to be contrary to the best interests of the Company or its shareholders or that involve the absence of good faith on the part of the director, (iii) for any transaction from which a director derived an improper personal benefit, (iv) for acts or omissions that show a reckless disregard for the director's duty to the Company or its shareholders in circumstances in which the director was aware, or should have been aware, in the ordinary course of performing a director's duties, of a risk of serious injury to the Company or its shareholders, (v) for acts or omissions that constitute an unexcused pattern of inattention that amounts to an abdication of the director's duty to the Company or its shareholders, (vi) for any act or omission occurring prior to the date when the exculpation provision became effective and (vii) for any act or omission as an officer, notwithstanding that the officer is also a director or that his or her actions, if negligent or</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9"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67</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improper, have been ratified by the directors. The effect of the provisions in the Restated Articles is to eliminate the rights of the Company and its shareholders (through shareholders' derivative suits on behalf of the Company) to recover monetary damages against a director for breach of duty as a director, including breaches resulting from negligent behavior in the context of transactions involving a change of control of the Company or otherwise, except in the situations described in clauses (i) through (vii) above. These provisions will not alter the liability of directors under federal securities laws.</w:t>
      </w:r>
    </w:p>
    <w:p>
      <w:pPr>
        <w:spacing w:after="0" w:line="163" w:lineRule="exact"/>
        <w:rPr>
          <w:sz w:val="20"/>
          <w:szCs w:val="20"/>
          <w:color w:val="auto"/>
        </w:rPr>
      </w:pPr>
    </w:p>
    <w:p>
      <w:pPr>
        <w:ind w:left="8" w:right="3079" w:firstLine="439"/>
        <w:spacing w:after="0" w:line="242" w:lineRule="auto"/>
        <w:tabs>
          <w:tab w:leader="none" w:pos="90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authorization provided under the Restated Articles, the Company has entered into indemnification agreements with each of its present and certain of its former directors. The Company has also entered into similar agreements with certain of the Company's executive officers who are not directors. Generally, the indemnification agreements attempt to provide the maximum protection permitted by California law as it may be amended from time to time. Moreover, the indemnification agreements provide for certain additional indemnification. Under such additional indemnification provisions, however, an individual will not receive indemnification for judgments, settlements or expenses if he or she is found liable to the Company (except to the extent the court determines he or she is fairly and reasonably entitled to indemnity for expenses), for settlements not approved by the Company or for settlements and expenses if the settlement is not approved by the court. The indemnification agreements provide for the Company to advance to the individual any and all reasonable expenses (including legal fees and expenses) incurred in investigating or defending any such action, suit or proceeding. In order to receive an advance of expenses, the individual must submit to the Company copies of invoices presented to him or her for such expenses. Also, the individual must repay such advances upon a final judicial decision that he or she is not entitled to indemnification. The Company's Bylaws contain a provision of similar effect relating to advancement of expenses to a director or officer, subject to an undertaking to repay if it is ultimately determined that indemnification is unavailable.</w:t>
      </w:r>
    </w:p>
    <w:p>
      <w:pPr>
        <w:spacing w:after="0" w:line="187" w:lineRule="exact"/>
        <w:rPr>
          <w:rFonts w:ascii="Courier New" w:cs="Courier New" w:eastAsia="Courier New" w:hAnsi="Courier New"/>
          <w:sz w:val="15"/>
          <w:szCs w:val="15"/>
          <w:color w:val="auto"/>
        </w:rPr>
      </w:pPr>
    </w:p>
    <w:p>
      <w:pPr>
        <w:ind w:left="8" w:right="3159" w:firstLine="439"/>
        <w:spacing w:after="0" w:line="242" w:lineRule="auto"/>
        <w:tabs>
          <w:tab w:leader="none" w:pos="81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(Exhibit 1.1 hereto) contains provisions by which the Underwriters have agreed to indemnify the Company, each person, if any, who controls the Company within the meaning of Section 15 of the Act, each director of the Company, and each officer of the Company who signs this Registration Statement, with respect to information furnished in writing by or on behalf of the Underwriters for use in the Registration Statement.</w:t>
      </w:r>
    </w:p>
    <w:p>
      <w:pPr>
        <w:spacing w:after="0" w:line="176" w:lineRule="exact"/>
        <w:rPr>
          <w:rFonts w:ascii="Courier New" w:cs="Courier New" w:eastAsia="Courier New" w:hAnsi="Courier New"/>
          <w:sz w:val="15"/>
          <w:szCs w:val="15"/>
          <w:color w:val="auto"/>
        </w:rPr>
      </w:pPr>
    </w:p>
    <w:p>
      <w:pPr>
        <w:ind w:left="8" w:right="3079" w:firstLine="439"/>
        <w:spacing w:after="0" w:line="242" w:lineRule="auto"/>
        <w:tabs>
          <w:tab w:leader="none" w:pos="90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directors and officers liability insurance now in effect which insures directors and officers of the Company. The policy expires on July 22, 1996 and provides limits of $5,000,000 per policy year. The policy covers 75% of loss as defined in the policy up to $5,000,000 and in excess of a self-insured retention of claims against the Company of $250,000 and with no retention against individual directors and officers. Under the policy, the directors and officers are insured against loss arising from claims made against them due to wrongful acts while acting in their individual and collective capacities as directors and officers, subject to certain exclusions. The policy also insures the Company against loss as to which its directors and officers are entitled to indemnification.</w:t>
      </w:r>
    </w:p>
    <w:p>
      <w:pPr>
        <w:spacing w:after="0" w:line="178"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88"/>
        <w:spacing w:after="0"/>
        <w:tabs>
          <w:tab w:leader="none" w:pos="788"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Form of Underwriting Agreement.</w:t>
      </w:r>
    </w:p>
    <w:p>
      <w:pPr>
        <w:spacing w:after="0" w:line="4" w:lineRule="exact"/>
        <w:rPr>
          <w:sz w:val="20"/>
          <w:szCs w:val="20"/>
          <w:color w:val="auto"/>
        </w:rPr>
      </w:pPr>
    </w:p>
    <w:p>
      <w:pPr>
        <w:ind w:left="808" w:right="2079" w:hanging="808"/>
        <w:spacing w:after="0"/>
        <w:tabs>
          <w:tab w:leader="none" w:pos="18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5.1Opinion of Brobeck, Phleger &amp; Harrison, LLP with respect to the Common Stock being registered.</w:t>
      </w:r>
    </w:p>
    <w:p>
      <w:pPr>
        <w:spacing w:after="0" w:line="4" w:lineRule="exact"/>
        <w:rPr>
          <w:sz w:val="20"/>
          <w:szCs w:val="20"/>
          <w:color w:val="auto"/>
        </w:rPr>
      </w:pPr>
    </w:p>
    <w:p>
      <w:pPr>
        <w:ind w:left="808" w:right="2259" w:hanging="804"/>
        <w:spacing w:after="0"/>
        <w:tabs>
          <w:tab w:leader="none" w:pos="78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Brobeck, Phleger &amp; Harrison, LLP (contained in their opinion filed as Exhibit 5.1).</w:t>
      </w:r>
    </w:p>
    <w:p>
      <w:pPr>
        <w:spacing w:after="0" w:line="2" w:lineRule="exact"/>
        <w:rPr>
          <w:sz w:val="20"/>
          <w:szCs w:val="20"/>
          <w:color w:val="auto"/>
        </w:rPr>
      </w:pPr>
    </w:p>
    <w:p>
      <w:pPr>
        <w:ind w:left="88"/>
        <w:spacing w:after="0"/>
        <w:tabs>
          <w:tab w:leader="none" w:pos="78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Independent Auditors' Consent, KPMG Peat Marwick LLP.</w:t>
      </w:r>
    </w:p>
    <w:p>
      <w:pPr>
        <w:spacing w:after="0" w:line="2" w:lineRule="exact"/>
        <w:rPr>
          <w:sz w:val="20"/>
          <w:szCs w:val="20"/>
          <w:color w:val="auto"/>
        </w:rPr>
      </w:pPr>
    </w:p>
    <w:p>
      <w:pPr>
        <w:ind w:left="88"/>
        <w:spacing w:after="0"/>
        <w:tabs>
          <w:tab w:leader="none" w:pos="78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188" w:right="3079" w:hanging="188"/>
        <w:spacing w:after="0" w:line="274" w:lineRule="auto"/>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same numbered exhibit to the Registration Statement on Form S-3 (No. 333-4424) filed with the Commission on May 3, 1996.</w:t>
      </w:r>
    </w:p>
    <w:p>
      <w:pPr>
        <w:sectPr>
          <w:pgSz w:w="11900" w:h="16838" w:orient="portrait"/>
          <w:cols w:equalWidth="0" w:num="1">
            <w:col w:w="10227"/>
          </w:cols>
          <w:pgMar w:left="232" w:top="289" w:right="1440" w:bottom="1440" w:gutter="0" w:footer="0" w:header="0"/>
        </w:sectPr>
      </w:pPr>
    </w:p>
    <w:p>
      <w:pPr>
        <w:spacing w:after="0" w:line="326"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27"/>
          </w:cols>
          <w:pgMar w:left="232" w:top="289"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Company pursuant to the provisions described in Item 15,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left="440" w:right="3079" w:firstLine="446"/>
        <w:spacing w:after="0" w:line="260" w:lineRule="auto"/>
        <w:tabs>
          <w:tab w:leader="none" w:pos="1245"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440" w:right="3259" w:hanging="1"/>
        <w:spacing w:after="0"/>
        <w:tabs>
          <w:tab w:leader="none" w:pos="79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Company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the 20th day of May, 1996.</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IDEC PHARMACEUTICALS CORPORATION</w:t>
      </w:r>
    </w:p>
    <w:p>
      <w:pPr>
        <w:spacing w:after="0" w:line="174" w:lineRule="exact"/>
        <w:rPr>
          <w:sz w:val="20"/>
          <w:szCs w:val="20"/>
          <w:color w:val="auto"/>
        </w:rPr>
      </w:pPr>
    </w:p>
    <w:p>
      <w:pPr>
        <w:ind w:left="3748"/>
        <w:spacing w:after="0"/>
        <w:tabs>
          <w:tab w:leader="none" w:pos="4268" w:val="left"/>
          <w:tab w:leader="none" w:pos="4728"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WILLIAM H. RASTETTER</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William H. Rastetter</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48"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286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SIGNATURE</w:t>
            </w:r>
          </w:p>
        </w:tc>
        <w:tc>
          <w:tcPr>
            <w:tcW w:w="37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TITLE</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160" w:type="dxa"/>
            <w:vAlign w:val="bottom"/>
          </w:tcPr>
          <w:p>
            <w:pPr>
              <w:ind w:left="800"/>
              <w:spacing w:after="0"/>
              <w:rPr>
                <w:sz w:val="20"/>
                <w:szCs w:val="20"/>
                <w:color w:val="auto"/>
              </w:rPr>
            </w:pPr>
            <w:r>
              <w:rPr>
                <w:rFonts w:ascii="Courier New" w:cs="Courier New" w:eastAsia="Courier New" w:hAnsi="Courier New"/>
                <w:sz w:val="15"/>
                <w:szCs w:val="15"/>
                <w:color w:val="auto"/>
              </w:rPr>
              <w:t>/s/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WILLIAM H. RASTETTER</w:t>
            </w:r>
          </w:p>
        </w:tc>
        <w:tc>
          <w:tcPr>
            <w:tcW w:w="37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President, Chief Executive Officer and</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May 20, 1996</w:t>
            </w:r>
          </w:p>
        </w:tc>
      </w:tr>
      <w:tr>
        <w:trPr>
          <w:trHeight w:val="172"/>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Director (Principal Executive Officer)</w:t>
            </w:r>
          </w:p>
        </w:tc>
        <w:tc>
          <w:tcPr>
            <w:tcW w:w="1300" w:type="dxa"/>
            <w:vAlign w:val="bottom"/>
          </w:tcPr>
          <w:p>
            <w:pPr>
              <w:spacing w:after="0"/>
              <w:rPr>
                <w:sz w:val="14"/>
                <w:szCs w:val="14"/>
                <w:color w:val="auto"/>
              </w:rPr>
            </w:pPr>
          </w:p>
        </w:tc>
      </w:tr>
      <w:tr>
        <w:trPr>
          <w:trHeight w:val="172"/>
        </w:trPr>
        <w:tc>
          <w:tcPr>
            <w:tcW w:w="402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(William H. Rastetter)</w:t>
            </w:r>
          </w:p>
        </w:tc>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16"/>
        </w:trPr>
        <w:tc>
          <w:tcPr>
            <w:tcW w:w="1160" w:type="dxa"/>
            <w:vAlign w:val="bottom"/>
          </w:tcPr>
          <w:p>
            <w:pPr>
              <w:ind w:left="800"/>
              <w:spacing w:after="0"/>
              <w:rPr>
                <w:sz w:val="20"/>
                <w:szCs w:val="20"/>
                <w:color w:val="auto"/>
              </w:rPr>
            </w:pPr>
            <w:r>
              <w:rPr>
                <w:rFonts w:ascii="Courier New" w:cs="Courier New" w:eastAsia="Courier New" w:hAnsi="Courier New"/>
                <w:sz w:val="15"/>
                <w:szCs w:val="15"/>
                <w:color w:val="auto"/>
              </w:rPr>
              <w:t>/s/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PHILIP M. SCHNEIDER</w:t>
            </w:r>
          </w:p>
        </w:tc>
        <w:tc>
          <w:tcPr>
            <w:tcW w:w="37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Vice President, and Chief Financial</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May 20, 1996</w:t>
            </w:r>
          </w:p>
        </w:tc>
      </w:tr>
      <w:tr>
        <w:trPr>
          <w:trHeight w:val="172"/>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Officer (Principal Financial and</w:t>
            </w:r>
          </w:p>
        </w:tc>
        <w:tc>
          <w:tcPr>
            <w:tcW w:w="1300" w:type="dxa"/>
            <w:vAlign w:val="bottom"/>
          </w:tcPr>
          <w:p>
            <w:pPr>
              <w:spacing w:after="0"/>
              <w:rPr>
                <w:sz w:val="14"/>
                <w:szCs w:val="14"/>
                <w:color w:val="auto"/>
              </w:rPr>
            </w:pPr>
          </w:p>
        </w:tc>
      </w:tr>
      <w:tr>
        <w:trPr>
          <w:trHeight w:val="172"/>
        </w:trPr>
        <w:tc>
          <w:tcPr>
            <w:tcW w:w="402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(Philip M. Schneider)</w:t>
            </w:r>
          </w:p>
        </w:tc>
        <w:tc>
          <w:tcPr>
            <w:tcW w:w="3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Accounting Officer)</w:t>
            </w:r>
          </w:p>
        </w:tc>
        <w:tc>
          <w:tcPr>
            <w:tcW w:w="1300" w:type="dxa"/>
            <w:vAlign w:val="bottom"/>
          </w:tcPr>
          <w:p>
            <w:pPr>
              <w:spacing w:after="0"/>
              <w:rPr>
                <w:sz w:val="14"/>
                <w:szCs w:val="14"/>
                <w:color w:val="auto"/>
              </w:rPr>
            </w:pPr>
          </w:p>
        </w:tc>
      </w:tr>
      <w:tr>
        <w:trPr>
          <w:trHeight w:val="516"/>
        </w:trPr>
        <w:tc>
          <w:tcPr>
            <w:tcW w:w="1160" w:type="dxa"/>
            <w:vAlign w:val="bottom"/>
          </w:tcPr>
          <w:p>
            <w:pPr>
              <w:spacing w:after="0"/>
              <w:rPr>
                <w:sz w:val="24"/>
                <w:szCs w:val="24"/>
                <w:color w:val="auto"/>
              </w:rPr>
            </w:pPr>
          </w:p>
        </w:tc>
        <w:tc>
          <w:tcPr>
            <w:tcW w:w="286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Chairman of the Board</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May 20, 1996</w:t>
            </w:r>
          </w:p>
        </w:tc>
      </w:tr>
      <w:tr>
        <w:trPr>
          <w:trHeight w:val="172"/>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2860" w:type="dxa"/>
            <w:vAlign w:val="bottom"/>
          </w:tcPr>
          <w:p>
            <w:pPr>
              <w:jc w:val="right"/>
              <w:ind w:right="1365"/>
              <w:spacing w:after="0"/>
              <w:rPr>
                <w:sz w:val="20"/>
                <w:szCs w:val="20"/>
                <w:color w:val="auto"/>
              </w:rPr>
            </w:pPr>
            <w:r>
              <w:rPr>
                <w:rFonts w:ascii="Courier New" w:cs="Courier New" w:eastAsia="Courier New" w:hAnsi="Courier New"/>
                <w:sz w:val="15"/>
                <w:szCs w:val="15"/>
                <w:color w:val="auto"/>
                <w:w w:val="97"/>
              </w:rPr>
              <w:t>(Brook H. Byers)</w:t>
            </w:r>
          </w:p>
        </w:tc>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7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bl>
    <w:p>
      <w:pPr>
        <w:spacing w:after="0" w:line="2"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C. Edwards, M.D.)</w:t>
      </w:r>
    </w:p>
    <w:p>
      <w:pPr>
        <w:spacing w:after="0" w:line="346" w:lineRule="exact"/>
        <w:rPr>
          <w:sz w:val="20"/>
          <w:szCs w:val="20"/>
          <w:color w:val="auto"/>
        </w:rPr>
      </w:pPr>
    </w:p>
    <w:p>
      <w:pPr>
        <w:jc w:val="both"/>
        <w:ind w:left="2328"/>
        <w:spacing w:after="0"/>
        <w:tabs>
          <w:tab w:leader="none" w:pos="534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20, 1996</w:t>
      </w:r>
    </w:p>
    <w:p>
      <w:pPr>
        <w:spacing w:after="0" w:line="2"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Groom)</w:t>
      </w:r>
    </w:p>
    <w:p>
      <w:pPr>
        <w:spacing w:after="0" w:line="346" w:lineRule="exact"/>
        <w:rPr>
          <w:sz w:val="20"/>
          <w:szCs w:val="20"/>
          <w:color w:val="auto"/>
        </w:rPr>
      </w:pPr>
    </w:p>
    <w:p>
      <w:pPr>
        <w:jc w:val="both"/>
        <w:ind w:left="2328"/>
        <w:spacing w:after="0"/>
        <w:tabs>
          <w:tab w:leader="none" w:pos="534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20, 1996</w:t>
      </w:r>
    </w:p>
    <w:p>
      <w:pPr>
        <w:spacing w:after="0" w:line="2"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(Kazuhiro Hashimoto)</w:t>
      </w:r>
    </w:p>
    <w:p>
      <w:pPr>
        <w:spacing w:after="0" w:line="346" w:lineRule="exact"/>
        <w:rPr>
          <w:sz w:val="20"/>
          <w:szCs w:val="20"/>
          <w:color w:val="auto"/>
        </w:rPr>
      </w:pPr>
    </w:p>
    <w:p>
      <w:pPr>
        <w:jc w:val="both"/>
        <w:ind w:left="2328"/>
        <w:spacing w:after="0"/>
        <w:tabs>
          <w:tab w:leader="none" w:pos="534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20, 1996</w:t>
      </w:r>
    </w:p>
    <w:p>
      <w:pPr>
        <w:spacing w:after="0" w:line="2"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Barton Hutt)</w:t>
      </w:r>
    </w:p>
    <w:p>
      <w:pPr>
        <w:spacing w:after="0" w:line="346" w:lineRule="exact"/>
        <w:rPr>
          <w:sz w:val="20"/>
          <w:szCs w:val="20"/>
          <w:color w:val="auto"/>
        </w:rPr>
      </w:pPr>
    </w:p>
    <w:p>
      <w:pPr>
        <w:jc w:val="both"/>
        <w:ind w:left="2328"/>
        <w:spacing w:after="0"/>
        <w:tabs>
          <w:tab w:leader="none" w:pos="534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20, 1996</w:t>
      </w:r>
    </w:p>
    <w:p>
      <w:pPr>
        <w:spacing w:after="0" w:line="2"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(Franklin P. Johnson, Jr.)</w:t>
      </w:r>
    </w:p>
    <w:p>
      <w:pPr>
        <w:spacing w:after="0" w:line="346" w:lineRule="exact"/>
        <w:rPr>
          <w:sz w:val="20"/>
          <w:szCs w:val="20"/>
          <w:color w:val="auto"/>
        </w:rPr>
      </w:pPr>
    </w:p>
    <w:p>
      <w:pPr>
        <w:jc w:val="both"/>
        <w:ind w:left="2328"/>
        <w:spacing w:after="0"/>
        <w:tabs>
          <w:tab w:leader="none" w:pos="534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20, 1996</w:t>
      </w:r>
    </w:p>
    <w:p>
      <w:pPr>
        <w:spacing w:after="0" w:line="2"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P. McLaughlin)</w:t>
      </w:r>
    </w:p>
    <w:p>
      <w:pPr>
        <w:spacing w:after="0" w:line="346" w:lineRule="exact"/>
        <w:rPr>
          <w:sz w:val="20"/>
          <w:szCs w:val="20"/>
          <w:color w:val="auto"/>
        </w:rPr>
      </w:pPr>
    </w:p>
    <w:tbl>
      <w:tblPr>
        <w:tblLayout w:type="fixed"/>
        <w:tblInd w:w="5368"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bl>
    <w:p>
      <w:pPr>
        <w:spacing w:after="0" w:line="2"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(Lynn Schenk)</w:t>
      </w:r>
    </w:p>
    <w:p>
      <w:pPr>
        <w:spacing w:after="0" w:line="346"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/s/  WILLIAM H. RASTETTER</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H. Rastetter</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Attorney-in-Fact</w:t>
      </w:r>
    </w:p>
    <w:p>
      <w:pPr>
        <w:sectPr>
          <w:pgSz w:w="11900" w:h="16838" w:orient="portrait"/>
          <w:cols w:equalWidth="0" w:num="1">
            <w:col w:w="10227"/>
          </w:cols>
          <w:pgMar w:left="232" w:top="289" w:right="1440" w:bottom="515" w:gutter="0" w:footer="0" w:header="0"/>
        </w:sectPr>
      </w:pPr>
    </w:p>
    <w:p>
      <w:pPr>
        <w:spacing w:after="0" w:line="200" w:lineRule="exact"/>
        <w:rPr>
          <w:sz w:val="20"/>
          <w:szCs w:val="20"/>
          <w:color w:val="auto"/>
        </w:r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7"/>
          </w:cols>
          <w:pgMar w:left="232" w:top="289" w:right="1440" w:bottom="515" w:gutter="0" w:footer="0" w:header="0"/>
          <w:type w:val="continuous"/>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2948"/>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708" w:space="280"/>
            <w:col w:w="6520" w:space="100"/>
            <w:col w:w="2619"/>
          </w:cols>
          <w:pgMar w:left="232" w:top="289" w:right="1440" w:bottom="1440" w:gutter="0" w:footer="0" w:header="0"/>
          <w:type w:val="continuous"/>
        </w:sectPr>
      </w:pPr>
    </w:p>
    <w:p>
      <w:pPr>
        <w:ind w:left="188"/>
        <w:spacing w:after="0"/>
        <w:tabs>
          <w:tab w:leader="none" w:pos="788"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Form of Underwriting Agreement.</w:t>
      </w:r>
    </w:p>
    <w:p>
      <w:pPr>
        <w:spacing w:after="0" w:line="4" w:lineRule="exact"/>
        <w:rPr>
          <w:sz w:val="20"/>
          <w:szCs w:val="20"/>
          <w:color w:val="auto"/>
        </w:rPr>
      </w:pPr>
    </w:p>
    <w:p>
      <w:pPr>
        <w:ind w:left="808" w:right="3159" w:hanging="808"/>
        <w:spacing w:after="0"/>
        <w:tabs>
          <w:tab w:leader="none" w:pos="1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5.1Opinion of Brobeck, Phleger &amp; Harrison, LLP with respect to the Common Stock being registered.</w:t>
      </w:r>
    </w:p>
    <w:p>
      <w:pPr>
        <w:spacing w:after="0" w:line="4" w:lineRule="exact"/>
        <w:rPr>
          <w:sz w:val="20"/>
          <w:szCs w:val="20"/>
          <w:color w:val="auto"/>
        </w:rPr>
      </w:pPr>
    </w:p>
    <w:p>
      <w:pPr>
        <w:ind w:left="808" w:right="3079" w:hanging="804"/>
        <w:spacing w:after="0"/>
        <w:tabs>
          <w:tab w:leader="none" w:pos="78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Brobeck, Phleger &amp; Harrison, LLP (contained in their opinion filed as Exhibit 5.1).</w:t>
      </w:r>
    </w:p>
    <w:p>
      <w:pPr>
        <w:spacing w:after="0" w:line="2" w:lineRule="exact"/>
        <w:rPr>
          <w:sz w:val="20"/>
          <w:szCs w:val="20"/>
          <w:color w:val="auto"/>
        </w:rPr>
      </w:pPr>
    </w:p>
    <w:p>
      <w:pPr>
        <w:ind w:left="88"/>
        <w:spacing w:after="0"/>
        <w:tabs>
          <w:tab w:leader="none" w:pos="78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Independent Auditors' Consent, KPMG Peat Marwick LLP.</w:t>
      </w:r>
    </w:p>
    <w:p>
      <w:pPr>
        <w:spacing w:after="0" w:line="2" w:lineRule="exact"/>
        <w:rPr>
          <w:sz w:val="20"/>
          <w:szCs w:val="20"/>
          <w:color w:val="auto"/>
        </w:rPr>
      </w:pPr>
    </w:p>
    <w:p>
      <w:pPr>
        <w:ind w:left="88"/>
        <w:spacing w:after="0"/>
        <w:tabs>
          <w:tab w:leader="none" w:pos="78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188" w:right="3079" w:hanging="188"/>
        <w:spacing w:after="0" w:line="274" w:lineRule="auto"/>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same numbered exhibit to the Registration Statement on Form S-3 (No. 333-4424) filed with the Commission on May 3, 1996.</w:t>
      </w:r>
    </w:p>
    <w:p>
      <w:pPr>
        <w:sectPr>
          <w:pgSz w:w="11900" w:h="16838" w:orient="portrait"/>
          <w:cols w:equalWidth="0" w:num="1">
            <w:col w:w="10227"/>
          </w:cols>
          <w:pgMar w:left="232" w:top="289"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both"/>
        <w:ind w:left="5980"/>
        <w:spacing w:after="0"/>
        <w:tabs>
          <w:tab w:leader="none" w:pos="6600" w:val="left"/>
        </w:tabs>
        <w:rPr>
          <w:sz w:val="20"/>
          <w:szCs w:val="20"/>
          <w:color w:val="auto"/>
        </w:rPr>
      </w:pPr>
      <w:r>
        <w:rPr>
          <w:rFonts w:ascii="Courier New" w:cs="Courier New" w:eastAsia="Courier New" w:hAnsi="Courier New"/>
          <w:sz w:val="15"/>
          <w:szCs w:val="15"/>
          <w:color w:val="auto"/>
        </w:rPr>
        <w:t>June</w:t>
      </w:r>
      <w:r>
        <w:rPr>
          <w:sz w:val="20"/>
          <w:szCs w:val="20"/>
          <w:color w:val="auto"/>
        </w:rPr>
        <w:tab/>
      </w:r>
      <w:r>
        <w:rPr>
          <w:rFonts w:ascii="Courier New" w:cs="Courier New" w:eastAsia="Courier New" w:hAnsi="Courier New"/>
          <w:sz w:val="15"/>
          <w:szCs w:val="15"/>
          <w:color w:val="auto"/>
        </w:rPr>
        <w:t>,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Punk, Ziegel &amp; Knoell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Morgan Stanley &amp; Co. Incorporated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1585 Broadway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York, New York 10036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 and Mesdames: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IDEC Pharmaceuticals Corporation, a California corporation (the "Company"), proposes to issue and sell to the several Underwriters named in Schedule I hereto (the "Underwriters"), an aggregate of 1,500,000 shares of the Common Stock, no par value of the Company (the "Firm Shares").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also proposes to issue and sell to the several Underwriters not more than an additional 225,000 shares of its Common Stock, no par value (the "Additional Shares") if and to the extent that you, as Managers of the offering, shall have determined to exercise, on behalf of the Underwriters, the right to purchase such shares of common stock granted to the Underwriters in Section 2 hereof. The Firm Shares and the Additional Shares are hereinafter collectively referred to as the "Shares." The shares of Common Stock, no par value, of the Company to be outstanding after giving effect to the sales contemplated hereby are hereinafter referred to as the "Common Stock."</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filed with the Securities and Exchange Commission (the "Commission")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"Securities Act"), is hereinafter referred to as the "Registration Statement"; the prospectus in the form first used to confirm sales of Shares is hereinafter referred to as the "Prospectus." If the Company files an abbreviated registration statement to register additional shares of Common Stock pursuant to Rule 462(b) under the Securities Act (the "Rule 462 Registration Statement"), then any reference herein to the term "Registration Statement" shall be deemed to include such Rule 462 Registration Statement, in each case as amended from time to time.</w:t>
      </w:r>
    </w:p>
    <w:p>
      <w:pPr>
        <w:spacing w:after="0" w:line="181" w:lineRule="exact"/>
        <w:rPr>
          <w:sz w:val="20"/>
          <w:szCs w:val="20"/>
          <w:color w:val="auto"/>
        </w:rPr>
      </w:pPr>
    </w:p>
    <w:p>
      <w:pPr>
        <w:ind w:right="3159" w:firstLine="439"/>
        <w:spacing w:after="0"/>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 Company represents and warrants to and agrees with each of the Underwriters that:</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no stop order suspending the effectiveness of the Registration Statement is in effect, and no proceedings for such purpose are pending before or, to the Company's best knowledge, threatened by the Commission.</w:t>
      </w:r>
    </w:p>
    <w:p>
      <w:pPr>
        <w:spacing w:after="0" w:line="174" w:lineRule="exact"/>
        <w:rPr>
          <w:rFonts w:ascii="Courier New" w:cs="Courier New" w:eastAsia="Courier New" w:hAnsi="Courier New"/>
          <w:sz w:val="15"/>
          <w:szCs w:val="15"/>
          <w:color w:val="auto"/>
        </w:rPr>
      </w:pPr>
    </w:p>
    <w:p>
      <w:pPr>
        <w:ind w:left="440" w:right="3079" w:firstLine="446"/>
        <w:spacing w:after="0" w:line="261" w:lineRule="auto"/>
        <w:tabs>
          <w:tab w:leader="none" w:pos="124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and (iii)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l(b) do not apply to statements or omissions in the Registration Statement or the Prospectus based upon information relating to any Underwriter furnished to the Company in writing by such Underwriter through you expressly for use therein.</w:t>
      </w:r>
    </w:p>
    <w:p>
      <w:pPr>
        <w:spacing w:after="0" w:line="164" w:lineRule="exact"/>
        <w:rPr>
          <w:rFonts w:ascii="Courier New" w:cs="Courier New" w:eastAsia="Courier New" w:hAnsi="Courier New"/>
          <w:sz w:val="14"/>
          <w:szCs w:val="14"/>
          <w:color w:val="auto"/>
        </w:rPr>
      </w:pPr>
    </w:p>
    <w:p>
      <w:pPr>
        <w:ind w:left="440" w:right="3259" w:firstLine="446"/>
        <w:spacing w:after="0" w:line="242" w:lineRule="auto"/>
        <w:tabs>
          <w:tab w:leader="none" w:pos="124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is validly existing as a corporation in good standing under the laws of the jurisdiction of its incorporation, has the corporate power and authority to own its property and to conduct its business as described in the Prospectus and, except to the extent that the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failure to be so qualified or to be in good standing would not have a material adverse effect on the Company and its subsidiary, taken as a whole is duly qualified to transact business and is in good standing in each jurisdiction in which the conduct of its business or its ownership or leasing of property requires such qualification.</w:t>
      </w:r>
    </w:p>
    <w:p>
      <w:pPr>
        <w:spacing w:after="0" w:line="347" w:lineRule="exact"/>
        <w:rPr>
          <w:sz w:val="20"/>
          <w:szCs w:val="20"/>
          <w:color w:val="auto"/>
        </w:rPr>
      </w:pPr>
    </w:p>
    <w:p>
      <w:pPr>
        <w:ind w:left="180" w:right="3079" w:firstLine="446"/>
        <w:spacing w:after="0" w:line="242" w:lineRule="auto"/>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to be in good standing would not have a material adverse effect on the Company and its subsidiary, taken as a whole.</w:t>
      </w:r>
    </w:p>
    <w:p>
      <w:pPr>
        <w:spacing w:after="0" w:line="178"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owns any real properties. The Company and its subsidiaries have good and marketable title to all personal property owned by them which is material to their business, taken as a whole,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 held under lease by the Company and its subsidiaries are held by them under valid, subsisting and enforceable leases with such exceptions as are not material and do not interfere with the use made and proposed to be made of such real property and buildings by the Company and its subsidiary in each case except as described in or contemplated by the Prospectus.</w:t>
      </w:r>
    </w:p>
    <w:p>
      <w:pPr>
        <w:spacing w:after="0" w:line="180" w:lineRule="exact"/>
        <w:rPr>
          <w:rFonts w:ascii="Courier New" w:cs="Courier New" w:eastAsia="Courier New" w:hAnsi="Courier New"/>
          <w:sz w:val="15"/>
          <w:szCs w:val="15"/>
          <w:color w:val="auto"/>
        </w:rPr>
      </w:pPr>
    </w:p>
    <w:p>
      <w:pPr>
        <w:ind w:left="180" w:right="3079" w:firstLine="446"/>
        <w:spacing w:after="0"/>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outstanding prior to the issuances of the Shares to be sold by the Company have been duly authorized and are validly issued, fully paid and non-assessable. Except as set forth in the Prospectus and other than options granted to employees after March 31, 1996 pursuant to the Company's 1988 Employee Stock Option Plan or the 1993 Non-Employee Directors Stock Option Plan each as described in the Prospectus, neither the Company nor any subsidiary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All outstanding shares of capital stock and options and other rights to acquire capital stock have been issued in compliance with the registration and qualification provisions of all applicable securities laws and were not issued in violation of any preemptive rights, rights of first refusal and other similar rights.</w:t>
      </w:r>
    </w:p>
    <w:p>
      <w:pPr>
        <w:spacing w:after="0" w:line="182" w:lineRule="exact"/>
        <w:rPr>
          <w:rFonts w:ascii="Courier New" w:cs="Courier New" w:eastAsia="Courier New" w:hAnsi="Courier New"/>
          <w:sz w:val="15"/>
          <w:szCs w:val="15"/>
          <w:color w:val="auto"/>
        </w:rPr>
      </w:pPr>
    </w:p>
    <w:p>
      <w:pPr>
        <w:ind w:left="180" w:right="3259" w:firstLine="446"/>
        <w:spacing w:after="0"/>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conforms as to legal matters to the description thereof contained in the Prospectus.</w:t>
      </w:r>
    </w:p>
    <w:p>
      <w:pPr>
        <w:spacing w:after="0" w:line="176" w:lineRule="exact"/>
        <w:rPr>
          <w:rFonts w:ascii="Courier New" w:cs="Courier New" w:eastAsia="Courier New" w:hAnsi="Courier New"/>
          <w:sz w:val="15"/>
          <w:szCs w:val="15"/>
          <w:color w:val="auto"/>
        </w:rPr>
      </w:pPr>
    </w:p>
    <w:p>
      <w:pPr>
        <w:ind w:left="180" w:right="3259" w:firstLine="446"/>
        <w:spacing w:after="0" w:line="242" w:lineRule="auto"/>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to be sold by the Company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75" w:lineRule="exact"/>
        <w:rPr>
          <w:rFonts w:ascii="Courier New" w:cs="Courier New" w:eastAsia="Courier New" w:hAnsi="Courier New"/>
          <w:sz w:val="15"/>
          <w:szCs w:val="15"/>
          <w:color w:val="auto"/>
        </w:rPr>
      </w:pPr>
    </w:p>
    <w:p>
      <w:pPr>
        <w:ind w:left="180" w:right="3079" w:firstLine="446"/>
        <w:spacing w:after="0" w:line="261" w:lineRule="auto"/>
        <w:tabs>
          <w:tab w:leader="none" w:pos="98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Company of, and the performance by the Company of its obligations under, this Agreement will not contravene any provision of applicable law or the articles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in connection with the offer and sale of the Shares.</w:t>
      </w:r>
    </w:p>
    <w:p>
      <w:pPr>
        <w:spacing w:after="0" w:line="166"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Prospectus.</w:t>
      </w:r>
    </w:p>
    <w:p>
      <w:pPr>
        <w:sectPr>
          <w:pgSz w:w="11900" w:h="16838" w:orient="portrait"/>
          <w:cols w:equalWidth="0" w:num="1">
            <w:col w:w="9959"/>
          </w:cols>
          <w:pgMar w:left="500" w:top="289" w:right="1440" w:bottom="1440" w:gutter="0" w:footer="0" w:header="0"/>
        </w:sectPr>
      </w:pP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9" w:right="1440" w:bottom="1440" w:gutter="0" w:footer="0" w:header="0"/>
          <w:type w:val="continuous"/>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180" w:right="3079" w:firstLine="446"/>
        <w:spacing w:after="0" w:line="261" w:lineRule="auto"/>
        <w:tabs>
          <w:tab w:leader="none" w:pos="98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the respective dates as of which information is given in the Registration Statement and the Prospectus, (i) the Company and its subsidiaries have not incurred any material liability or obligation, direct or contingent, nor entered into any material transaction not in the ordinary course of business; (ii) the Company has not purchased any of its outstanding capital stock, nor declared, paid or otherwise made any dividend or distribution of any kind on its capital stock other than ordinary and customary dividends except certain net purchases of options issued and shares issued on exercise of options under the Company's stock option plans in accordance with the terms of such option plans; and (iii) there has not been any material change in the capital stock, short-term debt or long-term debt of the Company and its consolidated subsidiaries, except in each case as described in or contemplated by the Prospectus.</w:t>
      </w:r>
    </w:p>
    <w:p>
      <w:pPr>
        <w:spacing w:after="0" w:line="164" w:lineRule="exact"/>
        <w:rPr>
          <w:rFonts w:ascii="Courier New" w:cs="Courier New" w:eastAsia="Courier New" w:hAnsi="Courier New"/>
          <w:sz w:val="14"/>
          <w:szCs w:val="14"/>
          <w:color w:val="auto"/>
        </w:rPr>
      </w:pPr>
    </w:p>
    <w:p>
      <w:pPr>
        <w:ind w:left="980" w:hanging="354"/>
        <w:spacing w:after="0"/>
        <w:tabs>
          <w:tab w:leader="none" w:pos="9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legal or governmental proceedings pending or</w:t>
      </w:r>
    </w:p>
    <w:p>
      <w:pPr>
        <w:spacing w:after="0" w:line="3" w:lineRule="exact"/>
        <w:rPr>
          <w:rFonts w:ascii="Courier New" w:cs="Courier New" w:eastAsia="Courier New" w:hAnsi="Courier New"/>
          <w:sz w:val="15"/>
          <w:szCs w:val="15"/>
          <w:color w:val="auto"/>
        </w:rPr>
      </w:pPr>
    </w:p>
    <w:p>
      <w:pPr>
        <w:ind w:left="1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threatened to which the Company or any of its subsidiaries is a party or to which any of the properties of the Company or any of its subsidiaries is subject that are required to be described in the Registration Statement or the Prospectus and are not so described or any statutes, regulations, contracts or other documents that are required to be described in the Registration Statement or the Prospectus or to be filed as exhibits to the Registration Statement that are not described or filed as required.</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preliminary prospectus filed as part of the Registration Statement as originally filed or as part of any amendment thereto, or filed pursuant to Rule 424 or Rule 462 under the Securities Act, complied when so filed in all material respects with the Securities Act and the applicable rules and regulations of the Commission thereunder.</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Shares and the application of the proceeds thereof as described in the Prospectus, will not be an "investment company" as such term is defined in the Investment Company Act of 1940, as amended.</w:t>
      </w:r>
    </w:p>
    <w:p>
      <w:pPr>
        <w:spacing w:after="0" w:line="174"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owner of any securities of the Company who has any right, not effectively satisfied or waived, to require registration of any shares of capital stock of the Company in connection with the filing of the Registration Statement or the sale of any shares thereunder.</w:t>
      </w:r>
    </w:p>
    <w:p>
      <w:pPr>
        <w:spacing w:after="0" w:line="174"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180"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conducted a limited review of the effect of Environmental Laws on the business, operations and properties of the Company and its subsidiaries. On the basis of such review, the Company has reasonably concluded that any costs and liabilities required for clean-up, closure of properties or compliance with Environmental Laws would not, singly or in the aggregate, have a material adverse effect on the Company and its subsidiaries, taken as a whole.</w:t>
      </w:r>
    </w:p>
    <w:p>
      <w:pPr>
        <w:spacing w:after="0" w:line="176" w:lineRule="exact"/>
        <w:rPr>
          <w:rFonts w:ascii="Courier New" w:cs="Courier New" w:eastAsia="Courier New" w:hAnsi="Courier New"/>
          <w:sz w:val="15"/>
          <w:szCs w:val="15"/>
          <w:color w:val="auto"/>
        </w:rPr>
      </w:pPr>
    </w:p>
    <w:p>
      <w:pPr>
        <w:ind w:left="180" w:right="3259" w:firstLine="446"/>
        <w:spacing w:after="0" w:line="242"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76" w:lineRule="exact"/>
        <w:rPr>
          <w:rFonts w:ascii="Courier New" w:cs="Courier New" w:eastAsia="Courier New" w:hAnsi="Courier New"/>
          <w:sz w:val="15"/>
          <w:szCs w:val="15"/>
          <w:color w:val="auto"/>
        </w:rPr>
      </w:pPr>
    </w:p>
    <w:p>
      <w:pPr>
        <w:ind w:left="180" w:right="3159" w:firstLine="446"/>
        <w:spacing w:after="0" w:line="241" w:lineRule="auto"/>
        <w:tabs>
          <w:tab w:leader="none" w:pos="9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complied with all provisions of Section 517.075, Florida Statutes relating to doing business with the Government of Cuba or with any person or affiliate located in Cuba.</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right="3159" w:firstLine="439"/>
        <w:spacing w:after="0" w:line="242" w:lineRule="auto"/>
        <w:tabs>
          <w:tab w:leader="none" w:pos="80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SELL AND PURCHASE. The Company hereby agrees to sell to the several Underwriters, and each Underwriter, upon the basis of the representations and warranties herein contained, but subject to the conditions hereinafter stated, agrees, severally and not jointly, to purchase from the</w:t>
      </w:r>
    </w:p>
    <w:p>
      <w:pPr>
        <w:spacing w:after="0" w:line="2" w:lineRule="exact"/>
        <w:rPr>
          <w:rFonts w:ascii="Courier New" w:cs="Courier New" w:eastAsia="Courier New" w:hAnsi="Courier New"/>
          <w:sz w:val="15"/>
          <w:szCs w:val="15"/>
          <w:color w:val="auto"/>
        </w:rPr>
      </w:pPr>
    </w:p>
    <w:p>
      <w:pPr>
        <w:ind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at $ a share (the "Purchase Price") the number of Firm Shares set forth in Schedule I hereto opposite the name of such Underwriter.</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On the basis of the representations and warranties contained in this Agreement, and subject to its terms and conditions, the Company agrees to sell to the Underwriters the Additional Shares, and the Underwriters shall have a one-time right to purchase, severally and not jointly, up to 225,000 Additional Shares at the Purchase Price. If you, on behalf of the Underwriters, elect to exercise such option, you shall so notify the Company in writing not later than 30 days after the date of this Agreement, which notice shall specify the number of Additional Shares to be purchased by the Underwriters and the date on which such shares are to be purchased. Such date may be the same as the Closing Date (as defined below) but not earlier than the Closing Date nor later than ten business days after the date of such notice. Additional Shares may be purchased as provided in Section 4 hereof solely for the purpose of covering over-allotments made in connection with the offering of the Firm Shares. If any Additional Shares are to be purchased, each Underwriter agrees, severally and not jointly, to purchase the number of Additional Shares (subject to such adjustments to eliminate fractional shares as you may determine) that bears the same proportion to the total number of Additional Shares to be purchased as the number of Firm Shares set forth in Schedule I hereto opposite the name of such Underwriter bears to the total number of Firm Shares.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Company hereby agrees that, without the prior written consent of Morgan Stanley &amp; Co. Incorporated on behalf of the Underwriters, it will not, during the period ending 90 days after the date of the Prospectus, (i)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(ii) enter into any swap or other arrangement that transfers to another, in whole or in part, the economic consequences of ownership of the Common Stock, whether any such transaction described in clause (i) or (ii) above is to be settled by delivery of Common Stock or such other securities, in cash or otherwise, other than (a) the Shares to be offered hereunder, (b) any shares of Common Stock sold or issued upon exercise of an option or warrant or the conversion of a security outstanding on the date hereof described in the Prospectus or of which the Underwriters have been advised in writing, (c) shares of Common Stock registered pursuant to a Registration Statement on Form S-8 (No.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33- ), or (d) the grant of options pursuant to the Company's 1988 Employee Stock Option Plan or the 1993 Non-Employee Directors Stock Option Plan as to shares reserved for issuance under such plans as of the Closing, including any shares subject to outstanding options which become available for future grant under such plans upon termination of previously issued options. The foregoing sentence shall not apply to the Shares to be sold hereunder.</w:t>
      </w:r>
    </w:p>
    <w:p>
      <w:pPr>
        <w:spacing w:after="0" w:line="200" w:lineRule="exact"/>
        <w:rPr>
          <w:sz w:val="20"/>
          <w:szCs w:val="20"/>
          <w:color w:val="auto"/>
        </w:rPr>
      </w:pPr>
    </w:p>
    <w:p>
      <w:pPr>
        <w:spacing w:after="0" w:line="320" w:lineRule="exact"/>
        <w:rPr>
          <w:sz w:val="20"/>
          <w:szCs w:val="20"/>
          <w:color w:val="auto"/>
        </w:rPr>
      </w:pPr>
    </w:p>
    <w:p>
      <w:pPr>
        <w:ind w:right="3259" w:firstLine="439"/>
        <w:spacing w:after="0" w:line="260" w:lineRule="auto"/>
        <w:tabs>
          <w:tab w:leader="none" w:pos="80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PUBLIC OFFERING. The Company is advised by you that the Underwriters propose to make a public offering of their respective portions of the Shares as soon after the Registration Statement and this Agreement have become effective as in your judgment is advisable. The Company is further advised by you that the Shares are to be offered to the public initially at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share (the "Public Offering Price") and to certain dealers selected</w:t>
      </w:r>
    </w:p>
    <w:p>
      <w:pPr>
        <w:spacing w:after="0" w:line="2" w:lineRule="exact"/>
        <w:rPr>
          <w:sz w:val="20"/>
          <w:szCs w:val="20"/>
          <w:color w:val="auto"/>
        </w:rPr>
      </w:pPr>
    </w:p>
    <w:p>
      <w:pPr>
        <w:spacing w:after="0"/>
        <w:tabs>
          <w:tab w:leader="none" w:pos="6680" w:val="left"/>
        </w:tabs>
        <w:rPr>
          <w:sz w:val="20"/>
          <w:szCs w:val="20"/>
          <w:color w:val="auto"/>
        </w:rPr>
      </w:pPr>
      <w:r>
        <w:rPr>
          <w:rFonts w:ascii="Courier New" w:cs="Courier New" w:eastAsia="Courier New" w:hAnsi="Courier New"/>
          <w:sz w:val="15"/>
          <w:szCs w:val="15"/>
          <w:color w:val="auto"/>
        </w:rPr>
        <w:t>by you at a price that represents a concession not in excess of $</w:t>
      </w:r>
      <w:r>
        <w:rPr>
          <w:sz w:val="20"/>
          <w:szCs w:val="20"/>
          <w:color w:val="auto"/>
        </w:rPr>
        <w:tab/>
      </w:r>
      <w:r>
        <w:rPr>
          <w:rFonts w:ascii="Courier New" w:cs="Courier New" w:eastAsia="Courier New" w:hAnsi="Courier New"/>
          <w:sz w:val="13"/>
          <w:szCs w:val="13"/>
          <w:color w:val="auto"/>
        </w:rPr>
        <w: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under the Public Offering Price, and that any Underwriter may allow, and</w:t>
      </w:r>
    </w:p>
    <w:p>
      <w:pPr>
        <w:spacing w:after="0" w:line="2"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5"/>
          <w:szCs w:val="15"/>
          <w:color w:val="auto"/>
        </w:rPr>
        <w:t>such dealers may reallow, a concession, not in excess of $</w:t>
      </w:r>
      <w:r>
        <w:rPr>
          <w:sz w:val="20"/>
          <w:szCs w:val="20"/>
          <w:color w:val="auto"/>
        </w:rPr>
        <w:tab/>
      </w:r>
      <w:r>
        <w:rPr>
          <w:rFonts w:ascii="Courier New" w:cs="Courier New" w:eastAsia="Courier New" w:hAnsi="Courier New"/>
          <w:sz w:val="14"/>
          <w:szCs w:val="14"/>
          <w:color w:val="auto"/>
        </w:rPr>
        <w:t>a share,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Underwriter or to certain other dealers.</w:t>
      </w:r>
    </w:p>
    <w:p>
      <w:pPr>
        <w:spacing w:after="0" w:line="200" w:lineRule="exact"/>
        <w:rPr>
          <w:sz w:val="20"/>
          <w:szCs w:val="20"/>
          <w:color w:val="auto"/>
        </w:rPr>
      </w:pPr>
    </w:p>
    <w:p>
      <w:pPr>
        <w:spacing w:after="0" w:line="320" w:lineRule="exact"/>
        <w:rPr>
          <w:sz w:val="20"/>
          <w:szCs w:val="20"/>
          <w:color w:val="auto"/>
        </w:rPr>
      </w:pPr>
    </w:p>
    <w:p>
      <w:pPr>
        <w:ind w:right="3339" w:firstLine="439"/>
        <w:spacing w:after="0" w:line="242" w:lineRule="auto"/>
        <w:tabs>
          <w:tab w:leader="none" w:pos="80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AND DELIVERY. Payment for the Firm Shares to be sold by the Company shall be made to the Company in Federal or other funds immediately available in New York City against delivery of such Firm Shares for the respective accounts of the several Underwriters at 10:00 A.M., New York City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on</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type w:val="continuous"/>
        </w:sectPr>
      </w:pPr>
    </w:p>
    <w:bookmarkStart w:id="77" w:name="page78"/>
    <w:bookmarkEnd w:id="77"/>
    <w:p>
      <w:pPr>
        <w:ind w:left="268"/>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188"/>
        <w:spacing w:after="0"/>
        <w:tabs>
          <w:tab w:leader="none" w:pos="688" w:val="left"/>
        </w:tabs>
        <w:rPr>
          <w:sz w:val="20"/>
          <w:szCs w:val="20"/>
          <w:color w:val="auto"/>
        </w:rPr>
      </w:pPr>
      <w:r>
        <w:rPr>
          <w:rFonts w:ascii="Courier New" w:cs="Courier New" w:eastAsia="Courier New" w:hAnsi="Courier New"/>
          <w:sz w:val="15"/>
          <w:szCs w:val="15"/>
          <w:color w:val="auto"/>
        </w:rPr>
        <w:t>, 19</w:t>
      </w:r>
      <w:r>
        <w:rPr>
          <w:sz w:val="20"/>
          <w:szCs w:val="20"/>
          <w:color w:val="auto"/>
        </w:rPr>
        <w:tab/>
      </w:r>
      <w:r>
        <w:rPr>
          <w:rFonts w:ascii="Courier New" w:cs="Courier New" w:eastAsia="Courier New" w:hAnsi="Courier New"/>
          <w:sz w:val="14"/>
          <w:szCs w:val="14"/>
          <w:color w:val="auto"/>
        </w:rPr>
        <w:t>,(1) or at such other time on the same or such other date, not later</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than , 19 ,(2) as shall be designated in writing by you. The time and date of such payment are hereinafter referred to as the "Closing Date."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Payment for any Additional Shares shall be made to the Company in Federal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other funds immediately available in New York City against delivery of such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Additional Shares for the respective accounts of the several Underwriters at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10:00 A.M., New York City time, on the date specified in the notice described in</w:t>
      </w:r>
    </w:p>
    <w:p>
      <w:pPr>
        <w:spacing w:after="0" w:line="12" w:lineRule="exact"/>
        <w:rPr>
          <w:sz w:val="20"/>
          <w:szCs w:val="20"/>
          <w:color w:val="auto"/>
        </w:rPr>
      </w:pPr>
    </w:p>
    <w:p>
      <w:pPr>
        <w:ind w:left="8"/>
        <w:spacing w:after="0"/>
        <w:tabs>
          <w:tab w:leader="none" w:pos="6508" w:val="left"/>
        </w:tabs>
        <w:rPr>
          <w:sz w:val="20"/>
          <w:szCs w:val="20"/>
          <w:color w:val="auto"/>
        </w:rPr>
      </w:pPr>
      <w:r>
        <w:rPr>
          <w:rFonts w:ascii="Courier New" w:cs="Courier New" w:eastAsia="Courier New" w:hAnsi="Courier New"/>
          <w:sz w:val="15"/>
          <w:szCs w:val="15"/>
          <w:color w:val="auto"/>
        </w:rPr>
        <w:t>Section 2 or on such other date, in any event not later than</w:t>
      </w:r>
      <w:r>
        <w:rPr>
          <w:sz w:val="20"/>
          <w:szCs w:val="20"/>
          <w:color w:val="auto"/>
        </w:rPr>
        <w:tab/>
      </w:r>
      <w:r>
        <w:rPr>
          <w:rFonts w:ascii="Courier New" w:cs="Courier New" w:eastAsia="Courier New" w:hAnsi="Courier New"/>
          <w:sz w:val="14"/>
          <w:szCs w:val="14"/>
          <w:color w:val="auto"/>
        </w:rPr>
        <w:t>, 19</w:t>
      </w:r>
    </w:p>
    <w:p>
      <w:pPr>
        <w:spacing w:after="0" w:line="4" w:lineRule="exact"/>
        <w:rPr>
          <w:sz w:val="20"/>
          <w:szCs w:val="20"/>
          <w:color w:val="auto"/>
        </w:rPr>
      </w:pPr>
    </w:p>
    <w:p>
      <w:pPr>
        <w:ind w:left="8" w:right="3879" w:hanging="8"/>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shall be designated in writing by you. The time and date of such payment are hereinafter referred to as the "Option Closing Date."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Certificates for the Firm Shares and Additional Shares shall be in definitive form and registered in such names and in such denominations as you shall request in writing not later than one full business day prior to the Closing Date or the Option Closing Date, as the case may be. The certificates evidencing the Firm Shares and Additional Shares shall be delivered to you on the Closing Date or the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350" w:lineRule="exact"/>
        <w:rPr>
          <w:sz w:val="20"/>
          <w:szCs w:val="20"/>
          <w:color w:val="auto"/>
        </w:rPr>
      </w:pPr>
    </w:p>
    <w:p>
      <w:pPr>
        <w:ind w:left="8" w:right="3339" w:firstLine="439"/>
        <w:spacing w:after="0" w:line="260" w:lineRule="auto"/>
        <w:tabs>
          <w:tab w:leader="none" w:pos="81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THE UNDERWRITER' OBLIGATIONS. The obligations of the Company to sell the Shares to the Underwriters and the several obligations of the Underwriters to purchase and pay for the Shares on the Closing Date are subject to the condition that the Registration Statement shall have become</w:t>
      </w:r>
    </w:p>
    <w:p>
      <w:pPr>
        <w:ind w:left="8"/>
        <w:spacing w:after="0"/>
        <w:tabs>
          <w:tab w:leader="none" w:pos="3288" w:val="left"/>
        </w:tabs>
        <w:rPr>
          <w:sz w:val="20"/>
          <w:szCs w:val="20"/>
          <w:color w:val="auto"/>
        </w:rPr>
      </w:pPr>
      <w:r>
        <w:rPr>
          <w:rFonts w:ascii="Courier New" w:cs="Courier New" w:eastAsia="Courier New" w:hAnsi="Courier New"/>
          <w:sz w:val="15"/>
          <w:szCs w:val="15"/>
          <w:color w:val="auto"/>
        </w:rPr>
        <w:t>effective not later than</w:t>
      </w:r>
      <w:r>
        <w:rPr>
          <w:sz w:val="20"/>
          <w:szCs w:val="20"/>
          <w:color w:val="auto"/>
        </w:rPr>
        <w:tab/>
      </w:r>
      <w:r>
        <w:rPr>
          <w:rFonts w:ascii="Courier New" w:cs="Courier New" w:eastAsia="Courier New" w:hAnsi="Courier New"/>
          <w:sz w:val="14"/>
          <w:szCs w:val="14"/>
          <w:color w:val="auto"/>
        </w:rPr>
        <w:t>(New York City time) the date hereof.</w:t>
      </w:r>
    </w:p>
    <w:p>
      <w:pPr>
        <w:spacing w:after="0" w:line="347"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several obligations of the Underwriters are subject to the following further conditions:</w:t>
      </w:r>
    </w:p>
    <w:p>
      <w:pPr>
        <w:spacing w:after="0" w:line="176" w:lineRule="exact"/>
        <w:rPr>
          <w:sz w:val="20"/>
          <w:szCs w:val="20"/>
          <w:color w:val="auto"/>
        </w:rPr>
      </w:pPr>
    </w:p>
    <w:p>
      <w:pPr>
        <w:ind w:left="448" w:right="3439" w:firstLine="446"/>
        <w:spacing w:after="0"/>
        <w:tabs>
          <w:tab w:leader="none" w:pos="125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execution and delivery of this Agreement and prior to the Closing Date:</w:t>
      </w:r>
    </w:p>
    <w:p>
      <w:pPr>
        <w:spacing w:after="0" w:line="176" w:lineRule="exact"/>
        <w:rPr>
          <w:rFonts w:ascii="Courier New" w:cs="Courier New" w:eastAsia="Courier New" w:hAnsi="Courier New"/>
          <w:sz w:val="15"/>
          <w:szCs w:val="15"/>
          <w:color w:val="auto"/>
        </w:rPr>
      </w:pPr>
    </w:p>
    <w:p>
      <w:pPr>
        <w:ind w:left="708" w:right="3079" w:firstLine="455"/>
        <w:spacing w:after="0" w:line="242" w:lineRule="auto"/>
        <w:tabs>
          <w:tab w:leader="none" w:pos="1513"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Company's securities by any "nationally recognized statistical rating organization," as such term is defined for purposes of Rule 436(g)(2) under the Securities Act; and</w:t>
      </w:r>
    </w:p>
    <w:p>
      <w:pPr>
        <w:spacing w:after="0" w:line="176" w:lineRule="exact"/>
        <w:rPr>
          <w:rFonts w:ascii="Courier New" w:cs="Courier New" w:eastAsia="Courier New" w:hAnsi="Courier New"/>
          <w:sz w:val="15"/>
          <w:szCs w:val="15"/>
          <w:color w:val="auto"/>
        </w:rPr>
      </w:pPr>
    </w:p>
    <w:p>
      <w:pPr>
        <w:ind w:left="708" w:right="3079" w:firstLine="455"/>
        <w:spacing w:after="0" w:line="242" w:lineRule="auto"/>
        <w:tabs>
          <w:tab w:leader="none" w:pos="1603"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change, or any development involving a prospective change, in the condition, financial or otherwise, or in the earnings, business or operations of the Company and its subsidiaries, taken as a whole, from that set forth in the Prospectus that, in your judgment, is material and adverse and that makes it, in your judgment, impracticable to market the Shares on the terms and in the manner contemplated in the Prospectus.</w:t>
      </w:r>
    </w:p>
    <w:p>
      <w:pPr>
        <w:spacing w:after="0" w:line="176" w:lineRule="exact"/>
        <w:rPr>
          <w:rFonts w:ascii="Courier New" w:cs="Courier New" w:eastAsia="Courier New" w:hAnsi="Courier New"/>
          <w:sz w:val="15"/>
          <w:szCs w:val="15"/>
          <w:color w:val="auto"/>
        </w:rPr>
      </w:pPr>
    </w:p>
    <w:p>
      <w:pPr>
        <w:ind w:left="448" w:right="3159" w:firstLine="446"/>
        <w:spacing w:after="0" w:line="242" w:lineRule="auto"/>
        <w:tabs>
          <w:tab w:leader="none" w:pos="125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Underwriters shall have received on the Closing Date a certificate, dated the Closing Date and signed by an executive officer of the Company, to the effect set forth in clause (a)(i)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7" w:lineRule="exact"/>
        <w:rPr>
          <w:sz w:val="20"/>
          <w:szCs w:val="20"/>
          <w:color w:val="auto"/>
        </w:rPr>
      </w:pPr>
    </w:p>
    <w:p>
      <w:pPr>
        <w:ind w:left="448" w:right="3159" w:firstLine="447"/>
        <w:spacing w:after="0"/>
        <w:rPr>
          <w:sz w:val="20"/>
          <w:szCs w:val="20"/>
          <w:color w:val="auto"/>
        </w:rPr>
      </w:pPr>
      <w:r>
        <w:rPr>
          <w:rFonts w:ascii="Courier New" w:cs="Courier New" w:eastAsia="Courier New" w:hAnsi="Courier New"/>
          <w:sz w:val="15"/>
          <w:szCs w:val="15"/>
          <w:color w:val="auto"/>
        </w:rPr>
        <w:t>The officer signing and delivering such certificate may rely upon the best of his or her knowledge as to proceedings threatened.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339" w:hanging="8"/>
        <w:spacing w:after="0" w:line="267" w:lineRule="auto"/>
        <w:tabs>
          <w:tab w:leader="none" w:pos="36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Insert date 3 business days or, in the event the offering is priced after 4:30 p.m. Eastern Time (and T+4 settlement is deemed to apply to secondary sales), 4 business days after the date of the Underwriting Agreement.</w:t>
      </w:r>
    </w:p>
    <w:p>
      <w:pPr>
        <w:spacing w:after="0" w:line="158" w:lineRule="exact"/>
        <w:rPr>
          <w:rFonts w:ascii="Courier New" w:cs="Courier New" w:eastAsia="Courier New" w:hAnsi="Courier New"/>
          <w:sz w:val="14"/>
          <w:szCs w:val="14"/>
          <w:color w:val="auto"/>
        </w:rPr>
      </w:pPr>
    </w:p>
    <w:p>
      <w:pPr>
        <w:ind w:left="8" w:right="3599" w:hanging="8"/>
        <w:spacing w:after="0"/>
        <w:tabs>
          <w:tab w:leader="none" w:pos="3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 date 5 business days after the date inserted in accordance with note 1 above.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 date 10 business days after the expiration of the green shoe option.</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type w:val="continuous"/>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180" w:right="3699" w:firstLine="446"/>
        <w:spacing w:after="0" w:line="241" w:lineRule="auto"/>
        <w:tabs>
          <w:tab w:leader="none" w:pos="98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Underwriters shall have received on the Closing Date an opinion of Brobeck, Phleger &amp; Harrison LLP, outside counsel for the Company, dated the Closing Date, to the effect that:</w:t>
      </w:r>
    </w:p>
    <w:p>
      <w:pPr>
        <w:spacing w:after="0" w:line="348"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California, with full corporate power and authority to own or lease its properties and conduct its business as described in the Registration Statement and Prospectus;</w:t>
      </w:r>
    </w:p>
    <w:p>
      <w:pPr>
        <w:spacing w:after="0" w:line="347" w:lineRule="exact"/>
        <w:rPr>
          <w:rFonts w:ascii="Courier New" w:cs="Courier New" w:eastAsia="Courier New" w:hAnsi="Courier New"/>
          <w:sz w:val="15"/>
          <w:szCs w:val="15"/>
          <w:color w:val="auto"/>
        </w:rPr>
      </w:pPr>
    </w:p>
    <w:p>
      <w:pPr>
        <w:ind w:left="440" w:right="3259" w:firstLine="455"/>
        <w:spacing w:after="0"/>
        <w:tabs>
          <w:tab w:leader="none" w:pos="1334"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IDEC Seiyaku, a Japanese corporation, the Company has no subsidiaries;</w:t>
      </w:r>
    </w:p>
    <w:p>
      <w:pPr>
        <w:spacing w:after="0" w:line="348" w:lineRule="exact"/>
        <w:rPr>
          <w:rFonts w:ascii="Courier New" w:cs="Courier New" w:eastAsia="Courier New" w:hAnsi="Courier New"/>
          <w:sz w:val="15"/>
          <w:szCs w:val="15"/>
          <w:color w:val="auto"/>
        </w:rPr>
      </w:pPr>
    </w:p>
    <w:p>
      <w:pPr>
        <w:ind w:left="440" w:right="3339" w:firstLine="455"/>
        <w:spacing w:after="0" w:line="241" w:lineRule="auto"/>
        <w:tabs>
          <w:tab w:leader="none" w:pos="1424"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conforms as to legal matters in all material respects to the description thereof contained in the Registration Statement and Prospectus;</w:t>
      </w:r>
    </w:p>
    <w:p>
      <w:pPr>
        <w:spacing w:after="0" w:line="348" w:lineRule="exact"/>
        <w:rPr>
          <w:rFonts w:ascii="Courier New" w:cs="Courier New" w:eastAsia="Courier New" w:hAnsi="Courier New"/>
          <w:sz w:val="15"/>
          <w:szCs w:val="15"/>
          <w:color w:val="auto"/>
        </w:rPr>
      </w:pPr>
    </w:p>
    <w:p>
      <w:pPr>
        <w:ind w:left="440" w:right="3159" w:firstLine="455"/>
        <w:spacing w:after="0" w:line="241" w:lineRule="auto"/>
        <w:tabs>
          <w:tab w:leader="none" w:pos="1334"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shares of capital stock of the Company have been duly and validly authorized and issued, and are not subject to any preemptive or similar rights;</w:t>
      </w:r>
    </w:p>
    <w:p>
      <w:pPr>
        <w:spacing w:after="0" w:line="348"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to be sold by the Company have been duly authorized and, when issued and delivered in accordance with the terms of this agreement, will be duly and validly authorized and issued, fully paid and nonassessable, and will not be subject to any preemptive or similar rights;</w:t>
      </w:r>
    </w:p>
    <w:p>
      <w:pPr>
        <w:spacing w:after="0" w:line="347" w:lineRule="exact"/>
        <w:rPr>
          <w:rFonts w:ascii="Courier New" w:cs="Courier New" w:eastAsia="Courier New" w:hAnsi="Courier New"/>
          <w:sz w:val="15"/>
          <w:szCs w:val="15"/>
          <w:color w:val="auto"/>
        </w:rPr>
      </w:pPr>
    </w:p>
    <w:p>
      <w:pPr>
        <w:ind w:left="440" w:right="3079" w:firstLine="455"/>
        <w:spacing w:after="0" w:line="242" w:lineRule="auto"/>
        <w:tabs>
          <w:tab w:leader="none" w:pos="1334"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after due inquiry, no holders of securities of the Company have rights against the Company which have not been waived to the registration of shares of Common Stock or other securities because of the filing of the Registration Statement by the Company or the offering contemplated thereby;</w:t>
      </w:r>
    </w:p>
    <w:p>
      <w:pPr>
        <w:spacing w:after="0" w:line="347" w:lineRule="exact"/>
        <w:rPr>
          <w:rFonts w:ascii="Courier New" w:cs="Courier New" w:eastAsia="Courier New" w:hAnsi="Courier New"/>
          <w:sz w:val="15"/>
          <w:szCs w:val="15"/>
          <w:color w:val="auto"/>
        </w:rPr>
      </w:pPr>
    </w:p>
    <w:p>
      <w:pPr>
        <w:ind w:left="440" w:right="3779" w:firstLine="455"/>
        <w:spacing w:after="0"/>
        <w:tabs>
          <w:tab w:leader="none" w:pos="1424"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348" w:lineRule="exact"/>
        <w:rPr>
          <w:rFonts w:ascii="Courier New" w:cs="Courier New" w:eastAsia="Courier New" w:hAnsi="Courier New"/>
          <w:sz w:val="15"/>
          <w:szCs w:val="15"/>
          <w:color w:val="auto"/>
        </w:rPr>
      </w:pPr>
    </w:p>
    <w:p>
      <w:pPr>
        <w:ind w:left="440" w:right="3079" w:firstLine="455"/>
        <w:spacing w:after="0" w:line="242" w:lineRule="auto"/>
        <w:tabs>
          <w:tab w:leader="none" w:pos="1513"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the Company of, and the performance by the Company of its obligations under this agreement will not contravene any provision of applicable law or the articles of incorporation or bylaws of the Company or its subsidiary, or, to the best of such counsel's knowledge, any judgment, order or decree of any governmental body, agency or court having jurisdiction over the Company or any of its property or its subsidiary or any of their property, or, to the best of such counsel's knowledge, constitute a breach or default under any agreement or other instrument binding upon the Company or its subsidiary and identified to such counsel by the Company as material as set forth in an exhibit to such opinion,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(on which such counsel expresses no opinion) in connection with the purchase and distribution of the shares by the Underwriters;</w:t>
      </w:r>
    </w:p>
    <w:p>
      <w:pPr>
        <w:spacing w:after="0" w:line="355" w:lineRule="exact"/>
        <w:rPr>
          <w:rFonts w:ascii="Courier New" w:cs="Courier New" w:eastAsia="Courier New" w:hAnsi="Courier New"/>
          <w:sz w:val="15"/>
          <w:szCs w:val="15"/>
          <w:color w:val="auto"/>
        </w:rPr>
      </w:pPr>
    </w:p>
    <w:p>
      <w:pPr>
        <w:ind w:left="440" w:right="3079" w:firstLine="455"/>
        <w:spacing w:after="0" w:line="260" w:lineRule="auto"/>
        <w:tabs>
          <w:tab w:leader="none" w:pos="1334"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(a) in the Prospectus under the captions "Description of Capital Stock" and "Business -- Strategic Alliances" and</w:t>
      </w:r>
    </w:p>
    <w:p>
      <w:pPr>
        <w:ind w:left="440" w:right="3159" w:firstLine="7"/>
        <w:spacing w:after="0" w:line="242" w:lineRule="auto"/>
        <w:tabs>
          <w:tab w:leader="none" w:pos="79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Registration Statement in Item 15, in each case insofar as such statements constitute summaries of the legal matters, documents or proceedings referred to therein, fairly present the information called for with respect to such legal matters, documents and proceedings and fairly summarize the matters referred to therein;</w:t>
      </w:r>
    </w:p>
    <w:p>
      <w:pPr>
        <w:spacing w:after="0" w:line="347"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does not know of any legal or governmental proceeding pending or threatened to which the Company or its subsidiary is or may become a party or to which any of the properties of the Company or any of the properties of its subsidiary is or may become subject that is required to be described in the Registration Statement or the Prospectus and is not so described, or of any statute, regulation, contract or other document that is required to be described in the Registration Statement or the Prospectus or to be filed as an exhibit to the Registration Statement that is not described or filed as required;</w:t>
      </w:r>
    </w:p>
    <w:p>
      <w:pPr>
        <w:spacing w:after="0" w:line="350" w:lineRule="exact"/>
        <w:rPr>
          <w:rFonts w:ascii="Courier New" w:cs="Courier New" w:eastAsia="Courier New" w:hAnsi="Courier New"/>
          <w:sz w:val="15"/>
          <w:szCs w:val="15"/>
          <w:color w:val="auto"/>
        </w:rPr>
      </w:pPr>
    </w:p>
    <w:p>
      <w:pPr>
        <w:ind w:left="440" w:right="3159" w:firstLine="455"/>
        <w:spacing w:after="0" w:line="242" w:lineRule="auto"/>
        <w:tabs>
          <w:tab w:leader="none" w:pos="133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Securities Act of 1933, as amended (the "Act"), and no stop order proceedings suspending the effectiveness of the Registration Statement have been instituted or threatened or are pending under the Act and any required</w:t>
      </w:r>
    </w:p>
    <w:p>
      <w:pPr>
        <w:sectPr>
          <w:pgSz w:w="11900" w:h="16838" w:orient="portrait"/>
          <w:cols w:equalWidth="0" w:num="1">
            <w:col w:w="9959"/>
          </w:cols>
          <w:pgMar w:left="500" w:top="289" w:right="1440" w:bottom="0" w:gutter="0" w:footer="0" w:header="0"/>
        </w:sectPr>
      </w:pP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jc w:val="both"/>
        <w:ind w:left="440" w:right="3439"/>
        <w:spacing w:after="0" w:line="241" w:lineRule="auto"/>
        <w:rPr>
          <w:sz w:val="20"/>
          <w:szCs w:val="20"/>
          <w:color w:val="auto"/>
        </w:rPr>
      </w:pPr>
      <w:r>
        <w:rPr>
          <w:rFonts w:ascii="Courier New" w:cs="Courier New" w:eastAsia="Courier New" w:hAnsi="Courier New"/>
          <w:sz w:val="15"/>
          <w:szCs w:val="15"/>
          <w:color w:val="auto"/>
        </w:rPr>
        <w:t>filing of the Prospectus and any supplement thereto pursuant to Rule 424(b) under the Act has been made in the manner and within the time period required by such Rule 424(b);</w:t>
      </w:r>
    </w:p>
    <w:p>
      <w:pPr>
        <w:spacing w:after="0" w:line="176" w:lineRule="exact"/>
        <w:rPr>
          <w:sz w:val="20"/>
          <w:szCs w:val="20"/>
          <w:color w:val="auto"/>
        </w:rPr>
      </w:pPr>
    </w:p>
    <w:p>
      <w:pPr>
        <w:ind w:left="440" w:right="3079" w:firstLine="365"/>
        <w:spacing w:after="0" w:line="242" w:lineRule="auto"/>
        <w:tabs>
          <w:tab w:leader="none" w:pos="1334"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rendering legal advice and assistance to the Company in the course of the preparation of the Registration Statement and the Prospectus, involving, among other things, discussions and inquiries concerning various legal matters and the review of certain corporate records, documents and proceedings such counsel also participated in conferences with certain officers and other representatives of the Company, including its independent public accountants and with the Underwriters and their counsel at which the contents of the Registration Statement, the Prospectus (but not including the incorporated documents) and related matters were discussed and have generally reviewed and discussed with such persons the content of the incorporated documents. Such counsel has not, however, except with respect to matters expressly covered by this opinion, independently checked or verified the accuracy, completeness or fairness of the information contained in the Registration Statement, the Prospectus and the incorporated documents.</w:t>
      </w:r>
    </w:p>
    <w:p>
      <w:pPr>
        <w:spacing w:after="0" w:line="182" w:lineRule="exact"/>
        <w:rPr>
          <w:rFonts w:ascii="Courier New" w:cs="Courier New" w:eastAsia="Courier New" w:hAnsi="Courier New"/>
          <w:sz w:val="15"/>
          <w:szCs w:val="15"/>
          <w:color w:val="auto"/>
        </w:rPr>
      </w:pPr>
    </w:p>
    <w:p>
      <w:pPr>
        <w:ind w:left="180" w:right="3259" w:firstLine="446"/>
        <w:spacing w:after="0" w:line="241" w:lineRule="auto"/>
        <w:tabs>
          <w:tab w:leader="none" w:pos="98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the opinion of the intellectual property counsel for the Company, dated the Closing Date, to the effect that:</w:t>
      </w:r>
    </w:p>
    <w:p>
      <w:pPr>
        <w:spacing w:after="0" w:line="176" w:lineRule="exact"/>
        <w:rPr>
          <w:sz w:val="20"/>
          <w:szCs w:val="20"/>
          <w:color w:val="auto"/>
        </w:rPr>
      </w:pPr>
    </w:p>
    <w:p>
      <w:pPr>
        <w:ind w:left="440" w:right="3079" w:firstLine="455"/>
        <w:spacing w:after="0" w:line="242" w:lineRule="auto"/>
        <w:tabs>
          <w:tab w:leader="none" w:pos="12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such counsel is not aware of any legal actions, claims or proceedings pending or threatened against the Company alleging that the Company is infringing or otherwise violating any patents or trade secrets owned by others and to the best of such counsel's knowledge, the Company has not received any communication in which it is alleged that the Company is infringing or violating the patent rights of third parties;</w:t>
      </w:r>
    </w:p>
    <w:p>
      <w:pPr>
        <w:spacing w:after="0" w:line="176" w:lineRule="exact"/>
        <w:rPr>
          <w:rFonts w:ascii="Courier New" w:cs="Courier New" w:eastAsia="Courier New" w:hAnsi="Courier New"/>
          <w:sz w:val="15"/>
          <w:szCs w:val="15"/>
          <w:color w:val="auto"/>
        </w:rPr>
      </w:pPr>
    </w:p>
    <w:p>
      <w:pPr>
        <w:ind w:left="440" w:right="3159" w:firstLine="455"/>
        <w:spacing w:after="0" w:line="242" w:lineRule="auto"/>
        <w:tabs>
          <w:tab w:leader="none" w:pos="133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portions of the Registration Statement entitled "Risk Factors -- Patents and Proprietary Rights" and "Business -- Patents and Proprietary Rights" (collectively, the "Intellectual Property Portion") contains accurate and complete descriptions of the Company's patent applications, issued and allowed patents, and patents licensed to the Company and fairly summarized the legal matters, documents and proceedings relating thereto;</w:t>
      </w:r>
    </w:p>
    <w:p>
      <w:pPr>
        <w:spacing w:after="0" w:line="176" w:lineRule="exact"/>
        <w:rPr>
          <w:rFonts w:ascii="Courier New" w:cs="Courier New" w:eastAsia="Courier New" w:hAnsi="Courier New"/>
          <w:sz w:val="15"/>
          <w:szCs w:val="15"/>
          <w:color w:val="auto"/>
        </w:rPr>
      </w:pPr>
    </w:p>
    <w:p>
      <w:pPr>
        <w:ind w:left="440" w:right="3159" w:firstLine="455"/>
        <w:spacing w:after="0" w:line="242" w:lineRule="auto"/>
        <w:tabs>
          <w:tab w:leader="none" w:pos="142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at least one United States patent has issued to the Company, and that the Company is the Assignee of record, and that the patent is being maintained by the Company;</w:t>
      </w:r>
    </w:p>
    <w:p>
      <w:pPr>
        <w:spacing w:after="0" w:line="174" w:lineRule="exact"/>
        <w:rPr>
          <w:rFonts w:ascii="Courier New" w:cs="Courier New" w:eastAsia="Courier New" w:hAnsi="Courier New"/>
          <w:sz w:val="15"/>
          <w:szCs w:val="15"/>
          <w:color w:val="auto"/>
        </w:rPr>
      </w:pPr>
    </w:p>
    <w:p>
      <w:pPr>
        <w:ind w:left="440" w:right="3079" w:firstLine="455"/>
        <w:spacing w:after="0" w:line="242" w:lineRule="auto"/>
        <w:tabs>
          <w:tab w:leader="none" w:pos="133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at least 18 additional U.S. patent applications have been filed by the Company in the U.S. Patent and Trademark Office; that those pending patent applications have been properly prepared as to form and have been assigned to the Company which Assignments are either recorded in the U.S. Patent and Trademark Office or have been submitted for recording in the U.S. Patent and Trademark Office; and that each of these patent applications is being pursued by the Company;</w:t>
      </w:r>
    </w:p>
    <w:p>
      <w:pPr>
        <w:spacing w:after="0" w:line="177" w:lineRule="exact"/>
        <w:rPr>
          <w:rFonts w:ascii="Courier New" w:cs="Courier New" w:eastAsia="Courier New" w:hAnsi="Courier New"/>
          <w:sz w:val="15"/>
          <w:szCs w:val="15"/>
          <w:color w:val="auto"/>
        </w:rPr>
      </w:pPr>
    </w:p>
    <w:p>
      <w:pPr>
        <w:ind w:left="440" w:right="3599" w:firstLine="455"/>
        <w:spacing w:after="0" w:line="241" w:lineRule="auto"/>
        <w:tabs>
          <w:tab w:leader="none" w:pos="12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numerous foreign counterpart patent applications have been filed on behalf of the Company;</w:t>
      </w:r>
    </w:p>
    <w:p>
      <w:pPr>
        <w:spacing w:after="0" w:line="176" w:lineRule="exact"/>
        <w:rPr>
          <w:rFonts w:ascii="Courier New" w:cs="Courier New" w:eastAsia="Courier New" w:hAnsi="Courier New"/>
          <w:sz w:val="15"/>
          <w:szCs w:val="15"/>
          <w:color w:val="auto"/>
        </w:rPr>
      </w:pPr>
    </w:p>
    <w:p>
      <w:pPr>
        <w:ind w:left="440" w:right="3079" w:firstLine="455"/>
        <w:spacing w:after="0" w:line="242" w:lineRule="auto"/>
        <w:tabs>
          <w:tab w:leader="none" w:pos="133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Intellectual Property Portion contains descriptions which constitute matters of law or legal conclusions, these descriptions are correct in all material respects and fairly present the patent situation of the Company;</w:t>
      </w:r>
    </w:p>
    <w:p>
      <w:pPr>
        <w:spacing w:after="0" w:line="174" w:lineRule="exact"/>
        <w:rPr>
          <w:rFonts w:ascii="Courier New" w:cs="Courier New" w:eastAsia="Courier New" w:hAnsi="Courier New"/>
          <w:sz w:val="15"/>
          <w:szCs w:val="15"/>
          <w:color w:val="auto"/>
        </w:rPr>
      </w:pPr>
    </w:p>
    <w:p>
      <w:pPr>
        <w:ind w:left="440" w:right="3079" w:firstLine="455"/>
        <w:spacing w:after="0" w:line="242" w:lineRule="auto"/>
        <w:tabs>
          <w:tab w:leader="none" w:pos="142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there are no legal or governmental proceedings other than patent applications pending, relating to patent rights of the Company to which the Company is a party and, to such counsel's knowledge, no such proceedings are threatened or contemplated by governmental authorities or others;</w:t>
      </w:r>
    </w:p>
    <w:p>
      <w:pPr>
        <w:spacing w:after="0" w:line="175" w:lineRule="exact"/>
        <w:rPr>
          <w:rFonts w:ascii="Courier New" w:cs="Courier New" w:eastAsia="Courier New" w:hAnsi="Courier New"/>
          <w:sz w:val="15"/>
          <w:szCs w:val="15"/>
          <w:color w:val="auto"/>
        </w:rPr>
      </w:pPr>
    </w:p>
    <w:p>
      <w:pPr>
        <w:ind w:left="440" w:right="3159" w:firstLine="455"/>
        <w:spacing w:after="0" w:line="242" w:lineRule="auto"/>
        <w:tabs>
          <w:tab w:leader="none" w:pos="151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such counsel has not conducted all necessary freedom of operation opinions, to the best of such counsel's knowledge, all patents held by third parties, of which such counsel is aware, that could prevent the Company from manufacturing and selling, in the United States and abroad, the compositions and methods claimed in the patent applications described in an exhibit to</w:t>
      </w:r>
    </w:p>
    <w:p>
      <w:pPr>
        <w:sectPr>
          <w:pgSz w:w="11900" w:h="16838" w:orient="portrait"/>
          <w:cols w:equalWidth="0" w:num="1">
            <w:col w:w="9959"/>
          </w:cols>
          <w:pgMar w:left="500" w:top="289" w:right="1440" w:bottom="1440" w:gutter="0" w:footer="0" w:header="0"/>
        </w:sectPr>
      </w:pP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9" w:right="1440" w:bottom="1440"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ind w:left="700" w:right="3599"/>
        <w:spacing w:after="0"/>
        <w:rPr>
          <w:sz w:val="20"/>
          <w:szCs w:val="20"/>
          <w:color w:val="auto"/>
        </w:rPr>
      </w:pPr>
      <w:r>
        <w:rPr>
          <w:rFonts w:ascii="Courier New" w:cs="Courier New" w:eastAsia="Courier New" w:hAnsi="Courier New"/>
          <w:sz w:val="15"/>
          <w:szCs w:val="15"/>
          <w:color w:val="auto"/>
        </w:rPr>
        <w:t>such counsel's opinion, have been disclosed by such counsel in the Registration Statement or the Prospectus;</w:t>
      </w:r>
    </w:p>
    <w:p>
      <w:pPr>
        <w:spacing w:after="0" w:line="176" w:lineRule="exact"/>
        <w:rPr>
          <w:sz w:val="20"/>
          <w:szCs w:val="20"/>
          <w:color w:val="auto"/>
        </w:rPr>
      </w:pPr>
    </w:p>
    <w:p>
      <w:pPr>
        <w:ind w:left="700" w:right="3079" w:firstLine="455"/>
        <w:spacing w:after="0" w:line="261" w:lineRule="auto"/>
        <w:tabs>
          <w:tab w:leader="none" w:pos="1594" w:val="left"/>
        </w:tabs>
        <w:numPr>
          <w:ilvl w:val="3"/>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although such counsel has not independently verified the accuracy, completeness or fairness of the statements contained in the Registration Statement or the Prospectus, nothing has come to such counsel's attention that leads such counsel to believe that the statements in the Intellectual Property Portion in (a) the Registration Statement, at the time it became effective or at the Closing Date, contained or contain an untrue statement of a material fact or omit or omitted to state a material fact required to be stated therein or necessary to make the statements therein not misleading as to intellectual property matters, or (b) the Prospectus, as of the date of the Prospectus or at the Closing Date, contained or contain an untrue statement of a material fact or omitted or omit to state a material fact required to be stated therein or necessary to make the statements therein, in light of the circumstances under which they were made, not misleading as to intellectual property matters (it being understood that such counsel has not participated in the negotiation of or reviewed the Company's license agreements and such counsel has not undertaken any independent investigation as to whether the Company is infringing any patents or other rights of others or whether the Company owns or possesses sufficient licenses or other rights to use all patents or other rights necessary for the conduct of the Company's business).</w:t>
      </w:r>
    </w:p>
    <w:p>
      <w:pPr>
        <w:spacing w:after="0" w:line="334" w:lineRule="exact"/>
        <w:rPr>
          <w:rFonts w:ascii="Courier New" w:cs="Courier New" w:eastAsia="Courier New" w:hAnsi="Courier New"/>
          <w:sz w:val="14"/>
          <w:szCs w:val="14"/>
          <w:color w:val="auto"/>
        </w:rPr>
      </w:pPr>
    </w:p>
    <w:p>
      <w:pPr>
        <w:jc w:val="both"/>
        <w:ind w:left="440" w:right="3339" w:firstLine="446"/>
        <w:spacing w:after="0" w:line="241" w:lineRule="auto"/>
        <w:tabs>
          <w:tab w:leader="none" w:pos="1245" w:val="left"/>
        </w:tabs>
        <w:numPr>
          <w:ilvl w:val="2"/>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 opinion of Buc &amp; Beardsley, regulatory affairs counsel for the Company, dated the Closing Date, to the effect that:</w:t>
      </w:r>
    </w:p>
    <w:p>
      <w:pPr>
        <w:spacing w:after="0" w:line="176" w:lineRule="exact"/>
        <w:rPr>
          <w:rFonts w:ascii="Courier New" w:cs="Courier New" w:eastAsia="Courier New" w:hAnsi="Courier New"/>
          <w:sz w:val="15"/>
          <w:szCs w:val="15"/>
          <w:color w:val="auto"/>
        </w:rPr>
      </w:pPr>
    </w:p>
    <w:p>
      <w:pPr>
        <w:ind w:left="700" w:right="3159" w:firstLine="455"/>
        <w:spacing w:after="0" w:line="242" w:lineRule="auto"/>
        <w:tabs>
          <w:tab w:leader="none" w:pos="1505" w:val="left"/>
        </w:tabs>
        <w:numPr>
          <w:ilvl w:val="3"/>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Prospectus under the captions "Risk Factors -- Lengthy Regulatory Process; No Assurance of Regulatory Approvals" and "Business -- Government Regulation," and footnote one to the table under "Business -- Products Under Development" (the "Regulatory Portion") insofar as they refer to statements summarizing applicable provisions of the Federal Food, Drug, and Cosmetic Act (FDCA), Public Health Service Act (PHSA), and implementing regulations are correct in all material respects.</w:t>
      </w:r>
    </w:p>
    <w:p>
      <w:pPr>
        <w:spacing w:after="0" w:line="177" w:lineRule="exact"/>
        <w:rPr>
          <w:rFonts w:ascii="Courier New" w:cs="Courier New" w:eastAsia="Courier New" w:hAnsi="Courier New"/>
          <w:sz w:val="15"/>
          <w:szCs w:val="15"/>
          <w:color w:val="auto"/>
        </w:rPr>
      </w:pPr>
    </w:p>
    <w:p>
      <w:pPr>
        <w:ind w:left="700" w:right="3079" w:firstLine="455"/>
        <w:spacing w:after="0" w:line="260" w:lineRule="auto"/>
        <w:tabs>
          <w:tab w:leader="none" w:pos="1594" w:val="left"/>
        </w:tabs>
        <w:numPr>
          <w:ilvl w:val="3"/>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although such counsel has made no independent inquiry, nothing has come to such counsel's attention that would lead such counsel to believe that the statements in the Regulatory Portion of</w:t>
      </w:r>
    </w:p>
    <w:p>
      <w:pPr>
        <w:ind w:left="700" w:right="3079" w:firstLine="7"/>
        <w:spacing w:after="0" w:line="260" w:lineRule="auto"/>
        <w:tabs>
          <w:tab w:leader="none" w:pos="105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at the time it became effective or at the Closing Date, contained or contain an untrue statement of a material fact or omit or omitted to state a material fact required to be stated therein or necessary to make the statements therein not misleading, or</w:t>
      </w:r>
    </w:p>
    <w:p>
      <w:pPr>
        <w:ind w:left="700" w:right="3259" w:firstLine="7"/>
        <w:spacing w:after="0" w:line="242" w:lineRule="auto"/>
        <w:tabs>
          <w:tab w:leader="none" w:pos="105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as of the date of the Prospectus or at the Closing Date, contained or contain an untrue statement of a material fact or omitted or omit to state a material fact required to be stated therein or necessary to make the statements therein, in light of the circumstances under which they were made, not misleading.</w:t>
      </w:r>
    </w:p>
    <w:p>
      <w:pPr>
        <w:spacing w:after="0" w:line="175" w:lineRule="exact"/>
        <w:rPr>
          <w:rFonts w:ascii="Courier New" w:cs="Courier New" w:eastAsia="Courier New" w:hAnsi="Courier New"/>
          <w:sz w:val="15"/>
          <w:szCs w:val="15"/>
          <w:color w:val="auto"/>
        </w:rPr>
      </w:pPr>
    </w:p>
    <w:p>
      <w:pPr>
        <w:ind w:left="440" w:right="3159" w:firstLine="446"/>
        <w:spacing w:after="0" w:line="260" w:lineRule="auto"/>
        <w:tabs>
          <w:tab w:leader="none" w:pos="1245" w:val="left"/>
        </w:tabs>
        <w:numPr>
          <w:ilvl w:val="2"/>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shall have received on the Closing Date an opinion of Gunderson Dettmer Stough Villeneuve Franklin &amp; Hachigian, LLP, counsel for the Underwriters, dated the Closing Date, covering the matters referred to in subparagraphs (v), (vii), (ix) (but only as to the statements in the Prospectus under "Description of Capital Stock" and "Underwriters"), and</w:t>
      </w:r>
    </w:p>
    <w:p>
      <w:pPr>
        <w:ind w:left="880" w:hanging="441"/>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paragraph (c) above.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respect to subparagraph (ix) of paragraph (c) above and paragraph (f) above, Brobeck, Phleger &amp; Harrison LLP and Gunderson Dettmer Stough Villeneuve Franklin &amp; Hachigian, LLP may state that their opinion and belief are based upon their participation in the preparation of the Registration Statement and Prospectus and any amendments or supplements thereto and review and discussion of the contents thereof, but are without independent check or verification, except as specified.</w:t>
      </w:r>
    </w:p>
    <w:p>
      <w:pPr>
        <w:spacing w:after="0" w:line="177"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opinions of Burns, Doane, Sweeker &amp; Mathis and Buc, Leavitt &amp; Beardsley described in paragraphs (d) and (e) above shall be rendered to the Underwriters at the request of the Company and shall so state therein.</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Underwriters shall have received, on each of the date hereof and the Closing Date, a letter dated the date hereof or the Closing Date, as the case may be, in form and substance satisfactory to the Underwriters, from KPMG Peat Marwick LLP, independent public accountants, containing statements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and information of the type ordinarily included in accountants' "comfort letters" to underwriters with respect to the financial statements and certain financial information contained in the Registration Statement and the Prospectus; provided that the letter delivered on the Closing Date shall use a "cut-off date" not earlier than the date hereof.</w:t>
      </w:r>
    </w:p>
    <w:p>
      <w:pPr>
        <w:spacing w:after="0" w:line="175" w:lineRule="exact"/>
        <w:rPr>
          <w:sz w:val="20"/>
          <w:szCs w:val="20"/>
          <w:color w:val="auto"/>
        </w:rPr>
      </w:pPr>
    </w:p>
    <w:p>
      <w:pPr>
        <w:ind w:left="440" w:right="3079" w:firstLine="446"/>
        <w:spacing w:after="0" w:line="242" w:lineRule="auto"/>
        <w:tabs>
          <w:tab w:leader="none" w:pos="124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"lock-up" agreements, each substantially in the form of Exhibit A hereto, between you and certain shareholders,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several obligations of the Underwriters to purchase Additional Shares hereunder are subject to the delivery to you on the Option Closing Date of such documents as you may reasonably request with respect to the good standing of the Company, the due authorization and issuance of the Additional Shares and other matters related to the issuance of the Additional Shares.</w:t>
      </w:r>
    </w:p>
    <w:p>
      <w:pPr>
        <w:spacing w:after="0" w:line="175" w:lineRule="exact"/>
        <w:rPr>
          <w:sz w:val="20"/>
          <w:szCs w:val="20"/>
          <w:color w:val="auto"/>
        </w:rPr>
      </w:pPr>
    </w:p>
    <w:p>
      <w:pPr>
        <w:ind w:right="3259" w:firstLine="439"/>
        <w:spacing w:after="0" w:line="241" w:lineRule="auto"/>
        <w:tabs>
          <w:tab w:leader="none" w:pos="80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In further consideration of the agreements of the Underwriters herein contained, the Company covenants with each Underwriter as follows:</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you, without charge, three (3) signed copies (in original or by facsimile) of the Registration Statement (including exhibits thereto) and for delivery to each other Underwriter a conformed copy of the Registration Statement (without exhibits thereto) and to furnish to you in New York City, without charge, prior to 3:00 P.M. New York City time on the business day next succeeding the date of this Agreement and during the period mentioned in paragraph (c) below, as many copies of the Prospectus and any supplements and amendments thereto or to the Registration Statement as you may reasonably request.</w:t>
      </w:r>
    </w:p>
    <w:p>
      <w:pPr>
        <w:spacing w:after="0" w:line="17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amending or supplementing the Registration Statement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176" w:lineRule="exact"/>
        <w:rPr>
          <w:rFonts w:ascii="Courier New" w:cs="Courier New" w:eastAsia="Courier New" w:hAnsi="Courier New"/>
          <w:sz w:val="15"/>
          <w:szCs w:val="15"/>
          <w:color w:val="auto"/>
        </w:rPr>
      </w:pPr>
    </w:p>
    <w:p>
      <w:pPr>
        <w:ind w:left="440" w:right="3079" w:firstLine="446"/>
        <w:spacing w:after="0" w:line="261" w:lineRule="auto"/>
        <w:tabs>
          <w:tab w:leader="none" w:pos="124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such period after the first date of the public offering of the Shares as in the reasonable opinion of counsel for the Underwriters the Prospectus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law.</w:t>
      </w:r>
    </w:p>
    <w:p>
      <w:pPr>
        <w:spacing w:after="0" w:line="164" w:lineRule="exact"/>
        <w:rPr>
          <w:rFonts w:ascii="Courier New" w:cs="Courier New" w:eastAsia="Courier New" w:hAnsi="Courier New"/>
          <w:sz w:val="14"/>
          <w:szCs w:val="14"/>
          <w:color w:val="auto"/>
        </w:rPr>
      </w:pPr>
    </w:p>
    <w:p>
      <w:pPr>
        <w:ind w:left="440" w:right="3259" w:firstLine="446"/>
        <w:spacing w:after="0" w:line="241" w:lineRule="auto"/>
        <w:tabs>
          <w:tab w:leader="none" w:pos="124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endeavor to qualify the Shares for offer and sale under the securities or Blue Sky laws of such jurisdictions as you shall reasonably request.</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the Company's security holders and to you as soon as practicable an earning statement covering the twelve-month period ending June 30, 1997 that satisfies the provisions of Section 11(a) of the Securities Act and the rules and regulations of the Commission thereunder.</w:t>
      </w:r>
    </w:p>
    <w:p>
      <w:pPr>
        <w:spacing w:after="0" w:line="175" w:lineRule="exact"/>
        <w:rPr>
          <w:rFonts w:ascii="Courier New" w:cs="Courier New" w:eastAsia="Courier New" w:hAnsi="Courier New"/>
          <w:sz w:val="15"/>
          <w:szCs w:val="15"/>
          <w:color w:val="auto"/>
        </w:rPr>
      </w:pPr>
    </w:p>
    <w:p>
      <w:pPr>
        <w:ind w:left="440" w:right="3079" w:firstLine="446"/>
        <w:spacing w:after="0" w:line="262" w:lineRule="auto"/>
        <w:tabs>
          <w:tab w:leader="none" w:pos="124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w:t>
      </w:r>
    </w:p>
    <w:p>
      <w:pPr>
        <w:sectPr>
          <w:pgSz w:w="11900" w:h="16838" w:orient="portrait"/>
          <w:cols w:equalWidth="0" w:num="1">
            <w:col w:w="10219"/>
          </w:cols>
          <w:pgMar w:left="240" w:top="289" w:right="1440" w:bottom="1440" w:gutter="0" w:footer="0" w:header="0"/>
        </w:sectPr>
      </w:pP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type w:val="continuous"/>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Registration Statement, any preliminary prospectus, the Prospectus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6(d) hereof, including filing fees and the reasonable fees and disbursements of counsel for the Underwriters in connection with such qualification and in connection with the Blue Sky or Legal Investment memorandum, (iv) all filing fees and disbursements of counsel to the Underwriters incurred in connection with the review and qualification of the offering of the Shares by the National Association of Securities Dealers, Inc., (v) all costs and expenses incident to listing the Shares on Nasdaq National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and (ix) all other costs and expenses incident to the performance of the obligations of the Company hereunder for which provision is not otherwise made in this Section. It is understood, however, that except as provided in this Section, Section 7 entitled "Indemnity and Contribution", and the last paragraph of Section 9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95" w:lineRule="exact"/>
        <w:rPr>
          <w:sz w:val="20"/>
          <w:szCs w:val="20"/>
          <w:color w:val="auto"/>
        </w:rPr>
      </w:pPr>
    </w:p>
    <w:p>
      <w:pPr>
        <w:ind w:left="540" w:hanging="361"/>
        <w:spacing w:after="0"/>
        <w:tabs>
          <w:tab w:leader="none" w:pos="5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AND CONTRIBUTION.</w:t>
      </w:r>
    </w:p>
    <w:p>
      <w:pPr>
        <w:spacing w:after="0" w:line="176" w:lineRule="exact"/>
        <w:rPr>
          <w:sz w:val="20"/>
          <w:szCs w:val="20"/>
          <w:color w:val="auto"/>
        </w:rPr>
      </w:pPr>
    </w:p>
    <w:p>
      <w:pPr>
        <w:ind w:left="-260" w:right="3079" w:firstLine="439"/>
        <w:spacing w:after="0" w:line="242" w:lineRule="auto"/>
        <w:tabs>
          <w:tab w:leader="none" w:pos="54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each Underwriter and each person, if any, who controls any Underwriter within the meaning of either Section 15 of the Securities Act or Section 20 of the Securities Exchange Act of 1934, as amended (the "Exchange Act"), from and against any and all losses, claims, damages and liabilities (including, without limitation, any legal or other expenses reasonably incurred by any Underwriter or any such controlling person in connection with defending or investigating any such action or claim) caused by any untrue statement or alleged untrue statement of a material fact contained in the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 provided, however, that the foregoing indemnity agreement with respect to any preliminary prospectus shall not inure to the benefit of any Underwriter, or any person controlling such Underwriter, from whom that person asserting any such losses, claims, damages or liabilities purchased Shares, if a copy of the Prospectus (as then amended or supplemented if the Company shall have furnished any amendments or supplements thereto) was not sent or given by or on behalf of such Underwriter to such person, if required by law so to have been delivered, at or prior to the written confirmation of the sale of the Shares to such person, and if the Prospectus (as so amended or supplemented) would have cured the defect giving rise to such loss, claim, damage or liability.</w:t>
      </w:r>
    </w:p>
    <w:p>
      <w:pPr>
        <w:spacing w:after="0" w:line="190" w:lineRule="exact"/>
        <w:rPr>
          <w:rFonts w:ascii="Courier New" w:cs="Courier New" w:eastAsia="Courier New" w:hAnsi="Courier New"/>
          <w:sz w:val="15"/>
          <w:szCs w:val="15"/>
          <w:color w:val="auto"/>
        </w:rPr>
      </w:pPr>
    </w:p>
    <w:p>
      <w:pPr>
        <w:ind w:left="-260" w:right="3159" w:firstLine="439"/>
        <w:spacing w:after="0" w:line="242" w:lineRule="auto"/>
        <w:tabs>
          <w:tab w:leader="none" w:pos="54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severally and not jointly, to indemnify and hold harmless the Company, each of the directors of the Company, each of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w:t>
      </w:r>
    </w:p>
    <w:p>
      <w:pPr>
        <w:sectPr>
          <w:pgSz w:w="11900" w:h="16838" w:orient="portrait"/>
          <w:cols w:equalWidth="0" w:num="1">
            <w:col w:w="9959"/>
          </w:cols>
          <w:pgMar w:left="500" w:top="289" w:right="1440" w:bottom="1440" w:gutter="0" w:footer="0" w:header="0"/>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9" w:right="1440" w:bottom="144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defending or investigating any such action or claim) caused by any untrue statement or alleged untrue statement of a material fact contained in the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Prospectus or any amendments or supplements thereto.</w:t>
      </w:r>
    </w:p>
    <w:p>
      <w:pPr>
        <w:spacing w:after="0" w:line="179" w:lineRule="exact"/>
        <w:rPr>
          <w:sz w:val="20"/>
          <w:szCs w:val="20"/>
          <w:color w:val="auto"/>
        </w:rPr>
      </w:pPr>
    </w:p>
    <w:p>
      <w:pPr>
        <w:ind w:right="3079" w:firstLine="439"/>
        <w:spacing w:after="0" w:line="260" w:lineRule="auto"/>
        <w:tabs>
          <w:tab w:leader="none" w:pos="80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proceeding (including any governmental investigation) shall be instituted involving any person in respect of which indemnity may be sought pursuant to paragraph (a) or (b) of this Section 7,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(i) all Underwriters and all persons, if any, who control any Underwriter within the meaning of either Section 15 of the Securities Act or Section 20 of the Exchange Act, and (ii) the Company, its directors, its officers who sign the Registration Statement and each person, if any, who controls the Company within the meaning of either such Section and that all such fees and expenses shall be reimbursed as they are incurred. In the case of any such separate firm for the Underwriters and such control persons of the Underwriters, such firm shall be designated in writing by Morgan Stanley &amp; Co. Incorporated.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right="3159" w:firstLine="439"/>
        <w:spacing w:after="0" w:line="242" w:lineRule="auto"/>
        <w:tabs>
          <w:tab w:leader="none" w:pos="80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indemnification provided for in paragraph (a) or (b) of this Section 7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(i) above is not permitted by applicable law, in such proportion as is appropriate to reflect not only the relative benefits</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type w:val="continuous"/>
        </w:sectPr>
      </w:pPr>
    </w:p>
    <w:bookmarkStart w:id="84" w:name="page85"/>
    <w:bookmarkEnd w:id="84"/>
    <w:p>
      <w:pPr>
        <w:ind w:left="268"/>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referred to in clause (i)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7 are several in proportion to the respective number of Shares they have purchased hereunder, and not joint.</w:t>
      </w:r>
    </w:p>
    <w:p>
      <w:pPr>
        <w:spacing w:after="0" w:line="186" w:lineRule="exact"/>
        <w:rPr>
          <w:sz w:val="20"/>
          <w:szCs w:val="20"/>
          <w:color w:val="auto"/>
        </w:rPr>
      </w:pPr>
    </w:p>
    <w:p>
      <w:pPr>
        <w:ind w:left="8" w:right="3079" w:firstLine="439"/>
        <w:spacing w:after="0" w:line="242" w:lineRule="auto"/>
        <w:tabs>
          <w:tab w:leader="none" w:pos="81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Underwriters agree that it would not be just or equitable if contribution pursuant to this Section 7 were determined by pro rata allocation (even if the Underwriters were treated as one entity for such purpose) or by any other method of allocation that does not take account of the equitable considerations referred to in paragraph (d) of this Section 7.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w:t>
      </w:r>
    </w:p>
    <w:p>
      <w:pPr>
        <w:spacing w:after="0" w:line="186" w:lineRule="exact"/>
        <w:rPr>
          <w:rFonts w:ascii="Courier New" w:cs="Courier New" w:eastAsia="Courier New" w:hAnsi="Courier New"/>
          <w:sz w:val="15"/>
          <w:szCs w:val="15"/>
          <w:color w:val="auto"/>
        </w:rPr>
      </w:pPr>
    </w:p>
    <w:p>
      <w:pPr>
        <w:ind w:left="8" w:right="3079" w:firstLine="439"/>
        <w:spacing w:after="0" w:line="260" w:lineRule="auto"/>
        <w:tabs>
          <w:tab w:leader="none" w:pos="813"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and contribution provisions contained in this Section 7 and the representations, warranties and other statements of the Company contained in this Agreement shall remain operative and in full force and effect regardless of (i) any termination of this Agreement, (ii) any investigation made by or on behalf of any Underwriter or any person controlling any Underwriter, or the Company, its officers or directors or any person controlling the Company and</w:t>
      </w:r>
    </w:p>
    <w:p>
      <w:pPr>
        <w:ind w:left="528" w:hanging="528"/>
        <w:spacing w:after="0"/>
        <w:tabs>
          <w:tab w:leader="none" w:pos="52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and payment for any of the Shares.</w:t>
      </w:r>
    </w:p>
    <w:p>
      <w:pPr>
        <w:spacing w:after="0" w:line="176" w:lineRule="exact"/>
        <w:rPr>
          <w:sz w:val="20"/>
          <w:szCs w:val="20"/>
          <w:color w:val="auto"/>
        </w:rPr>
      </w:pPr>
    </w:p>
    <w:p>
      <w:pPr>
        <w:ind w:left="8" w:right="3079" w:firstLine="439"/>
        <w:spacing w:after="0" w:line="261" w:lineRule="auto"/>
        <w:tabs>
          <w:tab w:leader="none" w:pos="81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shall be subject to termination by notice given by you to the Company, if (a) after the execution and delivery of this Agreement and prior to the Closing Date (i) trading generally shall have been suspended or materially limited on or by, as the case may be, any of the New York Stock Exchange, the American Stock Exchange, the National Association of Securities Dealers, Inc., the Chicago Board of Options Exchange, the Chicago Mercantile Exchange or the Chicago Board of Trade, (ii) trading of any securities of the Company shall have been suspended on any exchange or in any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your judgment, is material and adverse and (b) in the case of any of the events specified in clauses (a) (i) through (iv), such event, singly or together with any other such event, makes it, in your judgment, impracticable to market the Shares on the terms and in the manner contemplated in the Prospectus.</w:t>
      </w:r>
    </w:p>
    <w:p>
      <w:pPr>
        <w:spacing w:after="0" w:line="164" w:lineRule="exact"/>
        <w:rPr>
          <w:rFonts w:ascii="Courier New" w:cs="Courier New" w:eastAsia="Courier New" w:hAnsi="Courier New"/>
          <w:sz w:val="14"/>
          <w:szCs w:val="14"/>
          <w:color w:val="auto"/>
        </w:rPr>
      </w:pPr>
    </w:p>
    <w:p>
      <w:pPr>
        <w:ind w:left="8" w:right="3339" w:firstLine="439"/>
        <w:spacing w:after="0"/>
        <w:tabs>
          <w:tab w:leader="none" w:pos="81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DEFAULTING UNDERWRITERS. This Agreement shall become effective upon the execution and delivery hereof by the parties hereto.</w:t>
      </w:r>
    </w:p>
    <w:p>
      <w:pPr>
        <w:spacing w:after="0" w:line="176"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If, on the Closing Date or the Option Closing Date, as the case may be, any one or more of the Underwriters shall fail or refuse to purchase Shares that it has or they have agreed to purchase hereunder on</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89"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provided that in no event shall the number of Shares that any Underwriter has agreed to purchase pursuant to this Agreement be increased pursuant to this Section 9 by an amount in excess of one-ninth of such number of Shares without the written consent of such Underwriter.</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If, on the Closing Date, any Underwriter or Underwriters shall fail or refuse to purchase Firm Shares and the aggregate number of Firm Shares with respect to which such default occurs is more than one-tenth of the aggregate number of Firm Shares to be purchased, and arrangements satisfactory to you and the Company for the purchase of such Firm Shares are not made within 36 hours after such default, this Agreement shall terminate without liability on the part of any non-defaulting Underwriter or the Company. In any such case you shall have the right to postpone the Closing Date, but in no event for longer than seven days, in order that the required changes, if any, in the Registration Statement and in the Prospectus or in any other documents or arrangements may be effected. If, on the Option Closing Date, any Underwriter or Underwriters shall fail or refuse to purchase Additional Shares and the aggregate number of Additional Shares with respect to which such default occurs is more than one-tenth of the aggregate number of Additional Shares to be purchased, the non-defaulting Underwriters shall have the option to (i) terminate their obligation hereunder to purchase Additional Shares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78" w:lineRule="exact"/>
        <w:rPr>
          <w:sz w:val="20"/>
          <w:szCs w:val="20"/>
          <w:color w:val="auto"/>
        </w:rPr>
      </w:pPr>
    </w:p>
    <w:p>
      <w:pPr>
        <w:ind w:right="3079" w:firstLine="439"/>
        <w:spacing w:after="0" w:line="241" w:lineRule="auto"/>
        <w:tabs>
          <w:tab w:leader="none" w:pos="89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two or more counterparts, each of which shall be an original, with the same effect as if the signatures thereto and hereto were upon the same instrument.</w:t>
      </w:r>
    </w:p>
    <w:p>
      <w:pPr>
        <w:spacing w:after="0" w:line="176" w:lineRule="exact"/>
        <w:rPr>
          <w:rFonts w:ascii="Courier New" w:cs="Courier New" w:eastAsia="Courier New" w:hAnsi="Courier New"/>
          <w:sz w:val="15"/>
          <w:szCs w:val="15"/>
          <w:color w:val="auto"/>
        </w:rPr>
      </w:pPr>
    </w:p>
    <w:p>
      <w:pPr>
        <w:ind w:right="3159" w:firstLine="439"/>
        <w:spacing w:after="0"/>
        <w:tabs>
          <w:tab w:leader="none" w:pos="89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Agreement shall be governed by and construed in accordance with the internal laws of the State of New York.</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339" w:firstLine="439"/>
        <w:spacing w:after="0" w:line="241" w:lineRule="auto"/>
        <w:tabs>
          <w:tab w:leader="none" w:pos="89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Agreement have been inserted for convenience of reference only and shall not be deemed a part of this Agreement.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IDEC PHARMACEUTICALS CORPORATION</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176"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Punk, Ziegel &amp; Knoell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severally on behalf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themselves and the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several underwriters named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Schedule I hereto.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Morgan Stanley &amp; Co.</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Incorporated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UNDERWRITER</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FIRM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PURCHASED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7140" w:space="0"/>
            <w:col w:w="30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Punk, Ziegel &amp; Knoell.........................................................</w:t>
      </w:r>
    </w:p>
    <w:p>
      <w:pPr>
        <w:spacing w:after="0" w:line="174" w:lineRule="exact"/>
        <w:rPr>
          <w:sz w:val="20"/>
          <w:szCs w:val="20"/>
          <w:color w:val="auto"/>
        </w:rPr>
      </w:pPr>
    </w:p>
    <w:p>
      <w:pPr>
        <w:ind w:left="7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Total Firm Shares...................................................</w:t>
      </w:r>
    </w:p>
    <w:p>
      <w:pPr>
        <w:spacing w:after="0" w:line="2" w:lineRule="exact"/>
        <w:rPr>
          <w:sz w:val="20"/>
          <w:szCs w:val="20"/>
          <w:color w:val="auto"/>
        </w:rPr>
      </w:pPr>
    </w:p>
    <w:p>
      <w:pPr>
        <w:ind w:left="75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IDEC PHARMACEUTICALS 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LOCK-UP LETTER</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Punk, Ziegel &amp; Knoell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Morgan Stanley &amp; Co.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1585 Broadway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10036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undersigned understands that you, as representatives (the "Representatives") of the several underwriters (the "Underwriters"), propose to enter into an Underwriting Agreement with IDEC Pharmaceuticals Corporation (the "Company") providing for the public offering (the "Public Offering") by the several Underwriters, including yourselves, of common stock of the Company (the "Common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induce the Underwriters that may participate in the Public Offering of the Company's Common Stock to continue their efforts in connection with the Public Offering, the undersigned hereby agrees that, without the prior written consent of Morgan Stanley &amp; Co. Incorporated on behalf of the Underwriters, it will not, during the period ending ninety (90) days after the date of the Prospectus,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(2) enter into any swap or other arrangement that transfers to another, in whole or in part, the economic consequences of ownership of the Common Stock, whether any such transaction described in clause (1) or (2) above is to be settled by delivery of Common Stock or such other securities, in cash or otherwise. The foregoing sentence shall not apply to the sale of any shares to the Underwriters pursuant to the Underwriting Agreement. In addition, the undersigned agrees that, without the prior written consent of Morgan Stanley &amp; Co. Incorporated on behalf of the Underwriters, it will not, during the period ending ninety (90) days after the date of the final Prospectus for the Public Offering,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undersigned confirms that the agreements of the undersigned are irrevocable and shall be binding upon the undersigned's legal representatives successors and assigns. The undersigned agrees and consents to the entry of stop transfer instructions with the Company's transfer agent against the transfer of securities of the Company held by the undersigned except in compliance with the terms and condition of this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Whether or not the Public Offering actually occurs depends on a number of factors, including market conditions. Any Public Offering will only be made pursuant to an Underwriting Agreement, the terms of which are subject to agreement between the Company and the Underwriters.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(Print Name)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IDEC Pharmaceuticals Corporation:</w:t>
      </w:r>
    </w:p>
    <w:p>
      <w:pPr>
        <w:spacing w:after="0" w:line="176"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We consent to the use of our report included herein and our reports incorporated herein by reference and to the references to our firm under the headings "Experts" and "Selected Consolidated Financial Data" in the prospectus.</w:t>
      </w:r>
    </w:p>
    <w:p>
      <w:pPr>
        <w:spacing w:after="0" w:line="157"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KPMG PEAT MARWICK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20, 1996</w:t>
      </w:r>
    </w:p>
    <w:p>
      <w:pPr>
        <w:sectPr>
          <w:pgSz w:w="11900" w:h="16838" w:orient="portrait"/>
          <w:cols w:equalWidth="0" w:num="1">
            <w:col w:w="10219"/>
          </w:cols>
          <w:pgMar w:left="240" w:top="140"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24.1</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439" w:firstLine="447"/>
        <w:spacing w:after="0" w:line="260" w:lineRule="auto"/>
        <w:rPr>
          <w:sz w:val="20"/>
          <w:szCs w:val="20"/>
          <w:color w:val="auto"/>
        </w:rPr>
      </w:pPr>
      <w:r>
        <w:rPr>
          <w:rFonts w:ascii="Courier New" w:cs="Courier New" w:eastAsia="Courier New" w:hAnsi="Courier New"/>
          <w:sz w:val="14"/>
          <w:szCs w:val="14"/>
          <w:color w:val="auto"/>
        </w:rPr>
        <w:t>Pursuant to the requirements of the Securities Act of 1933, the Company certifies that it has reasonable grounds to believe that it meets all of the requirements for filing on Form S-3 and has duly caused this Registration Statement to be signed on its behalf by the undersigned, thereunto duly</w:t>
      </w:r>
    </w:p>
    <w:p>
      <w:pPr>
        <w:spacing w:after="0" w:line="1"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authorized, in the City of San Diego, State of California, on the day of May, 1996.</w:t>
      </w:r>
    </w:p>
    <w:p>
      <w:pPr>
        <w:spacing w:after="0" w:line="346"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IDEC PHARMACEUTICALS CORPORATION</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William H. Rastetter</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Officer</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William H. Rastetter and Kenneth J. Woolcott, or either of them, as his or her true and lawful attorneys-in-fact and agents, with full power of substitution, for him or her and in his or her name, place and stead, in any and all capacities, to sign the Registration Statement filed herewith and any and all amendments to said Registration Statement (including post-effective amendments and registration statements filed pursuant to Rule 462 and otherwise),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35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ind w:left="1160"/>
              <w:spacing w:after="0"/>
              <w:rPr>
                <w:sz w:val="20"/>
                <w:szCs w:val="20"/>
                <w:color w:val="auto"/>
              </w:rPr>
            </w:pPr>
            <w:r>
              <w:rPr>
                <w:rFonts w:ascii="Courier New" w:cs="Courier New" w:eastAsia="Courier New" w:hAnsi="Courier New"/>
                <w:sz w:val="15"/>
                <w:szCs w:val="15"/>
                <w:color w:val="auto"/>
              </w:rPr>
              <w:t>SIGNATURE</w:t>
            </w: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7"/>
              </w:rPr>
              <w:t>TITLE</w:t>
            </w:r>
          </w:p>
        </w:tc>
        <w:tc>
          <w:tcPr>
            <w:tcW w:w="40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DATE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4"/>
                <w:szCs w:val="24"/>
                <w:color w:val="auto"/>
              </w:rPr>
            </w:pPr>
          </w:p>
        </w:tc>
        <w:tc>
          <w:tcPr>
            <w:tcW w:w="390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President, Chief Executive Officer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and Director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(William H. Rastetter)</w:t>
            </w: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(Principal Executive Officer)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3480" w:type="dxa"/>
            <w:vAlign w:val="bottom"/>
          </w:tcPr>
          <w:p>
            <w:pPr>
              <w:spacing w:after="0"/>
              <w:rPr>
                <w:sz w:val="24"/>
                <w:szCs w:val="24"/>
                <w:color w:val="auto"/>
              </w:rPr>
            </w:pP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Vice President, and Chief Financial</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Officer (Principal Financial and</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(Phillip M. Schneider)</w:t>
            </w:r>
          </w:p>
        </w:tc>
        <w:tc>
          <w:tcPr>
            <w:tcW w:w="39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Accounting Officer)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3480" w:type="dxa"/>
            <w:vAlign w:val="bottom"/>
          </w:tcPr>
          <w:p>
            <w:pPr>
              <w:spacing w:after="0"/>
              <w:rPr>
                <w:sz w:val="24"/>
                <w:szCs w:val="24"/>
                <w:color w:val="auto"/>
              </w:rPr>
            </w:pP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Chairman of the Board</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(Brook H. Byers)</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80" w:type="dxa"/>
            <w:vAlign w:val="bottom"/>
          </w:tcPr>
          <w:p>
            <w:pPr>
              <w:spacing w:after="0"/>
              <w:rPr>
                <w:sz w:val="24"/>
                <w:szCs w:val="24"/>
                <w:color w:val="auto"/>
              </w:rPr>
            </w:pPr>
          </w:p>
        </w:tc>
        <w:tc>
          <w:tcPr>
            <w:tcW w:w="39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7"/>
              </w:rPr>
              <w:t>Director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(Charles C. Edwards, M.D.)</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80" w:type="dxa"/>
            <w:vAlign w:val="bottom"/>
          </w:tcPr>
          <w:p>
            <w:pPr>
              <w:spacing w:after="0"/>
              <w:rPr>
                <w:sz w:val="24"/>
                <w:szCs w:val="24"/>
                <w:color w:val="auto"/>
              </w:rPr>
            </w:pPr>
          </w:p>
        </w:tc>
        <w:tc>
          <w:tcPr>
            <w:tcW w:w="39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7"/>
              </w:rPr>
              <w:t>Director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(John Groom)</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219"/>
          </w:cols>
          <w:pgMar w:left="240" w:top="140"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3480" w:type="dxa"/>
            <w:vAlign w:val="bottom"/>
          </w:tcPr>
          <w:p>
            <w:pPr>
              <w:ind w:left="1160"/>
              <w:spacing w:after="0"/>
              <w:rPr>
                <w:sz w:val="20"/>
                <w:szCs w:val="20"/>
                <w:color w:val="auto"/>
              </w:rPr>
            </w:pPr>
            <w:r>
              <w:rPr>
                <w:rFonts w:ascii="Courier New" w:cs="Courier New" w:eastAsia="Courier New" w:hAnsi="Courier New"/>
                <w:sz w:val="15"/>
                <w:szCs w:val="15"/>
                <w:color w:val="auto"/>
              </w:rPr>
              <w:t>SIGNATURE</w:t>
            </w:r>
          </w:p>
        </w:tc>
        <w:tc>
          <w:tcPr>
            <w:tcW w:w="3900" w:type="dxa"/>
            <w:vAlign w:val="bottom"/>
          </w:tcPr>
          <w:p>
            <w:pPr>
              <w:ind w:left="1520"/>
              <w:spacing w:after="0"/>
              <w:rPr>
                <w:sz w:val="20"/>
                <w:szCs w:val="20"/>
                <w:color w:val="auto"/>
              </w:rPr>
            </w:pPr>
            <w:r>
              <w:rPr>
                <w:rFonts w:ascii="Courier New" w:cs="Courier New" w:eastAsia="Courier New" w:hAnsi="Courier New"/>
                <w:sz w:val="15"/>
                <w:szCs w:val="15"/>
                <w:color w:val="auto"/>
              </w:rPr>
              <w:t>TITLE</w:t>
            </w:r>
          </w:p>
        </w:tc>
        <w:tc>
          <w:tcPr>
            <w:tcW w:w="400" w:type="dxa"/>
            <w:vAlign w:val="bottom"/>
          </w:tcPr>
          <w:p>
            <w:pPr>
              <w:spacing w:after="0"/>
              <w:rPr>
                <w:sz w:val="24"/>
                <w:szCs w:val="2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DATE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 KAZUHIRO HASHIMOTA</w:t>
            </w:r>
          </w:p>
        </w:tc>
        <w:tc>
          <w:tcPr>
            <w:tcW w:w="3900" w:type="dxa"/>
            <w:vAlign w:val="bottom"/>
          </w:tcPr>
          <w:p>
            <w:pPr>
              <w:ind w:left="144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May 20,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(Kazuhiro Hashimota)</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3900" w:type="dxa"/>
            <w:vAlign w:val="bottom"/>
          </w:tcPr>
          <w:p>
            <w:pPr>
              <w:ind w:left="1440"/>
              <w:spacing w:after="0"/>
              <w:rPr>
                <w:sz w:val="20"/>
                <w:szCs w:val="20"/>
                <w:color w:val="auto"/>
              </w:rPr>
            </w:pPr>
            <w:r>
              <w:rPr>
                <w:rFonts w:ascii="Courier New" w:cs="Courier New" w:eastAsia="Courier New" w:hAnsi="Courier New"/>
                <w:sz w:val="15"/>
                <w:szCs w:val="15"/>
                <w:color w:val="auto"/>
              </w:rPr>
              <w:t>Director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(Peter Barton Hutt)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3900" w:type="dxa"/>
            <w:vAlign w:val="bottom"/>
          </w:tcPr>
          <w:p>
            <w:pPr>
              <w:ind w:left="1440"/>
              <w:spacing w:after="0"/>
              <w:rPr>
                <w:sz w:val="20"/>
                <w:szCs w:val="20"/>
                <w:color w:val="auto"/>
              </w:rPr>
            </w:pPr>
            <w:r>
              <w:rPr>
                <w:rFonts w:ascii="Courier New" w:cs="Courier New" w:eastAsia="Courier New" w:hAnsi="Courier New"/>
                <w:sz w:val="15"/>
                <w:szCs w:val="15"/>
                <w:color w:val="auto"/>
              </w:rPr>
              <w:t>Director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(Franklin P. Johnson, Jr.)</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3900" w:type="dxa"/>
            <w:vAlign w:val="bottom"/>
          </w:tcPr>
          <w:p>
            <w:pPr>
              <w:ind w:left="1440"/>
              <w:spacing w:after="0"/>
              <w:rPr>
                <w:sz w:val="20"/>
                <w:szCs w:val="20"/>
                <w:color w:val="auto"/>
              </w:rPr>
            </w:pPr>
            <w:r>
              <w:rPr>
                <w:rFonts w:ascii="Courier New" w:cs="Courier New" w:eastAsia="Courier New" w:hAnsi="Courier New"/>
                <w:sz w:val="15"/>
                <w:szCs w:val="15"/>
                <w:color w:val="auto"/>
              </w:rPr>
              <w:t>Director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(John P. McLaughlin)</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3900" w:type="dxa"/>
            <w:vAlign w:val="bottom"/>
          </w:tcPr>
          <w:p>
            <w:pPr>
              <w:ind w:left="1440"/>
              <w:spacing w:after="0"/>
              <w:rPr>
                <w:sz w:val="20"/>
                <w:szCs w:val="20"/>
                <w:color w:val="auto"/>
              </w:rPr>
            </w:pPr>
            <w:r>
              <w:rPr>
                <w:rFonts w:ascii="Courier New" w:cs="Courier New" w:eastAsia="Courier New" w:hAnsi="Courier New"/>
                <w:sz w:val="15"/>
                <w:szCs w:val="15"/>
                <w:color w:val="auto"/>
              </w:rPr>
              <w:t>Director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(Lynn Schenk)</w:t>
            </w: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219"/>
          </w:cols>
          <w:pgMar w:left="240" w:top="289" w:right="1440" w:bottom="1440" w:gutter="0" w:footer="0" w:header="0"/>
        </w:sectPr>
      </w:pPr>
    </w:p>
    <w:bookmarkStart w:id="93" w:name="page94"/>
    <w:bookmarkEnd w:id="93"/>
    <w:p>
      <w:pPr>
        <w:ind w:left="268"/>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Company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the day of May, 1996.</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IDEC PHARMACEUTICALS CORPORATION</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William H. Rastetter</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Officer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William H. Rastetter and Kenneth J. Woolcott, or either of them, as his or her true and lawful attorneys-in-fact and agents, with full power of substitution, for him or her and in his or her name, place and stead, in any and all capacities, to sign the Registration Statement filed herewith and any and all amendments to said Registration Statement (including post-effective amendments and registration statements filed pursuant to Rule 462 and otherwise),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that all said attorneys-in-fact and agents, or their substitute or substitutes may lawfully do or cause to be done by virtue hereof.</w:t>
      </w:r>
    </w:p>
    <w:p>
      <w:pPr>
        <w:spacing w:after="0" w:line="182"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ind w:left="1160"/>
              <w:spacing w:after="0"/>
              <w:rPr>
                <w:sz w:val="20"/>
                <w:szCs w:val="20"/>
                <w:color w:val="auto"/>
              </w:rPr>
            </w:pPr>
            <w:r>
              <w:rPr>
                <w:rFonts w:ascii="Courier New" w:cs="Courier New" w:eastAsia="Courier New" w:hAnsi="Courier New"/>
                <w:sz w:val="15"/>
                <w:szCs w:val="15"/>
                <w:color w:val="auto"/>
              </w:rPr>
              <w:t>SIGNATURE</w:t>
            </w: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7"/>
              </w:rPr>
              <w:t>TITLE</w:t>
            </w:r>
          </w:p>
        </w:tc>
        <w:tc>
          <w:tcPr>
            <w:tcW w:w="40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DATE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4"/>
                <w:szCs w:val="24"/>
                <w:color w:val="auto"/>
              </w:rPr>
            </w:pPr>
          </w:p>
        </w:tc>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President, Chief Executive Officer</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Director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(William H. Rastetter)</w:t>
            </w: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(Principal Executive Officer)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3480" w:type="dxa"/>
            <w:vAlign w:val="bottom"/>
          </w:tcPr>
          <w:p>
            <w:pPr>
              <w:spacing w:after="0"/>
              <w:rPr>
                <w:sz w:val="24"/>
                <w:szCs w:val="24"/>
                <w:color w:val="auto"/>
              </w:rPr>
            </w:pP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Vice President, and Chief Financial</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jc w:val="center"/>
              <w:spacing w:after="0"/>
              <w:rPr>
                <w:sz w:val="20"/>
                <w:szCs w:val="20"/>
                <w:color w:val="auto"/>
              </w:rPr>
            </w:pPr>
            <w:r>
              <w:rPr>
                <w:rFonts w:ascii="Courier New" w:cs="Courier New" w:eastAsia="Courier New" w:hAnsi="Courier New"/>
                <w:sz w:val="15"/>
                <w:szCs w:val="15"/>
                <w:color w:val="auto"/>
                <w:w w:val="99"/>
              </w:rPr>
              <w:t>Officer (Principal Financial and</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(Phillip M. Schneider)</w:t>
            </w:r>
          </w:p>
        </w:tc>
        <w:tc>
          <w:tcPr>
            <w:tcW w:w="39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Accounting Officer)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3480" w:type="dxa"/>
            <w:vAlign w:val="bottom"/>
          </w:tcPr>
          <w:p>
            <w:pPr>
              <w:spacing w:after="0"/>
              <w:rPr>
                <w:sz w:val="24"/>
                <w:szCs w:val="24"/>
                <w:color w:val="auto"/>
              </w:rPr>
            </w:pPr>
          </w:p>
        </w:tc>
        <w:tc>
          <w:tcPr>
            <w:tcW w:w="39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Chairman of the Board</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May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1996</w:t>
            </w:r>
          </w:p>
        </w:tc>
      </w:tr>
    </w:tbl>
    <w:p>
      <w:pPr>
        <w:spacing w:after="0" w:line="2"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(Brook H. Byers)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560" w:type="dxa"/>
            <w:vAlign w:val="bottom"/>
          </w:tcPr>
          <w:p>
            <w:pPr>
              <w:ind w:left="492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940"/>
              <w:spacing w:after="0"/>
              <w:rPr>
                <w:sz w:val="20"/>
                <w:szCs w:val="20"/>
                <w:color w:val="auto"/>
              </w:rPr>
            </w:pPr>
            <w:r>
              <w:rPr>
                <w:rFonts w:ascii="Courier New" w:cs="Courier New" w:eastAsia="Courier New" w:hAnsi="Courier New"/>
                <w:sz w:val="15"/>
                <w:szCs w:val="15"/>
                <w:color w:val="auto"/>
              </w:rPr>
              <w:t>May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(Charles C. Edwards, M.D.)</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16"/>
        </w:trPr>
        <w:tc>
          <w:tcPr>
            <w:tcW w:w="6560" w:type="dxa"/>
            <w:vAlign w:val="bottom"/>
          </w:tcPr>
          <w:p>
            <w:pPr>
              <w:ind w:left="492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940"/>
              <w:spacing w:after="0"/>
              <w:rPr>
                <w:sz w:val="20"/>
                <w:szCs w:val="20"/>
                <w:color w:val="auto"/>
              </w:rPr>
            </w:pPr>
            <w:r>
              <w:rPr>
                <w:rFonts w:ascii="Courier New" w:cs="Courier New" w:eastAsia="Courier New" w:hAnsi="Courier New"/>
                <w:sz w:val="15"/>
                <w:szCs w:val="15"/>
                <w:color w:val="auto"/>
              </w:rPr>
              <w:t>May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(John Groom)</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ectPr>
          <w:pgSz w:w="11900" w:h="16838" w:orient="portrait"/>
          <w:cols w:equalWidth="0" w:num="1">
            <w:col w:w="10227"/>
          </w:cols>
          <w:pgMar w:left="232" w:top="289" w:right="1440" w:bottom="1440" w:gutter="0" w:footer="0" w:header="0"/>
        </w:sectPr>
      </w:pPr>
    </w:p>
    <w:bookmarkStart w:id="94" w:name="page95"/>
    <w:bookmarkEnd w:id="94"/>
    <w:p>
      <w:pPr>
        <w:ind w:left="268"/>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27"/>
          </w:cols>
          <w:pgMar w:left="232" w:top="290"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3308" w:space="360"/>
            <w:col w:w="3580" w:space="360"/>
            <w:col w:w="2619"/>
          </w:cols>
          <w:pgMar w:left="232" w:top="290" w:right="1440" w:bottom="1440" w:gutter="0" w:footer="0" w:header="0"/>
          <w:type w:val="continuous"/>
        </w:sectPr>
      </w:pPr>
    </w:p>
    <w:p>
      <w:pPr>
        <w:spacing w:after="0" w:line="1" w:lineRule="exact"/>
        <w:rPr>
          <w:sz w:val="20"/>
          <w:szCs w:val="20"/>
          <w:color w:val="auto"/>
        </w:rPr>
      </w:pPr>
    </w:p>
    <w:p>
      <w:pPr>
        <w:ind w:left="4928"/>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1996</w:t>
      </w:r>
    </w:p>
    <w:p>
      <w:pPr>
        <w:spacing w:after="0" w:line="11" w:lineRule="exact"/>
        <w:rPr>
          <w:sz w:val="20"/>
          <w:szCs w:val="20"/>
          <w:color w:val="auto"/>
        </w:rPr>
      </w:pPr>
    </w:p>
    <w:p>
      <w:pPr>
        <w:sectPr>
          <w:pgSz w:w="11900" w:h="16838" w:orient="portrait"/>
          <w:cols w:equalWidth="0" w:num="3">
            <w:col w:w="6788" w:space="720"/>
            <w:col w:w="280" w:space="260"/>
            <w:col w:w="2179"/>
          </w:cols>
          <w:pgMar w:left="232" w:top="290" w:right="1440" w:bottom="1440" w:gutter="0" w:footer="0" w:header="0"/>
          <w:type w:val="continuous"/>
        </w:sect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(Kazuhiro Hashimota)</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/s/ PETER BARTON HUTT</w:t>
            </w:r>
          </w:p>
        </w:tc>
        <w:tc>
          <w:tcPr>
            <w:tcW w:w="24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gridSpan w:val="2"/>
          </w:tcPr>
          <w:p>
            <w:pPr>
              <w:ind w:left="940"/>
              <w:spacing w:after="0"/>
              <w:rPr>
                <w:sz w:val="20"/>
                <w:szCs w:val="20"/>
                <w:color w:val="auto"/>
              </w:rPr>
            </w:pPr>
            <w:r>
              <w:rPr>
                <w:rFonts w:ascii="Courier New" w:cs="Courier New" w:eastAsia="Courier New" w:hAnsi="Courier New"/>
                <w:sz w:val="15"/>
                <w:szCs w:val="15"/>
                <w:color w:val="auto"/>
                <w:w w:val="98"/>
              </w:rPr>
              <w:t>May 20, 1996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(Peter Barton Hutt)</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4"/>
        </w:trPr>
        <w:tc>
          <w:tcPr>
            <w:tcW w:w="4100" w:type="dxa"/>
            <w:vAlign w:val="bottom"/>
          </w:tcPr>
          <w:p>
            <w:pPr>
              <w:spacing w:after="0"/>
              <w:rPr>
                <w:sz w:val="24"/>
                <w:szCs w:val="24"/>
                <w:color w:val="auto"/>
              </w:rPr>
            </w:pPr>
          </w:p>
        </w:tc>
        <w:tc>
          <w:tcPr>
            <w:tcW w:w="24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940"/>
              <w:spacing w:after="0"/>
              <w:rPr>
                <w:sz w:val="20"/>
                <w:szCs w:val="20"/>
                <w:color w:val="auto"/>
              </w:rPr>
            </w:pPr>
            <w:r>
              <w:rPr>
                <w:rFonts w:ascii="Courier New" w:cs="Courier New" w:eastAsia="Courier New" w:hAnsi="Courier New"/>
                <w:sz w:val="15"/>
                <w:szCs w:val="15"/>
                <w:color w:val="auto"/>
              </w:rPr>
              <w:t>May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(Franklin P. Johnson, Jr.)</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4"/>
        </w:trPr>
        <w:tc>
          <w:tcPr>
            <w:tcW w:w="4100" w:type="dxa"/>
            <w:vAlign w:val="bottom"/>
          </w:tcPr>
          <w:p>
            <w:pPr>
              <w:spacing w:after="0"/>
              <w:rPr>
                <w:sz w:val="24"/>
                <w:szCs w:val="24"/>
                <w:color w:val="auto"/>
              </w:rPr>
            </w:pPr>
          </w:p>
        </w:tc>
        <w:tc>
          <w:tcPr>
            <w:tcW w:w="24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940"/>
              <w:spacing w:after="0"/>
              <w:rPr>
                <w:sz w:val="20"/>
                <w:szCs w:val="20"/>
                <w:color w:val="auto"/>
              </w:rPr>
            </w:pPr>
            <w:r>
              <w:rPr>
                <w:rFonts w:ascii="Courier New" w:cs="Courier New" w:eastAsia="Courier New" w:hAnsi="Courier New"/>
                <w:sz w:val="15"/>
                <w:szCs w:val="15"/>
                <w:color w:val="auto"/>
              </w:rPr>
              <w:t>May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(John P. McLaughlin)</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4"/>
        </w:trPr>
        <w:tc>
          <w:tcPr>
            <w:tcW w:w="4100" w:type="dxa"/>
            <w:vAlign w:val="bottom"/>
          </w:tcPr>
          <w:p>
            <w:pPr>
              <w:spacing w:after="0"/>
              <w:rPr>
                <w:sz w:val="24"/>
                <w:szCs w:val="24"/>
                <w:color w:val="auto"/>
              </w:rPr>
            </w:pPr>
          </w:p>
        </w:tc>
        <w:tc>
          <w:tcPr>
            <w:tcW w:w="24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940"/>
              <w:spacing w:after="0"/>
              <w:rPr>
                <w:sz w:val="20"/>
                <w:szCs w:val="20"/>
                <w:color w:val="auto"/>
              </w:rPr>
            </w:pPr>
            <w:r>
              <w:rPr>
                <w:rFonts w:ascii="Courier New" w:cs="Courier New" w:eastAsia="Courier New" w:hAnsi="Courier New"/>
                <w:sz w:val="15"/>
                <w:szCs w:val="15"/>
                <w:color w:val="auto"/>
              </w:rPr>
              <w:t>May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(Lynn Schenk)</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227"/>
      </w:cols>
      <w:pgMar w:left="232" w:top="2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2)"/>
      <w:numFmt w:val="decimal"/>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lowerRoman"/>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3"/>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lowerRoman"/>
      <w:start w:val="1"/>
    </w:lvl>
  </w:abstractNum>
  <w:abstractNum w:abstractNumId="14">
    <w:nsid w:val="7724C67E"/>
    <w:multiLevelType w:val="hybridMultilevel"/>
    <w:lvl w:ilvl="0">
      <w:lvlJc w:val="left"/>
      <w:lvlText w:val="(%1)"/>
      <w:numFmt w:val="lowerRoman"/>
      <w:start w:val="4"/>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lvl w:ilvl="1">
      <w:lvlJc w:val="left"/>
      <w:lvlText w:val="(%2)"/>
      <w:numFmt w:val="decimal"/>
      <w:start w:val="1"/>
    </w:lvl>
  </w:abstractNum>
  <w:abstractNum w:abstractNumId="18">
    <w:nsid w:val="51EAD36B"/>
    <w:multiLevelType w:val="hybridMultilevel"/>
    <w:lvl w:ilvl="0">
      <w:lvlJc w:val="left"/>
      <w:lvlText w:val="(%1)"/>
      <w:numFmt w:val="decimal"/>
      <w:start w:val="4"/>
    </w:lvl>
    <w:lvl w:ilvl="1">
      <w:lvlJc w:val="left"/>
      <w:lvlText w:val="(%2)"/>
      <w:numFmt w:val="decimal"/>
      <w:start w:val="2"/>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lvl w:ilvl="1">
      <w:lvlJc w:val="left"/>
      <w:lvlText w:val="(%2)"/>
      <w:numFmt w:val="lowerLetter"/>
      <w:start w:val="1"/>
    </w:lvl>
  </w:abstractNum>
  <w:abstractNum w:abstractNumId="29">
    <w:nsid w:val="57E4CCAF"/>
    <w:multiLevelType w:val="hybridMultilevel"/>
    <w:lvl w:ilvl="0">
      <w:lvlJc w:val="left"/>
      <w:lvlText w:val="(%1)"/>
      <w:numFmt w:val="lowerLetter"/>
      <w:start w:val="4"/>
    </w:lvl>
  </w:abstractNum>
  <w:abstractNum w:abstractNumId="30">
    <w:nsid w:val="7A6D8D3C"/>
    <w:multiLevelType w:val="hybridMultilevel"/>
    <w:lvl w:ilvl="0">
      <w:lvlJc w:val="left"/>
      <w:lvlText w:val="(%1)"/>
      <w:numFmt w:val="lowerLetter"/>
      <w:start w:val="12"/>
    </w:lvl>
  </w:abstractNum>
  <w:abstractNum w:abstractNumId="31">
    <w:nsid w:val="4B588F54"/>
    <w:multiLevelType w:val="hybridMultilevel"/>
    <w:lvl w:ilvl="0">
      <w:lvlJc w:val="left"/>
      <w:lvlText w:val="%1."/>
      <w:numFmt w:val="decimal"/>
      <w:start w:val="2"/>
    </w:lvl>
  </w:abstractNum>
  <w:abstractNum w:abstractNumId="32">
    <w:nsid w:val="542289EC"/>
    <w:multiLevelType w:val="hybridMultilevel"/>
    <w:lvl w:ilvl="0">
      <w:lvlJc w:val="left"/>
      <w:lvlText w:val="%1."/>
      <w:numFmt w:val="decimal"/>
      <w:start w:val="3"/>
    </w:lvl>
  </w:abstractNum>
  <w:abstractNum w:abstractNumId="33">
    <w:nsid w:val="6DE91B18"/>
    <w:multiLevelType w:val="hybridMultilevel"/>
    <w:lvl w:ilvl="0">
      <w:lvlJc w:val="left"/>
      <w:lvlText w:val="%1."/>
      <w:numFmt w:val="decimal"/>
      <w:start w:val="4"/>
    </w:lvl>
  </w:abstractNum>
  <w:abstractNum w:abstractNumId="34">
    <w:nsid w:val="38437FDB"/>
    <w:multiLevelType w:val="hybridMultilevel"/>
    <w:lvl w:ilvl="0">
      <w:lvlJc w:val="left"/>
      <w:lvlText w:val="(%1)"/>
      <w:numFmt w:val="decimal"/>
      <w:start w:val="3"/>
    </w:lvl>
  </w:abstractNum>
  <w:abstractNum w:abstractNumId="35">
    <w:nsid w:val="7644A45C"/>
    <w:multiLevelType w:val="hybridMultilevel"/>
    <w:lvl w:ilvl="0">
      <w:lvlJc w:val="left"/>
      <w:lvlText w:val="%1."/>
      <w:numFmt w:val="decimal"/>
      <w:start w:val="5"/>
    </w:lvl>
  </w:abstractNum>
  <w:abstractNum w:abstractNumId="36">
    <w:nsid w:val="32FFF902"/>
    <w:multiLevelType w:val="hybridMultilevel"/>
    <w:lvl w:ilvl="0">
      <w:lvlJc w:val="left"/>
      <w:lvlText w:val="(%1)"/>
      <w:numFmt w:val="lowerLetter"/>
      <w:start w:val="1"/>
    </w:lvl>
    <w:lvl w:ilvl="1">
      <w:lvlJc w:val="left"/>
      <w:lvlText w:val="(%2)"/>
      <w:numFmt w:val="lowerRoman"/>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
    <w:nsid w:val="749ABB4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0"/>
    </w:lvl>
  </w:abstractNum>
  <w:abstractNum w:abstractNumId="40">
    <w:nsid w:val="3DC240FB"/>
    <w:multiLevelType w:val="hybridMultilevel"/>
    <w:lvl w:ilvl="0">
      <w:lvlJc w:val="left"/>
      <w:lvlText w:val="%1"/>
      <w:numFmt w:val="lowerLetter"/>
      <w:start w:val="1"/>
    </w:lvl>
    <w:lvl w:ilvl="1">
      <w:lvlJc w:val="left"/>
      <w:lvlText w:val="(%2)"/>
      <w:numFmt w:val="lowerRoman"/>
      <w:start w:val="12"/>
    </w:lvl>
  </w:abstractNum>
  <w:abstractNum w:abstractNumId="41">
    <w:nsid w:val="1BA026FA"/>
    <w:multiLevelType w:val="hybridMultilevel"/>
    <w:lvl w:ilvl="0">
      <w:lvlJc w:val="left"/>
      <w:lvlText w:val="(%1)"/>
      <w:numFmt w:val="lowerLetter"/>
      <w:start w:val="4"/>
    </w:lvl>
    <w:lvl w:ilvl="1">
      <w:lvlJc w:val="left"/>
      <w:lvlText w:val="%2"/>
      <w:numFmt w:val="lowerRoman"/>
      <w:start w:val="1"/>
    </w:lvl>
  </w:abstractNum>
  <w:abstractNum w:abstractNumId="42">
    <w:nsid w:val="79A1DEAA"/>
    <w:multiLevelType w:val="hybridMultilevel"/>
    <w:lvl w:ilvl="0">
      <w:lvlJc w:val="left"/>
      <w:lvlText w:val="(%1)"/>
      <w:numFmt w:val="lowerRoman"/>
      <w:start w:val="1"/>
    </w:lvl>
  </w:abstractNum>
  <w:abstractNum w:abstractNumId="43">
    <w:nsid w:val="75C6C33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Roman"/>
      <w:start w:val="9"/>
    </w:lvl>
  </w:abstractNum>
  <w:abstractNum w:abstractNumId="44">
    <w:nsid w:val="12E685F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45">
    <w:nsid w:val="70C6A52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
    </w:lvl>
    <w:lvl w:ilvl="3">
      <w:lvlJc w:val="left"/>
      <w:lvlText w:val="%4"/>
      <w:numFmt w:val="lowerRoman"/>
      <w:start w:val="1"/>
    </w:lvl>
  </w:abstractNum>
  <w:abstractNum w:abstractNumId="46">
    <w:nsid w:val="520EEDD1"/>
    <w:multiLevelType w:val="hybridMultilevel"/>
    <w:lvl w:ilvl="0">
      <w:lvlJc w:val="left"/>
      <w:lvlText w:val="(%1)"/>
      <w:numFmt w:val="lowerRoman"/>
      <w:start w:val="1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7">
    <w:nsid w:val="374A3FE6"/>
    <w:multiLevelType w:val="hybridMultilevel"/>
    <w:lvl w:ilvl="0">
      <w:lvlJc w:val="left"/>
      <w:lvlText w:val="(%1)"/>
      <w:numFmt w:val="lowerLetter"/>
      <w:start w:val="7"/>
    </w:lvl>
  </w:abstractNum>
  <w:abstractNum w:abstractNumId="48">
    <w:nsid w:val="4F4EF005"/>
    <w:multiLevelType w:val="hybridMultilevel"/>
    <w:lvl w:ilvl="0">
      <w:lvlJc w:val="left"/>
      <w:lvlText w:val="(%1)"/>
      <w:numFmt w:val="lowerLetter"/>
      <w:start w:val="8"/>
    </w:lvl>
  </w:abstractNum>
  <w:abstractNum w:abstractNumId="49">
    <w:nsid w:val="23F9C13C"/>
    <w:multiLevelType w:val="hybridMultilevel"/>
    <w:lvl w:ilvl="0">
      <w:lvlJc w:val="left"/>
      <w:lvlText w:val="%1."/>
      <w:numFmt w:val="decimal"/>
      <w:start w:val="6"/>
    </w:lvl>
    <w:lvl w:ilvl="1">
      <w:lvlJc w:val="left"/>
      <w:lvlText w:val="(%2)"/>
      <w:numFmt w:val="lowerLetter"/>
      <w:start w:val="1"/>
    </w:lvl>
  </w:abstractNum>
  <w:abstractNum w:abstractNumId="50">
    <w:nsid w:val="649BB77C"/>
    <w:multiLevelType w:val="hybridMultilevel"/>
    <w:lvl w:ilvl="0">
      <w:lvlJc w:val="left"/>
      <w:lvlText w:val="%1."/>
      <w:numFmt w:val="decimal"/>
      <w:start w:val="7"/>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3"/>
    </w:lvl>
  </w:abstractNum>
  <w:abstractNum w:abstractNumId="53">
    <w:nsid w:val="1CF10FD8"/>
    <w:multiLevelType w:val="hybridMultilevel"/>
    <w:lvl w:ilvl="0">
      <w:lvlJc w:val="left"/>
      <w:lvlText w:val="%1"/>
      <w:numFmt w:val="lowerLetter"/>
      <w:start w:val="1"/>
    </w:lvl>
    <w:lvl w:ilvl="1">
      <w:lvlJc w:val="left"/>
      <w:lvlText w:val="(%2)"/>
      <w:numFmt w:val="lowerLetter"/>
      <w:start w:val="5"/>
    </w:lvl>
  </w:abstractNum>
  <w:abstractNum w:abstractNumId="54">
    <w:nsid w:val="180115BE"/>
    <w:multiLevelType w:val="hybridMultilevel"/>
    <w:lvl w:ilvl="0">
      <w:lvlJc w:val="left"/>
      <w:lvlText w:val="(%1)"/>
      <w:numFmt w:val="lowerLetter"/>
      <w:start w:val="61"/>
    </w:lvl>
    <w:lvl w:ilvl="1">
      <w:lvlJc w:val="left"/>
      <w:lvlText w:val="%2"/>
      <w:numFmt w:val="lowerLetter"/>
      <w:start w:val="1"/>
    </w:lvl>
  </w:abstractNum>
  <w:abstractNum w:abstractNumId="55">
    <w:nsid w:val="235BA861"/>
    <w:multiLevelType w:val="hybridMultilevel"/>
    <w:lvl w:ilvl="0">
      <w:lvlJc w:val="left"/>
      <w:lvlText w:val="%1."/>
      <w:numFmt w:val="decimal"/>
      <w:start w:val="8"/>
    </w:lvl>
  </w:abstractNum>
  <w:abstractNum w:abstractNumId="56">
    <w:nsid w:val="47398C89"/>
    <w:multiLevelType w:val="hybridMultilevel"/>
    <w:lvl w:ilvl="0">
      <w:lvlJc w:val="left"/>
      <w:lvlText w:val="%1."/>
      <w:numFmt w:val="decimal"/>
      <w:start w:val="10"/>
    </w:lvl>
  </w:abstractNum>
  <w:abstractNum w:abstractNumId="57">
    <w:nsid w:val="354FE9F9"/>
    <w:multiLevelType w:val="hybridMultilevel"/>
    <w:lvl w:ilvl="0">
      <w:lvlJc w:val="left"/>
      <w:lvlText w:val="%1."/>
      <w:numFmt w:val="decimal"/>
      <w:start w:val="12"/>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2019-12-12T07:15:13Z</dcterms:created>
  <dcterms:modified xsi:type="dcterms:W3CDTF">2019-12-12T07:15:13Z</dcterms:modified>
</cp:coreProperties>
</file>