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3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30"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94615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36" w:lineRule="exact"/>
        <w:rPr>
          <w:sz w:val="24"/>
          <w:szCs w:val="24"/>
          <w:color w:val="auto"/>
        </w:rPr>
      </w:pPr>
    </w:p>
    <w:p>
      <w:pPr>
        <w:ind w:left="2440"/>
        <w:spacing w:after="0"/>
        <w:tabs>
          <w:tab w:leader="none" w:pos="818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33-0112644</w:t>
      </w:r>
    </w:p>
    <w:p>
      <w:pPr>
        <w:spacing w:after="0" w:line="30" w:lineRule="exact"/>
        <w:rPr>
          <w:sz w:val="24"/>
          <w:szCs w:val="24"/>
          <w:color w:val="auto"/>
        </w:rPr>
      </w:pPr>
    </w:p>
    <w:p>
      <w:pPr>
        <w:ind w:left="1860"/>
        <w:spacing w:after="0"/>
        <w:tabs>
          <w:tab w:leader="none" w:pos="8020"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(I.R.S. Employer</w:t>
      </w:r>
    </w:p>
    <w:p>
      <w:pPr>
        <w:ind w:left="1820"/>
        <w:spacing w:after="0"/>
        <w:tabs>
          <w:tab w:leader="none" w:pos="8000"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4"/>
          <w:szCs w:val="14"/>
          <w:i w:val="1"/>
          <w:iCs w:val="1"/>
          <w:color w:val="auto"/>
        </w:rPr>
        <w:t>Identification No.)</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225 Binney Street, Cambridge, MA 02142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p>
      <w:pPr>
        <w:ind w:left="1460"/>
        <w:spacing w:after="0"/>
        <w:tabs>
          <w:tab w:leader="none" w:pos="4520" w:val="left"/>
          <w:tab w:leader="none" w:pos="7240" w:val="left"/>
        </w:tabs>
        <w:rPr>
          <w:sz w:val="20"/>
          <w:szCs w:val="20"/>
          <w:color w:val="auto"/>
        </w:rPr>
      </w:pPr>
      <w:r>
        <w:rPr>
          <w:rFonts w:ascii="Arial" w:cs="Arial" w:eastAsia="Arial" w:hAnsi="Arial"/>
          <w:sz w:val="14"/>
          <w:szCs w:val="14"/>
          <w:color w:val="auto"/>
        </w:rPr>
        <w:t>Title of each class</w:t>
      </w:r>
      <w:r>
        <w:rPr>
          <w:sz w:val="20"/>
          <w:szCs w:val="20"/>
          <w:color w:val="auto"/>
        </w:rPr>
        <w:tab/>
      </w:r>
      <w:r>
        <w:rPr>
          <w:rFonts w:ascii="Arial" w:cs="Arial" w:eastAsia="Arial" w:hAnsi="Arial"/>
          <w:sz w:val="14"/>
          <w:szCs w:val="14"/>
          <w:color w:val="auto"/>
        </w:rPr>
        <w:t>Trading Symbol(s)</w:t>
      </w:r>
      <w:r>
        <w:rPr>
          <w:sz w:val="20"/>
          <w:szCs w:val="20"/>
          <w:color w:val="auto"/>
        </w:rPr>
        <w:tab/>
      </w:r>
      <w:r>
        <w:rPr>
          <w:rFonts w:ascii="Arial" w:cs="Arial" w:eastAsia="Arial" w:hAnsi="Arial"/>
          <w:sz w:val="14"/>
          <w:szCs w:val="14"/>
          <w:color w:val="auto"/>
        </w:rPr>
        <w:t>Name of each exchange on which registered</w:t>
      </w:r>
    </w:p>
    <w:p>
      <w:pPr>
        <w:spacing w:after="0" w:line="42" w:lineRule="exact"/>
        <w:rPr>
          <w:sz w:val="24"/>
          <w:szCs w:val="24"/>
          <w:color w:val="auto"/>
        </w:rPr>
      </w:pPr>
    </w:p>
    <w:p>
      <w:pPr>
        <w:ind w:left="860"/>
        <w:spacing w:after="0"/>
        <w:tabs>
          <w:tab w:leader="none" w:pos="4960" w:val="left"/>
          <w:tab w:leader="none" w:pos="7540" w:val="left"/>
        </w:tabs>
        <w:rPr>
          <w:sz w:val="20"/>
          <w:szCs w:val="20"/>
          <w:color w:val="auto"/>
        </w:rPr>
      </w:pPr>
      <w:r>
        <w:rPr>
          <w:rFonts w:ascii="Arial" w:cs="Arial" w:eastAsia="Arial" w:hAnsi="Arial"/>
          <w:sz w:val="14"/>
          <w:szCs w:val="14"/>
          <w:b w:val="1"/>
          <w:bCs w:val="1"/>
          <w:color w:val="auto"/>
        </w:rPr>
        <w:t>Common Stock, $0.0005 par value</w:t>
      </w:r>
      <w:r>
        <w:rPr>
          <w:sz w:val="20"/>
          <w:szCs w:val="20"/>
          <w:color w:val="auto"/>
        </w:rPr>
        <w:tab/>
      </w:r>
      <w:r>
        <w:rPr>
          <w:rFonts w:ascii="Arial" w:cs="Arial" w:eastAsia="Arial" w:hAnsi="Arial"/>
          <w:sz w:val="14"/>
          <w:szCs w:val="14"/>
          <w:b w:val="1"/>
          <w:bCs w:val="1"/>
          <w:color w:val="auto"/>
        </w:rPr>
        <w:t>BIIB</w:t>
      </w:r>
      <w:r>
        <w:rPr>
          <w:sz w:val="20"/>
          <w:szCs w:val="20"/>
          <w:color w:val="auto"/>
        </w:rPr>
        <w:tab/>
      </w:r>
      <w:r>
        <w:rPr>
          <w:rFonts w:ascii="Arial" w:cs="Arial" w:eastAsia="Arial" w:hAnsi="Arial"/>
          <w:sz w:val="14"/>
          <w:szCs w:val="14"/>
          <w:b w:val="1"/>
          <w:bCs w:val="1"/>
          <w:color w:val="auto"/>
        </w:rPr>
        <w:t>The Nasdaq Global Select Market</w:t>
      </w:r>
    </w:p>
    <w:p>
      <w:pPr>
        <w:spacing w:after="0" w:line="126" w:lineRule="exact"/>
        <w:rPr>
          <w:sz w:val="24"/>
          <w:szCs w:val="24"/>
          <w:color w:val="auto"/>
        </w:rPr>
      </w:pPr>
    </w:p>
    <w:p>
      <w:pPr>
        <w:ind w:right="240" w:firstLine="445"/>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firstLine="445"/>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790" w:right="359" w:bottom="1440" w:gutter="0" w:footer="0" w:header="0"/>
        </w:sectPr>
      </w:pPr>
    </w:p>
    <w:p>
      <w:pPr>
        <w:spacing w:after="0" w:line="63" w:lineRule="exact"/>
        <w:rPr>
          <w:sz w:val="24"/>
          <w:szCs w:val="24"/>
          <w:color w:val="auto"/>
        </w:rPr>
      </w:pPr>
    </w:p>
    <w:p>
      <w:pPr>
        <w:ind w:right="40" w:firstLine="445"/>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p>
      <w:pPr>
        <w:ind w:left="20"/>
        <w:spacing w:after="0"/>
        <w:tabs>
          <w:tab w:leader="none" w:pos="2580" w:val="left"/>
          <w:tab w:leader="none" w:pos="97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Accelerated filer</w:t>
      </w:r>
    </w:p>
    <w:p>
      <w:pPr>
        <w:spacing w:after="0" w:line="29" w:lineRule="exact"/>
        <w:rPr>
          <w:sz w:val="24"/>
          <w:szCs w:val="24"/>
          <w:color w:val="auto"/>
        </w:rPr>
      </w:pPr>
    </w:p>
    <w:p>
      <w:pPr>
        <w:ind w:left="20"/>
        <w:spacing w:after="0" w:line="221" w:lineRule="exact"/>
        <w:tabs>
          <w:tab w:leader="none" w:pos="2580" w:val="left"/>
          <w:tab w:leader="none" w:pos="91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4"/>
          <w:szCs w:val="14"/>
          <w:color w:val="auto"/>
        </w:rPr>
        <w:t>Smaller reporting company</w:t>
      </w:r>
    </w:p>
    <w:p>
      <w:pPr>
        <w:spacing w:after="0" w:line="130" w:lineRule="exact"/>
        <w:rPr>
          <w:sz w:val="24"/>
          <w:szCs w:val="24"/>
          <w:color w:val="auto"/>
        </w:rPr>
      </w:pPr>
    </w:p>
    <w:p>
      <w:pPr>
        <w:ind w:left="9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6" w:lineRule="exact"/>
        <w:rPr>
          <w:sz w:val="24"/>
          <w:szCs w:val="24"/>
          <w:color w:val="auto"/>
        </w:rPr>
      </w:pPr>
    </w:p>
    <w:p>
      <w:pPr>
        <w:sectPr>
          <w:pgSz w:w="11900" w:h="16838" w:orient="portrait"/>
          <w:cols w:equalWidth="0" w:num="2">
            <w:col w:w="10840" w:space="160"/>
            <w:col w:w="220"/>
          </w:cols>
          <w:pgMar w:left="320" w:top="790" w:right="359" w:bottom="1440" w:gutter="0" w:footer="0" w:header="0"/>
          <w:type w:val="continuous"/>
        </w:sectPr>
      </w:pPr>
    </w:p>
    <w:p>
      <w:pPr>
        <w:ind w:right="600" w:firstLine="445"/>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 w:lineRule="exact"/>
        <w:rPr>
          <w:sz w:val="24"/>
          <w:szCs w:val="24"/>
          <w:color w:val="auto"/>
        </w:rPr>
      </w:pPr>
    </w:p>
    <w:p>
      <w:pPr>
        <w:jc w:val="both"/>
        <w:ind w:left="460" w:right="280"/>
        <w:spacing w:after="0" w:line="32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The number of shares of the issuer’s Common Stock, $0.0005 par value, outstanding as of April 27, 2026, was 147,637,117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79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BIOGEN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 the Quarterly Period Ended March 31, 2026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70C0"/>
        </w:rPr>
        <w:t>TABLE OF CONTENTS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80" w:type="dxa"/>
            <w:vAlign w:val="bottom"/>
            <w:gridSpan w:val="11"/>
            <w:vMerge w:val="restart"/>
          </w:tcPr>
          <w:p>
            <w:pPr>
              <w:ind w:left="780"/>
              <w:spacing w:after="0"/>
              <w:rPr>
                <w:sz w:val="20"/>
                <w:szCs w:val="20"/>
                <w:color w:val="auto"/>
              </w:rPr>
            </w:pPr>
            <w:r>
              <w:rPr>
                <w:rFonts w:ascii="Arial" w:cs="Arial" w:eastAsia="Arial" w:hAnsi="Arial"/>
                <w:sz w:val="16"/>
                <w:szCs w:val="16"/>
                <w:b w:val="1"/>
                <w:bCs w:val="1"/>
                <w:color w:val="auto"/>
              </w:rPr>
              <w:t xml:space="preserve">PART I — </w:t>
            </w:r>
            <w:r>
              <w:rPr>
                <w:rFonts w:ascii="Arial" w:cs="Arial" w:eastAsia="Arial" w:hAnsi="Arial"/>
                <w:sz w:val="16"/>
                <w:szCs w:val="16"/>
                <w:b w:val="1"/>
                <w:bCs w:val="1"/>
                <w:color w:val="0000FF"/>
              </w:rPr>
              <w:t>FINANCIAL INFORMATION</w:t>
            </w:r>
          </w:p>
        </w:tc>
        <w:tc>
          <w:tcPr>
            <w:tcW w:w="11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80" w:type="dxa"/>
            <w:vAlign w:val="bottom"/>
            <w:gridSpan w:val="11"/>
            <w:vMerge w:val="continue"/>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3920" w:type="dxa"/>
            <w:vAlign w:val="bottom"/>
            <w:gridSpan w:val="3"/>
          </w:tcPr>
          <w:p>
            <w:pPr>
              <w:spacing w:after="0"/>
              <w:rPr>
                <w:sz w:val="20"/>
                <w:szCs w:val="20"/>
                <w:color w:val="auto"/>
              </w:rPr>
            </w:pPr>
            <w:r>
              <w:rPr>
                <w:rFonts w:ascii="Arial" w:cs="Arial" w:eastAsia="Arial" w:hAnsi="Arial"/>
                <w:sz w:val="16"/>
                <w:szCs w:val="16"/>
                <w:color w:val="0000FF"/>
              </w:rPr>
              <w:t>Financial Statements (unaudited)</w:t>
            </w:r>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sz w:val="20"/>
                <w:szCs w:val="20"/>
                <w:color w:val="auto"/>
              </w:rPr>
            </w:pPr>
            <w:r>
              <w:rPr>
                <w:rFonts w:ascii="Arial" w:cs="Arial" w:eastAsia="Arial" w:hAnsi="Arial"/>
                <w:sz w:val="16"/>
                <w:szCs w:val="16"/>
                <w:color w:val="0000FF"/>
              </w:rPr>
              <w:t>Condensed Consolidated Statements of Income — For the Three Months Ended March 31, 2026 and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sz w:val="20"/>
                <w:szCs w:val="20"/>
                <w:color w:val="auto"/>
              </w:rPr>
            </w:pPr>
            <w:r>
              <w:rPr>
                <w:rFonts w:ascii="Arial" w:cs="Arial" w:eastAsia="Arial" w:hAnsi="Arial"/>
                <w:sz w:val="16"/>
                <w:szCs w:val="16"/>
                <w:color w:val="0000FF"/>
              </w:rPr>
              <w:t>Condensed Consolidated Statements of Comprehensive Income — For the Three Months Ended March 31, 2026 and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820" w:type="dxa"/>
            <w:vAlign w:val="bottom"/>
            <w:gridSpan w:val="12"/>
          </w:tcPr>
          <w:p>
            <w:pPr>
              <w:spacing w:after="0"/>
              <w:rPr>
                <w:sz w:val="20"/>
                <w:szCs w:val="20"/>
                <w:color w:val="auto"/>
              </w:rPr>
            </w:pPr>
            <w:r>
              <w:rPr>
                <w:rFonts w:ascii="Arial" w:cs="Arial" w:eastAsia="Arial" w:hAnsi="Arial"/>
                <w:sz w:val="16"/>
                <w:szCs w:val="16"/>
                <w:color w:val="0000FF"/>
              </w:rPr>
              <w:t>Condensed Consolidated Balance Sheets — As of March 31, 2026 and December 31, 2025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78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Condensed Consolidated Statements of Cash Flow — For the Three Months Ended March 31, 2026 and 2025</w:t>
            </w:r>
          </w:p>
        </w:tc>
        <w:tc>
          <w:tcPr>
            <w:tcW w:w="11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3"/>
          </w:tcPr>
          <w:p>
            <w:pPr>
              <w:spacing w:after="0"/>
              <w:rPr>
                <w:sz w:val="20"/>
                <w:szCs w:val="20"/>
                <w:color w:val="auto"/>
              </w:rPr>
            </w:pPr>
            <w:r>
              <w:rPr>
                <w:rFonts w:ascii="Arial" w:cs="Arial" w:eastAsia="Arial" w:hAnsi="Arial"/>
                <w:sz w:val="16"/>
                <w:szCs w:val="16"/>
                <w:color w:val="0000FF"/>
              </w:rPr>
              <w:t>Condensed Consolidated Statements of Equity — For the Three Months Ended March 31, 2026 and 2025</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020" w:type="dxa"/>
            <w:vAlign w:val="bottom"/>
            <w:gridSpan w:val="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3540" w:type="dxa"/>
            <w:vAlign w:val="bottom"/>
            <w:gridSpan w:val="5"/>
          </w:tcPr>
          <w:p>
            <w:pPr>
              <w:spacing w:after="0"/>
              <w:rPr>
                <w:sz w:val="21"/>
                <w:szCs w:val="21"/>
                <w:color w:val="auto"/>
              </w:rPr>
            </w:pPr>
          </w:p>
        </w:tc>
        <w:tc>
          <w:tcPr>
            <w:tcW w:w="1480" w:type="dxa"/>
            <w:vAlign w:val="bottom"/>
            <w:gridSpan w:val="4"/>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1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5"/>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2"/>
          </w:tcPr>
          <w:p>
            <w:pPr>
              <w:spacing w:after="0"/>
              <w:rPr>
                <w:sz w:val="21"/>
                <w:szCs w:val="21"/>
                <w:color w:val="auto"/>
              </w:rPr>
            </w:pPr>
          </w:p>
        </w:tc>
        <w:tc>
          <w:tcPr>
            <w:tcW w:w="2680" w:type="dxa"/>
            <w:vAlign w:val="bottom"/>
            <w:gridSpan w:val="6"/>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5"/>
          </w:tcPr>
          <w:p>
            <w:pPr>
              <w:spacing w:after="0"/>
              <w:rPr>
                <w:sz w:val="20"/>
                <w:szCs w:val="20"/>
                <w:color w:val="auto"/>
              </w:rPr>
            </w:pPr>
            <w:r>
              <w:rPr>
                <w:rFonts w:ascii="Arial" w:cs="Arial" w:eastAsia="Arial" w:hAnsi="Arial"/>
                <w:sz w:val="16"/>
                <w:szCs w:val="16"/>
                <w:color w:val="0000FF"/>
              </w:rPr>
              <w:t>Controls and Procedures</w:t>
            </w:r>
          </w:p>
        </w:tc>
        <w:tc>
          <w:tcPr>
            <w:tcW w:w="4800" w:type="dxa"/>
            <w:vAlign w:val="bottom"/>
            <w:gridSpan w:val="8"/>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4"/>
          </w:tcPr>
          <w:p>
            <w:pPr>
              <w:ind w:left="1940"/>
              <w:spacing w:after="0"/>
              <w:rPr>
                <w:sz w:val="20"/>
                <w:szCs w:val="20"/>
                <w:color w:val="auto"/>
              </w:rPr>
            </w:pPr>
            <w:r>
              <w:rPr>
                <w:rFonts w:ascii="Arial" w:cs="Arial" w:eastAsia="Arial" w:hAnsi="Arial"/>
                <w:sz w:val="16"/>
                <w:szCs w:val="16"/>
                <w:b w:val="1"/>
                <w:bCs w:val="1"/>
                <w:color w:val="auto"/>
              </w:rPr>
              <w:t xml:space="preserve">PART II — </w:t>
            </w:r>
            <w:r>
              <w:rPr>
                <w:rFonts w:ascii="Arial" w:cs="Arial" w:eastAsia="Arial" w:hAnsi="Arial"/>
                <w:sz w:val="16"/>
                <w:szCs w:val="16"/>
                <w:b w:val="1"/>
                <w:bCs w:val="1"/>
                <w:color w:val="0000FF"/>
              </w:rPr>
              <w:t>OTHER INFORMATION</w:t>
            </w:r>
          </w:p>
        </w:tc>
        <w:tc>
          <w:tcPr>
            <w:tcW w:w="180" w:type="dxa"/>
            <w:vAlign w:val="bottom"/>
          </w:tcPr>
          <w:p>
            <w:pPr>
              <w:spacing w:after="0"/>
              <w:rPr>
                <w:sz w:val="16"/>
                <w:szCs w:val="16"/>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2740" w:type="dxa"/>
            <w:vAlign w:val="bottom"/>
          </w:tcPr>
          <w:p>
            <w:pPr>
              <w:spacing w:after="0"/>
              <w:rPr>
                <w:sz w:val="21"/>
                <w:szCs w:val="21"/>
                <w:color w:val="auto"/>
              </w:rPr>
            </w:pPr>
          </w:p>
        </w:tc>
        <w:tc>
          <w:tcPr>
            <w:tcW w:w="1740" w:type="dxa"/>
            <w:vAlign w:val="bottom"/>
            <w:tcBorders>
              <w:top w:val="single" w:sz="8" w:color="0000FF"/>
            </w:tcBorders>
            <w:gridSpan w:val="2"/>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70</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906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70</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56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86</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70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86</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960" w:type="dxa"/>
            <w:vAlign w:val="bottom"/>
            <w:gridSpan w:val="8"/>
          </w:tcPr>
          <w:p>
            <w:pPr>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87</w:t>
            </w: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0000FF"/>
              </w:rPr>
              <w:t>Signatures</w:t>
            </w:r>
          </w:p>
        </w:tc>
        <w:tc>
          <w:tcPr>
            <w:tcW w:w="56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89"/>
              </w:rPr>
              <w:t>88</w:t>
            </w:r>
          </w:p>
        </w:tc>
      </w:tr>
      <w:tr>
        <w:trPr>
          <w:trHeight w:val="20"/>
        </w:trPr>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"seek,"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spacing w:after="0" w:line="88" w:lineRule="exact"/>
        <w:rPr>
          <w:sz w:val="20"/>
          <w:szCs w:val="20"/>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financial and operating performance;</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strategy and supporting business plans, including our product pipeline;</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continued growth through acquisitions and key collaborative relationships and funding arrangements;</w:t>
      </w:r>
    </w:p>
    <w:p>
      <w:pPr>
        <w:spacing w:after="0" w:line="130" w:lineRule="exact"/>
        <w:rPr>
          <w:rFonts w:ascii="Arial" w:cs="Arial" w:eastAsia="Arial" w:hAnsi="Arial"/>
          <w:sz w:val="18"/>
          <w:szCs w:val="18"/>
          <w:color w:val="auto"/>
        </w:rPr>
      </w:pPr>
    </w:p>
    <w:p>
      <w:pPr>
        <w:ind w:left="420" w:right="40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coverage, pricing and reimbursement from third-party payors;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certain legal and regulatory proceedings and investigations; and</w:t>
      </w:r>
    </w:p>
    <w:p>
      <w:pPr>
        <w:spacing w:after="0" w:line="130" w:lineRule="exact"/>
        <w:rPr>
          <w:rFonts w:ascii="Arial" w:cs="Arial" w:eastAsia="Arial" w:hAnsi="Arial"/>
          <w:sz w:val="18"/>
          <w:szCs w:val="18"/>
          <w:color w:val="auto"/>
        </w:rPr>
      </w:pPr>
    </w:p>
    <w:p>
      <w:pPr>
        <w:ind w:left="420" w:right="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spacing w:after="0" w:line="82" w:lineRule="exact"/>
        <w:rPr>
          <w:sz w:val="20"/>
          <w:szCs w:val="20"/>
          <w:color w:val="auto"/>
        </w:rPr>
      </w:pPr>
    </w:p>
    <w:p>
      <w:pPr>
        <w:ind w:left="420" w:right="42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dependence on the anticipated amount, timing and accounting of revenue from our products, including from the successful development of new products and approval of additional indications for our existing products, including but not limited to LEQEMBI and SKYCLARYS;</w:t>
      </w:r>
    </w:p>
    <w:p>
      <w:pPr>
        <w:spacing w:after="0" w:line="76" w:lineRule="exact"/>
        <w:rPr>
          <w:rFonts w:ascii="Arial" w:cs="Arial" w:eastAsia="Arial" w:hAnsi="Arial"/>
          <w:sz w:val="18"/>
          <w:szCs w:val="18"/>
          <w:color w:val="auto"/>
        </w:rPr>
      </w:pPr>
    </w:p>
    <w:p>
      <w:pPr>
        <w:ind w:left="420" w:right="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 including for goodwill balances;</w:t>
      </w:r>
    </w:p>
    <w:p>
      <w:pPr>
        <w:spacing w:after="0" w:line="98" w:lineRule="exact"/>
        <w:rPr>
          <w:rFonts w:ascii="Arial" w:cs="Arial" w:eastAsia="Arial" w:hAnsi="Arial"/>
          <w:sz w:val="18"/>
          <w:szCs w:val="18"/>
          <w:color w:val="auto"/>
        </w:rPr>
      </w:pPr>
    </w:p>
    <w:p>
      <w:pPr>
        <w:ind w:left="4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plans, prospects and the timing of actions relating to product approvals, approvals of additional indications for our existing products, sales, pricing, growth, reimbursement and launch of our marketed and pipeline products all of which is subject to governmental and regulatory oversight, and therefore subject to risks and uncertainties, including but not limited to those related to approvals, unfavorable or delayed reimbursements and coverage determinations, and changes in reimbursement policies or practices of payors and other third parties;</w:t>
      </w:r>
    </w:p>
    <w:p>
      <w:pPr>
        <w:spacing w:after="0" w:line="84" w:lineRule="exact"/>
        <w:rPr>
          <w:rFonts w:ascii="Arial" w:cs="Arial" w:eastAsia="Arial" w:hAnsi="Arial"/>
          <w:sz w:val="18"/>
          <w:szCs w:val="18"/>
          <w:color w:val="auto"/>
        </w:rPr>
      </w:pPr>
    </w:p>
    <w:p>
      <w:pPr>
        <w:ind w:left="420" w:right="16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in the U.S. and international markets and a biosimilar entrant of TYSABRI;</w:t>
      </w:r>
    </w:p>
    <w:p>
      <w:pPr>
        <w:spacing w:after="0" w:line="84" w:lineRule="exact"/>
        <w:rPr>
          <w:rFonts w:ascii="Arial" w:cs="Arial" w:eastAsia="Arial" w:hAnsi="Arial"/>
          <w:sz w:val="18"/>
          <w:szCs w:val="18"/>
          <w:color w:val="auto"/>
        </w:rPr>
      </w:pPr>
    </w:p>
    <w:p>
      <w:pPr>
        <w:ind w:left="420" w:right="30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exclusivities, as well as our ability to adequately enforce existing patents;</w:t>
      </w:r>
    </w:p>
    <w:p>
      <w:pPr>
        <w:spacing w:after="0" w:line="71" w:lineRule="exact"/>
        <w:rPr>
          <w:rFonts w:ascii="Arial" w:cs="Arial" w:eastAsia="Arial" w:hAnsi="Arial"/>
          <w:sz w:val="18"/>
          <w:szCs w:val="18"/>
          <w:color w:val="auto"/>
        </w:rPr>
      </w:pPr>
    </w:p>
    <w:p>
      <w:pPr>
        <w:ind w:left="420" w:right="54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implement our corporate strategy which includes significant investment in product and pipeline candidates, including but not limited to felzartamab, litifilimab and nusinersen;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execution of our strategic and growth initiatives, including acquisitions, and our ability to realize the anticipated benefits from our acquisitions of Reata, HI-Bio, Alcyone and the potential acquisition of Apellis, including future performance of the SKYCLARYS, EMPAVELI and SYFOVRE products, further development of the felzartamab product, future development of drug delivery solutions and anticipated synergies;</w:t>
      </w:r>
    </w:p>
    <w:p>
      <w:pPr>
        <w:spacing w:after="0" w:line="95" w:lineRule="exact"/>
        <w:rPr>
          <w:rFonts w:ascii="Arial" w:cs="Arial" w:eastAsia="Arial" w:hAnsi="Arial"/>
          <w:sz w:val="18"/>
          <w:szCs w:val="18"/>
          <w:color w:val="auto"/>
        </w:rPr>
      </w:pPr>
    </w:p>
    <w:p>
      <w:pPr>
        <w:ind w:left="420" w:right="2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w:t>
      </w:r>
    </w:p>
    <w:p>
      <w:pPr>
        <w:spacing w:after="0" w:line="81" w:lineRule="exact"/>
        <w:rPr>
          <w:rFonts w:ascii="Arial" w:cs="Arial" w:eastAsia="Arial" w:hAnsi="Arial"/>
          <w:sz w:val="18"/>
          <w:szCs w:val="18"/>
          <w:color w:val="auto"/>
        </w:rPr>
      </w:pPr>
    </w:p>
    <w:p>
      <w:pPr>
        <w:ind w:left="420" w:right="10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 approvals and/or discontinuation, of our products, drug candidates and pipeline programs, including collaborations with third parties including but not limited to Eisai and Supernus, as well as the potential therapeutic scope of the development and commercialization of our and our collaborators’ pipeline products;</w:t>
      </w:r>
    </w:p>
    <w:p>
      <w:pPr>
        <w:spacing w:after="0" w:line="81" w:lineRule="exact"/>
        <w:rPr>
          <w:rFonts w:ascii="Arial" w:cs="Arial" w:eastAsia="Arial" w:hAnsi="Arial"/>
          <w:sz w:val="18"/>
          <w:szCs w:val="18"/>
          <w:color w:val="auto"/>
        </w:rPr>
      </w:pPr>
    </w:p>
    <w:p>
      <w:pPr>
        <w:ind w:left="420" w:right="3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of disruptions, turnover or changes in strategy, priorities or capabilities at our collaborators resulting from, for example, a change in control, and the related impacts on the commercialization or manufacturing of our shared products;</w:t>
      </w:r>
    </w:p>
    <w:p>
      <w:pPr>
        <w:spacing w:after="0" w:line="71" w:lineRule="exact"/>
        <w:rPr>
          <w:rFonts w:ascii="Arial" w:cs="Arial" w:eastAsia="Arial" w:hAnsi="Arial"/>
          <w:sz w:val="18"/>
          <w:szCs w:val="18"/>
          <w:color w:val="auto"/>
        </w:rPr>
      </w:pPr>
    </w:p>
    <w:p>
      <w:pPr>
        <w:ind w:left="420" w:right="38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spacing w:after="0" w:line="76" w:lineRule="exact"/>
        <w:rPr>
          <w:rFonts w:ascii="Arial" w:cs="Arial" w:eastAsia="Arial" w:hAnsi="Arial"/>
          <w:sz w:val="18"/>
          <w:szCs w:val="18"/>
          <w:color w:val="auto"/>
        </w:rPr>
      </w:pPr>
    </w:p>
    <w:p>
      <w:pPr>
        <w:ind w:left="420" w:right="8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commercialize biosimilars, which is subject to risks such as our reliance on third parties, competitive challenges, regulatory compliance, adequate supply, intellectual property and regulatory challenges and failure to gain market and patient acceptance;</w:t>
      </w:r>
    </w:p>
    <w:p>
      <w:pPr>
        <w:spacing w:after="0" w:line="35" w:lineRule="exact"/>
        <w:rPr>
          <w:rFonts w:ascii="Arial" w:cs="Arial" w:eastAsia="Arial" w:hAnsi="Arial"/>
          <w:sz w:val="17"/>
          <w:szCs w:val="17"/>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our present and future operations and business initiatives and obtain funding for such activities on favorable terms;</w:t>
      </w:r>
    </w:p>
    <w:p>
      <w:pPr>
        <w:spacing w:after="0" w:line="144" w:lineRule="exact"/>
        <w:rPr>
          <w:rFonts w:ascii="Arial" w:cs="Arial" w:eastAsia="Arial" w:hAnsi="Arial"/>
          <w:sz w:val="18"/>
          <w:szCs w:val="18"/>
          <w:color w:val="auto"/>
        </w:rPr>
      </w:pPr>
    </w:p>
    <w:p>
      <w:pPr>
        <w:ind w:left="420" w:right="18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spacing w:after="0" w:line="76" w:lineRule="exact"/>
        <w:rPr>
          <w:rFonts w:ascii="Arial" w:cs="Arial" w:eastAsia="Arial" w:hAnsi="Arial"/>
          <w:sz w:val="18"/>
          <w:szCs w:val="18"/>
          <w:color w:val="auto"/>
        </w:rPr>
      </w:pPr>
    </w:p>
    <w:p>
      <w:pPr>
        <w:ind w:left="420" w:right="12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prodrugs or biosimilar versions of our marketed products or any other products from the same class as one of our products;</w:t>
      </w:r>
    </w:p>
    <w:p>
      <w:pPr>
        <w:spacing w:after="0" w:line="58" w:lineRule="exact"/>
        <w:rPr>
          <w:rFonts w:ascii="Arial" w:cs="Arial" w:eastAsia="Arial" w:hAnsi="Arial"/>
          <w:sz w:val="18"/>
          <w:szCs w:val="18"/>
          <w:color w:val="auto"/>
        </w:rPr>
      </w:pPr>
    </w:p>
    <w:p>
      <w:pPr>
        <w:ind w:left="420" w:right="2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China and other countries, regions affected by Russia's invasion of Ukraine and the military conflict in the Middle East;</w:t>
      </w:r>
    </w:p>
    <w:p>
      <w:pPr>
        <w:spacing w:after="0" w:line="95" w:lineRule="exact"/>
        <w:rPr>
          <w:rFonts w:ascii="Arial" w:cs="Arial" w:eastAsia="Arial" w:hAnsi="Arial"/>
          <w:sz w:val="18"/>
          <w:szCs w:val="18"/>
          <w:color w:val="auto"/>
        </w:rPr>
      </w:pPr>
    </w:p>
    <w:p>
      <w:pPr>
        <w:jc w:val="both"/>
        <w:ind w:left="420" w:right="32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spacing w:after="0" w:line="35" w:lineRule="exact"/>
        <w:rPr>
          <w:rFonts w:ascii="Arial" w:cs="Arial" w:eastAsia="Arial" w:hAnsi="Arial"/>
          <w:sz w:val="17"/>
          <w:szCs w:val="17"/>
          <w:color w:val="auto"/>
        </w:rPr>
      </w:pPr>
    </w:p>
    <w:p>
      <w:pPr>
        <w:ind w:left="420" w:right="1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information technology systems and data and the potential impacts of any breakdowns, interruptions, invasions, corruptions, data breaches, destructions and/or other cybersecurity incidents of such systems or those of our business partners;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of technologies using AI into some of our processes;</w:t>
      </w:r>
    </w:p>
    <w:p>
      <w:pPr>
        <w:spacing w:after="0" w:line="144" w:lineRule="exact"/>
        <w:rPr>
          <w:rFonts w:ascii="Arial" w:cs="Arial" w:eastAsia="Arial" w:hAnsi="Arial"/>
          <w:sz w:val="18"/>
          <w:szCs w:val="18"/>
          <w:color w:val="auto"/>
        </w:rPr>
      </w:pPr>
    </w:p>
    <w:p>
      <w:pPr>
        <w:ind w:left="420" w:right="140" w:hanging="331"/>
        <w:spacing w:after="0" w:line="259"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(or other legislative or executive acts that may modify or replace the IRA, such as the OBBBA) and the impact of the IRA Medicare Part D redesign, and measures being taken worldwide designed to reduce healthcare costs and limit the overall level of government expenditures, including the impact of pricing actions and reduced reimbursement for our products, as well as the potential impact of legislative and regulatory changes and priorities, including actions related to the MFN drug pricing policy;</w:t>
      </w:r>
    </w:p>
    <w:p>
      <w:pPr>
        <w:spacing w:after="0" w:line="84" w:lineRule="exact"/>
        <w:rPr>
          <w:rFonts w:ascii="Arial" w:cs="Arial" w:eastAsia="Arial" w:hAnsi="Arial"/>
          <w:sz w:val="18"/>
          <w:szCs w:val="18"/>
          <w:color w:val="auto"/>
        </w:rPr>
      </w:pPr>
    </w:p>
    <w:p>
      <w:pPr>
        <w:ind w:left="420" w:right="36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520"/>
        <w:spacing w:after="0" w:line="287" w:lineRule="auto"/>
        <w:rPr>
          <w:sz w:val="20"/>
          <w:szCs w:val="20"/>
          <w:color w:val="auto"/>
        </w:rPr>
      </w:pPr>
      <w:r>
        <w:rPr>
          <w:rFonts w:ascii="Arial" w:cs="Arial" w:eastAsia="Arial" w:hAnsi="Arial"/>
          <w:sz w:val="18"/>
          <w:szCs w:val="18"/>
          <w:color w:val="auto"/>
        </w:rPr>
        <w:t>including our Solothurn facility, activities in new or existing manufacturing facilities and the expected timeline for the gene therapy, clinical packaging and other manufacturing facility in RTP, North Carolina to be operational;</w:t>
      </w:r>
    </w:p>
    <w:p>
      <w:pPr>
        <w:spacing w:after="0" w:line="72" w:lineRule="exact"/>
        <w:rPr>
          <w:sz w:val="20"/>
          <w:szCs w:val="20"/>
          <w:color w:val="auto"/>
        </w:rPr>
      </w:pPr>
    </w:p>
    <w:p>
      <w:pPr>
        <w:ind w:left="420" w:right="480" w:hanging="331"/>
        <w:spacing w:after="0" w:line="287"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ability to collect accounts receivable in such countries;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increased volatility in the financial markets on our ability to obtain financing;</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effective tax rate and obligations in various jurisdictions in which we are subject to taxation; and</w:t>
      </w:r>
    </w:p>
    <w:p>
      <w:pPr>
        <w:spacing w:after="0" w:line="130" w:lineRule="exact"/>
        <w:rPr>
          <w:rFonts w:ascii="Arial" w:cs="Arial" w:eastAsia="Arial" w:hAnsi="Arial"/>
          <w:sz w:val="18"/>
          <w:szCs w:val="18"/>
          <w:color w:val="auto"/>
        </w:rPr>
      </w:pPr>
    </w:p>
    <w:p>
      <w:pPr>
        <w:ind w:left="420" w:right="160" w:hanging="331"/>
        <w:spacing w:after="0" w:line="268"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laws, regulatory actions, judicial decisions, accounting standards and tariffs or trade restrictions, including any newly imposed U.S. tariffs and any responsive non-U.S. tariffs applicable to our products or operations, as well as the potential global macroeconomic effect of tariffs or trade restrictions.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Part II, Item 1A.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 Item 2. Management's Discussion and Analysis of Financial Condition and Results of Operations </w:t>
      </w:r>
      <w:r>
        <w:rPr>
          <w:rFonts w:ascii="Arial" w:cs="Arial" w:eastAsia="Arial" w:hAnsi="Arial"/>
          <w:sz w:val="18"/>
          <w:szCs w:val="18"/>
          <w:color w:val="auto"/>
        </w:rPr>
        <w:t>included in this report and elsewhere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 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our 2025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60" w:hanging="331"/>
        <w:spacing w:after="0" w:line="287"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2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ADUHELM®, AVONEX®, PLEGRIDY®, QALSODY®, RITUXAN®, RITUXAN HYCELA®, SKYCLARYS®, SPINRAZA®, TECFIDERA®, THECAFLEX DRX®, TYSABRI® and VUMERITY® are registered trademarks of Biogen.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IMRALDI™ and OPUVIZ™ are trademarks of Biogen.</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ACTEMRA®, COLUMVI®, EMPAVELI®, ENBREL®, EYLEA®, FAMPYRA™, GAZYVA®, LEQEMBI®, HUMIRA®, LUCENTIS®, LUNSUMIO®, OCREVUS®, REMICADE®, SYFOVRE®, TOFIDENCE®, ZURZUVAE® and other trademarks referenced in this report are the property of their respective owners.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DISCLOSURES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1360"/>
              <w:spacing w:after="0"/>
              <w:rPr>
                <w:sz w:val="20"/>
                <w:szCs w:val="20"/>
                <w:color w:val="auto"/>
              </w:rPr>
            </w:pPr>
            <w:r>
              <w:rPr>
                <w:rFonts w:ascii="Arial" w:cs="Arial" w:eastAsia="Arial" w:hAnsi="Arial"/>
                <w:sz w:val="25"/>
                <w:szCs w:val="25"/>
                <w:color w:val="0070C0"/>
              </w:rPr>
              <w:t>DEFINED TERMS</w:t>
            </w: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2025 Form 10-K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Annual Report on Form 10-K for the year ended December 31, 2025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Board of Directors authorized program to repurchase up to $5.0 billion of our common stock</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2023 Term Loan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$1.5 billion term loan credit agreement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2025 Senior Notes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Senior Unsecured Notes Issued in May 2025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AbbVie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AbbVie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Artificial Intelligence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Alcyone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Alcyone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Alloy</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Alloy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Amyotrophic Lateral Sclerosis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Alteogen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Alteogen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AMR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Antibody-Mediated Rejection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Apellis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Apellis Pharmaceuticals,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Antisense Oligonucleotide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Accounting Standards Update</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Biologics License Application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C3G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C3 Glomerulopathy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California Consumer Privacy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Cutaneous Lupus Erythematosus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Chronic Lymphocytic Leukemia</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Centers for Medicare &amp; Medicaid Services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CNS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Central Nervous System</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CODM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Chief Operating Decision Maker</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Contract Research Organizations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Denali Therapeutics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District Court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District Court for the District of Massachusetts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Commission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Eisai Co., Ltd.</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Medicines Agency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European Union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Friedreich Ataxia</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Financial Accounting Standards Board</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Foreign Corrupt Practices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Food and Drug Administration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Cost saving program initiated in 2023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GA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Geographic Atrophy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Genentech,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Global Anti-Base Erosion</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Good Manufacturing Practices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HHS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Department of Health and Human Services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HI-Bio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Human Immunology Biosciences,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Humana Inc.</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IC-MPGN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Immune Complex Membranoproliferative Glomerulonephritis</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IEEPA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International Emergency Economic Powers Act</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IgAN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Immunoglobulin A Nephropathy</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IND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Investigational New Drug</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IPR&amp;D</w:t>
            </w:r>
          </w:p>
        </w:tc>
        <w:tc>
          <w:tcPr>
            <w:tcW w:w="8000" w:type="dxa"/>
            <w:vAlign w:val="bottom"/>
            <w:gridSpan w:val="2"/>
          </w:tcPr>
          <w:p>
            <w:pPr>
              <w:ind w:left="20"/>
              <w:spacing w:after="0"/>
              <w:rPr>
                <w:sz w:val="20"/>
                <w:szCs w:val="20"/>
                <w:color w:val="auto"/>
              </w:rPr>
            </w:pPr>
            <w:r>
              <w:rPr>
                <w:rFonts w:ascii="Arial" w:cs="Arial" w:eastAsia="Arial" w:hAnsi="Arial"/>
                <w:sz w:val="14"/>
                <w:szCs w:val="14"/>
                <w:color w:val="auto"/>
              </w:rPr>
              <w:t>In-process Research and Development</w:t>
            </w:r>
          </w:p>
        </w:tc>
      </w:tr>
      <w:tr>
        <w:trPr>
          <w:trHeight w:val="866"/>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7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700"/>
              <w:spacing w:after="0"/>
              <w:rPr>
                <w:sz w:val="20"/>
                <w:szCs w:val="20"/>
                <w:color w:val="auto"/>
              </w:rPr>
            </w:pPr>
            <w:r>
              <w:rPr>
                <w:rFonts w:ascii="Arial" w:cs="Arial" w:eastAsia="Arial" w:hAnsi="Arial"/>
                <w:sz w:val="25"/>
                <w:szCs w:val="25"/>
                <w:color w:val="0070C0"/>
              </w:rPr>
              <w:t>DEFINED TERMS (continued)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Inflation Reduction Act of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Information Technology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IV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Intravenous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0070C0"/>
              </w:rPr>
              <w:t>LEQEMBI Collaboration Agreement</w:t>
            </w:r>
          </w:p>
        </w:tc>
        <w:tc>
          <w:tcPr>
            <w:tcW w:w="800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Amended and Restated Collaboration Agreement entered into by Biogen MA Inc. and Eisai Co., Ltd. on October 22, 2017, as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20" w:type="dxa"/>
            <w:vAlign w:val="bottom"/>
            <w:vMerge w:val="continue"/>
            <w:shd w:val="clear" w:color="auto" w:fill="DBDBDB"/>
          </w:tcPr>
          <w:p>
            <w:pPr>
              <w:spacing w:after="0"/>
              <w:rPr>
                <w:sz w:val="9"/>
                <w:szCs w:val="9"/>
                <w:color w:val="auto"/>
              </w:rPr>
            </w:pPr>
          </w:p>
        </w:tc>
        <w:tc>
          <w:tcPr>
            <w:tcW w:w="7980" w:type="dxa"/>
            <w:vAlign w:val="bottom"/>
            <w:vMerge w:val="restart"/>
          </w:tcPr>
          <w:p>
            <w:pPr>
              <w:ind w:left="20"/>
              <w:spacing w:after="0"/>
              <w:rPr>
                <w:sz w:val="20"/>
                <w:szCs w:val="20"/>
                <w:color w:val="auto"/>
              </w:rPr>
            </w:pPr>
            <w:r>
              <w:rPr>
                <w:rFonts w:ascii="Arial" w:cs="Arial" w:eastAsia="Arial" w:hAnsi="Arial"/>
                <w:sz w:val="14"/>
                <w:szCs w:val="14"/>
                <w:color w:val="auto"/>
              </w:rPr>
              <w:t>amended on March 13, 2022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20" w:type="dxa"/>
            <w:vAlign w:val="bottom"/>
            <w:tcBorders>
              <w:bottom w:val="single" w:sz="8" w:color="0070C0"/>
            </w:tcBorders>
            <w:shd w:val="clear" w:color="auto" w:fill="DBDBDB"/>
          </w:tcPr>
          <w:p>
            <w:pPr>
              <w:spacing w:after="0"/>
              <w:rPr>
                <w:sz w:val="6"/>
                <w:szCs w:val="6"/>
                <w:color w:val="auto"/>
              </w:rPr>
            </w:pPr>
          </w:p>
        </w:tc>
        <w:tc>
          <w:tcPr>
            <w:tcW w:w="7980" w:type="dxa"/>
            <w:vAlign w:val="bottom"/>
            <w:tcBorders>
              <w:bottom w:val="single" w:sz="8" w:color="0070C0"/>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LRRK2</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Leucine-Rich Repeat Kinase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MorphoSys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MorphoSys AG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MFN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Most-Favored-Nation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Multiple Sclerosis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NCTI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Net CFC Tested Income, previously known as Global Intangible Low-Taxed Income or GILTI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Neurimmune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Neurimmune SubOne AG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National Medical Products Administration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OBBBA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Public Law 119-21, commonly referred to as the One Big Beautiful Bill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Organization for Economic Co-operation and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Organon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Organon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PDUFA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Prescription Drug User Fee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PHS Act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Public Health Service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Primary Membranous Nephropathy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PNH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Paroxysmal Nocturnal Hemoglobinuria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Patient Protection and Affordable Care 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Postpartum Depression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Primary Progressive 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PRV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Priority Review Voucher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Reata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Reata Pharmaceuticals,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Relapsing 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RNAi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RNA interference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Research Triangle Park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Sage Therapeutics,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Samsung Bioepis Co., Ltd.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U.S. Securities and Exchange Commission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Systemic Lupus Erythematosus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Spinal Muscular Atrophy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Superoxide Dismutase 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Supernus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Supernus Pharmaceuticals,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Swiss Agency for Therapeutic Products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TJ Bio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TJ Biopharma (Hangzhou) Co., Ltd.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U.K.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United Kingdom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United States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U.S. GAAP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Accounting Principles Generally Accepted in the 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4"/>
                <w:szCs w:val="14"/>
                <w:color w:val="0F6EC8"/>
              </w:rPr>
              <w:t>VA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4"/>
                <w:szCs w:val="14"/>
                <w:color w:val="auto"/>
              </w:rPr>
              <w:t>Veterans Affairs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VAT</w:t>
            </w:r>
          </w:p>
        </w:tc>
        <w:tc>
          <w:tcPr>
            <w:tcW w:w="8000" w:type="dxa"/>
            <w:vAlign w:val="bottom"/>
            <w:gridSpan w:val="2"/>
          </w:tcPr>
          <w:p>
            <w:pPr>
              <w:ind w:left="20"/>
              <w:spacing w:after="0"/>
              <w:rPr>
                <w:sz w:val="20"/>
                <w:szCs w:val="20"/>
                <w:color w:val="auto"/>
              </w:rPr>
            </w:pPr>
            <w:r>
              <w:rPr>
                <w:rFonts w:ascii="Arial" w:cs="Arial" w:eastAsia="Arial" w:hAnsi="Arial"/>
                <w:sz w:val="14"/>
                <w:szCs w:val="14"/>
                <w:color w:val="auto"/>
              </w:rPr>
              <w:t>Value-added Tax</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7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spacing w:after="0" w:line="270"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09"/>
        </w:trPr>
        <w:tc>
          <w:tcPr>
            <w:tcW w:w="758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b w:val="1"/>
                <w:bCs w:val="1"/>
                <w:color w:val="257ACB"/>
              </w:rPr>
              <w:t>2026</w:t>
            </w:r>
          </w:p>
        </w:tc>
        <w:tc>
          <w:tcPr>
            <w:tcW w:w="66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4"/>
        </w:trPr>
        <w:tc>
          <w:tcPr>
            <w:tcW w:w="7580" w:type="dxa"/>
            <w:vAlign w:val="bottom"/>
            <w:vMerge w:val="continue"/>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1,752.3</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1,726.5</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246.9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2,477.8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2,431.0</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539.0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434.1</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 upfront and milestone expense</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607.3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572.5</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19.7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2,100.1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2,119.8</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Arial" w:cs="Arial" w:eastAsia="Arial" w:hAnsi="Arial"/>
                <w:sz w:val="16"/>
                <w:szCs w:val="16"/>
                <w:color w:val="auto"/>
              </w:rPr>
              <w:t>Income before income tax (benefit) expense</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377.7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58.2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51"/>
        </w:trPr>
        <w:tc>
          <w:tcPr>
            <w:tcW w:w="758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980" w:type="dxa"/>
            <w:vAlign w:val="bottom"/>
            <w:tcBorders>
              <w:bottom w:val="single" w:sz="8" w:color="auto"/>
            </w:tcBorders>
            <w:shd w:val="clear" w:color="auto" w:fill="DBDBDB"/>
          </w:tcPr>
          <w:p>
            <w:pPr>
              <w:spacing w:after="0"/>
              <w:rPr>
                <w:sz w:val="21"/>
                <w:szCs w:val="21"/>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319.5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450"/>
        </w:trPr>
        <w:tc>
          <w:tcPr>
            <w:tcW w:w="758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66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2.17</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2.15</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486"/>
        </w:trPr>
        <w:tc>
          <w:tcPr>
            <w:tcW w:w="758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66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18"/>
        </w:trPr>
        <w:tc>
          <w:tcPr>
            <w:tcW w:w="758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COMPREHENSIVE INCOME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320" w:lineRule="exact"/>
        <w:rPr>
          <w:sz w:val="20"/>
          <w:szCs w:val="20"/>
          <w:color w:val="auto"/>
        </w:rPr>
      </w:pPr>
    </w:p>
    <w:p>
      <w:pPr>
        <w:jc w:val="right"/>
        <w:ind w:right="320"/>
        <w:spacing w:after="0"/>
        <w:rPr>
          <w:sz w:val="20"/>
          <w:szCs w:val="20"/>
          <w:color w:val="auto"/>
        </w:rPr>
      </w:pPr>
      <w:r>
        <w:rPr>
          <w:rFonts w:ascii="Arial" w:cs="Arial" w:eastAsia="Arial" w:hAnsi="Arial"/>
          <w:sz w:val="16"/>
          <w:szCs w:val="16"/>
          <w:b w:val="1"/>
          <w:bCs w:val="1"/>
          <w:color w:val="auto"/>
        </w:rPr>
        <w:t>For the Three Months Ended March 31,</w:t>
      </w:r>
    </w:p>
    <w:p>
      <w:pPr>
        <w:sectPr>
          <w:pgSz w:w="11900" w:h="16838" w:orient="portrait"/>
          <w:cols w:equalWidth="0" w:num="1">
            <w:col w:w="11240"/>
          </w:cols>
          <w:pgMar w:left="320" w:top="130"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Biogen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securities available for sale,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cash flow hedges,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pension benefit obligation,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Currency translation adjustments, net of tax</w:t>
      </w:r>
    </w:p>
    <w:p>
      <w:pPr>
        <w:spacing w:after="0" w:line="46" w:lineRule="exact"/>
        <w:rPr>
          <w:sz w:val="20"/>
          <w:szCs w:val="20"/>
          <w:color w:val="auto"/>
        </w:rPr>
      </w:pPr>
    </w:p>
    <w:p>
      <w:pPr>
        <w:ind w:left="20" w:right="2820"/>
        <w:spacing w:after="0" w:line="374" w:lineRule="auto"/>
        <w:rPr>
          <w:sz w:val="20"/>
          <w:szCs w:val="20"/>
          <w:color w:val="auto"/>
        </w:rPr>
      </w:pPr>
      <w:r>
        <w:rPr>
          <w:rFonts w:ascii="Arial" w:cs="Arial" w:eastAsia="Arial" w:hAnsi="Arial"/>
          <w:sz w:val="16"/>
          <w:szCs w:val="16"/>
          <w:color w:val="auto"/>
        </w:rPr>
        <w:t>Total other comprehensive income (loss), net of tax Comprehensive income (loss) attributable to Biogen Inc.</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Borders>
              <w:top w:val="single" w:sz="8" w:color="auto"/>
              <w:bottom w:val="single" w:sz="8" w:color="auto"/>
            </w:tcBorders>
            <w:shd w:val="clear" w:color="auto" w:fill="DDDDDD"/>
          </w:tcPr>
          <w:p>
            <w:pPr>
              <w:spacing w:after="0"/>
              <w:rPr>
                <w:sz w:val="18"/>
                <w:szCs w:val="18"/>
                <w:color w:val="auto"/>
              </w:rPr>
            </w:pPr>
          </w:p>
        </w:tc>
        <w:tc>
          <w:tcPr>
            <w:tcW w:w="1360" w:type="dxa"/>
            <w:vAlign w:val="bottom"/>
            <w:tcBorders>
              <w:top w:val="single" w:sz="8" w:color="auto"/>
              <w:bottom w:val="single" w:sz="8" w:color="auto"/>
            </w:tcBorders>
            <w:shd w:val="clear" w:color="auto" w:fill="DDDDDD"/>
          </w:tcPr>
          <w:p>
            <w:pPr>
              <w:jc w:val="right"/>
              <w:ind w:right="619"/>
              <w:spacing w:after="0"/>
              <w:rPr>
                <w:sz w:val="20"/>
                <w:szCs w:val="20"/>
                <w:color w:val="auto"/>
              </w:rPr>
            </w:pPr>
            <w:r>
              <w:rPr>
                <w:rFonts w:ascii="Arial" w:cs="Arial" w:eastAsia="Arial" w:hAnsi="Arial"/>
                <w:sz w:val="16"/>
                <w:szCs w:val="16"/>
                <w:b w:val="1"/>
                <w:bCs w:val="1"/>
                <w:color w:val="257ACB"/>
              </w:rPr>
              <w:t>2026</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08"/>
        </w:trPr>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257ACB"/>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319.5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431"/>
        </w:trPr>
        <w:tc>
          <w:tcPr>
            <w:tcW w:w="400" w:type="dxa"/>
            <w:vAlign w:val="bottom"/>
            <w:shd w:val="clear" w:color="auto" w:fill="DBDBDB"/>
          </w:tcPr>
          <w:p>
            <w:pPr>
              <w:spacing w:after="0"/>
              <w:rPr>
                <w:sz w:val="24"/>
                <w:szCs w:val="2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6"/>
        </w:trPr>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41.8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30"/>
        </w:trPr>
        <w:tc>
          <w:tcPr>
            <w:tcW w:w="40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257ACB"/>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361.3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r>
      <w:tr>
        <w:trPr>
          <w:trHeight w:val="20"/>
        </w:trPr>
        <w:tc>
          <w:tcPr>
            <w:tcW w:w="4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ectPr>
          <w:pgSz w:w="11900" w:h="16838" w:orient="portrait"/>
          <w:cols w:equalWidth="0" w:num="2">
            <w:col w:w="6880" w:space="720"/>
            <w:col w:w="36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26"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800" w:type="dxa"/>
            <w:vAlign w:val="bottom"/>
            <w:vMerge w:val="restart"/>
            <w:shd w:val="clear" w:color="auto" w:fill="DBDBDB"/>
          </w:tcPr>
          <w:p>
            <w:pPr>
              <w:jc w:val="right"/>
              <w:ind w:right="99"/>
              <w:spacing w:after="0"/>
              <w:rPr>
                <w:sz w:val="20"/>
                <w:szCs w:val="20"/>
                <w:color w:val="auto"/>
              </w:rPr>
            </w:pPr>
            <w:r>
              <w:rPr>
                <w:rFonts w:ascii="Arial" w:cs="Arial" w:eastAsia="Arial" w:hAnsi="Arial"/>
                <w:sz w:val="16"/>
                <w:szCs w:val="16"/>
                <w:b w:val="1"/>
                <w:bCs w:val="1"/>
                <w:color w:val="026DCE"/>
              </w:rPr>
              <w:t>As of March 31, 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6"/>
        </w:trPr>
        <w:tc>
          <w:tcPr>
            <w:tcW w:w="734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3,382.7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3,008.5</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Current portion of marketable securities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807.2</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Accounts receivable, net of allowance for doubtful accounts of $3.0 and $3.0, respectively</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1,342.4</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1,949.0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2,168.1</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1,168.3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9,190.4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8,974.1</w:t>
            </w: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3,017.9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3,055.4</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9,053.5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6,488.7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6,491.1</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Deferred tax asset</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17"/>
        </w:trPr>
        <w:tc>
          <w:tcPr>
            <w:tcW w:w="734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777.5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1"/>
        </w:trPr>
        <w:tc>
          <w:tcPr>
            <w:tcW w:w="73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29,483.1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DDDDDD"/>
          </w:tcPr>
          <w:p>
            <w:pPr>
              <w:spacing w:after="0"/>
              <w:rPr>
                <w:sz w:val="18"/>
                <w:szCs w:val="18"/>
                <w:color w:val="auto"/>
              </w:rPr>
            </w:pPr>
          </w:p>
        </w:tc>
        <w:tc>
          <w:tcPr>
            <w:tcW w:w="18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93.6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5"/>
        </w:trPr>
        <w:tc>
          <w:tcPr>
            <w:tcW w:w="73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358.5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2,546.8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3,349.4</w:t>
            </w: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6"/>
                <w:szCs w:val="16"/>
                <w:color w:val="auto"/>
              </w:rPr>
              <w:t>Notes payable</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6,288.5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6,286.8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787.1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10,831.4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11,182.7</w:t>
            </w:r>
          </w:p>
        </w:tc>
        <w:tc>
          <w:tcPr>
            <w:tcW w:w="0" w:type="dxa"/>
            <w:vAlign w:val="bottom"/>
          </w:tcPr>
          <w:p>
            <w:pPr>
              <w:spacing w:after="0"/>
              <w:rPr>
                <w:sz w:val="1"/>
                <w:szCs w:val="1"/>
                <w:color w:val="auto"/>
              </w:rPr>
            </w:pPr>
          </w:p>
        </w:tc>
      </w:tr>
      <w:tr>
        <w:trPr>
          <w:trHeight w:val="195"/>
        </w:trPr>
        <w:tc>
          <w:tcPr>
            <w:tcW w:w="7340" w:type="dxa"/>
            <w:vAlign w:val="bottom"/>
          </w:tcPr>
          <w:p>
            <w:pPr>
              <w:spacing w:after="0"/>
              <w:rPr>
                <w:sz w:val="20"/>
                <w:szCs w:val="20"/>
                <w:color w:val="auto"/>
              </w:rPr>
            </w:pPr>
            <w:r>
              <w:rPr>
                <w:rFonts w:ascii="Arial" w:cs="Arial" w:eastAsia="Arial" w:hAnsi="Arial"/>
                <w:sz w:val="16"/>
                <w:szCs w:val="16"/>
                <w:color w:val="auto"/>
              </w:rPr>
              <w:t>Commitments, contingencies and guarantees</w:t>
            </w:r>
          </w:p>
        </w:tc>
        <w:tc>
          <w:tcPr>
            <w:tcW w:w="140" w:type="dxa"/>
            <w:vAlign w:val="bottom"/>
            <w:shd w:val="clear" w:color="auto" w:fill="DBDBDB"/>
          </w:tcPr>
          <w:p>
            <w:pPr>
              <w:spacing w:after="0"/>
              <w:rPr>
                <w:sz w:val="16"/>
                <w:szCs w:val="16"/>
                <w:color w:val="auto"/>
              </w:rPr>
            </w:pPr>
          </w:p>
        </w:tc>
        <w:tc>
          <w:tcPr>
            <w:tcW w:w="18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DBDBDB"/>
          </w:tcPr>
          <w:p>
            <w:pPr>
              <w:spacing w:after="0"/>
              <w:rPr>
                <w:sz w:val="18"/>
                <w:szCs w:val="18"/>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20,872.2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20,552.7</w:t>
            </w:r>
          </w:p>
        </w:tc>
        <w:tc>
          <w:tcPr>
            <w:tcW w:w="0" w:type="dxa"/>
            <w:vAlign w:val="bottom"/>
          </w:tcPr>
          <w:p>
            <w:pPr>
              <w:spacing w:after="0"/>
              <w:rPr>
                <w:sz w:val="1"/>
                <w:szCs w:val="1"/>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1"/>
        </w:trPr>
        <w:tc>
          <w:tcPr>
            <w:tcW w:w="734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DBDBDB"/>
          </w:tcPr>
          <w:p>
            <w:pPr>
              <w:spacing w:after="0"/>
              <w:rPr>
                <w:sz w:val="18"/>
                <w:szCs w:val="18"/>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18,651.7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18,256.8</w:t>
            </w:r>
          </w:p>
        </w:tc>
        <w:tc>
          <w:tcPr>
            <w:tcW w:w="0" w:type="dxa"/>
            <w:vAlign w:val="bottom"/>
          </w:tcPr>
          <w:p>
            <w:pPr>
              <w:spacing w:after="0"/>
              <w:rPr>
                <w:sz w:val="1"/>
                <w:szCs w:val="1"/>
                <w:color w:val="auto"/>
              </w:rPr>
            </w:pPr>
          </w:p>
        </w:tc>
      </w:tr>
      <w:tr>
        <w:trPr>
          <w:trHeight w:val="230"/>
        </w:trPr>
        <w:tc>
          <w:tcPr>
            <w:tcW w:w="734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29,483.1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740" w:right="2020"/>
        <w:spacing w:after="0" w:line="264"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64" w:lineRule="exact"/>
        <w:rPr>
          <w:sz w:val="20"/>
          <w:szCs w:val="20"/>
          <w:color w:val="auto"/>
        </w:rPr>
      </w:pPr>
    </w:p>
    <w:p>
      <w:pPr>
        <w:jc w:val="center"/>
        <w:ind w:left="7560"/>
        <w:spacing w:after="0"/>
        <w:rPr>
          <w:sz w:val="20"/>
          <w:szCs w:val="20"/>
          <w:color w:val="auto"/>
        </w:rPr>
      </w:pPr>
      <w:r>
        <w:rPr>
          <w:rFonts w:ascii="Arial" w:cs="Arial" w:eastAsia="Arial" w:hAnsi="Arial"/>
          <w:sz w:val="15"/>
          <w:szCs w:val="15"/>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24130</wp:posOffset>
            </wp:positionV>
            <wp:extent cx="23228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2830" cy="137160"/>
                    </a:xfrm>
                    <a:prstGeom prst="rect">
                      <a:avLst/>
                    </a:prstGeom>
                    <a:noFill/>
                  </pic:spPr>
                </pic:pic>
              </a:graphicData>
            </a:graphic>
          </wp:anchor>
        </w:drawing>
      </w:r>
    </w:p>
    <w:p>
      <w:pPr>
        <w:spacing w:after="0" w:line="24" w:lineRule="exact"/>
        <w:rPr>
          <w:sz w:val="20"/>
          <w:szCs w:val="20"/>
          <w:color w:val="auto"/>
        </w:rPr>
      </w:pPr>
    </w:p>
    <w:p>
      <w:pPr>
        <w:ind w:left="8300"/>
        <w:spacing w:after="0"/>
        <w:tabs>
          <w:tab w:leader="none" w:pos="10160" w:val="left"/>
        </w:tabs>
        <w:rPr>
          <w:sz w:val="20"/>
          <w:szCs w:val="20"/>
          <w:color w:val="auto"/>
        </w:rPr>
      </w:pPr>
      <w:r>
        <w:rPr>
          <w:rFonts w:ascii="Arial" w:cs="Arial" w:eastAsia="Arial" w:hAnsi="Arial"/>
          <w:sz w:val="15"/>
          <w:szCs w:val="15"/>
          <w:b w:val="1"/>
          <w:bCs w:val="1"/>
          <w:color w:val="257ACB"/>
        </w:rPr>
        <w:t>2026</w:t>
      </w:r>
      <w:r>
        <w:rPr>
          <w:sz w:val="20"/>
          <w:szCs w:val="20"/>
          <w:color w:val="auto"/>
        </w:rPr>
        <w:tab/>
      </w:r>
      <w:r>
        <w:rPr>
          <w:rFonts w:ascii="Arial" w:cs="Arial" w:eastAsia="Arial" w:hAnsi="Arial"/>
          <w:sz w:val="15"/>
          <w:szCs w:val="15"/>
          <w:b w:val="1"/>
          <w:bCs w:val="1"/>
          <w:color w:val="auto"/>
        </w:rPr>
        <w:t>2025</w:t>
      </w:r>
    </w:p>
    <w:p>
      <w:pPr>
        <w:sectPr>
          <w:pgSz w:w="11900" w:h="16838" w:orient="portrait"/>
          <w:cols w:equalWidth="0" w:num="1">
            <w:col w:w="11240"/>
          </w:cols>
          <w:pgMar w:left="320" w:top="130"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from operating activities: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Net income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 to reconcile net income to net cash flow from operating activities: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and amortization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Excess and obsolescence charges related to inventory</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of acquired inventory step-up</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Share-based compensation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Contingent consideration</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Deferred income taxes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(Gain) loss on strategic investments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Changes in operating assets and liabilities, net of effects of business acquired:</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Accounts receivable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Due from anti-CD20 therapeutic programs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Inventory</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expense and other current liabilities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Income tax assets and liabilities</w:t>
      </w:r>
    </w:p>
    <w:p>
      <w:pPr>
        <w:spacing w:after="0" w:line="30" w:lineRule="exact"/>
        <w:rPr>
          <w:sz w:val="20"/>
          <w:szCs w:val="20"/>
          <w:color w:val="auto"/>
        </w:rPr>
      </w:pPr>
    </w:p>
    <w:p>
      <w:pPr>
        <w:ind w:left="460" w:right="2660" w:hanging="121"/>
        <w:spacing w:after="0" w:line="291" w:lineRule="auto"/>
        <w:rPr>
          <w:sz w:val="20"/>
          <w:szCs w:val="20"/>
          <w:color w:val="auto"/>
        </w:rPr>
      </w:pPr>
      <w:r>
        <w:rPr>
          <w:rFonts w:ascii="Arial" w:cs="Arial" w:eastAsia="Arial" w:hAnsi="Arial"/>
          <w:sz w:val="15"/>
          <w:szCs w:val="15"/>
          <w:color w:val="auto"/>
        </w:rPr>
        <w:t>Other changes in operating assets and liabilities, net Net cash flow provided by (used in) operating activities</w:t>
      </w:r>
    </w:p>
    <w:p>
      <w:pPr>
        <w:ind w:left="20"/>
        <w:spacing w:after="0"/>
        <w:rPr>
          <w:sz w:val="20"/>
          <w:szCs w:val="20"/>
          <w:color w:val="auto"/>
        </w:rPr>
      </w:pPr>
      <w:r>
        <w:rPr>
          <w:rFonts w:ascii="Arial" w:cs="Arial" w:eastAsia="Arial" w:hAnsi="Arial"/>
          <w:sz w:val="15"/>
          <w:szCs w:val="15"/>
          <w:b w:val="1"/>
          <w:bCs w:val="1"/>
          <w:color w:val="auto"/>
        </w:rPr>
        <w:t>Cash flow from investing activities: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Purchases of property, plant and equipment</w:t>
      </w:r>
    </w:p>
    <w:p>
      <w:pPr>
        <w:spacing w:after="0" w:line="22" w:lineRule="exact"/>
        <w:rPr>
          <w:sz w:val="20"/>
          <w:szCs w:val="20"/>
          <w:color w:val="auto"/>
        </w:rPr>
      </w:pPr>
    </w:p>
    <w:p>
      <w:pPr>
        <w:ind w:left="140" w:right="2620"/>
        <w:spacing w:after="0" w:line="281" w:lineRule="auto"/>
        <w:rPr>
          <w:sz w:val="20"/>
          <w:szCs w:val="20"/>
          <w:color w:val="auto"/>
        </w:rPr>
      </w:pPr>
      <w:r>
        <w:rPr>
          <w:rFonts w:ascii="Arial" w:cs="Arial" w:eastAsia="Arial" w:hAnsi="Arial"/>
          <w:sz w:val="15"/>
          <w:szCs w:val="15"/>
          <w:color w:val="auto"/>
        </w:rPr>
        <w:t>Proceeds from sales and maturities of marketable securities Purchases of marketable securities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Acquired in-process research and development</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Acquisitions of intangible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sales of strategic investments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Net cash flow provided by (used in) investing activities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flow from financing activities:</w:t>
      </w:r>
    </w:p>
    <w:p>
      <w:pPr>
        <w:spacing w:after="0" w:line="38" w:lineRule="exact"/>
        <w:rPr>
          <w:sz w:val="20"/>
          <w:szCs w:val="20"/>
          <w:color w:val="auto"/>
        </w:rPr>
      </w:pPr>
    </w:p>
    <w:p>
      <w:pPr>
        <w:ind w:left="140" w:right="680"/>
        <w:spacing w:after="0" w:line="284" w:lineRule="auto"/>
        <w:rPr>
          <w:sz w:val="20"/>
          <w:szCs w:val="20"/>
          <w:color w:val="auto"/>
        </w:rPr>
      </w:pPr>
      <w:r>
        <w:rPr>
          <w:rFonts w:ascii="Arial" w:cs="Arial" w:eastAsia="Arial" w:hAnsi="Arial"/>
          <w:sz w:val="15"/>
          <w:szCs w:val="15"/>
          <w:color w:val="auto"/>
        </w:rPr>
        <w:t>Payments related to issuance of stock for share-based compensation arrangements, net Other</w:t>
      </w:r>
    </w:p>
    <w:p>
      <w:pPr>
        <w:spacing w:after="0" w:line="1" w:lineRule="exact"/>
        <w:rPr>
          <w:sz w:val="20"/>
          <w:szCs w:val="20"/>
          <w:color w:val="auto"/>
        </w:rPr>
      </w:pPr>
    </w:p>
    <w:p>
      <w:pPr>
        <w:ind w:left="20" w:right="2800" w:firstLine="324"/>
        <w:spacing w:after="0" w:line="292" w:lineRule="auto"/>
        <w:rPr>
          <w:sz w:val="20"/>
          <w:szCs w:val="20"/>
          <w:color w:val="auto"/>
        </w:rPr>
      </w:pPr>
      <w:r>
        <w:rPr>
          <w:rFonts w:ascii="Arial" w:cs="Arial" w:eastAsia="Arial" w:hAnsi="Arial"/>
          <w:sz w:val="15"/>
          <w:szCs w:val="15"/>
          <w:color w:val="auto"/>
        </w:rPr>
        <w:t>Net cash flow provided by (used in) financing activities Net increase (decrease) in cash and cash equivalents</w:t>
      </w:r>
    </w:p>
    <w:p>
      <w:pPr>
        <w:ind w:left="20" w:right="2540"/>
        <w:spacing w:after="0" w:line="308" w:lineRule="auto"/>
        <w:rPr>
          <w:sz w:val="20"/>
          <w:szCs w:val="20"/>
          <w:color w:val="auto"/>
        </w:rPr>
      </w:pPr>
      <w:r>
        <w:rPr>
          <w:rFonts w:ascii="Arial" w:cs="Arial" w:eastAsia="Arial" w:hAnsi="Arial"/>
          <w:sz w:val="15"/>
          <w:szCs w:val="15"/>
          <w:color w:val="auto"/>
        </w:rPr>
        <w:t>Effect of exchange rate changes on cash and cash equivalents Cash and cash equivalents, beginning of the period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and cash equivalents, end of the period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1"/>
        </w:trPr>
        <w:tc>
          <w:tcPr>
            <w:tcW w:w="660" w:type="dxa"/>
            <w:vAlign w:val="bottom"/>
            <w:tcBorders>
              <w:top w:val="single" w:sz="8" w:color="auto"/>
            </w:tcBorders>
            <w:shd w:val="clear" w:color="auto" w:fill="DBDBDB"/>
          </w:tcPr>
          <w:p>
            <w:pPr>
              <w:jc w:val="right"/>
              <w:ind w:right="483"/>
              <w:spacing w:after="0"/>
              <w:rPr>
                <w:sz w:val="20"/>
                <w:szCs w:val="20"/>
                <w:color w:val="auto"/>
              </w:rPr>
            </w:pPr>
            <w:r>
              <w:rPr>
                <w:rFonts w:ascii="Arial" w:cs="Arial" w:eastAsia="Arial" w:hAnsi="Arial"/>
                <w:sz w:val="15"/>
                <w:szCs w:val="15"/>
                <w:color w:val="257ACB"/>
                <w:w w:val="95"/>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319.5</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240.5</w:t>
            </w:r>
          </w:p>
        </w:tc>
      </w:tr>
      <w:tr>
        <w:trPr>
          <w:trHeight w:val="405"/>
        </w:trPr>
        <w:tc>
          <w:tcPr>
            <w:tcW w:w="66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204.4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183.2</w:t>
            </w:r>
          </w:p>
        </w:tc>
      </w:tr>
      <w:tr>
        <w:trPr>
          <w:trHeight w:val="201"/>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4.8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107.6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51.4</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84.0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81.0</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20.5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23.6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(27.8)</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(19.0)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40.9</w:t>
            </w:r>
          </w:p>
        </w:tc>
      </w:tr>
      <w:tr>
        <w:trPr>
          <w:trHeight w:val="204"/>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28.0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405"/>
        </w:trPr>
        <w:tc>
          <w:tcPr>
            <w:tcW w:w="66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(33.7)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(181.0)</w:t>
            </w:r>
          </w:p>
        </w:tc>
      </w:tr>
      <w:tr>
        <w:trPr>
          <w:trHeight w:val="201"/>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103.4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70.4</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116.2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62.0</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(243.2)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(300.5)</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18.4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69.1</w:t>
            </w:r>
          </w:p>
        </w:tc>
      </w:tr>
      <w:tr>
        <w:trPr>
          <w:trHeight w:val="206"/>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(89.0)</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w:t>
            </w:r>
          </w:p>
        </w:tc>
      </w:tr>
      <w:tr>
        <w:trPr>
          <w:trHeight w:val="198"/>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645.5</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259.3</w:t>
            </w:r>
          </w:p>
        </w:tc>
      </w:tr>
      <w:tr>
        <w:trPr>
          <w:trHeight w:val="381"/>
        </w:trPr>
        <w:tc>
          <w:tcPr>
            <w:tcW w:w="66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(51.2)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(37.1)</w:t>
            </w:r>
          </w:p>
        </w:tc>
      </w:tr>
      <w:tr>
        <w:trPr>
          <w:trHeight w:val="201"/>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625.2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(748.8)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(35.0)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0.5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(0.2)</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r>
        <w:trPr>
          <w:trHeight w:val="198"/>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(209.5)</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w:t>
            </w:r>
          </w:p>
        </w:tc>
      </w:tr>
      <w:tr>
        <w:trPr>
          <w:trHeight w:val="381"/>
        </w:trPr>
        <w:tc>
          <w:tcPr>
            <w:tcW w:w="66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(55.1)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(24.3)</w:t>
            </w:r>
          </w:p>
        </w:tc>
      </w:tr>
      <w:tr>
        <w:trPr>
          <w:trHeight w:val="205"/>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11.3</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r>
      <w:tr>
        <w:trPr>
          <w:trHeight w:val="197"/>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(43.8)</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r>
      <w:tr>
        <w:trPr>
          <w:trHeight w:val="190"/>
        </w:trPr>
        <w:tc>
          <w:tcPr>
            <w:tcW w:w="66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392.2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189.0</w:t>
            </w:r>
          </w:p>
        </w:tc>
      </w:tr>
      <w:tr>
        <w:trPr>
          <w:trHeight w:val="203"/>
        </w:trPr>
        <w:tc>
          <w:tcPr>
            <w:tcW w:w="6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(18.0)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206"/>
        </w:trPr>
        <w:tc>
          <w:tcPr>
            <w:tcW w:w="6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3,008.5</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2,375.0</w:t>
            </w:r>
          </w:p>
        </w:tc>
      </w:tr>
      <w:tr>
        <w:trPr>
          <w:trHeight w:val="218"/>
        </w:trPr>
        <w:tc>
          <w:tcPr>
            <w:tcW w:w="66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5"/>
                <w:szCs w:val="15"/>
                <w:color w:val="257ACB"/>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3,382.7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2,598.3</w:t>
            </w:r>
          </w:p>
        </w:tc>
      </w:tr>
      <w:tr>
        <w:trPr>
          <w:trHeight w:val="20"/>
        </w:trPr>
        <w:tc>
          <w:tcPr>
            <w:tcW w:w="6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3720" w:type="dxa"/>
            <w:vAlign w:val="bottom"/>
            <w:tcBorders>
              <w:bottom w:val="single" w:sz="8" w:color="auto"/>
            </w:tcBorders>
            <w:gridSpan w:val="14"/>
            <w:shd w:val="clear" w:color="auto" w:fill="DBDBDB"/>
          </w:tcPr>
          <w:p>
            <w:pPr>
              <w:ind w:left="360"/>
              <w:spacing w:after="0"/>
              <w:rPr>
                <w:sz w:val="20"/>
                <w:szCs w:val="20"/>
                <w:color w:val="auto"/>
              </w:rPr>
            </w:pPr>
            <w:r>
              <w:rPr>
                <w:rFonts w:ascii="Arial" w:cs="Arial" w:eastAsia="Arial" w:hAnsi="Arial"/>
                <w:sz w:val="14"/>
                <w:szCs w:val="14"/>
                <w:b w:val="1"/>
                <w:bCs w:val="1"/>
                <w:color w:val="0070C0"/>
              </w:rPr>
              <w:t>For the Three Months Ended March 31, 2026</w:t>
            </w:r>
          </w:p>
        </w:tc>
        <w:tc>
          <w:tcPr>
            <w:tcW w:w="7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7"/>
          </w:tcPr>
          <w:p>
            <w:pPr>
              <w:jc w:val="right"/>
              <w:ind w:right="19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8"/>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80" w:type="dxa"/>
            <w:vAlign w:val="bottom"/>
            <w:gridSpan w:val="4"/>
            <w:vMerge w:val="restart"/>
          </w:tcPr>
          <w:p>
            <w:pPr>
              <w:jc w:val="center"/>
              <w:ind w:right="160"/>
              <w:spacing w:after="0" w:line="108" w:lineRule="exact"/>
              <w:rPr>
                <w:sz w:val="20"/>
                <w:szCs w:val="20"/>
                <w:color w:val="auto"/>
              </w:rPr>
            </w:pPr>
            <w:r>
              <w:rPr>
                <w:rFonts w:ascii="Arial" w:cs="Arial" w:eastAsia="Arial" w:hAnsi="Arial"/>
                <w:sz w:val="12"/>
                <w:szCs w:val="12"/>
                <w:b w:val="1"/>
                <w:bCs w:val="1"/>
                <w:color w:val="auto"/>
              </w:rPr>
              <w:t>other</w:t>
            </w:r>
          </w:p>
        </w:tc>
        <w:tc>
          <w:tcPr>
            <w:tcW w:w="10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2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DBDBDB"/>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2025</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20" w:type="dxa"/>
            <w:vAlign w:val="bottom"/>
            <w:gridSpan w:val="5"/>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60" w:type="dxa"/>
            <w:vAlign w:val="bottom"/>
            <w:gridSpan w:val="5"/>
            <w:shd w:val="clear" w:color="auto" w:fill="DBDBDB"/>
          </w:tcPr>
          <w:p>
            <w:pPr>
              <w:jc w:val="right"/>
              <w:spacing w:after="0"/>
              <w:rPr>
                <w:sz w:val="20"/>
                <w:szCs w:val="20"/>
                <w:color w:val="auto"/>
              </w:rPr>
            </w:pPr>
            <w:r>
              <w:rPr>
                <w:rFonts w:ascii="Arial" w:cs="Arial" w:eastAsia="Arial" w:hAnsi="Arial"/>
                <w:sz w:val="13"/>
                <w:szCs w:val="13"/>
                <w:color w:val="2573BA"/>
              </w:rPr>
              <w:t>170.5</w:t>
            </w:r>
          </w:p>
        </w:tc>
        <w:tc>
          <w:tcPr>
            <w:tcW w:w="200" w:type="dxa"/>
            <w:vAlign w:val="bottom"/>
            <w:gridSpan w:val="4"/>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863.1</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(182.0)</w:t>
            </w:r>
          </w:p>
        </w:tc>
        <w:tc>
          <w:tcPr>
            <w:tcW w:w="2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20,552.7</w:t>
            </w:r>
          </w:p>
        </w:tc>
        <w:tc>
          <w:tcPr>
            <w:tcW w:w="8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30"/>
              <w:spacing w:after="0"/>
              <w:rPr>
                <w:sz w:val="20"/>
                <w:szCs w:val="20"/>
                <w:color w:val="auto"/>
              </w:rPr>
            </w:pPr>
            <w:r>
              <w:rPr>
                <w:rFonts w:ascii="Arial" w:cs="Arial" w:eastAsia="Arial" w:hAnsi="Arial"/>
                <w:sz w:val="13"/>
                <w:szCs w:val="13"/>
                <w:color w:val="2573BA"/>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18,256.8</w:t>
            </w:r>
          </w:p>
        </w:tc>
        <w:tc>
          <w:tcPr>
            <w:tcW w:w="0" w:type="dxa"/>
            <w:vAlign w:val="bottom"/>
          </w:tcPr>
          <w:p>
            <w:pPr>
              <w:spacing w:after="0"/>
              <w:rPr>
                <w:sz w:val="1"/>
                <w:szCs w:val="1"/>
                <w:color w:val="auto"/>
              </w:rPr>
            </w:pPr>
          </w:p>
        </w:tc>
      </w:tr>
      <w:tr>
        <w:trPr>
          <w:trHeight w:val="197"/>
        </w:trPr>
        <w:tc>
          <w:tcPr>
            <w:tcW w:w="2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gridSpan w:val="3"/>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7"/>
                <w:szCs w:val="17"/>
                <w:color w:val="auto"/>
              </w:rPr>
            </w:pPr>
          </w:p>
        </w:tc>
        <w:tc>
          <w:tcPr>
            <w:tcW w:w="74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1080" w:type="dxa"/>
            <w:vAlign w:val="bottom"/>
            <w:gridSpan w:val="4"/>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319.5</w:t>
            </w:r>
          </w:p>
        </w:tc>
        <w:tc>
          <w:tcPr>
            <w:tcW w:w="8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319.5</w:t>
            </w:r>
          </w:p>
        </w:tc>
        <w:tc>
          <w:tcPr>
            <w:tcW w:w="0" w:type="dxa"/>
            <w:vAlign w:val="bottom"/>
          </w:tcPr>
          <w:p>
            <w:pPr>
              <w:spacing w:after="0"/>
              <w:rPr>
                <w:sz w:val="1"/>
                <w:szCs w:val="1"/>
                <w:color w:val="auto"/>
              </w:rPr>
            </w:pPr>
          </w:p>
        </w:tc>
      </w:tr>
      <w:tr>
        <w:trPr>
          <w:trHeight w:val="157"/>
        </w:trPr>
        <w:tc>
          <w:tcPr>
            <w:tcW w:w="2160" w:type="dxa"/>
            <w:vAlign w:val="bottom"/>
            <w:gridSpan w:val="2"/>
          </w:tcPr>
          <w:p>
            <w:pPr>
              <w:spacing w:after="0" w:line="157" w:lineRule="exact"/>
              <w:rPr>
                <w:sz w:val="20"/>
                <w:szCs w:val="20"/>
                <w:color w:val="auto"/>
              </w:rPr>
            </w:pPr>
            <w:r>
              <w:rPr>
                <w:rFonts w:ascii="Arial" w:cs="Arial" w:eastAsia="Arial" w:hAnsi="Arial"/>
                <w:sz w:val="14"/>
                <w:szCs w:val="14"/>
                <w:color w:val="auto"/>
              </w:rPr>
              <w:t>Other comprehensive income</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gridSpan w:val="3"/>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7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41.8</w:t>
            </w: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41.8</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(loss), net of tax</w:t>
            </w: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3"/>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4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8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 under</w:t>
            </w: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60" w:type="dxa"/>
            <w:vAlign w:val="bottom"/>
            <w:gridSpan w:val="2"/>
          </w:tcPr>
          <w:p>
            <w:pPr>
              <w:spacing w:after="0" w:line="139" w:lineRule="exact"/>
              <w:rPr>
                <w:sz w:val="20"/>
                <w:szCs w:val="20"/>
                <w:color w:val="auto"/>
              </w:rPr>
            </w:pPr>
            <w:r>
              <w:rPr>
                <w:rFonts w:ascii="Arial" w:cs="Arial" w:eastAsia="Arial" w:hAnsi="Arial"/>
                <w:sz w:val="14"/>
                <w:szCs w:val="14"/>
                <w:color w:val="auto"/>
              </w:rPr>
              <w:t>stock option and stock purchase</w:t>
            </w: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gridSpan w:val="2"/>
          </w:tcPr>
          <w:p>
            <w:pPr>
              <w:spacing w:after="0"/>
              <w:rPr>
                <w:sz w:val="20"/>
                <w:szCs w:val="20"/>
                <w:color w:val="auto"/>
              </w:rPr>
            </w:pPr>
            <w:r>
              <w:rPr>
                <w:rFonts w:ascii="Arial" w:cs="Arial" w:eastAsia="Arial" w:hAnsi="Arial"/>
                <w:sz w:val="14"/>
                <w:szCs w:val="14"/>
                <w:color w:val="auto"/>
              </w:rPr>
              <w:t>plans</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60" w:type="dxa"/>
            <w:vAlign w:val="bottom"/>
            <w:gridSpan w:val="5"/>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3"/>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15.2</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4"/>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15.2</w:t>
            </w:r>
          </w:p>
        </w:tc>
        <w:tc>
          <w:tcPr>
            <w:tcW w:w="0" w:type="dxa"/>
            <w:vAlign w:val="bottom"/>
          </w:tcPr>
          <w:p>
            <w:pPr>
              <w:spacing w:after="0"/>
              <w:rPr>
                <w:sz w:val="1"/>
                <w:szCs w:val="1"/>
                <w:color w:val="auto"/>
              </w:rPr>
            </w:pPr>
          </w:p>
        </w:tc>
      </w:tr>
      <w:tr>
        <w:trPr>
          <w:trHeight w:val="157"/>
        </w:trPr>
        <w:tc>
          <w:tcPr>
            <w:tcW w:w="2160" w:type="dxa"/>
            <w:vAlign w:val="bottom"/>
            <w:gridSpan w:val="2"/>
          </w:tcPr>
          <w:p>
            <w:pPr>
              <w:spacing w:after="0" w:line="157" w:lineRule="exact"/>
              <w:rPr>
                <w:sz w:val="20"/>
                <w:szCs w:val="20"/>
                <w:color w:val="auto"/>
              </w:rPr>
            </w:pPr>
            <w:r>
              <w:rPr>
                <w:rFonts w:ascii="Arial" w:cs="Arial" w:eastAsia="Arial" w:hAnsi="Arial"/>
                <w:sz w:val="14"/>
                <w:szCs w:val="14"/>
                <w:color w:val="auto"/>
              </w:rPr>
              <w:t>Issuance of common stock under</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20" w:type="dxa"/>
            <w:vAlign w:val="bottom"/>
            <w:gridSpan w:val="3"/>
            <w:vMerge w:val="restart"/>
            <w:shd w:val="clear" w:color="auto" w:fill="DBDBDB"/>
          </w:tcPr>
          <w:p>
            <w:pPr>
              <w:jc w:val="right"/>
              <w:spacing w:after="0"/>
              <w:rPr>
                <w:sz w:val="20"/>
                <w:szCs w:val="20"/>
                <w:color w:val="auto"/>
              </w:rPr>
            </w:pPr>
            <w:r>
              <w:rPr>
                <w:rFonts w:ascii="Arial" w:cs="Arial" w:eastAsia="Arial" w:hAnsi="Arial"/>
                <w:sz w:val="13"/>
                <w:szCs w:val="13"/>
                <w:color w:val="2573BA"/>
              </w:rPr>
              <w:t>0.8</w:t>
            </w:r>
          </w:p>
        </w:tc>
        <w:tc>
          <w:tcPr>
            <w:tcW w:w="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80" w:type="dxa"/>
            <w:vAlign w:val="bottom"/>
            <w:gridSpan w:val="3"/>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3"/>
                <w:szCs w:val="13"/>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(70.3)</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80" w:type="dxa"/>
            <w:vAlign w:val="bottom"/>
            <w:gridSpan w:val="4"/>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3"/>
                <w:szCs w:val="13"/>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(70.3)</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stock award plan</w:t>
            </w: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20" w:type="dxa"/>
            <w:vAlign w:val="bottom"/>
            <w:gridSpan w:val="3"/>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3"/>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4"/>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Compensation related to share-</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80" w:type="dxa"/>
            <w:vAlign w:val="bottom"/>
            <w:gridSpan w:val="3"/>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20" w:type="dxa"/>
            <w:vAlign w:val="bottom"/>
            <w:shd w:val="clear" w:color="auto" w:fill="DBDBDB"/>
          </w:tcPr>
          <w:p>
            <w:pPr>
              <w:spacing w:after="0"/>
              <w:rPr>
                <w:sz w:val="12"/>
                <w:szCs w:val="12"/>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88.1</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80" w:type="dxa"/>
            <w:vAlign w:val="bottom"/>
            <w:gridSpan w:val="4"/>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2"/>
                <w:szCs w:val="12"/>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80" w:type="dxa"/>
            <w:vAlign w:val="bottom"/>
            <w:shd w:val="clear" w:color="auto" w:fill="DBDBDB"/>
          </w:tcPr>
          <w:p>
            <w:pPr>
              <w:spacing w:after="0"/>
              <w:rPr>
                <w:sz w:val="12"/>
                <w:szCs w:val="12"/>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88.1</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based payments</w:t>
            </w: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3"/>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80" w:type="dxa"/>
            <w:vAlign w:val="bottom"/>
            <w:gridSpan w:val="4"/>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8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gridSpan w:val="2"/>
            <w:vMerge w:val="continue"/>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60" w:type="dxa"/>
            <w:vAlign w:val="bottom"/>
            <w:gridSpan w:val="2"/>
          </w:tcPr>
          <w:p>
            <w:pPr>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gridSpan w:val="2"/>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0.6</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gridSpan w:val="2"/>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0.6</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Balance, March 31, 2026</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171.4</w:t>
            </w:r>
          </w:p>
        </w:tc>
        <w:tc>
          <w:tcPr>
            <w:tcW w:w="40" w:type="dxa"/>
            <w:vAlign w:val="bottom"/>
            <w:tcBorders>
              <w:bottom w:val="single" w:sz="8" w:color="auto"/>
            </w:tcBorders>
            <w:gridSpan w:val="2"/>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8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896.7</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3"/>
                <w:szCs w:val="13"/>
                <w:color w:val="2573BA"/>
                <w:w w:val="82"/>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(140.2)</w:t>
            </w:r>
          </w:p>
        </w:tc>
        <w:tc>
          <w:tcPr>
            <w:tcW w:w="2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20,872.2</w:t>
            </w:r>
          </w:p>
        </w:tc>
        <w:tc>
          <w:tcPr>
            <w:tcW w:w="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(2,977.1)</w:t>
            </w: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3"/>
                <w:szCs w:val="13"/>
                <w:color w:val="2573BA"/>
                <w:w w:val="82"/>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18,651.7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4"/>
          </w:tcPr>
          <w:p>
            <w:pPr>
              <w:ind w:left="360"/>
              <w:spacing w:after="0"/>
              <w:rPr>
                <w:sz w:val="20"/>
                <w:szCs w:val="20"/>
                <w:color w:val="auto"/>
              </w:rPr>
            </w:pPr>
            <w:r>
              <w:rPr>
                <w:rFonts w:ascii="Arial" w:cs="Arial" w:eastAsia="Arial" w:hAnsi="Arial"/>
                <w:sz w:val="14"/>
                <w:szCs w:val="14"/>
                <w:b w:val="1"/>
                <w:bCs w:val="1"/>
                <w:color w:val="auto"/>
              </w:rPr>
              <w:t>For the Three Months Ended March 31, 2025</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7"/>
            <w:vMerge w:val="restart"/>
          </w:tcPr>
          <w:p>
            <w:pPr>
              <w:jc w:val="right"/>
              <w:ind w:right="19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center"/>
              <w:ind w:right="10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20" w:type="dxa"/>
            <w:vAlign w:val="bottom"/>
            <w:gridSpan w:val="8"/>
            <w:vMerge w:val="continue"/>
          </w:tcPr>
          <w:p>
            <w:pPr>
              <w:spacing w:after="0"/>
              <w:rPr>
                <w:sz w:val="8"/>
                <w:szCs w:val="8"/>
                <w:color w:val="auto"/>
              </w:rPr>
            </w:pPr>
          </w:p>
        </w:tc>
        <w:tc>
          <w:tcPr>
            <w:tcW w:w="86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8"/>
                <w:szCs w:val="8"/>
                <w:color w:val="auto"/>
              </w:rPr>
            </w:pPr>
          </w:p>
        </w:tc>
        <w:tc>
          <w:tcPr>
            <w:tcW w:w="1080" w:type="dxa"/>
            <w:vAlign w:val="bottom"/>
            <w:gridSpan w:val="4"/>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7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4"/>
        </w:trPr>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Balance, December 31, 2024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169.5</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569.4</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19,259.8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16,716.0</w:t>
            </w:r>
          </w:p>
        </w:tc>
        <w:tc>
          <w:tcPr>
            <w:tcW w:w="0" w:type="dxa"/>
            <w:vAlign w:val="bottom"/>
          </w:tcPr>
          <w:p>
            <w:pPr>
              <w:spacing w:after="0"/>
              <w:rPr>
                <w:sz w:val="1"/>
                <w:szCs w:val="1"/>
                <w:color w:val="auto"/>
              </w:rPr>
            </w:pPr>
          </w:p>
        </w:tc>
      </w:tr>
      <w:tr>
        <w:trPr>
          <w:trHeight w:val="197"/>
        </w:trPr>
        <w:tc>
          <w:tcPr>
            <w:tcW w:w="21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4"/>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240.5</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161"/>
        </w:trPr>
        <w:tc>
          <w:tcPr>
            <w:tcW w:w="21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(loss), net of tax</w:t>
            </w: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 under</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stock purchase</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5"/>
            <w:vMerge w:val="restart"/>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plans</w:t>
            </w: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 under</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5"/>
            <w:vMerge w:val="restart"/>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stock award plan</w:t>
            </w: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Compensation related to share-</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84.1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4"/>
                <w:szCs w:val="14"/>
                <w:color w:val="auto"/>
              </w:rPr>
              <w:t>based payments</w:t>
            </w: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0"/>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Balance, March 31, 2025</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170.3</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629.9</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19,500.3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16,978.7</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9692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and QALSODY for the treatment of ALS.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follicular lymphoma and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unaudited condensed consolidated financial statements (condensed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Basis of Presentation</w:t>
      </w:r>
    </w:p>
    <w:p>
      <w:pPr>
        <w:spacing w:after="0" w:line="12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2025 Form 10-K. Our accounting policies are described 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our 2025 Form 10-K and updated, as necessary, in this report. The year-end condensed consolidated balance sheet data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comparative purposes was derived from our audited financial statements, but does not include all disclosures required by U.S. GAAP. The results of operations for the three months ended March 31, 2026, are not necessarily indicative of the operating results for the full year or for any other subsequent interim period.</w:t>
      </w:r>
    </w:p>
    <w:p>
      <w:pPr>
        <w:spacing w:after="0" w:line="7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operate as one operating segment, focused on discovering, developing and delivering innovative therapies for people living with serious and complex diseases.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1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 owned subsidiaries and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Significant Accounting Policies</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There have been no material changes to our significant accounting policies disclosed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audited consolidated financial statements included in our 2025 Form 10-K.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New Accounting Pronouncements</w:t>
      </w:r>
    </w:p>
    <w:p>
      <w:pPr>
        <w:spacing w:after="0" w:line="12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p>
      <w:pPr>
        <w:sectPr>
          <w:pgSz w:w="11900" w:h="16838" w:orient="portrait"/>
          <w:cols w:equalWidth="0" w:num="1">
            <w:col w:w="11180"/>
          </w:cols>
          <w:pgMar w:left="320" w:top="130" w:right="399" w:bottom="1440" w:gutter="0" w:footer="0" w:header="0"/>
        </w:sectPr>
      </w:pPr>
    </w:p>
    <w:p>
      <w:pPr>
        <w:spacing w:after="0" w:line="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0070C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6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40" w:val="left"/>
          <w:tab w:leader="none" w:pos="4880" w:val="left"/>
        </w:tabs>
        <w:rPr>
          <w:sz w:val="20"/>
          <w:szCs w:val="20"/>
          <w:color w:val="auto"/>
        </w:rPr>
      </w:pPr>
      <w:r>
        <w:rPr>
          <w:rFonts w:ascii="Arial" w:cs="Arial" w:eastAsia="Arial" w:hAnsi="Arial"/>
          <w:sz w:val="14"/>
          <w:szCs w:val="14"/>
          <w:b w:val="1"/>
          <w:bCs w:val="1"/>
          <w:color w:val="0070C0"/>
        </w:rPr>
        <w:t>Description</w:t>
      </w:r>
      <w:r>
        <w:rPr>
          <w:sz w:val="20"/>
          <w:szCs w:val="20"/>
          <w:color w:val="auto"/>
        </w:rPr>
        <w:tab/>
      </w:r>
      <w:r>
        <w:rPr>
          <w:rFonts w:ascii="Arial" w:cs="Arial" w:eastAsia="Arial" w:hAnsi="Arial"/>
          <w:sz w:val="14"/>
          <w:szCs w:val="14"/>
          <w:b w:val="1"/>
          <w:bCs w:val="1"/>
          <w:color w:val="0070C0"/>
        </w:rPr>
        <w:t>Effective Date</w:t>
      </w:r>
      <w:r>
        <w:rPr>
          <w:sz w:val="20"/>
          <w:szCs w:val="20"/>
          <w:color w:val="auto"/>
        </w:rPr>
        <w:tab/>
      </w:r>
      <w:r>
        <w:rPr>
          <w:rFonts w:ascii="Arial" w:cs="Arial" w:eastAsia="Arial" w:hAnsi="Arial"/>
          <w:sz w:val="14"/>
          <w:szCs w:val="14"/>
          <w:b w:val="1"/>
          <w:bCs w:val="1"/>
          <w:color w:val="0070C0"/>
        </w:rPr>
        <w:t>Effects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23495</wp:posOffset>
            </wp:positionV>
            <wp:extent cx="58032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3265" cy="889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000" w:space="720"/>
            <w:col w:w="7460"/>
          </w:cols>
          <w:pgMar w:left="320" w:top="130" w:right="399" w:bottom="1440" w:gutter="0" w:footer="0" w:header="0"/>
          <w:type w:val="continuous"/>
        </w:sectPr>
      </w:pPr>
    </w:p>
    <w:p>
      <w:pPr>
        <w:ind w:left="20" w:right="20"/>
        <w:spacing w:after="0" w:line="251" w:lineRule="auto"/>
        <w:rPr>
          <w:sz w:val="20"/>
          <w:szCs w:val="20"/>
          <w:color w:val="auto"/>
        </w:rPr>
      </w:pPr>
      <w:r>
        <w:rPr>
          <w:rFonts w:ascii="Arial" w:cs="Arial" w:eastAsia="Arial" w:hAnsi="Arial"/>
          <w:sz w:val="14"/>
          <w:szCs w:val="14"/>
          <w:color w:val="auto"/>
        </w:rPr>
        <w:t xml:space="preserve">ASU No. 2024-03, </w:t>
      </w:r>
      <w:r>
        <w:rPr>
          <w:rFonts w:ascii="Arial" w:cs="Arial" w:eastAsia="Arial" w:hAnsi="Arial"/>
          <w:sz w:val="14"/>
          <w:szCs w:val="14"/>
          <w:i w:val="1"/>
          <w:iCs w:val="1"/>
          <w:color w:val="auto"/>
        </w:rPr>
        <w:t>Income</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 (Subtopic 220-40):</w:t>
      </w:r>
    </w:p>
    <w:p>
      <w:pPr>
        <w:spacing w:after="0" w:line="1" w:lineRule="exact"/>
        <w:rPr>
          <w:sz w:val="20"/>
          <w:szCs w:val="20"/>
          <w:color w:val="auto"/>
        </w:rPr>
      </w:pPr>
    </w:p>
    <w:p>
      <w:pPr>
        <w:ind w:left="20" w:right="140"/>
        <w:spacing w:after="0" w:line="252" w:lineRule="auto"/>
        <w:rPr>
          <w:sz w:val="20"/>
          <w:szCs w:val="20"/>
          <w:color w:val="auto"/>
        </w:rPr>
      </w:pPr>
      <w:r>
        <w:rPr>
          <w:rFonts w:ascii="Arial" w:cs="Arial" w:eastAsia="Arial" w:hAnsi="Arial"/>
          <w:sz w:val="14"/>
          <w:szCs w:val="14"/>
          <w:i w:val="1"/>
          <w:iCs w:val="1"/>
          <w:color w:val="auto"/>
        </w:rPr>
        <w:t>Reporting Comprehensive Income - Expense Disaggregation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126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line="246" w:lineRule="auto"/>
        <w:rPr>
          <w:sz w:val="20"/>
          <w:szCs w:val="20"/>
          <w:color w:val="auto"/>
        </w:rPr>
      </w:pPr>
      <w:r>
        <w:rPr>
          <w:rFonts w:ascii="Arial" w:cs="Arial" w:eastAsia="Arial" w:hAnsi="Arial"/>
          <w:sz w:val="14"/>
          <w:szCs w:val="14"/>
          <w:color w:val="auto"/>
        </w:rPr>
        <w:t>ASU No. 2025-06, Intangibles - Goodwill and Other - Internal-Use Software (Subtopic 350-40): Targeted</w:t>
      </w:r>
    </w:p>
    <w:p>
      <w:pPr>
        <w:spacing w:after="0" w:line="2" w:lineRule="exact"/>
        <w:rPr>
          <w:sz w:val="20"/>
          <w:szCs w:val="20"/>
          <w:color w:val="auto"/>
        </w:rPr>
      </w:pPr>
    </w:p>
    <w:p>
      <w:pPr>
        <w:ind w:left="20" w:right="160"/>
        <w:spacing w:after="0" w:line="231" w:lineRule="auto"/>
        <w:rPr>
          <w:sz w:val="20"/>
          <w:szCs w:val="20"/>
          <w:color w:val="auto"/>
        </w:rPr>
      </w:pPr>
      <w:r>
        <w:rPr>
          <w:rFonts w:ascii="Arial" w:cs="Arial" w:eastAsia="Arial" w:hAnsi="Arial"/>
          <w:sz w:val="14"/>
          <w:szCs w:val="14"/>
          <w:color w:val="auto"/>
        </w:rPr>
        <w:t>Improvements to the Accounting for Internal-Use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2687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96925"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46" w:lineRule="auto"/>
        <w:rPr>
          <w:sz w:val="20"/>
          <w:szCs w:val="20"/>
          <w:color w:val="auto"/>
        </w:rPr>
      </w:pPr>
      <w:r>
        <w:rPr>
          <w:rFonts w:ascii="Arial" w:cs="Arial" w:eastAsia="Arial" w:hAnsi="Arial"/>
          <w:sz w:val="14"/>
          <w:szCs w:val="14"/>
          <w:color w:val="auto"/>
        </w:rPr>
        <w:t>This standard requires disclosure in the notes to the financial statements, at each interim and annual reporting period, of specified information about certain costs and expense including purchases of inventory, employee compensation,</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depreciation and intangible asset amortization included in each relevant expense caption. This standard also requires a</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qualitative description of the amounts remaining in relevant expense captions that are not separately disaggregated, as well as disclosure of the total amount of selling expenses, and, in annual reporting periods, an entity’s definition of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2571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5"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This standard modernizes the accounting for software costs, including updating guidance on the recognition and measurement of costs incurred in connection with development and implementation activities related to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2571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46" w:lineRule="auto"/>
        <w:rPr>
          <w:sz w:val="20"/>
          <w:szCs w:val="20"/>
          <w:color w:val="auto"/>
        </w:rPr>
      </w:pPr>
      <w:r>
        <w:rPr>
          <w:rFonts w:ascii="Arial" w:cs="Arial" w:eastAsia="Arial" w:hAnsi="Arial"/>
          <w:sz w:val="14"/>
          <w:szCs w:val="14"/>
          <w:color w:val="auto"/>
        </w:rPr>
        <w:t>Annual reporting for fiscal years beginning after December 15, 2026, and interim periods within fiscal</w:t>
      </w:r>
    </w:p>
    <w:p>
      <w:pPr>
        <w:spacing w:after="0" w:line="2"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years beginning after December 15, 2027. Early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434975</wp:posOffset>
            </wp:positionV>
            <wp:extent cx="128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46" w:lineRule="auto"/>
        <w:rPr>
          <w:sz w:val="20"/>
          <w:szCs w:val="20"/>
          <w:color w:val="auto"/>
        </w:rPr>
      </w:pPr>
      <w:r>
        <w:rPr>
          <w:rFonts w:ascii="Arial" w:cs="Arial" w:eastAsia="Arial" w:hAnsi="Arial"/>
          <w:sz w:val="14"/>
          <w:szCs w:val="14"/>
          <w:color w:val="auto"/>
        </w:rPr>
        <w:t>Annual reporting for fiscal periods beginning after December 15, 2027, and interim periods within those</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annual reporting periods.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1285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4"/>
          <w:szCs w:val="14"/>
          <w:color w:val="auto"/>
        </w:rPr>
        <w:t>We are currently evaluating the potential impact that this new standard will have on our consolidated financial statements and related disclosures, and expect to apply this standard prospectively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617855</wp:posOffset>
            </wp:positionV>
            <wp:extent cx="1825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We are currently evaluating the potential impact that this new standard will have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315595</wp:posOffset>
            </wp:positionV>
            <wp:extent cx="18256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4">
            <w:col w:w="1920" w:space="200"/>
            <w:col w:w="4000" w:space="140"/>
            <w:col w:w="1960" w:space="160"/>
            <w:col w:w="2800"/>
          </w:cols>
          <w:pgMar w:left="320" w:top="130" w:right="3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w:t>
      </w:r>
      <w:r>
        <w:rPr>
          <w:sz w:val="20"/>
          <w:szCs w:val="20"/>
          <w:color w:val="auto"/>
        </w:rPr>
        <w:tab/>
      </w:r>
      <w:r>
        <w:rPr>
          <w:rFonts w:ascii="Arial" w:cs="Arial" w:eastAsia="Arial" w:hAnsi="Arial"/>
          <w:sz w:val="21"/>
          <w:szCs w:val="21"/>
          <w:b w:val="1"/>
          <w:bCs w:val="1"/>
          <w:color w:val="0070C0"/>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Proposed Acquisition of Apellis Pharmaceuticals, Inc.</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March 2026 we entered into an agreement to acquire all of the issued and outstanding shares of Apellis Pharmaceuticals, Inc., a commercial-stage biopharmaceutical company focused on the discovery, development and commercialization of novel therapeutic compounds to treat diseases with high unmet needs. As a result of this proposed acquisition we would acquire two FDA-approved products from Apellis: SYFOVRE (pegcetacoplan injection) for the treatment of geographic atrophy, or GA, an immune-mediated retinal disease; and EMPAVELI (pegcetacoplan) for the treatment of paroxysmal nocturnal hemoglobinuria, or PNH, a rare blood disorder, and C3 glomerulopathy, or C3G, and primary immune complex membranoproliferative glomerulonephritis, or primary IC-MPGN, in rare immune-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mediated kidney diseases. The addition of Apellis is expected to enhance our short- and long-term revenue growth profile by adding two commercialized differentiated immunology and rare disease medicines to our growth portfolio.</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Under the terms of the proposed acquisition, we would pay Apellis shareholders $41.00 per share in cash, representing an expected total transaction value of approximately $5.6 billion, and one contractual, non-transferable contingent value right per share representing the right to receive contingent cash payments of up to an aggregate of $4.00 in cash, subject to the achievement of specified annual global net sales thresholds for SYFOVRE.</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plan to fund the proposed acquisition of Apellis through approximately $3.6 billion of available cash and marketable securities on hand, supplemented by approximately $2.0 billion in bank loans.</w:t>
      </w:r>
    </w:p>
    <w:p>
      <w:pPr>
        <w:spacing w:after="0" w:line="4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We expect this transaction to be accounted for as a business combination and to include the results of operations in our condensed consolidated financial statements from the acquisition date.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Alcyone Therapeutics, Inc.</w:t>
      </w:r>
    </w:p>
    <w:p>
      <w:pPr>
        <w:spacing w:after="0" w:line="12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November 2025 we completed the acquisition of all of the issued and outstanding shares of Alcyone Therapeutics, Inc., a clinical-stage biotechnology company focused on pediatric care through precision CNS therapeutics and dosing platforms. The lead asset acquired is ThecaFlex DRx, an implantable subcutaneous port and catheter device being investigated for the intrathecal delivery of ASOs, including SPINRAZA, that is designed to provide an alternative to repeat lumbar punctures in chronic intrathecal administration of medicines.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for this transaction was approximately $85.0 million, comprising of a $50.0 million payment made upon closing and a</w:t>
      </w:r>
    </w:p>
    <w:p>
      <w:pPr>
        <w:spacing w:after="0" w:line="2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$35.0 million payment that was considered probable as of December 31, 2025, and made upon FDA approval of a supplemental application in January 2026. This consideration was recorded within acquired in-process research and development, upfront and milestone expense within our consolidated statements of income for the year ended December 31, 2025, included in our 2025 Form 10-K.</w:t>
      </w:r>
    </w:p>
    <w:p>
      <w:pPr>
        <w:spacing w:after="0" w:line="7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may pay additional development and regulatory milestone payments to the former shareholders of Alcyone of up to a total of $75.0 million if approval is received for ThecaFlex DRx administration of SPINRAZA or other additional pipeline products.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Under the terms of this acquisition, we will oversee the end-to-end development, manufacturing and commercialization of ThecaFlex DRx.</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Alcyone's remaining therapeutic assets were divested from Alcyone into Neela Therapeutics, Inc., a newly formed independent company, prior to the closing of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3:</w:t>
      </w:r>
      <w:r>
        <w:rPr>
          <w:sz w:val="20"/>
          <w:szCs w:val="20"/>
          <w:color w:val="auto"/>
        </w:rPr>
        <w:tab/>
      </w:r>
      <w:r>
        <w:rPr>
          <w:rFonts w:ascii="Arial" w:cs="Arial" w:eastAsia="Arial" w:hAnsi="Arial"/>
          <w:sz w:val="21"/>
          <w:szCs w:val="21"/>
          <w:b w:val="1"/>
          <w:bCs w:val="1"/>
          <w:color w:val="0070C0"/>
        </w:rPr>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TOFIDENCE</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March 2025 we completed the sale of our regulatory and commercial rights in the U.S. for TOFIDENCE, a tocilizumab biosimilar referencing ACTEMRA, to Organon. Under the terms of this transaction, we received a payment of approximately $51.0 million in July 2025 and recognized a de minimis loss within our condensed consolidated statements of income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Fit for Growth Restructuring Program</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the three months ended March 31, 2025, we recorded approximately $35.3 million in restructuring charges related to severance costs from our Fit for Growth program within restructuring charges in our condensed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Restructuring Reserve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workforce reductions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Workforce Reductions</w:t>
            </w:r>
          </w:p>
        </w:tc>
        <w:tc>
          <w:tcPr>
            <w:tcW w:w="1040" w:type="dxa"/>
            <w:vAlign w:val="bottom"/>
            <w:tcBorders>
              <w:bottom w:val="single" w:sz="8" w:color="auto"/>
            </w:tcBorders>
          </w:tcPr>
          <w:p>
            <w:pPr>
              <w:spacing w:after="0"/>
              <w:rPr>
                <w:sz w:val="17"/>
                <w:szCs w:val="17"/>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96"/>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January 1</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15.8</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07"/>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2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March 31</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70C0"/>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13.6</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5:</w:t>
      </w:r>
      <w:r>
        <w:rPr>
          <w:sz w:val="20"/>
          <w:szCs w:val="20"/>
          <w:color w:val="auto"/>
        </w:rPr>
        <w:tab/>
      </w:r>
      <w:r>
        <w:rPr>
          <w:rFonts w:ascii="Arial" w:cs="Arial" w:eastAsia="Arial" w:hAnsi="Arial"/>
          <w:sz w:val="21"/>
          <w:szCs w:val="21"/>
          <w:b w:val="1"/>
          <w:bCs w:val="1"/>
          <w:color w:val="0070C0"/>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2026</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7"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ind w:left="120"/>
              <w:spacing w:after="0" w:line="147" w:lineRule="exact"/>
              <w:rPr>
                <w:sz w:val="20"/>
                <w:szCs w:val="20"/>
                <w:color w:val="auto"/>
              </w:rPr>
            </w:pPr>
            <w:r>
              <w:rPr>
                <w:rFonts w:ascii="Arial" w:cs="Arial" w:eastAsia="Arial" w:hAnsi="Arial"/>
                <w:sz w:val="14"/>
                <w:szCs w:val="14"/>
                <w:b w:val="1"/>
                <w:bCs w:val="1"/>
                <w:color w:val="auto"/>
              </w:rPr>
              <w:t>United</w:t>
            </w: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31.4</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78.1</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153.4</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25.6</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179.0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184.8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344.9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108.5</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24.3</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241.8</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199.7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381.5</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r>
              <w:rPr>
                <w:rFonts w:ascii="Arial" w:cs="Arial" w:eastAsia="Arial" w:hAnsi="Arial"/>
                <w:sz w:val="9"/>
                <w:szCs w:val="9"/>
                <w:color w:val="auto"/>
              </w:rPr>
              <w:t>(1)</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Multiple Sclerosis</w:t>
            </w:r>
          </w:p>
        </w:tc>
        <w:tc>
          <w:tcPr>
            <w:tcW w:w="180" w:type="dxa"/>
            <w:vAlign w:val="bottom"/>
            <w:tcBorders>
              <w:top w:val="single" w:sz="8" w:color="auto"/>
              <w:bottom w:val="single" w:sz="8" w:color="auto"/>
            </w:tcBorders>
            <w:shd w:val="clear" w:color="auto" w:fill="DBDBDB"/>
          </w:tcPr>
          <w:p>
            <w:pPr>
              <w:spacing w:after="0"/>
              <w:rPr>
                <w:sz w:val="17"/>
                <w:szCs w:val="17"/>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559.4</w:t>
            </w:r>
          </w:p>
        </w:tc>
        <w:tc>
          <w:tcPr>
            <w:tcW w:w="2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398.1</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957.5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462.6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953.0</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142.2</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SKYCLARYS</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71.8</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QALSODY</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224.5</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332.7</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557.2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122.1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(2)</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TOFIDENCE</w:t>
            </w:r>
            <w:r>
              <w:rPr>
                <w:rFonts w:ascii="Arial" w:cs="Arial" w:eastAsia="Arial" w:hAnsi="Arial"/>
                <w:sz w:val="9"/>
                <w:szCs w:val="9"/>
                <w:color w:val="auto"/>
              </w:rPr>
              <w:t>(2)</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tcBorders>
              <w:top w:val="single" w:sz="8" w:color="auto"/>
              <w:bottom w:val="single" w:sz="8" w:color="auto"/>
            </w:tcBorders>
            <w:shd w:val="clear" w:color="auto" w:fill="DBDBDB"/>
          </w:tcPr>
          <w:p>
            <w:pPr>
              <w:spacing w:after="0"/>
              <w:rPr>
                <w:sz w:val="17"/>
                <w:szCs w:val="17"/>
                <w:color w:val="auto"/>
              </w:rPr>
            </w:pP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182.2</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60" w:type="dxa"/>
            <w:vAlign w:val="bottom"/>
            <w:tcBorders>
              <w:top w:val="single" w:sz="8" w:color="auto"/>
              <w:bottom w:val="single" w:sz="8" w:color="auto"/>
            </w:tcBorders>
            <w:shd w:val="clear" w:color="auto" w:fill="DBDBDB"/>
          </w:tcPr>
          <w:p>
            <w:pPr>
              <w:spacing w:after="0"/>
              <w:rPr>
                <w:sz w:val="17"/>
                <w:szCs w:val="17"/>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180.8</w:t>
            </w:r>
          </w:p>
        </w:tc>
        <w:tc>
          <w:tcPr>
            <w:tcW w:w="0" w:type="dxa"/>
            <w:vAlign w:val="bottom"/>
          </w:tcPr>
          <w:p>
            <w:pPr>
              <w:spacing w:after="0"/>
              <w:rPr>
                <w:sz w:val="1"/>
                <w:szCs w:val="1"/>
                <w:color w:val="auto"/>
              </w:rPr>
            </w:pPr>
          </w:p>
        </w:tc>
      </w:tr>
      <w:tr>
        <w:trPr>
          <w:trHeight w:val="23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55.3</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(3)</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55.3</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839.2</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913.1</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1,752.3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753.8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972.7</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1,726.5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2025, our collaboration and license agreement for FAMPYRA global commercialization rights was terminated.</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 2025 we completed the sale of our rights to TOFIDENCE and BYOOVIZ.</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recognized revenue from two wholesalers accounting for 27.3% and 14.7% of gross product revenue for the three months ended March 31, 2026, compared to 25.9% and 14.1% of gross product revenue for the three months ended March 31,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Returns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2025</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115.7</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1,046.1</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49.0</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1,210.8</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214.0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683.7</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905.0</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(28.4)</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(17.2)</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(255.3)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(388.8)</w:t>
            </w:r>
          </w:p>
        </w:tc>
        <w:tc>
          <w:tcPr>
            <w:tcW w:w="0" w:type="dxa"/>
            <w:vAlign w:val="bottom"/>
          </w:tcPr>
          <w:p>
            <w:pPr>
              <w:spacing w:after="0"/>
              <w:rPr>
                <w:sz w:val="1"/>
                <w:szCs w:val="1"/>
                <w:color w:val="auto"/>
              </w:rPr>
            </w:pPr>
          </w:p>
        </w:tc>
      </w:tr>
      <w:tr>
        <w:trPr>
          <w:trHeight w:val="20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(92.3)</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(426.0)</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(14.9)</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(533.2)</w:t>
            </w:r>
          </w:p>
        </w:tc>
        <w:tc>
          <w:tcPr>
            <w:tcW w:w="0" w:type="dxa"/>
            <w:vAlign w:val="bottom"/>
          </w:tcPr>
          <w:p>
            <w:pPr>
              <w:spacing w:after="0"/>
              <w:rPr>
                <w:sz w:val="1"/>
                <w:szCs w:val="1"/>
                <w:color w:val="auto"/>
              </w:rPr>
            </w:pPr>
          </w:p>
        </w:tc>
      </w:tr>
      <w:tr>
        <w:trPr>
          <w:trHeight w:val="220"/>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March 31, 2026</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1,020.1</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51.7</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1,176.6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620" w:type="dxa"/>
            <w:vAlign w:val="bottom"/>
            <w:vMerge w:val="restart"/>
            <w:shd w:val="clear" w:color="auto" w:fill="DBDBDB"/>
          </w:tcPr>
          <w:p>
            <w:pPr>
              <w:jc w:val="right"/>
              <w:ind w:right="88"/>
              <w:spacing w:after="0"/>
              <w:rPr>
                <w:sz w:val="20"/>
                <w:szCs w:val="20"/>
                <w:color w:val="auto"/>
              </w:rPr>
            </w:pPr>
            <w:r>
              <w:rPr>
                <w:rFonts w:ascii="Arial" w:cs="Arial" w:eastAsia="Arial" w:hAnsi="Arial"/>
                <w:sz w:val="14"/>
                <w:szCs w:val="14"/>
                <w:b w:val="1"/>
                <w:bCs w:val="1"/>
                <w:color w:val="257ACB"/>
              </w:rPr>
              <w:t>As of March 31, 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2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5"/>
        </w:trPr>
        <w:tc>
          <w:tcPr>
            <w:tcW w:w="7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8"/>
        </w:trPr>
        <w:tc>
          <w:tcPr>
            <w:tcW w:w="76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961.1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1,000.4</w:t>
            </w:r>
          </w:p>
        </w:tc>
        <w:tc>
          <w:tcPr>
            <w:tcW w:w="0" w:type="dxa"/>
            <w:vAlign w:val="bottom"/>
          </w:tcPr>
          <w:p>
            <w:pPr>
              <w:spacing w:after="0"/>
              <w:rPr>
                <w:sz w:val="1"/>
                <w:szCs w:val="1"/>
                <w:color w:val="auto"/>
              </w:rPr>
            </w:pPr>
          </w:p>
        </w:tc>
      </w:tr>
      <w:tr>
        <w:trPr>
          <w:trHeight w:val="207"/>
        </w:trPr>
        <w:tc>
          <w:tcPr>
            <w:tcW w:w="76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20" w:type="dxa"/>
            <w:vAlign w:val="bottom"/>
            <w:tcBorders>
              <w:bottom w:val="single" w:sz="8" w:color="auto"/>
            </w:tcBorders>
            <w:shd w:val="clear" w:color="auto" w:fill="DBDBDB"/>
          </w:tcPr>
          <w:p>
            <w:pPr>
              <w:spacing w:after="0"/>
              <w:rPr>
                <w:sz w:val="17"/>
                <w:szCs w:val="17"/>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215.5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220"/>
        </w:trPr>
        <w:tc>
          <w:tcPr>
            <w:tcW w:w="7680" w:type="dxa"/>
            <w:vAlign w:val="bottom"/>
            <w:gridSpan w:val="2"/>
          </w:tcPr>
          <w:p>
            <w:pPr>
              <w:ind w:left="240"/>
              <w:spacing w:after="0"/>
              <w:rPr>
                <w:sz w:val="20"/>
                <w:szCs w:val="20"/>
                <w:color w:val="auto"/>
              </w:rPr>
            </w:pPr>
            <w:r>
              <w:rPr>
                <w:rFonts w:ascii="Arial" w:cs="Arial" w:eastAsia="Arial" w:hAnsi="Arial"/>
                <w:sz w:val="14"/>
                <w:szCs w:val="14"/>
                <w:color w:val="auto"/>
              </w:rPr>
              <w:t>Total revenue-related reserves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1,176.6</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1,210.8</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6"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Revenue from anti-CD20 therapeutic programs is summarized in the table below. For the purposes of this footnote, we refer to RITUXAN and RITUXAN HYCELA collectively as RITUXAN.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317.2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288.8</w:t>
            </w: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83.7</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20"/>
        </w:trPr>
        <w:tc>
          <w:tcPr>
            <w:tcW w:w="7620" w:type="dxa"/>
            <w:vAlign w:val="bottom"/>
            <w:gridSpan w:val="2"/>
          </w:tcPr>
          <w:p>
            <w:pPr>
              <w:ind w:left="2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419.1</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378.2</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condensed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Alzheimer's Collaboration Revenue</w:t>
      </w:r>
    </w:p>
    <w:p>
      <w:pPr>
        <w:spacing w:after="0" w:line="1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three months ended March 31, 2026 and 2025, we recognized Alzheimer's collaboration revenue of approximately $59.5 million and $33.0 million, respectively.</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condensed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237.2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282.3</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2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246.9</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293.3</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Revenue</w:t>
      </w:r>
    </w:p>
    <w:p>
      <w:pPr>
        <w:spacing w:after="0" w:line="14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Royalty and Other Revenue</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condensed consolidated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52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220" w:type="dxa"/>
            <w:vAlign w:val="bottom"/>
            <w:tcBorders>
              <w:bottom w:val="single" w:sz="8" w:color="0070C0"/>
            </w:tcBorders>
          </w:tcPr>
          <w:p>
            <w:pPr>
              <w:spacing w:after="0"/>
              <w:rPr>
                <w:sz w:val="24"/>
                <w:szCs w:val="24"/>
                <w:color w:val="auto"/>
              </w:rPr>
            </w:pPr>
          </w:p>
        </w:tc>
        <w:tc>
          <w:tcPr>
            <w:tcW w:w="194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160" w:type="dxa"/>
            <w:vAlign w:val="bottom"/>
            <w:tcBorders>
              <w:bottom w:val="single" w:sz="8" w:color="0070C0"/>
            </w:tcBorders>
          </w:tcPr>
          <w:p>
            <w:pPr>
              <w:spacing w:after="0"/>
              <w:rPr>
                <w:sz w:val="24"/>
                <w:szCs w:val="24"/>
                <w:color w:val="auto"/>
              </w:rPr>
            </w:pPr>
          </w:p>
        </w:tc>
        <w:tc>
          <w:tcPr>
            <w:tcW w:w="15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78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line="20" w:lineRule="exact"/>
              <w:rPr>
                <w:sz w:val="1"/>
                <w:szCs w:val="1"/>
                <w:color w:val="auto"/>
              </w:rPr>
            </w:pPr>
          </w:p>
        </w:tc>
      </w:tr>
      <w:tr>
        <w:trPr>
          <w:trHeight w:val="201"/>
        </w:trPr>
        <w:tc>
          <w:tcPr>
            <w:tcW w:w="1260" w:type="dxa"/>
            <w:vAlign w:val="bottom"/>
            <w:tcBorders>
              <w:bottom w:val="single" w:sz="8" w:color="auto"/>
            </w:tcBorders>
            <w:vMerge w:val="continue"/>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278.7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1,351.6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1,595.2</w:t>
            </w:r>
          </w:p>
        </w:tc>
        <w:tc>
          <w:tcPr>
            <w:tcW w:w="0" w:type="dxa"/>
            <w:vAlign w:val="bottom"/>
          </w:tcPr>
          <w:p>
            <w:pPr>
              <w:spacing w:after="0"/>
              <w:rPr>
                <w:sz w:val="1"/>
                <w:szCs w:val="1"/>
                <w:color w:val="auto"/>
              </w:rPr>
            </w:pPr>
          </w:p>
        </w:tc>
      </w:tr>
      <w:tr>
        <w:trPr>
          <w:trHeight w:val="206"/>
        </w:trPr>
        <w:tc>
          <w:tcPr>
            <w:tcW w:w="126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458.2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241"/>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2,088.5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431"/>
        </w:trPr>
        <w:tc>
          <w:tcPr>
            <w:tcW w:w="678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220" w:type="dxa"/>
            <w:vAlign w:val="bottom"/>
            <w:tcBorders>
              <w:top w:val="single" w:sz="8" w:color="auto"/>
            </w:tcBorders>
            <w:shd w:val="clear" w:color="auto" w:fill="DBDBDB"/>
          </w:tcPr>
          <w:p>
            <w:pPr>
              <w:spacing w:after="0"/>
              <w:rPr>
                <w:sz w:val="24"/>
                <w:szCs w:val="24"/>
                <w:color w:val="auto"/>
              </w:rPr>
            </w:pPr>
          </w:p>
        </w:tc>
        <w:tc>
          <w:tcPr>
            <w:tcW w:w="1940" w:type="dxa"/>
            <w:vAlign w:val="bottom"/>
            <w:tcBorders>
              <w:top w:val="single" w:sz="8" w:color="auto"/>
            </w:tcBorders>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1,949.0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2,168.1</w:t>
            </w:r>
          </w:p>
        </w:tc>
        <w:tc>
          <w:tcPr>
            <w:tcW w:w="0" w:type="dxa"/>
            <w:vAlign w:val="bottom"/>
          </w:tcPr>
          <w:p>
            <w:pPr>
              <w:spacing w:after="0"/>
              <w:rPr>
                <w:sz w:val="1"/>
                <w:szCs w:val="1"/>
                <w:color w:val="auto"/>
              </w:rPr>
            </w:pPr>
          </w:p>
        </w:tc>
      </w:tr>
      <w:tr>
        <w:trPr>
          <w:trHeight w:val="207"/>
        </w:trPr>
        <w:tc>
          <w:tcPr>
            <w:tcW w:w="678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139.5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20"/>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2,088.5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is included in investments and other assets within our condensed consolidated balance sheets.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a result of our acquisition of Reata in September 2023 we recorded a fair value step-up adjustment related to the acquired inventory of SKYCLARYS of approximately $1.3 billion. This fair value step-up adjustment is being amortized to cost of sales as the inventory is sold or research and development expense as the inventory is used for clinical purposes within our condensed consolidated statements of income. We expect this amount to be fully amortized by the end of 2028. For the three months ended March 31, 2026 and 2025, amortization from the fair value step-up adjustment was approximately $107.6 million and $51.4 million, respectively. For the three months ended March 31, 2026, amortization from the fair value step-up adjustment includes approximately $56.8 million of inventory used for clinical purposes, which is reflected in research and development expense within our condensed consolidated statements of income.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640" w:type="dxa"/>
            <w:vAlign w:val="bottom"/>
            <w:tcBorders>
              <w:bottom w:val="single" w:sz="8" w:color="auto"/>
            </w:tcBorders>
            <w:gridSpan w:val="6"/>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As of March 31, 2026</w:t>
            </w:r>
          </w:p>
        </w:tc>
        <w:tc>
          <w:tcPr>
            <w:tcW w:w="74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rPr>
              <w:t>As of December 31, 2025</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1-30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14,078.8</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(6,824.3)</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7,254.5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14,067.3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(6,687.8)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7,379.5</w:t>
            </w:r>
          </w:p>
        </w:tc>
        <w:tc>
          <w:tcPr>
            <w:tcW w:w="0" w:type="dxa"/>
            <w:vAlign w:val="bottom"/>
          </w:tcPr>
          <w:p>
            <w:pPr>
              <w:spacing w:after="0"/>
              <w:rPr>
                <w:sz w:val="1"/>
                <w:szCs w:val="1"/>
                <w:color w:val="auto"/>
              </w:rPr>
            </w:pPr>
          </w:p>
        </w:tc>
      </w:t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1,635.0</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24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1,635.0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85"/>
        </w:trPr>
        <w:tc>
          <w:tcPr>
            <w:tcW w:w="2760" w:type="dxa"/>
            <w:vAlign w:val="bottom"/>
            <w:gridSpan w:val="2"/>
            <w:vMerge w:val="continue"/>
          </w:tcPr>
          <w:p>
            <w:pPr>
              <w:spacing w:after="0"/>
              <w:rPr>
                <w:sz w:val="16"/>
                <w:szCs w:val="16"/>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gridSpan w:val="2"/>
            <w:vMerge w:val="continue"/>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gridSpan w:val="2"/>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2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7"/>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40"/>
              <w:spacing w:after="0"/>
              <w:rPr>
                <w:sz w:val="20"/>
                <w:szCs w:val="20"/>
                <w:color w:val="auto"/>
              </w:rPr>
            </w:pPr>
            <w:r>
              <w:rPr>
                <w:rFonts w:ascii="Arial" w:cs="Arial" w:eastAsia="Arial" w:hAnsi="Arial"/>
                <w:sz w:val="14"/>
                <w:szCs w:val="14"/>
                <w:color w:val="auto"/>
              </w:rPr>
              <w:t>Total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15,877.8</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(6,824.3)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9,053.5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15,866.3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(6,687.8)</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9,178.5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months ended March 31, 2026, amortization and impairment of acquired intangible assets totaled $136.5 million, compared to $111.8 million in the prior year comparative period. The increase was primarily due to amortization for the acquired intangible assets associated with SKYCLARYS and TYSABRI.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 we had no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Completed technology intangible assets are amortized over their estimated useful lives, which range between approximately 1 to 30 years, with a remaining weighted average useful life of 11 years as of March 31,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w:t>
      </w:r>
    </w:p>
    <w:p>
      <w:pPr>
        <w:spacing w:after="0" w:line="45" w:lineRule="exact"/>
        <w:rPr>
          <w:sz w:val="20"/>
          <w:szCs w:val="20"/>
          <w:color w:val="auto"/>
        </w:rPr>
      </w:pPr>
    </w:p>
    <w:p>
      <w:pPr>
        <w:ind w:right="400"/>
        <w:spacing w:after="0" w:line="318" w:lineRule="auto"/>
        <w:rPr>
          <w:sz w:val="20"/>
          <w:szCs w:val="20"/>
          <w:color w:val="auto"/>
        </w:rPr>
      </w:pPr>
      <w:r>
        <w:rPr>
          <w:rFonts w:ascii="Arial" w:cs="Arial" w:eastAsia="Arial" w:hAnsi="Arial"/>
          <w:sz w:val="17"/>
          <w:szCs w:val="17"/>
          <w:color w:val="auto"/>
        </w:rPr>
        <w:t>The carrying value associated with our IPR&amp;D assets as of March 31, 2026 and December 31, 2025, primarily relates to the IPR&amp;D programs we acquired in connection with our acquisition of HI-Bio in July 2024, with an estimated fair value of approximately $1.6 billion.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Priority Review Voucher</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our acquisition of Reata in September 2023 we acquired a rare pediatric disease PRV which may be used to obtain priority review by the FDA for a future regulatory submission or sold to a third party. We recorded the PRV based on its estimated fair value of $100.0 million as an intangible asset.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r>
      <w:tr>
        <w:trPr>
          <w:trHeight w:val="18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2026 (remaining nine months)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2030</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650.0</w:t>
            </w:r>
          </w:p>
        </w:tc>
      </w:tr>
      <w:tr>
        <w:trPr>
          <w:trHeight w:val="211"/>
        </w:trPr>
        <w:tc>
          <w:tcPr>
            <w:tcW w:w="8940" w:type="dxa"/>
            <w:vAlign w:val="bottom"/>
          </w:tcPr>
          <w:p>
            <w:pPr>
              <w:ind w:left="20"/>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700.0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0000FF"/>
        </w:rPr>
        <w:t>Table of Contents</w:t>
      </w:r>
    </w:p>
    <w:tbl>
      <w:tblPr>
        <w:tblLayout w:type="fixed"/>
        <w:tblInd w:w="0" w:type="dxa"/>
        <w:tblCellMar>
          <w:top w:w="0" w:type="dxa"/>
          <w:left w:w="0" w:type="dxa"/>
          <w:bottom w:w="0" w:type="dxa"/>
          <w:right w:w="0" w:type="dxa"/>
        </w:tblCellMar>
      </w:tblPr>
      <w:tr>
        <w:trPr>
          <w:trHeight w:val="204"/>
        </w:trPr>
        <w:tc>
          <w:tcPr>
            <w:tcW w:w="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2620" w:type="dxa"/>
            <w:vAlign w:val="bottom"/>
          </w:tcPr>
          <w:p>
            <w:pPr>
              <w:spacing w:after="0"/>
              <w:rPr>
                <w:sz w:val="17"/>
                <w:szCs w:val="17"/>
                <w:color w:val="auto"/>
              </w:rPr>
            </w:pPr>
          </w:p>
        </w:tc>
        <w:tc>
          <w:tcPr>
            <w:tcW w:w="5220" w:type="dxa"/>
            <w:vAlign w:val="bottom"/>
            <w:gridSpan w:val="2"/>
          </w:tcPr>
          <w:p>
            <w:pPr>
              <w:jc w:val="center"/>
              <w:ind w:right="1660"/>
              <w:spacing w:after="0" w:line="204" w:lineRule="exact"/>
              <w:rPr>
                <w:sz w:val="20"/>
                <w:szCs w:val="20"/>
                <w:color w:val="auto"/>
              </w:rPr>
            </w:pPr>
            <w:r>
              <w:rPr>
                <w:rFonts w:ascii="Arial" w:cs="Arial" w:eastAsia="Arial" w:hAnsi="Arial"/>
                <w:sz w:val="18"/>
                <w:szCs w:val="18"/>
                <w:b w:val="1"/>
                <w:bCs w:val="1"/>
                <w:color w:val="00587F"/>
                <w:w w:val="99"/>
              </w:rPr>
              <w:t>BIOGEN INC. AND SUBSIDIARIES</w:t>
            </w: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4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00587F"/>
                <w:w w:val="99"/>
              </w:rPr>
              <w:t>NOTES TO CONDENSED CONSOLIDATED FINANCIAL STATEMENTS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2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00587F"/>
                <w:w w:val="99"/>
              </w:rPr>
              <w:t>(unaudited, continued)</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1"/>
        </w:trPr>
        <w:tc>
          <w:tcPr>
            <w:tcW w:w="9060" w:type="dxa"/>
            <w:vAlign w:val="bottom"/>
            <w:gridSpan w:val="5"/>
          </w:tcPr>
          <w:p>
            <w:pPr>
              <w:spacing w:after="0"/>
              <w:rPr>
                <w:sz w:val="20"/>
                <w:szCs w:val="20"/>
                <w:color w:val="auto"/>
              </w:rPr>
            </w:pPr>
            <w:r>
              <w:rPr>
                <w:rFonts w:ascii="Arial" w:cs="Arial" w:eastAsia="Arial" w:hAnsi="Arial"/>
                <w:sz w:val="20"/>
                <w:szCs w:val="20"/>
                <w:b w:val="1"/>
                <w:bCs w:val="1"/>
                <w:color w:val="2573BA"/>
              </w:rPr>
              <w:t>Goodwill</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9060" w:type="dxa"/>
            <w:vAlign w:val="bottom"/>
            <w:gridSpan w:val="5"/>
          </w:tcPr>
          <w:p>
            <w:pPr>
              <w:spacing w:after="0"/>
              <w:rPr>
                <w:sz w:val="20"/>
                <w:szCs w:val="20"/>
                <w:color w:val="auto"/>
              </w:rPr>
            </w:pPr>
            <w:r>
              <w:rPr>
                <w:rFonts w:ascii="Arial" w:cs="Arial" w:eastAsia="Arial" w:hAnsi="Arial"/>
                <w:sz w:val="18"/>
                <w:szCs w:val="18"/>
                <w:color w:val="auto"/>
              </w:rPr>
              <w:t>The following table provides a roll forward of the changes in our goodwill balance:</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940" w:type="dxa"/>
            <w:vAlign w:val="bottom"/>
            <w:tcBorders>
              <w:bottom w:val="single" w:sz="8" w:color="auto"/>
            </w:tcBorders>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0" w:type="dxa"/>
            <w:vAlign w:val="bottom"/>
          </w:tcPr>
          <w:p>
            <w:pPr>
              <w:spacing w:after="0"/>
              <w:rPr>
                <w:sz w:val="1"/>
                <w:szCs w:val="1"/>
                <w:color w:val="auto"/>
              </w:rPr>
            </w:pPr>
          </w:p>
        </w:tc>
      </w:tr>
      <w:tr>
        <w:trPr>
          <w:trHeight w:val="189"/>
        </w:trPr>
        <w:tc>
          <w:tcPr>
            <w:tcW w:w="9060" w:type="dxa"/>
            <w:vAlign w:val="bottom"/>
            <w:gridSpan w:val="5"/>
          </w:tcPr>
          <w:p>
            <w:pPr>
              <w:ind w:left="20"/>
              <w:spacing w:after="0"/>
              <w:rPr>
                <w:sz w:val="20"/>
                <w:szCs w:val="20"/>
                <w:color w:val="auto"/>
              </w:rPr>
            </w:pPr>
            <w:r>
              <w:rPr>
                <w:rFonts w:ascii="Arial" w:cs="Arial" w:eastAsia="Arial" w:hAnsi="Arial"/>
                <w:sz w:val="14"/>
                <w:szCs w:val="14"/>
                <w:color w:val="auto"/>
              </w:rPr>
              <w:t>Goodwill, December 31, 2025</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6,491.1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9020" w:type="dxa"/>
            <w:vAlign w:val="bottom"/>
            <w:gridSpan w:val="4"/>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DBDBDB"/>
          </w:tcPr>
          <w:p>
            <w:pPr>
              <w:spacing w:after="0"/>
              <w:rPr>
                <w:sz w:val="18"/>
                <w:szCs w:val="18"/>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0" w:type="dxa"/>
            <w:vAlign w:val="bottom"/>
          </w:tcPr>
          <w:p>
            <w:pPr>
              <w:spacing w:after="0"/>
              <w:rPr>
                <w:sz w:val="1"/>
                <w:szCs w:val="1"/>
                <w:color w:val="auto"/>
              </w:rPr>
            </w:pPr>
          </w:p>
        </w:tc>
      </w:tr>
      <w:tr>
        <w:trPr>
          <w:trHeight w:val="221"/>
        </w:trPr>
        <w:tc>
          <w:tcPr>
            <w:tcW w:w="9060" w:type="dxa"/>
            <w:vAlign w:val="bottom"/>
            <w:gridSpan w:val="5"/>
          </w:tcPr>
          <w:p>
            <w:pPr>
              <w:ind w:left="20"/>
              <w:spacing w:after="0"/>
              <w:rPr>
                <w:sz w:val="20"/>
                <w:szCs w:val="20"/>
                <w:color w:val="auto"/>
              </w:rPr>
            </w:pPr>
            <w:r>
              <w:rPr>
                <w:rFonts w:ascii="Arial" w:cs="Arial" w:eastAsia="Arial" w:hAnsi="Arial"/>
                <w:sz w:val="14"/>
                <w:szCs w:val="14"/>
                <w:color w:val="auto"/>
              </w:rPr>
              <w:t>Goodwill, March 31, 2026</w:t>
            </w: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6,488.7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Other includes adjustments related to foreign currency exchange rate fluctuations.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no impairment losses related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96925" cy="34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3020" w:type="dxa"/>
            <w:vAlign w:val="bottom"/>
            <w:tcBorders>
              <w:bottom w:val="single" w:sz="8" w:color="auto"/>
            </w:tcBorders>
            <w:gridSpan w:val="4"/>
            <w:shd w:val="clear" w:color="auto" w:fill="DDDDDD"/>
          </w:tcPr>
          <w:p>
            <w:pPr>
              <w:jc w:val="right"/>
              <w:ind w:right="80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in 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Other Observable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80" w:type="dxa"/>
            <w:vAlign w:val="bottom"/>
            <w:gridSpan w:val="4"/>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2,512.8</w:t>
            </w:r>
          </w:p>
        </w:tc>
        <w:tc>
          <w:tcPr>
            <w:tcW w:w="300" w:type="dxa"/>
            <w:vAlign w:val="bottom"/>
            <w:gridSpan w:val="2"/>
            <w:shd w:val="clear" w:color="auto" w:fill="DBDBDB"/>
          </w:tcPr>
          <w:p>
            <w:pPr>
              <w:ind w:left="120"/>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2,512.8</w:t>
            </w:r>
          </w:p>
        </w:tc>
        <w:tc>
          <w:tcPr>
            <w:tcW w:w="320" w:type="dxa"/>
            <w:vAlign w:val="bottom"/>
            <w:gridSpan w:val="2"/>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debt securities: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Corporate debt securities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734.2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734.2</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Government securities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547.3</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547.3</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84.1</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84.1</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equity securities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137.4</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137.4</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assets: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19.1</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non-current assets: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Convertible note</w:t>
            </w:r>
            <w:r>
              <w:rPr>
                <w:rFonts w:ascii="Arial" w:cs="Arial" w:eastAsia="Arial" w:hAnsi="Arial"/>
                <w:sz w:val="18"/>
                <w:szCs w:val="18"/>
                <w:color w:val="auto"/>
                <w:vertAlign w:val="superscript"/>
              </w:rPr>
              <w:t>(1)</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56.8</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56.8</w:t>
            </w: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40" w:type="dxa"/>
            <w:vAlign w:val="bottom"/>
            <w:gridSpan w:val="3"/>
          </w:tcPr>
          <w:p>
            <w:pPr>
              <w:ind w:left="300"/>
              <w:spacing w:after="0"/>
              <w:rPr>
                <w:sz w:val="20"/>
                <w:szCs w:val="20"/>
                <w:color w:val="auto"/>
              </w:rPr>
            </w:pPr>
            <w:r>
              <w:rPr>
                <w:rFonts w:ascii="Arial" w:cs="Arial" w:eastAsia="Arial" w:hAnsi="Arial"/>
                <w:sz w:val="14"/>
                <w:szCs w:val="14"/>
                <w:color w:val="auto"/>
              </w:rPr>
              <w:t>Derivative contracts</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5.9</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5.9</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4,132.6</w:t>
            </w:r>
          </w:p>
        </w:tc>
        <w:tc>
          <w:tcPr>
            <w:tcW w:w="10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137.4</w:t>
            </w:r>
          </w:p>
        </w:tc>
        <w:tc>
          <w:tcPr>
            <w:tcW w:w="1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3,960.2</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35.0</w:t>
            </w:r>
          </w:p>
        </w:tc>
        <w:tc>
          <w:tcPr>
            <w:tcW w:w="0" w:type="dxa"/>
            <w:vAlign w:val="bottom"/>
          </w:tcPr>
          <w:p>
            <w:pPr>
              <w:spacing w:after="0"/>
              <w:rPr>
                <w:sz w:val="1"/>
                <w:szCs w:val="1"/>
                <w:color w:val="auto"/>
              </w:rPr>
            </w:pPr>
          </w:p>
        </w:tc>
      </w:tr>
      <w:tr>
        <w:trPr>
          <w:trHeight w:val="161"/>
        </w:trPr>
        <w:tc>
          <w:tcPr>
            <w:tcW w:w="4680" w:type="dxa"/>
            <w:vAlign w:val="bottom"/>
            <w:gridSpan w:val="4"/>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liabilities: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38.2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38.2</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80"/>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640" w:type="dxa"/>
            <w:vAlign w:val="bottom"/>
            <w:gridSpan w:val="3"/>
          </w:tcPr>
          <w:p>
            <w:pPr>
              <w:ind w:left="30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266.9</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266.9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305.1</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38.2</w:t>
            </w: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00" w:hanging="172"/>
        <w:spacing w:after="0" w:line="248" w:lineRule="auto"/>
        <w:tabs>
          <w:tab w:leader="none" w:pos="15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Convertible notes includes a $30.0 million convertible note we invested in as part of our strategic research arrangement with City Therapeutics during 2025, as well as a $5.0 million convertible note we invested into Neela Therapeutics, Inc. during 2025. We elected the fair value option for both convertible notes. For additional information on the arrangement with City Therapeutics,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xml:space="preserve"> to our consolidated financial statements included in our 2025 Form 10-K.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2025</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6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in Active</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6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9"/>
        </w:trPr>
        <w:tc>
          <w:tcPr>
            <w:tcW w:w="4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5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6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680" w:type="dxa"/>
            <w:vAlign w:val="bottom"/>
            <w:gridSpan w:val="4"/>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2,233.2</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2,233.2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648.8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Convertible notes</w:t>
            </w:r>
            <w:r>
              <w:rPr>
                <w:rFonts w:ascii="Arial" w:cs="Arial" w:eastAsia="Arial" w:hAnsi="Arial"/>
                <w:sz w:val="18"/>
                <w:szCs w:val="18"/>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40" w:type="dxa"/>
            <w:vAlign w:val="bottom"/>
            <w:gridSpan w:val="3"/>
          </w:tcPr>
          <w:p>
            <w:pPr>
              <w:ind w:left="3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3,688.0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68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100"/>
              <w:spacing w:after="0"/>
              <w:rPr>
                <w:sz w:val="20"/>
                <w:szCs w:val="20"/>
                <w:color w:val="auto"/>
              </w:rPr>
            </w:pPr>
            <w:r>
              <w:rPr>
                <w:rFonts w:ascii="Arial" w:cs="Arial" w:eastAsia="Arial" w:hAnsi="Arial"/>
                <w:sz w:val="14"/>
                <w:szCs w:val="14"/>
                <w:color w:val="auto"/>
              </w:rPr>
              <w:t>Other non-current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640" w:type="dxa"/>
            <w:vAlign w:val="bottom"/>
            <w:gridSpan w:val="3"/>
          </w:tcPr>
          <w:p>
            <w:pPr>
              <w:ind w:left="22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640" w:type="dxa"/>
            <w:vAlign w:val="bottom"/>
            <w:gridSpan w:val="3"/>
          </w:tcPr>
          <w:p>
            <w:pPr>
              <w:ind w:left="52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right="100" w:hanging="172"/>
        <w:spacing w:after="0" w:line="283" w:lineRule="auto"/>
        <w:tabs>
          <w:tab w:leader="none" w:pos="158"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Convertible notes includes a $30.0 million convertible note we invested in as part of our strategic research arrangement with City Therapeutics during 2025, as well as a $5.0 million convertible note we invested into Neela Therapeutics, Inc. during 2025. We elected the fair value option for both convertible notes. For additional information on the arrangement with City Therapeutics,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xml:space="preserve"> to our consolidated financial statements included in our 2025 Form 10-K.</w:t>
      </w:r>
    </w:p>
    <w:p>
      <w:pPr>
        <w:spacing w:after="0" w:line="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marketable equity securities represent investments in publicly traded equity securities. Our ability to liquidate our investment in Denali may be limited by the size of our interest, the volume of market-related activity, our concentrated level of ownership and potential restrictions resulting from our status as a collaborator. Therefore, we may realize significantly less than the current value of such investments. For additional information on our investment in Denali common stock, please read </w:t>
      </w:r>
      <w:r>
        <w:rPr>
          <w:rFonts w:ascii="Arial" w:cs="Arial" w:eastAsia="Arial" w:hAnsi="Arial"/>
          <w:sz w:val="18"/>
          <w:szCs w:val="18"/>
          <w:i w:val="1"/>
          <w:iCs w:val="1"/>
          <w:color w:val="auto"/>
        </w:rPr>
        <w:t>Note 9, Financial Instruments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17,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 Detail</w:t>
      </w:r>
      <w:r>
        <w:rPr>
          <w:rFonts w:ascii="Arial" w:cs="Arial" w:eastAsia="Arial" w:hAnsi="Arial"/>
          <w:sz w:val="18"/>
          <w:szCs w:val="18"/>
          <w:color w:val="auto"/>
        </w:rPr>
        <w:t>, to these condensed consolidated financial statements.</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There have been no material impairments of our assets measured and carried at fair value as of March 31, 2026 and December 31, 2025. In addition, there have been no changes to our valuation techniques as of March 31, 2026 and December 31, 2025.</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2025 Form 10-K.</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Level 3 Assets and Liabilities Held at Fair Value</w:t>
      </w:r>
    </w:p>
    <w:p>
      <w:pPr>
        <w:spacing w:after="0" w:line="10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tables present quantitative information, as of the dates indicated, about the valuation techniques and significant unobservable inputs used in the valuation of our Level 3 financial assets and liabilities measured at fair value on a recurring basis: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76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280" w:type="dxa"/>
            <w:vAlign w:val="bottom"/>
            <w:tcBorders>
              <w:bottom w:val="single" w:sz="8" w:color="auto"/>
            </w:tcBorders>
            <w:gridSpan w:val="2"/>
            <w:shd w:val="clear" w:color="auto" w:fill="DBDBDB"/>
          </w:tcPr>
          <w:p>
            <w:pPr>
              <w:jc w:val="center"/>
              <w:ind w:right="700"/>
              <w:spacing w:after="0"/>
              <w:rPr>
                <w:sz w:val="20"/>
                <w:szCs w:val="20"/>
                <w:color w:val="auto"/>
              </w:rPr>
            </w:pPr>
            <w:r>
              <w:rPr>
                <w:rFonts w:ascii="Arial" w:cs="Arial" w:eastAsia="Arial" w:hAnsi="Arial"/>
                <w:sz w:val="14"/>
                <w:szCs w:val="14"/>
                <w:b w:val="1"/>
                <w:bCs w:val="1"/>
                <w:color w:val="0070C0"/>
              </w:rPr>
              <w:t>As of March 31, 2026</w:t>
            </w:r>
          </w:p>
        </w:tc>
        <w:tc>
          <w:tcPr>
            <w:tcW w:w="11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Significant</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80" w:type="dxa"/>
            <w:vAlign w:val="bottom"/>
          </w:tcPr>
          <w:p>
            <w:pPr>
              <w:spacing w:after="0"/>
              <w:rPr>
                <w:sz w:val="12"/>
                <w:szCs w:val="12"/>
                <w:color w:val="auto"/>
              </w:rPr>
            </w:pPr>
          </w:p>
        </w:tc>
        <w:tc>
          <w:tcPr>
            <w:tcW w:w="14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266.9</w:t>
            </w:r>
          </w:p>
        </w:tc>
        <w:tc>
          <w:tcPr>
            <w:tcW w:w="8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0070C0"/>
              </w:rPr>
              <w:t>5.7%</w:t>
            </w:r>
          </w:p>
        </w:tc>
        <w:tc>
          <w:tcPr>
            <w:tcW w:w="80" w:type="dxa"/>
            <w:vAlign w:val="bottom"/>
          </w:tcPr>
          <w:p>
            <w:pPr>
              <w:spacing w:after="0"/>
              <w:rPr>
                <w:sz w:val="18"/>
                <w:szCs w:val="18"/>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4"/>
                <w:szCs w:val="14"/>
                <w:color w:val="0070C0"/>
              </w:rPr>
              <w:t>5.7%</w:t>
            </w: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Expected timing of achievement</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070C0"/>
              </w:rPr>
              <w:t>2028</w:t>
            </w:r>
          </w:p>
        </w:tc>
        <w:tc>
          <w:tcPr>
            <w:tcW w:w="80" w:type="dxa"/>
            <w:vAlign w:val="bottom"/>
          </w:tcPr>
          <w:p>
            <w:pPr>
              <w:spacing w:after="0"/>
              <w:rPr>
                <w:sz w:val="13"/>
                <w:szCs w:val="13"/>
                <w:color w:val="auto"/>
              </w:rPr>
            </w:pPr>
          </w:p>
        </w:tc>
        <w:tc>
          <w:tcPr>
            <w:tcW w:w="14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070C0"/>
                <w:w w:val="99"/>
              </w:rPr>
              <w:t>—</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of development milestones</w:t>
            </w:r>
          </w:p>
        </w:tc>
        <w:tc>
          <w:tcPr>
            <w:tcW w:w="1120" w:type="dxa"/>
            <w:vAlign w:val="bottom"/>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As of December 31, 2025</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2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Significant</w:t>
            </w: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80" w:type="dxa"/>
            <w:vAlign w:val="bottom"/>
          </w:tcPr>
          <w:p>
            <w:pPr>
              <w:spacing w:after="0"/>
              <w:rPr>
                <w:sz w:val="12"/>
                <w:szCs w:val="12"/>
                <w:color w:val="auto"/>
              </w:rPr>
            </w:pPr>
          </w:p>
        </w:tc>
        <w:tc>
          <w:tcPr>
            <w:tcW w:w="14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80" w:type="dxa"/>
            <w:vAlign w:val="bottom"/>
          </w:tcPr>
          <w:p>
            <w:pPr>
              <w:spacing w:after="0"/>
              <w:rPr>
                <w:sz w:val="17"/>
                <w:szCs w:val="17"/>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7"/>
                <w:szCs w:val="17"/>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120" w:type="dxa"/>
            <w:vAlign w:val="bottom"/>
          </w:tcPr>
          <w:p>
            <w:pPr>
              <w:jc w:val="center"/>
              <w:spacing w:after="0"/>
              <w:rPr>
                <w:sz w:val="20"/>
                <w:szCs w:val="20"/>
                <w:color w:val="auto"/>
              </w:rPr>
            </w:pPr>
            <w:r>
              <w:rPr>
                <w:rFonts w:ascii="Arial" w:cs="Arial" w:eastAsia="Arial" w:hAnsi="Arial"/>
                <w:sz w:val="14"/>
                <w:szCs w:val="14"/>
                <w:color w:val="auto"/>
              </w:rPr>
              <w:t>5.3% - 5.4%</w:t>
            </w:r>
          </w:p>
        </w:tc>
        <w:tc>
          <w:tcPr>
            <w:tcW w:w="1520" w:type="dxa"/>
            <w:vAlign w:val="bottom"/>
            <w:gridSpan w:val="2"/>
          </w:tcPr>
          <w:p>
            <w:pPr>
              <w:jc w:val="center"/>
              <w:ind w:lef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Expected timing of achievement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2028 - 2030</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of development milestones</w:t>
            </w: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approximately 75.0% to 95.0% as of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March 31, 2026 and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connection with our acquisition of HI-Bio in July 2024 we agreed to make additional payments based upon the achievement of certain milestone events. The following table provides a roll forward of the fair value of our contingent consideration obligations, which were classified as Level 3 measurements: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period</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246.4</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512.8</w:t>
            </w:r>
          </w:p>
        </w:tc>
      </w:tr>
      <w:tr>
        <w:trPr>
          <w:trHeight w:val="207"/>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Changes in fair value</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20.5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2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Fair value, end of period</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266.9</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522.4</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Changes in the fair value of our contingent consideration obligations, other than changes due to payments, are recognized as a (gain) loss on fair value remeasurement of contingent consideration in our condensed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consolidated financial statements included in our 2025 Form 10-K.</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March 31, 2026 and December 31, 2025, approximately $266.9 million and $246.4 million, respectively, of the fair value of our contingent consideration obligations were classified as long-term and reflected as a component of other long-term liabilities in our condensed consolidated balance sheets.</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the three months ended March 31, 2026, changes in the fair value of our contingent consideration obligations were primarily due to changes in the probabilities of success and expected timing of the achievement of certain remaining developmental milestones.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$150.0 million milestone payment made to the former shareholders of HI-Bio, which was paid during the third quarter of 2025. In October 2025 the second milestone related to the fourth patient dosed in a phase 3 clinical trial of felzartamab for IgAN was achieved, resulting in a $150.0 million milestone payment made to the former shareholders of HI-Bio during the fourth quarter of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Financial Instruments Not Carried at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Financial Instruments</w:t>
      </w:r>
    </w:p>
    <w:p>
      <w:pPr>
        <w:spacing w:after="0" w:line="11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and carrying values of our debt instruments, which are Level 2 liabilities,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auto"/>
            </w:tcBorders>
            <w:gridSpan w:val="6"/>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As of March 31, 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2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4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900" w:type="dxa"/>
            <w:vAlign w:val="bottom"/>
            <w:gridSpan w:val="3"/>
          </w:tcPr>
          <w:p>
            <w:pPr>
              <w:ind w:left="20"/>
              <w:spacing w:after="0"/>
              <w:rPr>
                <w:sz w:val="20"/>
                <w:szCs w:val="20"/>
                <w:color w:val="auto"/>
              </w:rPr>
            </w:pPr>
            <w:r>
              <w:rPr>
                <w:rFonts w:ascii="Arial" w:cs="Arial" w:eastAsia="Arial" w:hAnsi="Arial"/>
                <w:sz w:val="14"/>
                <w:szCs w:val="14"/>
                <w:i w:val="1"/>
                <w:iCs w:val="1"/>
                <w:color w:val="auto"/>
              </w:rPr>
              <w:t>Non-current portion:</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2.250%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1,369.5</w:t>
            </w:r>
          </w:p>
        </w:tc>
        <w:tc>
          <w:tcPr>
            <w:tcW w:w="42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1,495.9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1,378.7</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1,495.7</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5.050%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January 15, 2031</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407.5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398.0</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5.750%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15, 2035</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672.5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645.5</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5.200%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1,004.8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1,101.5</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3.150%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943.9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973.0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1,475.6</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Arial" w:cs="Arial" w:eastAsia="Arial" w:hAnsi="Arial"/>
                <w:sz w:val="14"/>
                <w:szCs w:val="14"/>
                <w:color w:val="auto"/>
              </w:rPr>
              <w:t>3.250%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p>
        </w:tc>
        <w:tc>
          <w:tcPr>
            <w:tcW w:w="940" w:type="dxa"/>
            <w:vAlign w:val="bottom"/>
            <w:shd w:val="clear" w:color="auto" w:fill="DBDBDB"/>
          </w:tcPr>
          <w:p>
            <w:pPr>
              <w:spacing w:after="0"/>
              <w:rPr>
                <w:sz w:val="17"/>
                <w:szCs w:val="17"/>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443.6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204"/>
        </w:trPr>
        <w:tc>
          <w:tcPr>
            <w:tcW w:w="640" w:type="dxa"/>
            <w:vAlign w:val="bottom"/>
          </w:tcPr>
          <w:p>
            <w:pPr>
              <w:jc w:val="right"/>
              <w:spacing w:after="0"/>
              <w:rPr>
                <w:sz w:val="20"/>
                <w:szCs w:val="20"/>
                <w:color w:val="auto"/>
              </w:rPr>
            </w:pPr>
            <w:r>
              <w:rPr>
                <w:rFonts w:ascii="Arial" w:cs="Arial" w:eastAsia="Arial" w:hAnsi="Arial"/>
                <w:sz w:val="14"/>
                <w:szCs w:val="14"/>
                <w:color w:val="auto"/>
              </w:rPr>
              <w:t>6.450%</w:t>
            </w:r>
          </w:p>
        </w:tc>
        <w:tc>
          <w:tcPr>
            <w:tcW w:w="4260" w:type="dxa"/>
            <w:vAlign w:val="bottom"/>
            <w:gridSpan w:val="2"/>
          </w:tcPr>
          <w:p>
            <w:pPr>
              <w:ind w:left="20"/>
              <w:spacing w:after="0"/>
              <w:rPr>
                <w:sz w:val="20"/>
                <w:szCs w:val="20"/>
                <w:color w:val="auto"/>
              </w:rPr>
            </w:pPr>
            <w:r>
              <w:rPr>
                <w:rFonts w:ascii="Arial" w:cs="Arial" w:eastAsia="Arial" w:hAnsi="Arial"/>
                <w:sz w:val="14"/>
                <w:szCs w:val="14"/>
                <w:color w:val="auto"/>
              </w:rPr>
              <w:t>Senior Notes due May 15, 2055</w:t>
            </w:r>
          </w:p>
        </w:tc>
        <w:tc>
          <w:tcPr>
            <w:tcW w:w="94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725.9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690.2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198"/>
        </w:trPr>
        <w:tc>
          <w:tcPr>
            <w:tcW w:w="4900" w:type="dxa"/>
            <w:vAlign w:val="bottom"/>
            <w:gridSpan w:val="3"/>
          </w:tcPr>
          <w:p>
            <w:pPr>
              <w:ind w:left="260"/>
              <w:spacing w:after="0"/>
              <w:rPr>
                <w:sz w:val="20"/>
                <w:szCs w:val="20"/>
                <w:color w:val="auto"/>
              </w:rPr>
            </w:pPr>
            <w:r>
              <w:rPr>
                <w:rFonts w:ascii="Arial" w:cs="Arial" w:eastAsia="Arial" w:hAnsi="Arial"/>
                <w:sz w:val="14"/>
                <w:szCs w:val="14"/>
                <w:color w:val="auto"/>
              </w:rPr>
              <w:t>Non-current portion of notes payable</w:t>
            </w:r>
          </w:p>
        </w:tc>
        <w:tc>
          <w:tcPr>
            <w:tcW w:w="94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98"/>
              </w:rPr>
              <w:t>5,567.7</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6,288.5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5,678.1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6,286.8</w:t>
            </w:r>
          </w:p>
        </w:tc>
        <w:tc>
          <w:tcPr>
            <w:tcW w:w="0" w:type="dxa"/>
            <w:vAlign w:val="bottom"/>
          </w:tcPr>
          <w:p>
            <w:pPr>
              <w:spacing w:after="0"/>
              <w:rPr>
                <w:sz w:val="1"/>
                <w:szCs w:val="1"/>
                <w:color w:val="auto"/>
              </w:rPr>
            </w:pPr>
          </w:p>
        </w:tc>
      </w:tr>
      <w:tr>
        <w:trPr>
          <w:trHeight w:val="220"/>
        </w:trPr>
        <w:tc>
          <w:tcPr>
            <w:tcW w:w="4900" w:type="dxa"/>
            <w:vAlign w:val="bottom"/>
            <w:gridSpan w:val="3"/>
          </w:tcPr>
          <w:p>
            <w:pPr>
              <w:ind w:left="40"/>
              <w:spacing w:after="0"/>
              <w:rPr>
                <w:sz w:val="20"/>
                <w:szCs w:val="20"/>
                <w:color w:val="auto"/>
              </w:rPr>
            </w:pPr>
            <w:r>
              <w:rPr>
                <w:rFonts w:ascii="Arial" w:cs="Arial" w:eastAsia="Arial" w:hAnsi="Arial"/>
                <w:sz w:val="14"/>
                <w:szCs w:val="14"/>
                <w:color w:val="auto"/>
              </w:rPr>
              <w:t>Total notes payable</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5,567.7</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6,288.5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5,678.1</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6,286.8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March 31, 2026, compared to December 31, 2025, are primarily related to increases in U.S. treasury yields and credit spreads used to value our Senior Notes since December 31, 2025.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xml:space="preserve"> to our consolidated financial statements included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96925"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1,949.4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2,027.7</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w:t>
            </w:r>
          </w:p>
        </w:tc>
      </w:tr>
      <w:tr>
        <w:trPr>
          <w:trHeight w:val="220"/>
        </w:trPr>
        <w:tc>
          <w:tcPr>
            <w:tcW w:w="678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2,512.8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2,233.2</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carrying values of our money market funds, overnight reverse repurchase agreements, short-term debt securities and commercial paper, including accrued interest, approximate fair value due to their short-term maturities.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available-for-sale:</w:t>
      </w: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3160" w:type="dxa"/>
            <w:vAlign w:val="bottom"/>
            <w:tcBorders>
              <w:bottom w:val="single" w:sz="8" w:color="auto"/>
            </w:tcBorders>
            <w:gridSpan w:val="6"/>
            <w:shd w:val="clear" w:color="auto" w:fill="DDDDDD"/>
          </w:tcPr>
          <w:p>
            <w:pPr>
              <w:jc w:val="center"/>
              <w:ind w:right="200"/>
              <w:spacing w:after="0"/>
              <w:rPr>
                <w:sz w:val="20"/>
                <w:szCs w:val="20"/>
                <w:color w:val="auto"/>
              </w:rPr>
            </w:pPr>
            <w:r>
              <w:rPr>
                <w:rFonts w:ascii="Arial" w:cs="Arial" w:eastAsia="Arial" w:hAnsi="Arial"/>
                <w:sz w:val="14"/>
                <w:szCs w:val="14"/>
                <w:b w:val="1"/>
                <w:bCs w:val="1"/>
                <w:color w:val="257ACB"/>
              </w:rPr>
              <w:t>As of March 31, 2026</w:t>
            </w:r>
          </w:p>
        </w:tc>
        <w:tc>
          <w:tcPr>
            <w:tcW w:w="340" w:type="dxa"/>
            <w:vAlign w:val="bottom"/>
            <w:tcBorders>
              <w:bottom w:val="single" w:sz="8" w:color="auto"/>
            </w:tcBorders>
            <w:shd w:val="clear" w:color="auto" w:fill="DDDDDD"/>
          </w:tcPr>
          <w:p>
            <w:pPr>
              <w:spacing w:after="0"/>
              <w:rPr>
                <w:sz w:val="17"/>
                <w:szCs w:val="17"/>
                <w:color w:val="auto"/>
              </w:rPr>
            </w:pPr>
          </w:p>
        </w:tc>
        <w:tc>
          <w:tcPr>
            <w:tcW w:w="120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Gains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418.2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417.5</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317.8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316.7</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Government securities:</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Current</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482.6</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482.5</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60"/>
              <w:spacing w:after="0"/>
              <w:rPr>
                <w:sz w:val="20"/>
                <w:szCs w:val="20"/>
                <w:color w:val="auto"/>
              </w:rPr>
            </w:pPr>
            <w:r>
              <w:rPr>
                <w:rFonts w:ascii="Arial" w:cs="Arial" w:eastAsia="Arial" w:hAnsi="Arial"/>
                <w:sz w:val="14"/>
                <w:szCs w:val="14"/>
                <w:color w:val="auto"/>
              </w:rPr>
              <w:t>Non-current</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64.8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gridSpan w:val="2"/>
            <w:shd w:val="clear" w:color="auto" w:fill="DBDBDB"/>
          </w:tcPr>
          <w:p>
            <w:pPr>
              <w:ind w:left="1200"/>
              <w:spacing w:after="0"/>
              <w:rPr>
                <w:sz w:val="20"/>
                <w:szCs w:val="20"/>
                <w:color w:val="auto"/>
              </w:rPr>
            </w:pPr>
            <w:r>
              <w:rPr>
                <w:rFonts w:ascii="Arial" w:cs="Arial" w:eastAsia="Arial" w:hAnsi="Arial"/>
                <w:sz w:val="14"/>
                <w:szCs w:val="14"/>
                <w:color w:val="257ACB"/>
              </w:rPr>
              <w:t>—</w:t>
            </w: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64.8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84.2</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84.1</w:t>
            </w:r>
          </w:p>
        </w:tc>
        <w:tc>
          <w:tcPr>
            <w:tcW w:w="0" w:type="dxa"/>
            <w:vAlign w:val="bottom"/>
          </w:tcPr>
          <w:p>
            <w:pPr>
              <w:spacing w:after="0"/>
              <w:rPr>
                <w:sz w:val="1"/>
                <w:szCs w:val="1"/>
                <w:color w:val="auto"/>
              </w:rPr>
            </w:pPr>
          </w:p>
        </w:tc>
      </w:tr>
      <w:tr>
        <w:trPr>
          <w:trHeight w:val="24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1,367.6</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20"/>
                <w:szCs w:val="20"/>
                <w:color w:val="auto"/>
              </w:rPr>
            </w:pP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1,365.6</w:t>
            </w:r>
          </w:p>
        </w:tc>
        <w:tc>
          <w:tcPr>
            <w:tcW w:w="0" w:type="dxa"/>
            <w:vAlign w:val="bottom"/>
          </w:tcPr>
          <w:p>
            <w:pPr>
              <w:spacing w:after="0"/>
              <w:rPr>
                <w:sz w:val="1"/>
                <w:szCs w:val="1"/>
                <w:color w:val="auto"/>
              </w:rPr>
            </w:pPr>
          </w:p>
        </w:tc>
      </w:tr>
      <w:tr>
        <w:trPr>
          <w:trHeight w:val="437"/>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auto"/>
            </w:tcBorders>
            <w:shd w:val="clear" w:color="auto" w:fill="DBDBDB"/>
          </w:tcPr>
          <w:p>
            <w:pPr>
              <w:spacing w:after="0"/>
              <w:rPr>
                <w:sz w:val="24"/>
                <w:szCs w:val="24"/>
                <w:color w:val="auto"/>
              </w:rPr>
            </w:pPr>
          </w:p>
        </w:tc>
        <w:tc>
          <w:tcPr>
            <w:tcW w:w="1400" w:type="dxa"/>
            <w:vAlign w:val="bottom"/>
            <w:tcBorders>
              <w:top w:val="single" w:sz="8" w:color="auto"/>
            </w:tcBorders>
            <w:shd w:val="clear" w:color="auto" w:fill="DBDBDB"/>
          </w:tcPr>
          <w:p>
            <w:pPr>
              <w:spacing w:after="0"/>
              <w:rPr>
                <w:sz w:val="24"/>
                <w:szCs w:val="24"/>
                <w:color w:val="auto"/>
              </w:rPr>
            </w:pPr>
          </w:p>
        </w:tc>
        <w:tc>
          <w:tcPr>
            <w:tcW w:w="2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auto"/>
            </w:tcBorders>
            <w:shd w:val="clear" w:color="auto" w:fill="DBDBDB"/>
          </w:tcPr>
          <w:p>
            <w:pPr>
              <w:spacing w:after="0"/>
              <w:rPr>
                <w:sz w:val="24"/>
                <w:szCs w:val="24"/>
                <w:color w:val="auto"/>
              </w:rPr>
            </w:pPr>
          </w:p>
        </w:tc>
        <w:tc>
          <w:tcPr>
            <w:tcW w:w="14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20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227.8</w:t>
            </w: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(90.4)</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137.4</w:t>
            </w:r>
          </w:p>
        </w:tc>
        <w:tc>
          <w:tcPr>
            <w:tcW w:w="0" w:type="dxa"/>
            <w:vAlign w:val="bottom"/>
          </w:tcPr>
          <w:p>
            <w:pPr>
              <w:spacing w:after="0"/>
              <w:rPr>
                <w:sz w:val="1"/>
                <w:szCs w:val="1"/>
                <w:color w:val="auto"/>
              </w:rPr>
            </w:pPr>
          </w:p>
        </w:tc>
      </w:tr>
      <w:tr>
        <w:trPr>
          <w:trHeight w:val="225"/>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227.8</w:t>
            </w:r>
          </w:p>
        </w:tc>
        <w:tc>
          <w:tcPr>
            <w:tcW w:w="1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(90.4)</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137.4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As of December 31, 2025</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Gains</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246.8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246.8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560.4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1,238.9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0"/>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227.7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Contractual Maturities: Available-for-Sale Debt Securities</w:t>
      </w:r>
    </w:p>
    <w:p>
      <w:pPr>
        <w:spacing w:after="0" w:line="1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2860" w:type="dxa"/>
            <w:vAlign w:val="bottom"/>
            <w:tcBorders>
              <w:bottom w:val="single" w:sz="8" w:color="auto"/>
            </w:tcBorders>
            <w:gridSpan w:val="4"/>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As of March 31, 2026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2025</w:t>
            </w:r>
          </w:p>
        </w:tc>
        <w:tc>
          <w:tcPr>
            <w:tcW w:w="0" w:type="dxa"/>
            <w:vAlign w:val="bottom"/>
          </w:tcPr>
          <w:p>
            <w:pPr>
              <w:spacing w:after="0"/>
              <w:rPr>
                <w:sz w:val="1"/>
                <w:szCs w:val="1"/>
                <w:color w:val="auto"/>
              </w:rPr>
            </w:pPr>
          </w:p>
        </w:tc>
      </w:tr>
      <w:tr>
        <w:trPr>
          <w:trHeight w:val="142"/>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8"/>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900.0</w:t>
            </w:r>
          </w:p>
        </w:tc>
        <w:tc>
          <w:tcPr>
            <w:tcW w:w="10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900.8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807.2</w:t>
            </w:r>
          </w:p>
        </w:tc>
        <w:tc>
          <w:tcPr>
            <w:tcW w:w="0" w:type="dxa"/>
            <w:vAlign w:val="bottom"/>
          </w:tcPr>
          <w:p>
            <w:pPr>
              <w:spacing w:after="0"/>
              <w:rPr>
                <w:sz w:val="1"/>
                <w:szCs w:val="1"/>
                <w:color w:val="auto"/>
              </w:rPr>
            </w:pPr>
          </w:p>
        </w:tc>
      </w:tr>
      <w:tr>
        <w:trPr>
          <w:trHeight w:val="203"/>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454.7</w:t>
            </w: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207"/>
        </w:trPr>
        <w:tc>
          <w:tcPr>
            <w:tcW w:w="490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4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10.9</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0"/>
        </w:trPr>
        <w:tc>
          <w:tcPr>
            <w:tcW w:w="490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1,365.6</w:t>
            </w:r>
          </w:p>
        </w:tc>
        <w:tc>
          <w:tcPr>
            <w:tcW w:w="100" w:type="dxa"/>
            <w:vAlign w:val="bottom"/>
          </w:tcPr>
          <w:p>
            <w:pPr>
              <w:spacing w:after="0"/>
              <w:rPr>
                <w:sz w:val="19"/>
                <w:szCs w:val="19"/>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1,367.6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1,239.1</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1,238.9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average maturity of our marketable debt securities classified as available-for-sale as of March 31, 2026, was approximately 10 months.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Proceeds from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any resulting realized gains and losses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9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625.2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Strategic Investments</w:t>
      </w:r>
    </w:p>
    <w:p>
      <w:pPr>
        <w:spacing w:after="0" w:line="1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condensed consolidated financial statements, as well as venture capital funds where the underlying investments are in equity securities of certain biotechnology companies and non-marketable equity securities.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of March 31, 2026 and December 31, 2025, our strategic investment portfolio was comprised of investments totaling $205.3 million and $186.6 million, respectively, which are included in investments and other assets within our condensed consolidated balance sheets.</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increase in our strategic investment portfolio as of March 31, 2026, compared to December 31, 2025, was primarily due to the increase in the fair value of our investment in Denali common stock.</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investments in Denali common stock, please read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17,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 Detail</w:t>
      </w:r>
      <w:r>
        <w:rPr>
          <w:rFonts w:ascii="Arial" w:cs="Arial" w:eastAsia="Arial" w:hAnsi="Arial"/>
          <w:sz w:val="18"/>
          <w:szCs w:val="18"/>
          <w:color w:val="auto"/>
        </w:rPr>
        <w:t>,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1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Foreign currency forward contracts and foreign currency options in effect as of March 31, 2026 and December 31, 2025, had durations of 1 to 18 months and 1 to 21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9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1,332.6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1,531.0</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Polish zloty</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78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1,632.1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1,531.0</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1980" w:type="dxa"/>
            <w:vAlign w:val="bottom"/>
            <w:tcBorders>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As of March 31, 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240" w:type="dxa"/>
            <w:vAlign w:val="bottom"/>
            <w:tcBorders>
              <w:bottom w:val="single" w:sz="8" w:color="auto"/>
            </w:tcBorders>
            <w:shd w:val="clear" w:color="auto" w:fill="DBDBDB"/>
          </w:tcPr>
          <w:p>
            <w:pPr>
              <w:spacing w:after="0"/>
              <w:rPr>
                <w:sz w:val="17"/>
                <w:szCs w:val="17"/>
                <w:color w:val="auto"/>
              </w:rPr>
            </w:pP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(24.4)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r>
      <w:tr>
        <w:trPr>
          <w:trHeight w:val="220"/>
        </w:trPr>
        <w:tc>
          <w:tcPr>
            <w:tcW w:w="66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(73.3)</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net unrealized losses of approximately $14.7 million to be settled over the next 18 months, of which approximately $16.4 million of these net unrealized losses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March 31, 2026 and December 31, 2025, credit risk did not materially change the fair value of our foreign currency forward contracts and forward currency options.</w:t>
      </w:r>
    </w:p>
    <w:p>
      <w:pPr>
        <w:spacing w:after="0" w:line="71" w:lineRule="exact"/>
        <w:rPr>
          <w:sz w:val="20"/>
          <w:szCs w:val="20"/>
          <w:color w:val="auto"/>
        </w:rPr>
      </w:pPr>
    </w:p>
    <w:p>
      <w:pPr>
        <w:ind w:right="720"/>
        <w:spacing w:after="0" w:line="279" w:lineRule="auto"/>
        <w:rPr>
          <w:sz w:val="20"/>
          <w:szCs w:val="20"/>
          <w:color w:val="auto"/>
        </w:rPr>
      </w:pPr>
      <w:r>
        <w:rPr>
          <w:rFonts w:ascii="Arial" w:cs="Arial" w:eastAsia="Arial" w:hAnsi="Arial"/>
          <w:sz w:val="18"/>
          <w:szCs w:val="18"/>
          <w:color w:val="auto"/>
        </w:rPr>
        <w:t>The following table summarizes the effect of foreign currency forward contracts and forward currency options designated as hedging instruments in our condensed consolidated statements of income: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rPr>
              <w:t>Net Gains/(Losses)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520" w:type="dxa"/>
            <w:vAlign w:val="bottom"/>
            <w:tcBorders>
              <w:top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rPr>
              <w:t>Net Gains/(Losses) Excluded from Effectiveness Testing and</w:t>
            </w:r>
          </w:p>
        </w:tc>
      </w:tr>
      <w:tr>
        <w:trPr>
          <w:trHeight w:val="185"/>
        </w:trPr>
        <w:tc>
          <w:tcPr>
            <w:tcW w:w="51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tcBorders>
              <w:bottom w:val="single" w:sz="8" w:color="auto"/>
            </w:tcBorders>
            <w:gridSpan w:val="6"/>
          </w:tcPr>
          <w:p>
            <w:pPr>
              <w:jc w:val="center"/>
              <w:ind w:left="968"/>
              <w:spacing w:after="0"/>
              <w:rPr>
                <w:sz w:val="20"/>
                <w:szCs w:val="20"/>
                <w:color w:val="auto"/>
              </w:rPr>
            </w:pPr>
            <w:r>
              <w:rPr>
                <w:rFonts w:ascii="Arial" w:cs="Arial" w:eastAsia="Arial" w:hAnsi="Arial"/>
                <w:sz w:val="14"/>
                <w:szCs w:val="14"/>
                <w:b w:val="1"/>
                <w:bCs w:val="1"/>
                <w:color w:val="auto"/>
              </w:rPr>
              <w:t>Recognized in Operating Income (in millions)</w:t>
            </w:r>
          </w:p>
        </w:tc>
        <w:tc>
          <w:tcPr>
            <w:tcW w:w="106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ACB"/>
              </w:rPr>
              <w:t>2026</w:t>
            </w:r>
          </w:p>
        </w:tc>
        <w:tc>
          <w:tcPr>
            <w:tcW w:w="46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08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DBDBDB"/>
          </w:tcPr>
          <w:p>
            <w:pPr>
              <w:jc w:val="center"/>
              <w:ind w:right="708"/>
              <w:spacing w:after="0"/>
              <w:rPr>
                <w:sz w:val="20"/>
                <w:szCs w:val="20"/>
                <w:color w:val="auto"/>
              </w:rPr>
            </w:pPr>
            <w:r>
              <w:rPr>
                <w:rFonts w:ascii="Arial" w:cs="Arial" w:eastAsia="Arial" w:hAnsi="Arial"/>
                <w:sz w:val="14"/>
                <w:szCs w:val="14"/>
                <w:color w:val="257ACB"/>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(24.3)</w:t>
            </w:r>
          </w:p>
        </w:tc>
        <w:tc>
          <w:tcPr>
            <w:tcW w:w="106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0.4</w:t>
            </w:r>
          </w:p>
        </w:tc>
      </w:tr>
      <w:tr>
        <w:trPr>
          <w:trHeight w:val="210"/>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4"/>
                <w:szCs w:val="14"/>
                <w:color w:val="auto"/>
              </w:rPr>
              <w:t>Operating expense</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Foreign Currency Forward Contracts - Other Derivative Instruments</w:t>
      </w:r>
    </w:p>
    <w:p>
      <w:pPr>
        <w:spacing w:after="0" w:line="12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aggregate notional amount of these outstanding foreign currency forward contracts was $1,241.1 million and $1,193.7 million as of March 31, 2026 and December 31, 2025, respectively. Net losses of $18.8 million related to these contracts was recorded as a component of other (income) expense, net for the three months ended March 31, 2026, compared to net gains of $7.7 million in the prior year comparative period.</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Derivative Instruments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9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0.1</w:t>
            </w:r>
          </w:p>
        </w:tc>
      </w:tr>
      <w:tr>
        <w:trPr>
          <w:trHeight w:val="203"/>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0.4</w:t>
            </w: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54.0</w:t>
            </w:r>
          </w:p>
        </w:tc>
      </w:tr>
      <w:tr>
        <w:trPr>
          <w:trHeight w:val="203"/>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257"/>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94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DBDBDB"/>
          </w:tcPr>
          <w:p>
            <w:pPr>
              <w:spacing w:after="0"/>
              <w:rPr>
                <w:sz w:val="17"/>
                <w:szCs w:val="17"/>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9.9</w:t>
            </w:r>
          </w:p>
        </w:tc>
      </w:tr>
      <w:tr>
        <w:trPr>
          <w:trHeight w:val="211"/>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240" w:type="dxa"/>
            <w:vAlign w:val="bottom"/>
            <w:shd w:val="clear" w:color="auto" w:fill="DBDBDB"/>
          </w:tcPr>
          <w:p>
            <w:pPr>
              <w:spacing w:after="0"/>
              <w:rPr>
                <w:sz w:val="18"/>
                <w:szCs w:val="18"/>
                <w:color w:val="auto"/>
              </w:rPr>
            </w:pPr>
          </w:p>
        </w:tc>
        <w:tc>
          <w:tcPr>
            <w:tcW w:w="1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96925" cy="342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29210</wp:posOffset>
            </wp:positionV>
            <wp:extent cx="6026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Property, plant and equipment are recorded at historical cost, net of accumulated depreciation. Accumulated depreciation on property, plant and equipment was $2,998.3 million and $2,931.2 million as of March 31, 2026 and December 31, 2025, respectively. For the three months ended March 31, 2026 and 2025, depreciation expense totaled approximately $67.9 million and $71.4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2025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May 12, 2025, we issued senior unsecured notes for an aggregate principal amount of $1.75 billion, consisting of the following:</w:t>
      </w:r>
    </w:p>
    <w:p>
      <w:pPr>
        <w:spacing w:after="0" w:line="117"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$400.0 million of 5.050% Senior Notes due January 15, 2031, valued at 99.981% of par;</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$650.0 million of 5.750% Senior Notes due May 15, 2035, valued at 99.924% of par; and</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$700.0 million of 6.450% Senior Notes due May 15, 2055, valued at 99.657% of par.</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2025 Senior Notes are senior unsecured obligations and may be redeemed at our option at any time at 100% of the principal amount plus accrued interest and, until a specified period before maturity, a specified make-whole amount. Our 2025 Senior Notes contain a change-of-control provision that, under certain circumstances, may require us to purchase our 2025 Senior Notes at a price equal to 101% of the principal amount plus accrued and unpaid interest to the date of repurchase.</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incurred approximately $13.9 million of costs associated with this offering which have been recorded as a reduction to the carrying amount of the debt on our condensed consolidated balance sheets.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w:t>
      </w:r>
    </w:p>
    <w:p>
      <w:pPr>
        <w:spacing w:after="0" w:line="6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Interest on our 2031 Senior Notes is payable January 15 and July 15 of each year, commencing January 15, 2026. Interest on our 2035 Senior Notes and 2055 Senior Notes is payable May 15 and November 15 of each year, commencing on November 15, 2025.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4.050% Senior Notes due September 15, 2025</w:t>
      </w:r>
    </w:p>
    <w:p>
      <w:pPr>
        <w:spacing w:after="0" w:line="11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On September 15, 2015, we issued $1.75 billion aggregate principal amount of 4.050% Senior Notes due September 15, 2025, at 99.764% of par. In June 2025 we used the net proceeds from the sale of our 2025 Senior Notes to redeem our 4.050% Senior Notes due September 15, 2025, prior to maturity. No gain or loss was recognized upon redemption.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587F"/>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13:</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103505</wp:posOffset>
            </wp:positionV>
            <wp:extent cx="478345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83455"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2025</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97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42" w:lineRule="exact"/>
        <w:rPr>
          <w:sz w:val="20"/>
          <w:szCs w:val="20"/>
          <w:color w:val="auto"/>
        </w:rPr>
      </w:pPr>
    </w:p>
    <w:p>
      <w:pPr>
        <w:ind w:left="220" w:right="64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4" w:lineRule="exact"/>
        <w:rPr>
          <w:sz w:val="20"/>
          <w:szCs w:val="20"/>
          <w:color w:val="auto"/>
        </w:rPr>
      </w:pPr>
    </w:p>
    <w:p>
      <w:pPr>
        <w:ind w:left="20" w:firstLine="121"/>
        <w:spacing w:after="0" w:line="405" w:lineRule="auto"/>
        <w:rPr>
          <w:sz w:val="20"/>
          <w:szCs w:val="20"/>
          <w:color w:val="auto"/>
        </w:rPr>
      </w:pPr>
      <w:r>
        <w:rPr>
          <w:rFonts w:ascii="Arial" w:cs="Arial" w:eastAsia="Arial" w:hAnsi="Arial"/>
          <w:sz w:val="14"/>
          <w:szCs w:val="14"/>
          <w:color w:val="auto"/>
        </w:rPr>
        <w:t>Net current period other comprehensive income (loss) Balance, March 31, 2025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70C0"/>
        </w:rPr>
        <w:t>For the Three Months Ended March 31, 2026</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0"/>
              <w:spacing w:after="0" w:line="149"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Unrealized Gains</w:t>
            </w:r>
          </w:p>
        </w:tc>
        <w:tc>
          <w:tcPr>
            <w:tcW w:w="130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Currency</w:t>
            </w: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(Losses) on Securities</w:t>
            </w:r>
          </w:p>
        </w:tc>
        <w:tc>
          <w:tcPr>
            <w:tcW w:w="100" w:type="dxa"/>
            <w:vAlign w:val="bottom"/>
          </w:tcPr>
          <w:p>
            <w:pPr>
              <w:spacing w:after="0"/>
              <w:rPr>
                <w:sz w:val="12"/>
                <w:szCs w:val="12"/>
                <w:color w:val="auto"/>
              </w:rPr>
            </w:pPr>
          </w:p>
        </w:tc>
        <w:tc>
          <w:tcPr>
            <w:tcW w:w="142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(Losses) on Cash</w:t>
            </w:r>
          </w:p>
        </w:tc>
        <w:tc>
          <w:tcPr>
            <w:tcW w:w="100" w:type="dxa"/>
            <w:vAlign w:val="bottom"/>
          </w:tcPr>
          <w:p>
            <w:pPr>
              <w:spacing w:after="0"/>
              <w:rPr>
                <w:sz w:val="12"/>
                <w:szCs w:val="12"/>
                <w:color w:val="auto"/>
              </w:rPr>
            </w:pPr>
          </w:p>
        </w:tc>
        <w:tc>
          <w:tcPr>
            <w:tcW w:w="1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(Losses) on Pension</w:t>
            </w:r>
          </w:p>
        </w:tc>
        <w:tc>
          <w:tcPr>
            <w:tcW w:w="13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6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Available for Sale, 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Flow Hedges,</w:t>
            </w:r>
          </w:p>
        </w:tc>
        <w:tc>
          <w:tcPr>
            <w:tcW w:w="100" w:type="dxa"/>
            <w:vAlign w:val="bottom"/>
          </w:tcPr>
          <w:p>
            <w:pPr>
              <w:spacing w:after="0"/>
              <w:rPr>
                <w:sz w:val="12"/>
                <w:szCs w:val="12"/>
                <w:color w:val="auto"/>
              </w:rPr>
            </w:pPr>
          </w:p>
        </w:tc>
        <w:tc>
          <w:tcPr>
            <w:tcW w:w="18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Benefit Obligation, Net</w:t>
            </w:r>
          </w:p>
        </w:tc>
        <w:tc>
          <w:tcPr>
            <w:tcW w:w="13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of Tax</w:t>
            </w:r>
          </w:p>
        </w:tc>
        <w:tc>
          <w:tcPr>
            <w:tcW w:w="120" w:type="dxa"/>
            <w:vAlign w:val="bottom"/>
            <w:tcBorders>
              <w:bottom w:val="single" w:sz="8" w:color="DBDBDB"/>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0.2</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(58.9)</w:t>
            </w:r>
          </w:p>
        </w:tc>
        <w:tc>
          <w:tcPr>
            <w:tcW w:w="500" w:type="dxa"/>
            <w:vAlign w:val="bottom"/>
            <w:gridSpan w:val="2"/>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w:t>
            </w:r>
          </w:p>
        </w:tc>
        <w:tc>
          <w:tcPr>
            <w:tcW w:w="120" w:type="dxa"/>
            <w:vAlign w:val="bottom"/>
            <w:shd w:val="clear" w:color="auto" w:fill="DBDBDB"/>
          </w:tcPr>
          <w:p>
            <w:pPr>
              <w:spacing w:after="0"/>
              <w:rPr>
                <w:sz w:val="16"/>
                <w:szCs w:val="16"/>
                <w:color w:val="auto"/>
              </w:rPr>
            </w:pPr>
          </w:p>
        </w:tc>
        <w:tc>
          <w:tcPr>
            <w:tcW w:w="50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(113.9)</w:t>
            </w:r>
          </w:p>
        </w:tc>
        <w:tc>
          <w:tcPr>
            <w:tcW w:w="100" w:type="dxa"/>
            <w:vAlign w:val="bottom"/>
            <w:shd w:val="clear" w:color="auto" w:fill="DBDBDB"/>
          </w:tcPr>
          <w:p>
            <w:pPr>
              <w:spacing w:after="0"/>
              <w:rPr>
                <w:sz w:val="16"/>
                <w:szCs w:val="16"/>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(182.0)</w:t>
            </w:r>
          </w:p>
        </w:tc>
        <w:tc>
          <w:tcPr>
            <w:tcW w:w="0" w:type="dxa"/>
            <w:vAlign w:val="bottom"/>
          </w:tcPr>
          <w:p>
            <w:pPr>
              <w:spacing w:after="0"/>
              <w:rPr>
                <w:sz w:val="1"/>
                <w:szCs w:val="1"/>
                <w:color w:val="auto"/>
              </w:rPr>
            </w:pPr>
          </w:p>
        </w:tc>
      </w:tr>
      <w:tr>
        <w:trPr>
          <w:trHeight w:val="338"/>
        </w:trPr>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w:t>
            </w: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31.9</w:t>
            </w:r>
          </w:p>
        </w:tc>
        <w:tc>
          <w:tcPr>
            <w:tcW w:w="10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00" w:type="dxa"/>
            <w:vAlign w:val="bottom"/>
            <w:shd w:val="clear" w:color="auto" w:fill="DBDBDB"/>
          </w:tcPr>
          <w:p>
            <w:pPr>
              <w:spacing w:after="0"/>
              <w:rPr>
                <w:sz w:val="24"/>
                <w:szCs w:val="24"/>
                <w:color w:val="auto"/>
              </w:rPr>
            </w:pPr>
          </w:p>
        </w:tc>
        <w:tc>
          <w:tcPr>
            <w:tcW w:w="380" w:type="dxa"/>
            <w:vAlign w:val="bottom"/>
            <w:shd w:val="clear" w:color="auto" w:fill="DBDBDB"/>
          </w:tcPr>
          <w:p>
            <w:pPr>
              <w:spacing w:after="0"/>
              <w:rPr>
                <w:sz w:val="24"/>
                <w:szCs w:val="24"/>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21.1</w:t>
            </w:r>
          </w:p>
        </w:tc>
        <w:tc>
          <w:tcPr>
            <w:tcW w:w="0" w:type="dxa"/>
            <w:vAlign w:val="bottom"/>
          </w:tcPr>
          <w:p>
            <w:pPr>
              <w:spacing w:after="0"/>
              <w:rPr>
                <w:sz w:val="1"/>
                <w:szCs w:val="1"/>
                <w:color w:val="auto"/>
              </w:rPr>
            </w:pPr>
          </w:p>
        </w:tc>
      </w:tr>
      <w:tr>
        <w:trPr>
          <w:trHeight w:val="206"/>
        </w:trPr>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20.7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00" w:type="dxa"/>
            <w:vAlign w:val="bottom"/>
            <w:gridSpan w:val="2"/>
            <w:shd w:val="clear" w:color="auto" w:fill="DBDBDB"/>
          </w:tcPr>
          <w:p>
            <w:pPr>
              <w:ind w:left="980"/>
              <w:spacing w:after="0"/>
              <w:rPr>
                <w:sz w:val="20"/>
                <w:szCs w:val="20"/>
                <w:color w:val="auto"/>
              </w:rPr>
            </w:pPr>
            <w:r>
              <w:rPr>
                <w:rFonts w:ascii="Arial" w:cs="Arial" w:eastAsia="Arial" w:hAnsi="Arial"/>
                <w:sz w:val="14"/>
                <w:szCs w:val="14"/>
                <w:color w:val="257ACB"/>
              </w:rPr>
              <w:t>—</w:t>
            </w: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00" w:type="dxa"/>
            <w:vAlign w:val="bottom"/>
            <w:gridSpan w:val="2"/>
            <w:shd w:val="clear" w:color="auto" w:fill="DBDBDB"/>
          </w:tcPr>
          <w:p>
            <w:pPr>
              <w:ind w:left="380"/>
              <w:spacing w:after="0"/>
              <w:rPr>
                <w:sz w:val="20"/>
                <w:szCs w:val="20"/>
                <w:color w:val="auto"/>
              </w:rPr>
            </w:pPr>
            <w:r>
              <w:rPr>
                <w:rFonts w:ascii="Arial" w:cs="Arial" w:eastAsia="Arial" w:hAnsi="Arial"/>
                <w:sz w:val="14"/>
                <w:szCs w:val="14"/>
                <w:color w:val="257ACB"/>
              </w:rPr>
              <w:t>—</w:t>
            </w:r>
          </w:p>
        </w:tc>
        <w:tc>
          <w:tcPr>
            <w:tcW w:w="3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20.7</w:t>
            </w:r>
          </w:p>
        </w:tc>
        <w:tc>
          <w:tcPr>
            <w:tcW w:w="0" w:type="dxa"/>
            <w:vAlign w:val="bottom"/>
          </w:tcPr>
          <w:p>
            <w:pPr>
              <w:spacing w:after="0"/>
              <w:rPr>
                <w:sz w:val="1"/>
                <w:szCs w:val="1"/>
                <w:color w:val="auto"/>
              </w:rPr>
            </w:pPr>
          </w:p>
        </w:tc>
      </w:tr>
      <w:tr>
        <w:trPr>
          <w:trHeight w:val="196"/>
        </w:trPr>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52.6</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50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auto"/>
              <w:bottom w:val="single" w:sz="8" w:color="auto"/>
            </w:tcBorders>
            <w:shd w:val="clear" w:color="auto" w:fill="DBDBDB"/>
          </w:tcPr>
          <w:p>
            <w:pPr>
              <w:spacing w:after="0"/>
              <w:rPr>
                <w:sz w:val="17"/>
                <w:szCs w:val="17"/>
                <w:color w:val="auto"/>
              </w:rPr>
            </w:pPr>
          </w:p>
        </w:tc>
        <w:tc>
          <w:tcPr>
            <w:tcW w:w="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41.8</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(9.9)</w:t>
            </w:r>
          </w:p>
        </w:tc>
        <w:tc>
          <w:tcPr>
            <w:tcW w:w="1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auto"/>
            </w:tcBorders>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(122.4)</w:t>
            </w:r>
          </w:p>
        </w:tc>
        <w:tc>
          <w:tcPr>
            <w:tcW w:w="10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(140.2)</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For the Three Months Ended March 31, 2025</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Unrealized Gains</w:t>
            </w:r>
          </w:p>
        </w:tc>
        <w:tc>
          <w:tcPr>
            <w:tcW w:w="1300" w:type="dxa"/>
            <w:vAlign w:val="bottom"/>
            <w:gridSpan w:val="2"/>
            <w:vMerge w:val="restart"/>
          </w:tcPr>
          <w:p>
            <w:pPr>
              <w:jc w:val="center"/>
              <w:ind w:left="428"/>
              <w:spacing w:after="0"/>
              <w:rPr>
                <w:sz w:val="20"/>
                <w:szCs w:val="20"/>
                <w:color w:val="auto"/>
              </w:rPr>
            </w:pPr>
            <w:r>
              <w:rPr>
                <w:rFonts w:ascii="Arial" w:cs="Arial" w:eastAsia="Arial" w:hAnsi="Arial"/>
                <w:sz w:val="14"/>
                <w:szCs w:val="14"/>
                <w:b w:val="1"/>
                <w:bCs w:val="1"/>
                <w:color w:val="auto"/>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(Losses) on Cash Flow</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(Losses) on Pension</w:t>
            </w:r>
          </w:p>
        </w:tc>
        <w:tc>
          <w:tcPr>
            <w:tcW w:w="13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Benefit Obligation,</w:t>
            </w:r>
          </w:p>
        </w:tc>
        <w:tc>
          <w:tcPr>
            <w:tcW w:w="1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Translation Adjustments,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Total</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rPr>
              <w:t>Net of Tax</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51.6</w:t>
            </w:r>
          </w:p>
        </w:tc>
        <w:tc>
          <w:tcPr>
            <w:tcW w:w="14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96"/>
        </w:trPr>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(6.2)</w:t>
            </w:r>
          </w:p>
        </w:tc>
        <w:tc>
          <w:tcPr>
            <w:tcW w:w="1420" w:type="dxa"/>
            <w:vAlign w:val="bottom"/>
            <w:gridSpan w:val="2"/>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7"/>
                <w:szCs w:val="17"/>
                <w:color w:val="auto"/>
              </w:rPr>
            </w:pP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7"/>
                <w:szCs w:val="17"/>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ectPr>
          <w:pgSz w:w="11900" w:h="16838" w:orient="portrait"/>
          <w:cols w:equalWidth="0" w:num="2">
            <w:col w:w="3580" w:space="120"/>
            <w:col w:w="754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Amounts Reclassified from AOCI</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0"/>
        </w:trPr>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5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18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b w:val="1"/>
                <w:bCs w:val="1"/>
                <w:color w:val="257ACB"/>
              </w:rPr>
              <w:t>2026</w:t>
            </w:r>
          </w:p>
        </w:tc>
        <w:tc>
          <w:tcPr>
            <w:tcW w:w="560" w:type="dxa"/>
            <w:vAlign w:val="bottom"/>
            <w:tcBorders>
              <w:bottom w:val="single" w:sz="8" w:color="auto"/>
            </w:tcBorders>
            <w:shd w:val="clear" w:color="auto" w:fill="DDDDDD"/>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118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257ACB"/>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(24.3)</w:t>
            </w:r>
          </w:p>
        </w:tc>
        <w:tc>
          <w:tcPr>
            <w:tcW w:w="1420" w:type="dxa"/>
            <w:vAlign w:val="bottom"/>
            <w:gridSpan w:val="2"/>
          </w:tcPr>
          <w:p>
            <w:pPr>
              <w:jc w:val="right"/>
              <w:ind w:right="11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0.7</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Operating expense</w:t>
            </w:r>
          </w:p>
        </w:tc>
      </w:t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2.9</w:t>
            </w:r>
          </w:p>
        </w:tc>
        <w:tc>
          <w:tcPr>
            <w:tcW w:w="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20"/>
        </w:trPr>
        <w:tc>
          <w:tcPr>
            <w:tcW w:w="5240" w:type="dxa"/>
            <w:vAlign w:val="bottom"/>
            <w:gridSpan w:val="2"/>
          </w:tcPr>
          <w:p>
            <w:pPr>
              <w:ind w:left="40"/>
              <w:spacing w:after="0"/>
              <w:rPr>
                <w:sz w:val="20"/>
                <w:szCs w:val="20"/>
                <w:color w:val="auto"/>
              </w:rPr>
            </w:pPr>
            <w:r>
              <w:rPr>
                <w:rFonts w:ascii="Arial" w:cs="Arial" w:eastAsia="Arial" w:hAnsi="Arial"/>
                <w:sz w:val="14"/>
                <w:szCs w:val="14"/>
                <w:color w:val="auto"/>
              </w:rPr>
              <w:t>Total reclassifications, net of tax</w:t>
            </w:r>
          </w:p>
        </w:tc>
        <w:tc>
          <w:tcPr>
            <w:tcW w:w="118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257ACB"/>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(20.7)</w:t>
            </w:r>
          </w:p>
        </w:tc>
        <w:tc>
          <w:tcPr>
            <w:tcW w:w="1420" w:type="dxa"/>
            <w:vAlign w:val="bottom"/>
            <w:gridSpan w:val="2"/>
          </w:tcPr>
          <w:p>
            <w:pPr>
              <w:jc w:val="right"/>
              <w:ind w:right="11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14:</w:t>
            </w:r>
          </w:p>
        </w:tc>
        <w:tc>
          <w:tcPr>
            <w:tcW w:w="63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Earnings per Share</w:t>
            </w:r>
          </w:p>
        </w:tc>
        <w:tc>
          <w:tcPr>
            <w:tcW w:w="300" w:type="dxa"/>
            <w:vAlign w:val="bottom"/>
            <w:tcBorders>
              <w:bottom w:val="single" w:sz="8" w:color="0070C0"/>
            </w:tcBorders>
          </w:tcPr>
          <w:p>
            <w:pPr>
              <w:spacing w:after="0"/>
              <w:rPr>
                <w:sz w:val="24"/>
                <w:szCs w:val="24"/>
                <w:color w:val="auto"/>
              </w:rPr>
            </w:pPr>
          </w:p>
        </w:tc>
        <w:tc>
          <w:tcPr>
            <w:tcW w:w="146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88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r>
      <w:tr>
        <w:trPr>
          <w:trHeight w:val="416"/>
        </w:trPr>
        <w:tc>
          <w:tcPr>
            <w:tcW w:w="9380" w:type="dxa"/>
            <w:vAlign w:val="bottom"/>
            <w:gridSpan w:val="5"/>
          </w:tcPr>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i w:val="1"/>
                <w:iCs w:val="1"/>
                <w:color w:val="auto"/>
              </w:rPr>
              <w:t>Numerator:</w:t>
            </w:r>
          </w:p>
        </w:tc>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1"/>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319.5</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240.5</w:t>
            </w:r>
          </w:p>
        </w:tc>
      </w:tr>
      <w:tr>
        <w:trPr>
          <w:trHeight w:val="161"/>
        </w:trPr>
        <w:tc>
          <w:tcPr>
            <w:tcW w:w="1260" w:type="dxa"/>
            <w:vAlign w:val="bottom"/>
          </w:tcPr>
          <w:p>
            <w:pPr>
              <w:ind w:left="20"/>
              <w:spacing w:after="0"/>
              <w:rPr>
                <w:sz w:val="20"/>
                <w:szCs w:val="20"/>
                <w:color w:val="auto"/>
              </w:rPr>
            </w:pPr>
            <w:r>
              <w:rPr>
                <w:rFonts w:ascii="Arial" w:cs="Arial" w:eastAsia="Arial" w:hAnsi="Arial"/>
                <w:sz w:val="14"/>
                <w:szCs w:val="14"/>
                <w:i w:val="1"/>
                <w:iCs w:val="1"/>
                <w:color w:val="auto"/>
              </w:rPr>
              <w:t>Denominator:</w:t>
            </w: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shd w:val="clear" w:color="auto" w:fill="DBDBDB"/>
          </w:tcPr>
          <w:p>
            <w:pPr>
              <w:spacing w:after="0"/>
              <w:rPr>
                <w:sz w:val="14"/>
                <w:szCs w:val="14"/>
                <w:color w:val="auto"/>
              </w:rPr>
            </w:pPr>
          </w:p>
        </w:tc>
        <w:tc>
          <w:tcPr>
            <w:tcW w:w="14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146.1</w:t>
            </w:r>
          </w:p>
        </w:tc>
      </w:tr>
      <w:tr>
        <w:trPr>
          <w:trHeight w:val="203"/>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Effect of dilutive securities: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Time-vested restricted stock units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0.5</w:t>
            </w:r>
          </w:p>
        </w:tc>
      </w:tr>
      <w:tr>
        <w:trPr>
          <w:trHeight w:val="204"/>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Dilutive potential common shares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0.5</w:t>
            </w:r>
          </w:p>
        </w:tc>
      </w:tr>
      <w:tr>
        <w:trPr>
          <w:trHeight w:val="220"/>
        </w:trPr>
        <w:tc>
          <w:tcPr>
            <w:tcW w:w="7620" w:type="dxa"/>
            <w:vAlign w:val="bottom"/>
            <w:gridSpan w:val="3"/>
          </w:tcPr>
          <w:p>
            <w:pPr>
              <w:ind w:left="220"/>
              <w:spacing w:after="0"/>
              <w:rPr>
                <w:sz w:val="20"/>
                <w:szCs w:val="20"/>
                <w:color w:val="auto"/>
              </w:rPr>
            </w:pPr>
            <w:r>
              <w:rPr>
                <w:rFonts w:ascii="Arial" w:cs="Arial" w:eastAsia="Arial" w:hAnsi="Arial"/>
                <w:sz w:val="14"/>
                <w:szCs w:val="14"/>
                <w:color w:val="auto"/>
              </w:rPr>
              <w:t>Shares used in calculating diluted earnings per share</w:t>
            </w:r>
          </w:p>
        </w:tc>
        <w:tc>
          <w:tcPr>
            <w:tcW w:w="3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148.4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146.6</w:t>
            </w:r>
          </w:p>
        </w:tc>
      </w:tr>
      <w:tr>
        <w:trPr>
          <w:trHeight w:val="20"/>
        </w:trPr>
        <w:tc>
          <w:tcPr>
            <w:tcW w:w="12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96925"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34.8</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r>
      <w:tr>
        <w:trPr>
          <w:trHeight w:val="194"/>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84.1</w:t>
            </w: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195"/>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81.0</w:t>
            </w:r>
          </w:p>
        </w:tc>
      </w:tr>
      <w:tr>
        <w:trPr>
          <w:trHeight w:val="206"/>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r>
      <w:tr>
        <w:trPr>
          <w:trHeight w:val="22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67.5</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70.9</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66.1</w:t>
            </w: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4"/>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Stock options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94"/>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0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84.1</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2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84.0</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81.0</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Tax Rate</w:t>
      </w:r>
    </w:p>
    <w:p>
      <w:pPr>
        <w:spacing w:after="0" w:line="1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months ended March 31, 2026 and 2025, our effective tax rate was 15.4% and 22.7%, respectively. The decrease in our effective tax rate was partially driven by favorable impacts of a current year settlement of a foreign tax audit and the vesting of certain share based awards, partially offset by the higher rate of tax on NCTI due to the OBBBA enactment.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Accounting for Uncertainty in Income Taxes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2022 or state, local or non-U.S. income tax examinations for years before 2013.</w:t>
      </w:r>
    </w:p>
    <w:p>
      <w:pPr>
        <w:spacing w:after="0" w:line="63"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4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our consolidated financial statements included in our 2025 Form 10-K.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17:</w:t>
            </w:r>
          </w:p>
        </w:tc>
        <w:tc>
          <w:tcPr>
            <w:tcW w:w="63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Other Consolidated Financial Statement Detail</w:t>
            </w:r>
          </w:p>
        </w:tc>
        <w:tc>
          <w:tcPr>
            <w:tcW w:w="300" w:type="dxa"/>
            <w:vAlign w:val="bottom"/>
            <w:tcBorders>
              <w:bottom w:val="single" w:sz="8" w:color="0070C0"/>
            </w:tcBorders>
          </w:tcPr>
          <w:p>
            <w:pPr>
              <w:spacing w:after="0"/>
              <w:rPr>
                <w:sz w:val="24"/>
                <w:szCs w:val="24"/>
                <w:color w:val="auto"/>
              </w:rPr>
            </w:pPr>
          </w:p>
        </w:tc>
        <w:tc>
          <w:tcPr>
            <w:tcW w:w="146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88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7620" w:type="dxa"/>
            <w:vAlign w:val="bottom"/>
            <w:gridSpan w:val="3"/>
          </w:tcPr>
          <w:p>
            <w:pPr>
              <w:spacing w:after="0"/>
              <w:rPr>
                <w:sz w:val="20"/>
                <w:szCs w:val="20"/>
                <w:color w:val="auto"/>
              </w:rPr>
            </w:pPr>
            <w:r>
              <w:rPr>
                <w:rFonts w:ascii="Arial" w:cs="Arial" w:eastAsia="Arial" w:hAnsi="Arial"/>
                <w:sz w:val="20"/>
                <w:szCs w:val="20"/>
                <w:b w:val="1"/>
                <w:bCs w:val="1"/>
                <w:color w:val="2573BA"/>
              </w:rPr>
              <w:t>Other (Income) Expense, Net</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21"/>
        </w:trPr>
        <w:tc>
          <w:tcPr>
            <w:tcW w:w="7620" w:type="dxa"/>
            <w:vAlign w:val="bottom"/>
            <w:gridSpan w:val="3"/>
          </w:tcPr>
          <w:p>
            <w:pPr>
              <w:spacing w:after="0"/>
              <w:rPr>
                <w:sz w:val="20"/>
                <w:szCs w:val="20"/>
                <w:color w:val="auto"/>
              </w:rPr>
            </w:pPr>
            <w:r>
              <w:rPr>
                <w:rFonts w:ascii="Arial" w:cs="Arial" w:eastAsia="Arial" w:hAnsi="Arial"/>
                <w:sz w:val="18"/>
                <w:szCs w:val="18"/>
                <w:color w:val="auto"/>
              </w:rPr>
              <w:t>Components of other (income) expense, net, are summarized as follows:</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12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(37.9)</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(23.9)</w:t>
            </w: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60.0</w:t>
            </w:r>
          </w:p>
        </w:tc>
      </w:tr>
      <w:tr>
        <w:trPr>
          <w:trHeight w:val="203"/>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(Gains) losses on investments, net</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35.6</w:t>
            </w:r>
          </w:p>
        </w:tc>
      </w:tr>
      <w:tr>
        <w:trPr>
          <w:trHeight w:val="203"/>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Litigation related expense</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r>
      <w:tr>
        <w:trPr>
          <w:trHeight w:val="203"/>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Foreign exchange (gains) losses, net</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r>
      <w:tr>
        <w:trPr>
          <w:trHeight w:val="207"/>
        </w:trPr>
        <w:tc>
          <w:tcPr>
            <w:tcW w:w="12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w:t>
            </w:r>
          </w:p>
        </w:tc>
      </w:tr>
      <w:tr>
        <w:trPr>
          <w:trHeight w:val="220"/>
        </w:trPr>
        <w:tc>
          <w:tcPr>
            <w:tcW w:w="7620" w:type="dxa"/>
            <w:vAlign w:val="bottom"/>
            <w:gridSpan w:val="3"/>
          </w:tcPr>
          <w:p>
            <w:pPr>
              <w:ind w:left="240"/>
              <w:spacing w:after="0"/>
              <w:rPr>
                <w:sz w:val="20"/>
                <w:szCs w:val="20"/>
                <w:color w:val="auto"/>
              </w:rPr>
            </w:pPr>
            <w:r>
              <w:rPr>
                <w:rFonts w:ascii="Arial" w:cs="Arial" w:eastAsia="Arial" w:hAnsi="Arial"/>
                <w:sz w:val="14"/>
                <w:szCs w:val="14"/>
                <w:color w:val="auto"/>
              </w:rPr>
              <w:t>Total other (income) expense, net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19.7</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68.4</w:t>
            </w:r>
          </w:p>
        </w:tc>
      </w:tr>
      <w:tr>
        <w:trPr>
          <w:trHeight w:val="20"/>
        </w:trPr>
        <w:tc>
          <w:tcPr>
            <w:tcW w:w="12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 to our equity securities held during the following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(22.3)</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2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net unrealized gains recognized during the three months ended March 31, 2026, primarily reflect an increase in the aggregate fair value of our investment in Denali common stock of approximately $19.2 million.</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net unrealized losses recognized during the three months ended March 31, 2025, primarily reflect a decrease in the aggregate fair value of our investment in Denali common stock of approximately $48.5 million, partially offset by an increase in the fair value of Sage common stock of approximately $15.7 million, which was later disposed of during the third quarter of 2025.</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Current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includes prepaid taxes of $661.6 million and $693.6 million as of March 31, 2026 and December 31, 2025,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Accrued Expense and Other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2025</w:t>
            </w:r>
          </w:p>
        </w:tc>
      </w:tr>
      <w:tr>
        <w:trPr>
          <w:trHeight w:val="18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Revenue-related reserves for discounts and allowances</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961.1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1,000.4</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Employee compensation and benefits</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192.5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375.8</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Collaboration expense</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280.0</w:t>
            </w: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Royalties and licensing fees</w:t>
            </w:r>
          </w:p>
        </w:tc>
        <w:tc>
          <w:tcPr>
            <w:tcW w:w="22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308.5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302.4</w:t>
            </w:r>
          </w:p>
        </w:tc>
      </w:tr>
      <w:tr>
        <w:trPr>
          <w:trHeight w:val="207"/>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DBDBDB"/>
          </w:tcPr>
          <w:p>
            <w:pPr>
              <w:spacing w:after="0"/>
              <w:rPr>
                <w:sz w:val="17"/>
                <w:szCs w:val="17"/>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731.2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844.0</w:t>
            </w:r>
          </w:p>
        </w:tc>
      </w:tr>
      <w:tr>
        <w:trPr>
          <w:trHeight w:val="220"/>
        </w:trPr>
        <w:tc>
          <w:tcPr>
            <w:tcW w:w="6780" w:type="dxa"/>
            <w:vAlign w:val="bottom"/>
            <w:gridSpan w:val="2"/>
          </w:tcPr>
          <w:p>
            <w:pPr>
              <w:ind w:left="240"/>
              <w:spacing w:after="0"/>
              <w:rPr>
                <w:sz w:val="20"/>
                <w:szCs w:val="20"/>
                <w:color w:val="auto"/>
              </w:rPr>
            </w:pPr>
            <w:r>
              <w:rPr>
                <w:rFonts w:ascii="Arial" w:cs="Arial" w:eastAsia="Arial" w:hAnsi="Arial"/>
                <w:sz w:val="14"/>
                <w:szCs w:val="14"/>
                <w:color w:val="auto"/>
              </w:rPr>
              <w:t>Total accrued expense and other</w:t>
            </w:r>
          </w:p>
        </w:tc>
        <w:tc>
          <w:tcPr>
            <w:tcW w:w="2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26DCE"/>
                <w:w w:val="76"/>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2,546.8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2,802.6</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Other long-term liabilities were $787.1 million and $748.5 million as of March 31, 2026 and December 31, 2025, respectively, and included accrued income taxes totaling $174.2 million and $166.4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18:</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follicular lymphoma and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 For purposes of this footnote, we refer to RITUXAN and RITUXAN HYCELA collectively as RITUXAN.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of RITUXAN in the U.S., as summarized in the table below. Genentech and its affiliates are responsible for the worldwide manufacture of RITUXAN as well as all development and commercialization activities as follows:</w:t>
      </w:r>
    </w:p>
    <w:p>
      <w:pPr>
        <w:spacing w:after="0" w:line="22" w:lineRule="exact"/>
        <w:rPr>
          <w:sz w:val="20"/>
          <w:szCs w:val="20"/>
          <w:color w:val="auto"/>
        </w:rPr>
      </w:pPr>
    </w:p>
    <w:p>
      <w:pPr>
        <w:ind w:left="420" w:hanging="250"/>
        <w:spacing w:after="0"/>
        <w:tabs>
          <w:tab w:leader="none" w:pos="420" w:val="left"/>
        </w:tabs>
        <w:numPr>
          <w:ilvl w:val="0"/>
          <w:numId w:val="12"/>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67" w:lineRule="exact"/>
        <w:rPr>
          <w:rFonts w:ascii="Arial" w:cs="Arial" w:eastAsia="Arial" w:hAnsi="Arial"/>
          <w:sz w:val="20"/>
          <w:szCs w:val="20"/>
          <w:i w:val="1"/>
          <w:iCs w:val="1"/>
          <w:color w:val="0070C0"/>
        </w:rPr>
      </w:pPr>
    </w:p>
    <w:p>
      <w:pPr>
        <w:ind w:left="420" w:hanging="250"/>
        <w:spacing w:after="0"/>
        <w:tabs>
          <w:tab w:leader="none" w:pos="420" w:val="left"/>
        </w:tabs>
        <w:numPr>
          <w:ilvl w:val="0"/>
          <w:numId w:val="12"/>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1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Roche Group and its sub-licensees maintain sole responsibility for the development, manufacture and commercialization of GAZYVA and we are entitled to a tiered share of co-promotion operating profits and losses of GAZYVA in the U.S. The level of gross sales of GAZYVA in the U.S. has impacted our percentage of the co-promotion profits for RITUXAN and LUNSUMIO, as summarized in the table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upon the first entry of an FDA-approved biosimilar to OCREVUS.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OCREVUS and funding future costs. Genentech cannot develop OCREVUS in CLL, non-Hodgkin's lymphoma or rheumatoid arthritis.</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w:t>
      </w:r>
    </w:p>
    <w:p>
      <w:pPr>
        <w:spacing w:after="0" w:line="115"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in the U.S., as summarized in the table below. In addition, we receive low-single digit royalties on sales of LUNSUMIO outside the U.S.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Genentech has sole decision-making rights on the commercialization of COLUMVI within the U.S. and we receive tiered royalties in the mid-single digit range on net sales of COLUMVI in the U.S. The commercialization of COLUMVI does not impact the percentage of the co-promotion profits we receive for RITUXAN, LUNSUMIO or GAZYVA.</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$50.0 million of combined co-promotion operating profits earned each calendar year. Our share of the combined annual co-promotion profits for RITUXAN and LUNSUMIO in excess of $50.0 million varies upon the following events, as summarized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 March 2023 the First Threshold Date was achieved when U.S. gross sales of GAZYVA within a consecutive 12-month period reached $500.0 million. As a result, beginning in April 2023 the pre-tax profit share for RITUXAN and LUNSUMIO has been 35.0%. The Second Threshold Date would be achieved on the first date in any calendar year in which U.S. gross sales of LUNSUMIO have reached $350.0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current pre-tax profit-sharing formula for GAZYVA provides for a 35.0% share of operating profits earned in the U.S. in each calendar year.</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Ionis Pharmaceuticals,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2017 SMA Collaboration Agreement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options to license therapies arising out of this collaboration and will be responsible for the development and commercialization of such therapies.</w:t>
      </w:r>
    </w:p>
    <w:p>
      <w:pPr>
        <w:spacing w:after="0" w:line="6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salanersen (BIIB115), an investigational ASO in development for SMA.</w:t>
      </w:r>
    </w:p>
    <w:p>
      <w:pPr>
        <w:spacing w:after="0" w:line="45"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We may pay Ionis up to $155.0 million in additional development and regulatory milestone payments related to salanersen, including a $45.0 million milestone payment due upon the initiation of a Phase 3 trial. Upon commercialization, we may also pay Ionis up to</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$400.0 million in additional performance-based milestone payments and tiered royalties on potential net sales of such therapies ranging from the mid-teens to high-twenties percentages.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Eisai Co., Ltd.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LEQEMBI (lecanemab) Collaboration</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FDA granted traditional approval of LEQEMBI in July 2023. Prior to receiving traditional approval, LEQEMBI had been granted accelerated approval by the FDA in January 2023, at which time it became commercially available in the U.S. Outside of the U.S., LEQEMBI is now approved in the E.U. (April 2025), Australia (September 2025), China (January 2024), Japan (September 2023) and other international markets. LEQEMBI monthly IV maintenance dosing for the treatment of early Alzheimer's disease was approved in the U.S. and China in January 2025 and September 2025, respectively, and LEQEMBI subcutaneous autoinjector (IQLIK) for weekly maintenance dosing was approved in the U.S. in August 2025.</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The LEQEMBI Collaboration Agreement provides that each commercialization plan shall allocate the responsibilities for the activities under the plan in an equitable fashion taking into account Biogen's and Eisai's respective capabilities and provides a meaningful role for each party.</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Upon commercialization of LEQEMBI in the U.S., we began recognizing our 50.0% share of LEQEMBI product revenue, net and cost of sales, including royalties, within Alzheimer's collaboration revenue in our condensed consolidated statements of income, as we are not the principal.</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share of LEQEMBI sales and marketing expense and development expense are recorded within selling, general and administrative expense and research and development expense, respectively, within our condensed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7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17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-7620</wp:posOffset>
            </wp:positionV>
            <wp:extent cx="1114425" cy="694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4425" cy="6940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4"/>
          <w:szCs w:val="14"/>
          <w:color w:val="auto"/>
        </w:rPr>
        <w:t>Total development expense incurred by the collaboration related to the advancement of LEQEMBI</w:t>
      </w:r>
      <w:r>
        <w:rPr>
          <w:sz w:val="20"/>
          <w:szCs w:val="20"/>
          <w:color w:val="auto"/>
        </w:rPr>
        <w:tab/>
      </w:r>
      <w:r>
        <w:rPr>
          <w:rFonts w:ascii="Arial" w:cs="Arial" w:eastAsia="Arial" w:hAnsi="Arial"/>
          <w:sz w:val="14"/>
          <w:szCs w:val="14"/>
          <w:color w:val="257ACB"/>
        </w:rPr>
        <w:t>$</w:t>
      </w:r>
    </w:p>
    <w:p>
      <w:pPr>
        <w:spacing w:after="0" w:line="42" w:lineRule="exact"/>
        <w:rPr>
          <w:sz w:val="20"/>
          <w:szCs w:val="20"/>
          <w:color w:val="auto"/>
        </w:rPr>
      </w:pPr>
    </w:p>
    <w:p>
      <w:pPr>
        <w:ind w:left="20" w:right="780"/>
        <w:spacing w:after="0" w:line="252" w:lineRule="auto"/>
        <w:rPr>
          <w:sz w:val="20"/>
          <w:szCs w:val="20"/>
          <w:color w:val="auto"/>
        </w:rPr>
      </w:pPr>
      <w:r>
        <w:rPr>
          <w:rFonts w:ascii="Arial" w:cs="Arial" w:eastAsia="Arial" w:hAnsi="Arial"/>
          <w:sz w:val="14"/>
          <w:szCs w:val="14"/>
          <w:color w:val="auto"/>
        </w:rPr>
        <w:t>Biogen's share of the LEQEMBI Collaboration development expense reflected in research and development expense in our condensed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 general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administrative expense in our condensed consolidated statements of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spacing w:after="0"/>
              <w:rPr>
                <w:sz w:val="20"/>
                <w:szCs w:val="20"/>
                <w:color w:val="auto"/>
              </w:rPr>
            </w:pPr>
            <w:r>
              <w:rPr>
                <w:rFonts w:ascii="Arial" w:cs="Arial" w:eastAsia="Arial" w:hAnsi="Arial"/>
                <w:sz w:val="14"/>
                <w:szCs w:val="14"/>
                <w:color w:val="257ACB"/>
              </w:rPr>
              <w:t>69.3</w:t>
            </w:r>
          </w:p>
        </w:tc>
        <w:tc>
          <w:tcPr>
            <w:tcW w:w="8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338"/>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34.6</w:t>
            </w: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02"/>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w w:val="96"/>
              </w:rPr>
              <w:t>169.5</w:t>
            </w:r>
          </w:p>
        </w:tc>
        <w:tc>
          <w:tcPr>
            <w:tcW w:w="8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177.7</w:t>
            </w:r>
          </w:p>
        </w:tc>
      </w:tr>
      <w:tr>
        <w:trPr>
          <w:trHeight w:val="346"/>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84.7</w:t>
            </w: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88.8</w:t>
            </w:r>
          </w:p>
        </w:tc>
      </w:tr>
    </w:tbl>
    <w:p>
      <w:pPr>
        <w:spacing w:after="0" w:line="184" w:lineRule="exact"/>
        <w:rPr>
          <w:sz w:val="20"/>
          <w:szCs w:val="20"/>
          <w:color w:val="auto"/>
        </w:rPr>
      </w:pPr>
    </w:p>
    <w:p>
      <w:pPr>
        <w:sectPr>
          <w:pgSz w:w="11900" w:h="16838" w:orient="portrait"/>
          <w:cols w:equalWidth="0" w:num="2">
            <w:col w:w="8240" w:space="720"/>
            <w:col w:w="2280"/>
          </w:cols>
          <w:pgMar w:left="320" w:top="130" w:right="33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Amounts receivable from Eisai related to the agreements discussed above were approximately $ 7.0 million and $90.2 million as of March 31, 2026 and December 31, 2025, respectively. Amounts payable to Eisai related to the agreements discussed above were approximately $85.4 million and $95.5 million as of March 31, 2026 and December 31, 2025, respectively.</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2025 Form 10-K.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UCB</w:t>
      </w:r>
    </w:p>
    <w:p>
      <w:pPr>
        <w:spacing w:after="0" w:line="12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right w:val="single" w:sz="8" w:color="DDDDDD"/>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29.4</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61"/>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Biogen's share of the UCB collaboration development expense reflected in research and development expense in our</w:t>
            </w:r>
          </w:p>
        </w:tc>
        <w:tc>
          <w:tcPr>
            <w:tcW w:w="300" w:type="dxa"/>
            <w:vAlign w:val="bottom"/>
            <w:shd w:val="clear" w:color="auto" w:fill="DBDBDB"/>
          </w:tcPr>
          <w:p>
            <w:pPr>
              <w:spacing w:after="0"/>
              <w:rPr>
                <w:sz w:val="13"/>
                <w:szCs w:val="13"/>
                <w:color w:val="auto"/>
              </w:rPr>
            </w:pPr>
          </w:p>
        </w:tc>
        <w:tc>
          <w:tcPr>
            <w:tcW w:w="146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14.7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condensed consolidated statements of income</w:t>
            </w:r>
          </w:p>
        </w:tc>
        <w:tc>
          <w:tcPr>
            <w:tcW w:w="300" w:type="dxa"/>
            <w:vAlign w:val="bottom"/>
            <w:shd w:val="clear" w:color="auto" w:fill="DBDBDB"/>
          </w:tcPr>
          <w:p>
            <w:pPr>
              <w:spacing w:after="0"/>
              <w:rPr>
                <w:sz w:val="16"/>
                <w:szCs w:val="16"/>
                <w:color w:val="auto"/>
              </w:rPr>
            </w:pPr>
          </w:p>
        </w:tc>
        <w:tc>
          <w:tcPr>
            <w:tcW w:w="146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Supernus Pharmaceuticals, Inc. (previously Sage Therapeutics, Inc.)</w:t>
      </w:r>
    </w:p>
    <w:p>
      <w:pPr>
        <w:spacing w:after="0" w:line="11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treatment of PPD. In July 2025 Sage was acquired by Supernus. ZURZUVAE was approved in the U.S. in August 2023 and in the E.U. in September 2025.</w:t>
      </w:r>
    </w:p>
    <w:p>
      <w:pPr>
        <w:spacing w:after="0" w:line="63"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Supernus potential tiered royalties in the high-teens to low-twenties percentages.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share 50.0% of the net collaboration results in the U.S. with Supernus, which are recognized in collaboration profit sharing/(loss reimbursement) in our condensed consolidated statements of income. For the three months ended March 31, 2026 and 2025, we recognized net profit-sharing expense of approximately $17.0 million and $10.1 million, respectively, to reflect Supernus' 50.0% share of the net collaboration results in the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Supernus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right w:val="single" w:sz="8" w:color="DBDBDB"/>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Total Supernus collaboration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7"/>
        </w:trPr>
        <w:tc>
          <w:tcPr>
            <w:tcW w:w="76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Supernus collaboration development expense reflected in research and development expense</w:t>
            </w:r>
          </w:p>
        </w:tc>
        <w:tc>
          <w:tcPr>
            <w:tcW w:w="300" w:type="dxa"/>
            <w:vAlign w:val="bottom"/>
            <w:shd w:val="clear" w:color="auto" w:fill="DBDBDB"/>
          </w:tcPr>
          <w:p>
            <w:pPr>
              <w:spacing w:after="0"/>
              <w:rPr>
                <w:sz w:val="13"/>
                <w:szCs w:val="13"/>
                <w:color w:val="auto"/>
              </w:rPr>
            </w:pPr>
          </w:p>
        </w:tc>
        <w:tc>
          <w:tcPr>
            <w:tcW w:w="146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300" w:type="dxa"/>
            <w:vAlign w:val="bottom"/>
            <w:shd w:val="clear" w:color="auto" w:fill="DBDBDB"/>
          </w:tcPr>
          <w:p>
            <w:pPr>
              <w:spacing w:after="0"/>
              <w:rPr>
                <w:sz w:val="16"/>
                <w:szCs w:val="16"/>
                <w:color w:val="auto"/>
              </w:rPr>
            </w:pPr>
          </w:p>
        </w:tc>
        <w:tc>
          <w:tcPr>
            <w:tcW w:w="146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Supernus collaboration</w:t>
            </w:r>
          </w:p>
        </w:tc>
        <w:tc>
          <w:tcPr>
            <w:tcW w:w="300" w:type="dxa"/>
            <w:vAlign w:val="bottom"/>
            <w:shd w:val="clear" w:color="auto" w:fill="DBDBDB"/>
          </w:tcPr>
          <w:p>
            <w:pPr>
              <w:spacing w:after="0"/>
              <w:rPr>
                <w:sz w:val="16"/>
                <w:szCs w:val="16"/>
                <w:color w:val="auto"/>
              </w:rPr>
            </w:pPr>
          </w:p>
        </w:tc>
        <w:tc>
          <w:tcPr>
            <w:tcW w:w="14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47.5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57"/>
        </w:trPr>
        <w:tc>
          <w:tcPr>
            <w:tcW w:w="76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Supernus collaboration sales and marketing expense reflected in selling, general and</w:t>
            </w:r>
          </w:p>
        </w:tc>
        <w:tc>
          <w:tcPr>
            <w:tcW w:w="300" w:type="dxa"/>
            <w:vAlign w:val="bottom"/>
            <w:shd w:val="clear" w:color="auto" w:fill="DBDBDB"/>
          </w:tcPr>
          <w:p>
            <w:pPr>
              <w:spacing w:after="0"/>
              <w:rPr>
                <w:sz w:val="13"/>
                <w:szCs w:val="13"/>
                <w:color w:val="auto"/>
              </w:rPr>
            </w:pPr>
          </w:p>
        </w:tc>
        <w:tc>
          <w:tcPr>
            <w:tcW w:w="1460" w:type="dxa"/>
            <w:vAlign w:val="bottom"/>
            <w:tcBorders>
              <w:right w:val="single" w:sz="8" w:color="DBDBDB"/>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62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administrative expense and collaboration profit sharing/(loss reimbursement) in our condensed consolidated</w:t>
            </w:r>
          </w:p>
        </w:tc>
        <w:tc>
          <w:tcPr>
            <w:tcW w:w="300" w:type="dxa"/>
            <w:vAlign w:val="bottom"/>
            <w:shd w:val="clear" w:color="auto" w:fill="DBDBDB"/>
          </w:tcPr>
          <w:p>
            <w:pPr>
              <w:spacing w:after="0"/>
              <w:rPr>
                <w:sz w:val="12"/>
                <w:szCs w:val="12"/>
                <w:color w:val="auto"/>
              </w:rPr>
            </w:pPr>
          </w:p>
        </w:tc>
        <w:tc>
          <w:tcPr>
            <w:tcW w:w="146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257ACB"/>
              </w:rPr>
              <w:t>23.7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98"/>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statements of income</w:t>
            </w:r>
          </w:p>
        </w:tc>
        <w:tc>
          <w:tcPr>
            <w:tcW w:w="300" w:type="dxa"/>
            <w:vAlign w:val="bottom"/>
            <w:shd w:val="clear" w:color="auto" w:fill="DBDBDB"/>
          </w:tcPr>
          <w:p>
            <w:pPr>
              <w:spacing w:after="0"/>
              <w:rPr>
                <w:sz w:val="17"/>
                <w:szCs w:val="17"/>
                <w:color w:val="auto"/>
              </w:rPr>
            </w:pPr>
          </w:p>
        </w:tc>
        <w:tc>
          <w:tcPr>
            <w:tcW w:w="146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Denali Therapeutics Inc.</w:t>
      </w:r>
    </w:p>
    <w:p>
      <w:pPr>
        <w:spacing w:after="0" w:line="12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BIIB122, a small molecule inhibitor of LRRK2 for Parkinson's disease (LRRK2 Collaboration).</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right w:val="single" w:sz="8" w:color="DBDBDB"/>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26DCE"/>
              </w:rPr>
              <w:t>$</w:t>
            </w:r>
          </w:p>
        </w:tc>
        <w:tc>
          <w:tcPr>
            <w:tcW w:w="14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10.3</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1"/>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Biogen's share of the Denali collaboration development expense reflected in research and development expense in</w:t>
            </w:r>
          </w:p>
        </w:tc>
        <w:tc>
          <w:tcPr>
            <w:tcW w:w="300" w:type="dxa"/>
            <w:vAlign w:val="bottom"/>
            <w:shd w:val="clear" w:color="auto" w:fill="DBDBDB"/>
          </w:tcPr>
          <w:p>
            <w:pPr>
              <w:spacing w:after="0"/>
              <w:rPr>
                <w:sz w:val="13"/>
                <w:szCs w:val="13"/>
                <w:color w:val="auto"/>
              </w:rPr>
            </w:pPr>
          </w:p>
        </w:tc>
        <w:tc>
          <w:tcPr>
            <w:tcW w:w="146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6.2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5"/>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our condensed consolidated statements of income</w:t>
            </w:r>
          </w:p>
        </w:tc>
        <w:tc>
          <w:tcPr>
            <w:tcW w:w="300" w:type="dxa"/>
            <w:vAlign w:val="bottom"/>
            <w:shd w:val="clear" w:color="auto" w:fill="DBDBDB"/>
          </w:tcPr>
          <w:p>
            <w:pPr>
              <w:spacing w:after="0"/>
              <w:rPr>
                <w:sz w:val="16"/>
                <w:szCs w:val="16"/>
                <w:color w:val="auto"/>
              </w:rPr>
            </w:pPr>
          </w:p>
        </w:tc>
        <w:tc>
          <w:tcPr>
            <w:tcW w:w="146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Stoke Therapeutics, Inc.</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 Both companies will share responsibility for external clinical development costs, where Stoke is responsible for 70.0% of these development costs and we are responsible for the remaining 30.0% of these development costs.</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closing of this transaction we made an upfront payment of $165.0 million to Stoke, which was recognized in acquired in-process research and development, upfront and milestone expense within our condensed consolidated statements of income for the three months ended March 31, 2025. We may also pay Stoke potential development and commercial milestone payments of up to $50.0 million and $ 335.0 million, respectively, if all the specified milestones set forth in this collaboration are achieved. In addition, we may pay Stoke tiered royalties on potential net sales of any products developed under this collaboration in the low-double digit to high-teen percentages.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also have an exclusive option to license certain future follow-on ASO products targeting the SCN1A gene in all territories worldwide other than the U.S., Canada and Mexico, in exchange for separate milestone, cost sharing and royalty considerations.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Stoke collaboration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9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Stoke collaboration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26DCE"/>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12.2</w:t>
            </w: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Biogen's share of the Stoke collaboration development expense reflected in research and development expense in</w:t>
            </w:r>
          </w:p>
        </w:tc>
        <w:tc>
          <w:tcPr>
            <w:tcW w:w="300" w:type="dxa"/>
            <w:vAlign w:val="bottom"/>
            <w:shd w:val="clear" w:color="auto" w:fill="DBDBDB"/>
          </w:tcPr>
          <w:p>
            <w:pPr>
              <w:spacing w:after="0"/>
              <w:rPr>
                <w:sz w:val="13"/>
                <w:szCs w:val="13"/>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our condensed consolidated statements of income</w:t>
            </w:r>
          </w:p>
        </w:tc>
        <w:tc>
          <w:tcPr>
            <w:tcW w:w="300" w:type="dxa"/>
            <w:vAlign w:val="bottom"/>
            <w:shd w:val="clear" w:color="auto" w:fill="DBDBDB"/>
          </w:tcPr>
          <w:p>
            <w:pPr>
              <w:spacing w:after="0"/>
              <w:rPr>
                <w:sz w:val="16"/>
                <w:szCs w:val="16"/>
                <w:color w:val="auto"/>
              </w:rPr>
            </w:pPr>
          </w:p>
        </w:tc>
        <w:tc>
          <w:tcPr>
            <w:tcW w:w="1460" w:type="dxa"/>
            <w:vAlign w:val="bottom"/>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2019 Development and Commercialization Agreement</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spacing w:after="0" w:line="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The transfer of commercialization rights for BYOOVIZ and OPUVIZ in the U.S. and Canada back to Samsung Bioepis was completed as of December 31, 2025.</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October 2025 we completed the sale of our remaining commercial rights to BYOOVIZ and OPUVIZ in Europe. Samsung Bioepis will have full responsibility for commercialization of BYOOVIZ upon the transfer of commercial rights from Biogen back to Samsung Bioepis, which became effective as of January 2026.</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reflected revenue on sales of BYOOVIZ to third parties in product revenue, net in our condensed consolidated statements of income and recorded the related cost of revenue and sales and marketing expense in our condensed consolidated statements of income to their respective line items when these costs are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2013 Commercial Agreement</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three anti-TNF biosimilar product candidates which includes IMRALDI, an adalimumab biosimilar referencing HUMIRA, FLIXABI, an infliximab biosimilar referencing REMICADE, and BENEPALI, an etanercept biosimilar referencing ENBREL, in Europe. In July 2024 we exercised an option to extend this agreement by an additional five years.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 Royalty payments to AbbVie on sales of IMRALDI are recognized in cost of sales within our condensed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share 50.0% of the profit or loss related to our 2013 commercial agreement with Samsung Bioepis, which is recognized in collaboration profit sharing/(loss reimbursement) in our condensed consolidated statements of income. For the three months ended March 31, 2026 and 2025, we recognized net profit-sharing expense of approximately $57.2 million and $48.0 million, respectively, to reflect Samsung Bioepis' 50.0% sharing of the net collaboration profits.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Services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single-digit royalties on biosimilar products developed and commercialized by Samsung Bioepis. Royalty revenue under the license agreement is recognized as a component of contract manufacturing, royalty and other revenue in our condensed consolidated statements of income.</w:t>
      </w:r>
    </w:p>
    <w:p>
      <w:pPr>
        <w:spacing w:after="0" w:line="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Amounts receivable from Samsung Bioepis related to the agreements discussed above were approximately $4.7 million and $4.4 million as of March 31, 2026 and December 31, 2025, respectively. Amounts payable to Samsung Bioepis related to the agreements discussed above were approximately $154.4 million and $42.7 million as of March 31, 2026 and December 31, 2025, respectively.</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2025 Form 10-K.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 and Funding Arrangements</w:t>
      </w:r>
    </w:p>
    <w:p>
      <w:pPr>
        <w:spacing w:after="0" w:line="12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Other</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months ended March 31, 2026 and 2025, we recorded approximately $34.0 million and less than $1.0 million, respectively, as acquired in-process research and development, upfront and milestone expense in our condensed consolidated statements of income related to other research and discovery related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Pharma Funding Arrangement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2025 we entered into a funding agreement with Royalty Pharma under which we received $200.0 million in 2025 and</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$50.0 million in 2026 to co-fund our development costs for the litifilimab program. As there is a substantive transfer of risk to the financial partner for the amount invested, the development funding will be recognized by us as an obligation to perform contractual services. This funding is being recognized as a reduction to research and development expense within our condensed consolidated statements of income, proportionate to the related expense. For the three months ended March 31, 2026 and 2025, we received $25.0 million and $50.0 million, respectively, from Royalty Pharma, which we recorded as reductions to research and development expense within our condensed consolidated statements of income. The final payment related to the funding agreement of $25.0 million was received in April 2026.</w:t>
      </w:r>
    </w:p>
    <w:p>
      <w:pPr>
        <w:spacing w:after="0" w:line="7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w:t>
      </w:r>
    </w:p>
    <w:p>
      <w:pPr>
        <w:spacing w:after="0" w:line="2"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$250.0 million. The milestone payments due upon approval will be recorded as a component of other (income) expense, net within our condensed consolidated statements of income, when incurred.</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litifilimab receives regulatory approval, Royalty Pharma will be eligible to receive royalties of a mid-single digit percentage of the applicable net sales. Royalties on net sales will be recorded as cost of sales within our condensed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MorphoSys AG</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our acquisition of HI-Bio in July 2024, we acquired HI-Bio's pre-existing in-license commitments under third-party agreements with MorphoSys, which included tiered royalties on potential future sales ranging from high-single digit to mid-teen percentages, as well as potential development, regulatory and commercial milestone payments of up to $130.0 million, $230.0 million and $640.0 million, respectively. These amounts included milestone payments due upon the first patient dosed in a Phase 3 clinical trial of felzartamab in a first and second indication of $35.0 million and $30.0 million, respectively.</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April 2026 we entered into a definitive agreement with TJ Bio, where we assumed regulatory and sales milestone obligations under a pre-existing agreement between TJ Bio and MorphoSys and may pay MorphoSys tiered royalties on potential net sales of felzartamab in the greater China region. For additional information on TJ Bio, please read </w:t>
      </w:r>
      <w:r>
        <w:rPr>
          <w:rFonts w:ascii="Arial" w:cs="Arial" w:eastAsia="Arial" w:hAnsi="Arial"/>
          <w:sz w:val="18"/>
          <w:szCs w:val="18"/>
          <w:i w:val="1"/>
          <w:iCs w:val="1"/>
          <w:color w:val="auto"/>
        </w:rPr>
        <w:t>Note 22, Subsequent Events</w:t>
      </w:r>
      <w:r>
        <w:rPr>
          <w:rFonts w:ascii="Arial" w:cs="Arial" w:eastAsia="Arial" w:hAnsi="Arial"/>
          <w:sz w:val="18"/>
          <w:szCs w:val="18"/>
          <w:color w:val="auto"/>
        </w:rPr>
        <w:t>, to these condensed consolidated financial statements.</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first quarter of 2025 we accrued a milestone payment due to MorphoSys of $35.0 million upon the first patient dosed in a Phase 3 clinical trial of felzartamab for the treatment of AMR, which was recorded within acquired in-process research and development, upfront and milestone expense in our condensed consolidated statements of income for the three months ended March 31, 2025, and paid in April 2025.</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second quarter of 2025 we accrued a milestone payment due to MorphoSys of $30.0 million upon the first patient dosed in a Phase 3 clinical trial of felzartamab for the treatment of IgAN, which was recorded within acquired in-process research and development, upfront and milestone expense in our condensed consolidated statements of income, and paid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Unconsolidated Variable Interest Entities</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March 31, 2026 and December 31, 2025, the carrying value of our investments in certain biotechnology companies representing potential unconsolidated variable interest entities totaled $48.4 million and $49.8 million, respectively. Our maximum exposure to loss related to these variable interest entities is limited to the carrying value of our investments.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our investments in variable interest entities,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xml:space="preserve"> to our consolidated financial statements included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6925"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consolidated financial statements included in our 2025 Form 10-K.</w:t>
      </w:r>
    </w:p>
    <w:p>
      <w:pPr>
        <w:spacing w:after="0" w:line="6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Securities Litigation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certain current and former officers are defendants in three securities actions pending in the District Court, one filed by Nadia Shash and Amjad Khan in November 2020, which relates to statements about ADUHELM, one filed by the Oklahoma Firefighters Pension and Retirement System in February 2022, which relates to statements about ADUHELM, and one filed by Thomas Allen Gray and Frances Clarity Stokes in May 2024, which relates to statements about LEQEMBI, TECFIDERA and VUMERITY. All allege violations of federal securities laws under 15 U.S.C. §78j(b) and §78t(a) and 17 C.F.R. §240.10b-5 and seek declarations of the actions as class actions and monetary relief. In March 2026 the District Court dismissed the action brought by Thomas Allen Gray and Frances Clarity Stokes and they have appealed. In April 2026 the parties in the action brought by the Oklahoma Firefighters Pension and Retirement System reached an agreement in principle to settle the action.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members of the Board of Directors are named as defendants in five derivative actions pending in the District Court, one filed by The Booth Family Trust (Booth) in February 2022, one filed by Elaine Wang (Wang) in July 2022, one filed by Jonathan Blaufarb (Blaufarb I) in July 2024, one filed by Lawrence Hollin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All derivative actions are stayed.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IMRALDI is an adalimumab biosimilar manufactured by Samsung Bioepis that Biogen commercializes in Europe.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Fresenius Kabi has alleged infringement of national counterparts of its EP '3 145 488 Patent (the EP '488 Patent), including in Spain, Italy, France and Germany. In June 2022, Fresenius Kabi filed a claim for damages and injunctive relief against Biogen France SAS in the Tribunal de Grande Instance de Paris alleging infringement of the French counterpart of the EP '488 Patent by a formulation of IMRALDI no longer commercialized in France. Fresenius Kabi alleges damages of approximately €19.1 million plus interest and costs. Biogen disputes infringement and the validity of the patent. Trial is set for June 2026.</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May 2025 the Higher Regional Court of Düsseldorf, Germany held that a formulation of IMRALDI we no longer commercialize in Germany infringed the German counterpart of the EP '488 Patent, enjoined infringement and declared Fresenius Kabi's right to seek damages. Biogen has requested review of the decision by Germany's Federal Court of Justice and has challenged the validity of the patent in a separate proceeding.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February 2025 Humana filed suit against Biogen Inc., Biogen U.S. Corp. and Advanced Care Scripts, Inc. in Jefferson Circuit Court in Kentucky alleging damages related to providing MS patients with free medications and to charitable contributions to non-profit organizations that provide financial assistance to MS patients. Humana alleges breach of contract, fraud and other claims under various state laws and seeks damages, attorneys' fees and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February 2023 Genentech Inc. filed suit in the U.S. District Court for the Northern District of California claiming that it was owed royalties on sales of TYSABRI that occurred after the expiration of a patent licensed by Genentech to Biogen. In November 2025 the court entered judgment against us for approximately $124.3 million. We appealed and the appeal is pending.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Antitrust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October 2025 Local No. 1 Health Fund, the Mayor and City Council of Baltimore, Teamsters Local 237 Welfare Fund, Teamsters Local 237 Retirees' Benefit Fund, UFCW Local 1500 Welfare Fund, and Jacksonville Police Officers and Fire Fighters Health Insurance Trust filed an amended complaint against us in now consolidated proceedings in the U.S. District Court for the Northern District of Illinois (the Illinois federal court). The first complaint was filed in August 2024. The plaintiffs allege violations of federal antitrust laws including 15 U.S.C. §§ 1, 2 and 13(c), the Racketeer Influenced and Corrupt Organizations Act, 18 U.S.C. §1962(c) and of various state laws, based on allegations about our contracts with pharmacy benefit managers related to TECFIDERA and VUMERITY and other allegations. Plaintiffs seek declarations of the actions as class actions, monetary, declaratory and equitable relief, and attorneys' fees and costs.</w:t>
      </w:r>
    </w:p>
    <w:p>
      <w:pPr>
        <w:spacing w:after="0" w:line="7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in September 2025 Walgreen Co. and The Kroger Co. sued us in the Illinois federal court, alleging violations of 15 U.S.C. §§ 1 and 2 based on allegations about our contracts with pharmacy benefit managers related to TECFIDERA and VUMERITY and other allegations. They seek monetary, declaratory and equitable relief, and attorneys' fees and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Litigation</w:t>
      </w:r>
    </w:p>
    <w:p>
      <w:pPr>
        <w:spacing w:after="0" w:line="11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May 2025 we sued Neurimmune Holding AG and Neurimmune Subone AG (collectively, "Neurimmune") in the District Court seeking declaratory judgment and permanent injunctive relief regarding our rights under a terminated collaboration agreement related to aducanumab. In September 2025 Neurimmune counterclaimed for declaratory judgment, breach of contract and unfair competition under Massachusetts G.L. 93A and seeking monetary, declaratory and equitable relief and attorneys' fees and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TECFIDERA E.U. Litigation</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sued certain generic companies for damages for sales of generic versions of TECFIDERA in violation of our regulatory market protection, including Neuraxpharm Pharmaceuticals S.L., Neuraxpharm Netherlands B.V., Zaklady Farmaceutyczne Polpharma S.A., Sandoz B.V., Mylan Ireland Ltd. and Mylan B.V. in the District Court of Amsterdam Netherlands in November 2023; Sandoz A/S in the Danish Maritime and Commercial High Court in June 2024; and STADA Arzneimittel AG, STADA Nordic ApS, Sandoz A/S, Sandoz (Denmark) and Sandoz A/S (Finland), Glenmark Arzneimittel AG and Glenmark Pharmaceuticals Nordic AB in the Finnish Market Court in July 2024. All of these parties have counterclaimed for damages based on our actions to enforce TECFIDERA's regulatory marketing protection.</w:t>
      </w:r>
    </w:p>
    <w:p>
      <w:pPr>
        <w:spacing w:after="0" w:line="6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September 2025 the European General Court annulled the May 2023 European Commission decision granting TECFIDERA an additional year of regulatory marketing protection extending until February 2025. We and the European Commission appealed and the appeal is pending.</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2025 the Technical Boards of Appeal of the European Patent Office revoked our EP 2 653 873 patent related to TECFIDERA, after which we stopped enforcing this patent and its national counterparts. Certain generic companies have filed claims in the Danish Maritime and Commercial High Court for alleged damages due to injunctions we obtained prior to patent revocation, including Sandoz A/S in October 2025, Viatris ApS in January 2024, Glenmark Pharmaceuticals Nordic AB in July 2025 and Neuraxpharm Sweden AB and Neuraxpharm Pharmaceuticals S.L. in February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Germany Tax Matter</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December 2025 and January 2026 a German tax authority issued assessments against us of approximately €209.8 million including interest, which continues to accrue. We are challenging the assessments.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May 2024 the Italian Competition Authority informed us that it is investigating Biogen and other companies in relation to our biosimilar product BYOOVIZ.</w:t>
      </w:r>
    </w:p>
    <w:p>
      <w:pPr>
        <w:spacing w:after="0" w:line="45"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In September 2025 we received a Civil Investigative Demand from the Louisiana Department of Justice for information regarding our policies relating to the purchase of drugs by healthcare organizations that are covered entities under Section 340B of the Public Health Service Act.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January 2026 we received a request for information regarding TECFIDERA from the European Commission Directorate-General for Competition.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Trial against Sandoz Inc. is scheduled for April 2027.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Eisai Matter</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6925"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operate and are managed as one operating segment, and derive revenue from activities related to the discovery, development and delivery of innovative therapies for people living with serious and complex diseases.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CEO, as the CODM, manages and allocates resources to the operations of our company on a total company basis by assessing the overall level of resources available and deciding how to best deploy these resources across functions, therapeutic areas and research and development projects that are in line with our long-term company-wide strategic goals. In making these decisions, our CEO is provided with and uses consolidated financial information for purposes of evaluating performance, forecasting future period financial results, allocating resources and setting incentive targets. The 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condensed consolidated balance sheets as total assets.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table presented below, which was prepared in accordance with the accounting policies discussed in </w:t>
      </w:r>
      <w:r>
        <w:rPr>
          <w:rFonts w:ascii="Arial" w:cs="Arial" w:eastAsia="Arial" w:hAnsi="Arial"/>
          <w:sz w:val="18"/>
          <w:szCs w:val="18"/>
          <w:i w:val="1"/>
          <w:iCs w:val="1"/>
          <w:color w:val="auto"/>
        </w:rPr>
        <w:t>Note 1,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to our consolidated financial statements included in our 2025 Form 10-K, contains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revenue and profits, including significant segment expense and other segment items.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Additional Segment Information</w:t>
      </w:r>
    </w:p>
    <w:p>
      <w:pPr>
        <w:spacing w:after="0" w:line="99"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following table includes additional information about reported segment revenue, significant segment expense and segment measure of profitability: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2573BA"/>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2,477.8</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2,431.0</w:t>
            </w:r>
          </w:p>
        </w:tc>
      </w:tr>
      <w:tr>
        <w:trPr>
          <w:trHeight w:val="203"/>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Less cost and expense:</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Product cost of sales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478.7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462.2</w:t>
            </w: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Royalty cost of sales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167.1</w:t>
            </w: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Research and discovery</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Early stage programs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72.4</w:t>
            </w: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Late stage programs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Marketed products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89.5</w:t>
            </w:r>
          </w:p>
        </w:tc>
      </w:tr>
      <w:tr>
        <w:trPr>
          <w:trHeight w:val="203"/>
        </w:trPr>
        <w:tc>
          <w:tcPr>
            <w:tcW w:w="7620" w:type="dxa"/>
            <w:vAlign w:val="bottom"/>
            <w:gridSpan w:val="3"/>
          </w:tcPr>
          <w:p>
            <w:pPr>
              <w:ind w:left="360"/>
              <w:spacing w:after="0"/>
              <w:rPr>
                <w:sz w:val="20"/>
                <w:szCs w:val="20"/>
                <w:color w:val="auto"/>
              </w:rPr>
            </w:pPr>
            <w:r>
              <w:rPr>
                <w:rFonts w:ascii="Arial" w:cs="Arial" w:eastAsia="Arial" w:hAnsi="Arial"/>
                <w:sz w:val="14"/>
                <w:szCs w:val="14"/>
                <w:color w:val="auto"/>
              </w:rPr>
              <w:t>Other research and development costs</w:t>
            </w:r>
            <w:r>
              <w:rPr>
                <w:rFonts w:ascii="Arial" w:cs="Arial" w:eastAsia="Arial" w:hAnsi="Arial"/>
                <w:sz w:val="9"/>
                <w:szCs w:val="9"/>
                <w:color w:val="auto"/>
              </w:rPr>
              <w:t>(1)</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178.5</w:t>
            </w: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Acquired in-process research and development, upfront and milestone expense</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200.7</w:t>
            </w:r>
          </w:p>
        </w:tc>
      </w:tr>
      <w:tr>
        <w:trPr>
          <w:trHeight w:val="203"/>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607.3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572.5</w:t>
            </w:r>
          </w:p>
        </w:tc>
      </w:tr>
      <w:tr>
        <w:trPr>
          <w:trHeight w:val="206"/>
        </w:trPr>
        <w:tc>
          <w:tcPr>
            <w:tcW w:w="7620" w:type="dxa"/>
            <w:vAlign w:val="bottom"/>
            <w:gridSpan w:val="3"/>
          </w:tcPr>
          <w:p>
            <w:pPr>
              <w:ind w:left="140"/>
              <w:spacing w:after="0"/>
              <w:rPr>
                <w:sz w:val="20"/>
                <w:szCs w:val="20"/>
                <w:color w:val="auto"/>
              </w:rPr>
            </w:pPr>
            <w:r>
              <w:rPr>
                <w:rFonts w:ascii="Arial" w:cs="Arial" w:eastAsia="Arial" w:hAnsi="Arial"/>
                <w:sz w:val="14"/>
                <w:szCs w:val="14"/>
                <w:color w:val="auto"/>
              </w:rPr>
              <w:t>Other segment expense</w:t>
            </w:r>
            <w:r>
              <w:rPr>
                <w:rFonts w:ascii="Arial" w:cs="Arial" w:eastAsia="Arial" w:hAnsi="Arial"/>
                <w:sz w:val="9"/>
                <w:szCs w:val="9"/>
                <w:color w:val="auto"/>
              </w:rPr>
              <w:t>(2)</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317.0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w:t>
            </w:r>
          </w:p>
        </w:tc>
      </w:tr>
      <w:tr>
        <w:trPr>
          <w:trHeight w:val="220"/>
        </w:trPr>
        <w:tc>
          <w:tcPr>
            <w:tcW w:w="7620" w:type="dxa"/>
            <w:vAlign w:val="bottom"/>
            <w:gridSpan w:val="3"/>
          </w:tcPr>
          <w:p>
            <w:pPr>
              <w:ind w:left="20"/>
              <w:spacing w:after="0"/>
              <w:rPr>
                <w:sz w:val="20"/>
                <w:szCs w:val="20"/>
                <w:color w:val="auto"/>
              </w:rPr>
            </w:pPr>
            <w:r>
              <w:rPr>
                <w:rFonts w:ascii="Arial" w:cs="Arial" w:eastAsia="Arial" w:hAnsi="Arial"/>
                <w:sz w:val="14"/>
                <w:szCs w:val="14"/>
                <w:color w:val="auto"/>
              </w:rPr>
              <w:t>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319.5</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240.5</w:t>
            </w:r>
          </w:p>
        </w:tc>
      </w:tr>
      <w:tr>
        <w:trPr>
          <w:trHeight w:val="20"/>
        </w:trPr>
        <w:tc>
          <w:tcPr>
            <w:tcW w:w="4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85" w:lineRule="exact"/>
        <w:rPr>
          <w:sz w:val="20"/>
          <w:szCs w:val="20"/>
          <w:color w:val="auto"/>
        </w:rPr>
      </w:pPr>
    </w:p>
    <w:p>
      <w:pPr>
        <w:jc w:val="both"/>
        <w:ind w:left="180" w:right="500" w:hanging="172"/>
        <w:spacing w:after="0" w:line="234" w:lineRule="auto"/>
        <w:tabs>
          <w:tab w:leader="none" w:pos="172"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spacing w:after="0" w:line="26" w:lineRule="exact"/>
        <w:rPr>
          <w:rFonts w:ascii="Arial" w:cs="Arial" w:eastAsia="Arial" w:hAnsi="Arial"/>
          <w:sz w:val="19"/>
          <w:szCs w:val="19"/>
          <w:color w:val="auto"/>
          <w:vertAlign w:val="superscript"/>
        </w:rPr>
      </w:pPr>
    </w:p>
    <w:p>
      <w:pPr>
        <w:ind w:left="180" w:right="500" w:hanging="172"/>
        <w:spacing w:after="0" w:line="222" w:lineRule="auto"/>
        <w:tabs>
          <w:tab w:leader="none" w:pos="172"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Other segment expense includes: amortization and impairment of acquired intangible assets; collaboration profit sharing/(loss reimbursement); (gain) loss on fair value remeasurement of contingent consideration; restructuring charges; other (income) expense, net; and 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96925" cy="342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22:</w:t>
      </w:r>
      <w:r>
        <w:rPr>
          <w:sz w:val="20"/>
          <w:szCs w:val="20"/>
          <w:color w:val="auto"/>
        </w:rPr>
        <w:tab/>
      </w:r>
      <w:r>
        <w:rPr>
          <w:rFonts w:ascii="Arial" w:cs="Arial" w:eastAsia="Arial" w:hAnsi="Arial"/>
          <w:sz w:val="21"/>
          <w:szCs w:val="21"/>
          <w:b w:val="1"/>
          <w:bCs w:val="1"/>
          <w:color w:val="0070C0"/>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20320</wp:posOffset>
            </wp:positionV>
            <wp:extent cx="60261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TJ Biopharma Co., Ltd.</w:t>
      </w:r>
    </w:p>
    <w:p>
      <w:pPr>
        <w:spacing w:after="0" w:line="11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April 2026 we entered into a definitive agreement with TJ Biopharma Co., Ltd. to acquire TJ Bio's exclusive rights to felzartamab in the greater China region. With this agreement, we will own exclusive worldwide rights to felzartamab.</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Under the terms of this agreement we made an upfront payment of $100.0 million to TJ Bio, which will be recognized in acquired in-process research and development, upfront and milestone expense within our condensed consolidated statements of income during the second quarter of 2026.</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Additionally, we assumed regulatory and sales milestone obligations under a pre-existing agreement between TJ Bio and MorphoSys and may pay MorphoSys tiered royalties on potential net sales of felzartamab in the greater China region.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3" w:lineRule="exact"/>
        <w:rPr>
          <w:sz w:val="20"/>
          <w:szCs w:val="20"/>
          <w:color w:val="auto"/>
        </w:rPr>
      </w:pPr>
    </w:p>
    <w:p>
      <w:pPr>
        <w:ind w:right="48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(condensed consolidated financial statements) and the accompanying notes beginning on page 8 of this quarterly report on Form 10-Q and our audited consolidated financial statements and the accompanying notes included in our 2025 Form 10-K.</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0070C0"/>
        </w:rPr>
        <w:t>EXECUTIVE SUMMARY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and QALSODY for the treatment of ALS.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follicular lymphoma and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4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The Solothurn facility is operational and has been approved for the manufacture of LEQEMBI and TYSABRI.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North Carolina. If we are unable to fully utilize our manufacturing facilities, we will incur additional excess capacity charges which would have a negative effect on our financial condition and results of operations.</w:t>
      </w:r>
    </w:p>
    <w:p>
      <w:pPr>
        <w:spacing w:after="0" w:line="7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BUSINESS ENVIRONMENT</w:t>
      </w:r>
    </w:p>
    <w:p>
      <w:pPr>
        <w:spacing w:after="0" w:line="106" w:lineRule="exact"/>
        <w:rPr>
          <w:sz w:val="20"/>
          <w:szCs w:val="20"/>
          <w:color w:val="auto"/>
        </w:rPr>
      </w:pPr>
    </w:p>
    <w:p>
      <w:pPr>
        <w:jc w:val="both"/>
        <w:ind w:right="500"/>
        <w:spacing w:after="0" w:line="291" w:lineRule="auto"/>
        <w:rPr>
          <w:sz w:val="20"/>
          <w:szCs w:val="20"/>
          <w:color w:val="auto"/>
        </w:rPr>
      </w:pPr>
      <w:r>
        <w:rPr>
          <w:rFonts w:ascii="Arial" w:cs="Arial" w:eastAsia="Arial" w:hAnsi="Arial"/>
          <w:sz w:val="17"/>
          <w:szCs w:val="17"/>
          <w:color w:val="auto"/>
        </w:rPr>
        <w:t>The biopharmaceutical industry and the markets in which we operate are intensely competitive. Many of our competitors are working to develop or have commercialized products similar to those we market. In addition, the commercialization of certain of our own approved products, products of our collaborators and pipeline product candidates may negatively impact future sales of our existing products.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products and revenue streams continue to face increasing competition in many markets from the introduction of new originator therapies, generics, biosimilars of existing products and products approved under abbreviated regulatory pathways. Some of these products are likely to be sold at substantially lower prices than branded products. Accordingly, the introduction of such products as well as other lower-priced competing products has significantly reduced, and in the future may significantly reduce, both the price that we are able to charge for our products and the volume of products we sell, which can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7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the amount for which that product will be reimbursed.</w:t>
      </w:r>
    </w:p>
    <w:p>
      <w:pPr>
        <w:spacing w:after="0" w:line="6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healthcare costs will continue to be subject to political and societal pressures on a global basis. As the policy environment remains dynamic, we will continue to monitor how uncertainty with respect to how the U.S. and foreign tariffs and the U.S. and international pricing may impact our business in the future.</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Additionally, our ability to set the price for our products varies significantly from country to country and, as a result, so can the price or reimbursement of our products. Governments may use a variety of cost-containment measures to control the cost of medicines, including price cuts, mandatory rebates, value-based pricing and reference pricing (i.e., referencing prices in other countries and using those reference prices to set a price).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on employees, the global economy and the delivery of healthcare treatments, geopolitical events, tariffs, supply chain disruptions, foreign currency exchange fluctuations, changes in intellectual property legal protections and changes in trade regulations and procedures.</w:t>
      </w:r>
    </w:p>
    <w:p>
      <w:pPr>
        <w:spacing w:after="0" w:line="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 our 2025 Form 10-K. For additional information on our competition and pricing risks that could negatively impact our product sales,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TECFIDERA</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Multiple TECFIDERA generic entrants are now in North America, Brazil and the E.U. and have deeply discounted prices compared to TECFIDERA. The generic competition for TECFIDERA has significantly reduced our TECFIDERA revenue and we expect that TECFIDERA revenue will continue to decline. In November 2025 the Technical Boards of Appeal of the European Patent Office revoked our EP 2 653 873 patent related to TECFIDERA, after which we stopped enforcing this patent and its national counterparts.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to our condensed consolidated financial statements included in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TYSABRI</w:t>
      </w:r>
    </w:p>
    <w:p>
      <w:pPr>
        <w:spacing w:after="0" w:line="1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the future sales of TYSABRI will continue to be adversely affected by the entrance of this biosimilar.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POTENTIAL DISRUPTIONS</w:t>
      </w:r>
    </w:p>
    <w:p>
      <w:pPr>
        <w:spacing w:after="0" w:line="106"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global health outbreaks, adverse weather events, geopolitical events or conflicts, tariffs, inflation, labor or raw</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material shortages and other supply chain disruptions could result in product shortages or other difficulties and delays or increased costs in manufacturing or distributing our products.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Economic conditions remain uncertain as markets continue to be impacted in part by continued inflationary pressures, higher interest rates, extreme weather events, global supply chain uncertainties and risks associated with geopolitical conflicts. Global supply chain disruptions, such as strikes, work stoppages, port congestion, port closures, trade restrictions, capacity constraints and other logistical problems, may affect our ability to do business.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INTERNATIONAL TRADE</w:t>
      </w:r>
    </w:p>
    <w:p>
      <w:pPr>
        <w:spacing w:after="0" w:line="12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Global conflicts or disputes and interruptions in international relationships, including tariffs, trade protection measures, economic embargoes, import or export licensing requirements and the imposition of trade sanctions or similar restrictions, may affect our ability to do business and the costs that we incur in providing products to our patients.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2025 the U.S. imposed a series of tariffs on imports from nearly all countries, including tariffs pursuant to the IEEPA subject to certain exemptions. Trade-related tensions between the U.S. and China have also led to a series of tariffs and sanctions being imposed by the U.S. on imports from China and retaliatory tariffs imposed by China on U.S. imports, subject as well to exemptions.</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Furthermore, in 2025, the U.S. reached a series of Framework Agreements with some countries and trading blocs including the E.U., Switzerland, the U.K., Japan and South Korea, carving U.S. tariff rates for certain import categories between 10.0% and 15.0%.</w:t>
      </w:r>
    </w:p>
    <w:p>
      <w:pPr>
        <w:spacing w:after="0" w:line="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2026 the U.S. Supreme Court issued a ruling striking down tariffs previously imposed under the IEEPA. The ultimate availability, timing and amount of any potential refunds of such tariffs remain highly uncertain and could be subject to further legal, regulatory and administrative developments. The amount of IEEPA tariff refunds, if any, that we ultimately recover may differ from the full amount we previously paid. Furthermore, any potential refunds or recoveries may be offset by refunds due to customers for payments made in connection with the IEEPA tariffs. As of this filing date, we have not recorded a receivable for any refund of IEEPA tariffs.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Following the Supreme Court's decision, the U.S. Administration announced its intention to impose other tariffs under different authorities and introduced new tariffs on imports from nearly all countries, imposing a 10.0% baseline tariff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w:t>
      </w:r>
    </w:p>
    <w:p>
      <w:pPr>
        <w:spacing w:after="0" w:line="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U.S. Secretary of Commerce previously initiated an investigation to determine the effects on the national security of imports of pharmaceuticals and pharmaceutical ingredients, including finished drug products, medical countermeasures, critical inputs such as active pharmaceutical ingredients, key starting materials and derivative products of those items, under Section 232 of the Trade Expansion Act of 1962. In April 2026 after the investigation concluded, the U.S. Administration issued a Proclamation imposing a 100% tariff on imports of patented pharmaceuticals, biologics and associated ingredients, subject to certain exemptions and reduced rates. The Proclamation tariffs are effective on September 29, 2026.</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is a high degree of uncertainty concerning what future steps countries and economic blocs will take in response to changes in global trade rules and economics.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significant manufacturing presence in the U.S. While our portfolio is evolving, approximately three quarters of our 2025 U.S. product revenue was attributable to products that were largely manufactured in the U.S. However, we, and the biopharmaceutical industry, do utilize partners and production facilities located outside the U.S. for certain raw materials, ingredients, processes and components for our products and their delivery technologies. Engaging alternative suppliers may involve seeking additional regulatory approvals and incurring additional costs and risks associated with new suppliers. This may be costly in terms of time and resources needed or result in delays.</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Key products that are currently manufactured primarily outside the U.S. are TECFIDERA, VUMERITY and LEQEMBI. In 2024 we initiated a technology transfer process to enable us to manufacture LEQEMBI in the U.S., which was approved in January 2026.</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Although certain starting materials for SKYCLARYS rely on a single supplier based in China, the manufacturing process, including active pharmaceutical ingredients and drug substance, is primarily conducted in the U.S.</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are working to mitigate potential exposure from tariffs across our network, and as of the date of this filing, we do not expect the tariffs currently applicable to our business to result in a material adverse effect on our operations in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2026. This is based on existing tariffs in place or potential tariffs as previously announced by the U.S. Administration, our manufacturing footprint and our inventory levels and market positioning. Should additional tariffs be enacted, our business could be impacted in the future and our results and operations could differ materially from our current expectations. We will continue to monitor the current and future global tariff landscape as it evolves.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GEOPOLITICAL TENSIONS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ongoing geopolitical tensions related to Russia's invasion of Ukraine and the military conflict in the Middle East and other global geopolitical developments have resulted in global business disruptions and economic volatility. For example, sanctions and other restrictions have been levied on the government and businesses in Russia. Although we do not have affiliates or employees in either Russia or Ukraine, we do provide various therapies to patients in Russia through a distributor.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closely monitoring ongoing geopolitical tensions in the Middle East, including the recent conflict involving the U.S., Israel and Iran, and the related regional instability. The ongoing geopolitical conflicts in the region could lead to significant disruption of fuel and energy supplies and increases in global fuel prices, which could heighten inflationary pressures, disrupt global supply chains and adversely impact the availability and pricing of raw materials. For example, our primary shipping method for resources and finished goods is through air freight. We will continue to evaluate and take actions to mitigate any potential impacts on our business, results of operations and financial condition. Although the long-term effects remain uncertain, this geopolitical conflict did not have any material effects on our results of operations for the three months ended March 31, 2026.</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continue to monitor the ongoing conflict between Russia and Ukraine as well as the military conflict in the Middle East and other global geopolitical developments and assess any potential impacts on our business, supply chain, partners or customers, as well as any factors that could have an adverse effect on our results of operations. Revenue generated from sales in Russia and Ukraine represent less than 2.0% of total revenue for the three months ended March 31, 2026 and 2025. Additionally, revenue generated from sales in the broader Middle East region represents less than 3.0% of total revenue for the three months ended March 31, 2026 and 2025.</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FACTORS AFFECTING PHARMACEUTICAL PRICING AND OTHER DEVELOPMENTS</w:t>
      </w:r>
    </w:p>
    <w:p>
      <w:pPr>
        <w:spacing w:after="0" w:line="9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March 31, 2026 and December</w:t>
      </w:r>
    </w:p>
    <w:p>
      <w:pPr>
        <w:spacing w:after="0" w:line="2"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31, 2025. Preliminary guidance has been issued by the IRS and we expect additional guidance and regulations to be issued in future periods. We continue to assess its potential impact on our business and results of operations as further information becomes available.</w:t>
      </w:r>
    </w:p>
    <w:p>
      <w:pPr>
        <w:spacing w:after="0" w:line="67" w:lineRule="exact"/>
        <w:rPr>
          <w:sz w:val="20"/>
          <w:szCs w:val="20"/>
          <w:color w:val="auto"/>
        </w:rPr>
      </w:pPr>
    </w:p>
    <w:p>
      <w:pPr>
        <w:ind w:right="360"/>
        <w:spacing w:after="0" w:line="281"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the following:</w:t>
      </w:r>
    </w:p>
    <w:p>
      <w:pPr>
        <w:spacing w:after="0" w:line="1" w:lineRule="exact"/>
        <w:rPr>
          <w:sz w:val="20"/>
          <w:szCs w:val="20"/>
          <w:color w:val="auto"/>
        </w:rPr>
      </w:pPr>
    </w:p>
    <w:p>
      <w:pPr>
        <w:ind w:left="660" w:hanging="409"/>
        <w:spacing w:after="0" w:line="268"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spacing w:after="0" w:line="8" w:lineRule="exact"/>
        <w:rPr>
          <w:rFonts w:ascii="Arial" w:cs="Arial" w:eastAsia="Arial" w:hAnsi="Arial"/>
          <w:sz w:val="18"/>
          <w:szCs w:val="18"/>
          <w:color w:val="auto"/>
        </w:rPr>
      </w:pPr>
    </w:p>
    <w:p>
      <w:pPr>
        <w:ind w:left="660" w:right="40" w:hanging="409"/>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inflationary rebate requirements to penalize manufacturers from raising the prices of Medicare covered single-source drugs and biologics beyond the inflation-adjusted rate, beginning in 2022 for Part D drugs and 2023 for Part B drugs;</w:t>
      </w:r>
    </w:p>
    <w:p>
      <w:pPr>
        <w:spacing w:after="0" w:line="1" w:lineRule="exact"/>
        <w:rPr>
          <w:rFonts w:ascii="Arial" w:cs="Arial" w:eastAsia="Arial" w:hAnsi="Arial"/>
          <w:sz w:val="18"/>
          <w:szCs w:val="18"/>
          <w:color w:val="auto"/>
        </w:rPr>
      </w:pPr>
    </w:p>
    <w:p>
      <w:pPr>
        <w:ind w:left="660" w:right="140" w:hanging="409"/>
        <w:spacing w:after="0" w:line="281"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incentivize biosimilar development, the IRA provides an 8.0% Medicare Part B add-on payment for qualifying biosimilar products for a five-year period; and</w:t>
      </w:r>
    </w:p>
    <w:p>
      <w:pPr>
        <w:spacing w:after="0" w:line="1" w:lineRule="exact"/>
        <w:rPr>
          <w:rFonts w:ascii="Arial" w:cs="Arial" w:eastAsia="Arial" w:hAnsi="Arial"/>
          <w:sz w:val="18"/>
          <w:szCs w:val="18"/>
          <w:color w:val="auto"/>
        </w:rPr>
      </w:pPr>
    </w:p>
    <w:p>
      <w:pPr>
        <w:ind w:left="660" w:right="100" w:hanging="409"/>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IRA's drug pricing controls and Medicare Part D redesign had an adverse impact on our sales, particularly for our products that are more substantially reliant on Medicare reimbursement. The IRA Medicare Part D redesign had a modest net unfavorable impact to our full-year 2025 revenue of approximately $90.0 million, concentrated in our SKYCLARYS and MS portfolio product revenue, approximately a quarter of which was associated with SKYCLARYS.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such as the OBBBA, as discussed below. The full extent of the IRA's impacts on our sales and, in turn, our business, remains uncertain.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in May 2025 the U.S. government issued an executive order aiming to establish an MFN drug pricing policy that would tie U.S. drug prices to the prices paid for drugs in other developed countries. If HHS sets MFN pricing targets for prescription drugs, including the use of international reference pricing to set drug prices in the U.S., it could result in reduced prices and reimbursement for certain of our products in the U.S. We continue to evaluate the potential impact of this executive order. This executive order and any additional legislation, regulations or initiatives related to drug pricing, such as the CMS-proposed MFN initiatives, the Global Benchmark for Efficient Drug Pricing for certain Medicare Part B drugs and the Guarding U.S. Medicare Against Rising Drug Costs for certain Medicare Part D drugs, could create additional uncertainty around the timing and prioritization around worldwide commercial efforts and adversely impact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2025 LEGISLATION AND TAX REFORM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the U.S. signed into law the H.R.1 legislation formally titled "An Act to Provide for Reconciliation Pursuant to Title II of 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 Res. 14", commonly referred to as the OBBBA.</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Given the complexity of tax laws, related regulations and interpretations, our current estimates may require revision as additional information becomes available regarding the application of the OBBBA provisions.</w:t>
      </w:r>
    </w:p>
    <w:p>
      <w:pPr>
        <w:spacing w:after="0" w:line="45"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OBBBA also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w:t>
      </w:r>
    </w:p>
    <w:p>
      <w:pPr>
        <w:spacing w:after="0" w:line="6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67" w:lineRule="exact"/>
        <w:rPr>
          <w:sz w:val="20"/>
          <w:szCs w:val="20"/>
          <w:color w:val="auto"/>
        </w:rPr>
      </w:pPr>
    </w:p>
    <w:p>
      <w:pPr>
        <w:ind w:right="340"/>
        <w:spacing w:after="0" w:line="281"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March 31, 2026, compared to the three months ended March 31, 2025,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548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848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485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0"/>
        <w:spacing w:after="0"/>
        <w:tabs>
          <w:tab w:leader="none" w:pos="8140" w:val="left"/>
        </w:tabs>
        <w:rPr>
          <w:sz w:val="20"/>
          <w:szCs w:val="20"/>
          <w:color w:val="auto"/>
        </w:rPr>
      </w:pPr>
      <w:r>
        <w:rPr>
          <w:rFonts w:ascii="Arial" w:cs="Arial" w:eastAsia="Arial" w:hAnsi="Arial"/>
          <w:sz w:val="16"/>
          <w:szCs w:val="16"/>
          <w:color w:val="0070C0"/>
        </w:rPr>
        <w:t>Increased</w:t>
      </w:r>
      <w:r>
        <w:rPr>
          <w:sz w:val="20"/>
          <w:szCs w:val="20"/>
          <w:color w:val="auto"/>
        </w:rPr>
        <w:tab/>
      </w:r>
      <w:r>
        <w:rPr>
          <w:rFonts w:ascii="Arial" w:cs="Arial" w:eastAsia="Arial" w:hAnsi="Arial"/>
          <w:sz w:val="16"/>
          <w:szCs w:val="16"/>
          <w:color w:val="0070C0"/>
        </w:rPr>
        <w:t>Increased</w:t>
      </w:r>
    </w:p>
    <w:p>
      <w:pPr>
        <w:spacing w:after="0" w:line="31" w:lineRule="exact"/>
        <w:rPr>
          <w:sz w:val="20"/>
          <w:szCs w:val="20"/>
          <w:color w:val="auto"/>
        </w:rPr>
      </w:pPr>
    </w:p>
    <w:p>
      <w:pPr>
        <w:ind w:left="1860"/>
        <w:spacing w:after="0"/>
        <w:tabs>
          <w:tab w:leader="none" w:pos="7940" w:val="left"/>
        </w:tabs>
        <w:rPr>
          <w:sz w:val="20"/>
          <w:szCs w:val="20"/>
          <w:color w:val="auto"/>
        </w:rPr>
      </w:pPr>
      <w:r>
        <w:rPr>
          <w:rFonts w:ascii="Arial" w:cs="Arial" w:eastAsia="Arial" w:hAnsi="Arial"/>
          <w:sz w:val="16"/>
          <w:szCs w:val="16"/>
          <w:color w:val="0070C0"/>
        </w:rPr>
        <w:t>$46.8 million or 1.9%</w:t>
      </w:r>
      <w:r>
        <w:rPr>
          <w:sz w:val="20"/>
          <w:szCs w:val="20"/>
          <w:color w:val="auto"/>
        </w:rPr>
        <w:tab/>
      </w:r>
      <w:r>
        <w:rPr>
          <w:rFonts w:ascii="Arial" w:cs="Arial" w:eastAsia="Arial" w:hAnsi="Arial"/>
          <w:sz w:val="16"/>
          <w:szCs w:val="16"/>
          <w:color w:val="0070C0"/>
        </w:rPr>
        <w:t>$0.51 or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0070C0"/>
        </w:rPr>
        <w:t>PRODUCT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-1144270</wp:posOffset>
            </wp:positionV>
            <wp:extent cx="2571750" cy="9855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0" cy="985520"/>
                    </a:xfrm>
                    <a:prstGeom prst="rect">
                      <a:avLst/>
                    </a:prstGeom>
                    <a:noFill/>
                  </pic:spPr>
                </pic:pic>
              </a:graphicData>
            </a:graphic>
          </wp:anchor>
        </w:drawing>
      </w:r>
    </w:p>
    <w:p>
      <w:pPr>
        <w:spacing w:after="0" w:line="11"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$25.8 million or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33089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6"/>
          <w:szCs w:val="16"/>
          <w:color w:val="0070C0"/>
        </w:rPr>
      </w:pPr>
      <w:r>
        <w:rPr>
          <w:rFonts w:ascii="Arial" w:cs="Arial" w:eastAsia="Arial" w:hAnsi="Arial"/>
          <w:sz w:val="16"/>
          <w:szCs w:val="16"/>
          <w:color w:val="0070C0"/>
        </w:rPr>
        <w:t>MS revenue increased $4.5 million, or 0.5%</w:t>
      </w:r>
    </w:p>
    <w:p>
      <w:pPr>
        <w:spacing w:after="0" w:line="21" w:lineRule="exact"/>
        <w:rPr>
          <w:rFonts w:ascii="Arial" w:cs="Arial" w:eastAsia="Arial" w:hAnsi="Arial"/>
          <w:sz w:val="16"/>
          <w:szCs w:val="16"/>
          <w:color w:val="0070C0"/>
        </w:rPr>
      </w:pPr>
    </w:p>
    <w:p>
      <w:pPr>
        <w:ind w:left="120" w:hanging="112"/>
        <w:spacing w:after="0"/>
        <w:tabs>
          <w:tab w:leader="none" w:pos="120" w:val="left"/>
        </w:tabs>
        <w:numPr>
          <w:ilvl w:val="0"/>
          <w:numId w:val="15"/>
        </w:numPr>
        <w:rPr>
          <w:rFonts w:ascii="Arial" w:cs="Arial" w:eastAsia="Arial" w:hAnsi="Arial"/>
          <w:sz w:val="16"/>
          <w:szCs w:val="16"/>
          <w:color w:val="0070C0"/>
        </w:rPr>
      </w:pPr>
      <w:r>
        <w:rPr>
          <w:rFonts w:ascii="Arial" w:cs="Arial" w:eastAsia="Arial" w:hAnsi="Arial"/>
          <w:sz w:val="16"/>
          <w:szCs w:val="16"/>
          <w:color w:val="0070C0"/>
        </w:rPr>
        <w:t>Rare disease revenue decreased $6.1 million, or 1.1%</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155" w:hanging="155"/>
        <w:spacing w:after="0" w:line="266" w:lineRule="auto"/>
        <w:tabs>
          <w:tab w:leader="none" w:pos="113" w:val="left"/>
        </w:tabs>
        <w:numPr>
          <w:ilvl w:val="0"/>
          <w:numId w:val="16"/>
        </w:numPr>
        <w:rPr>
          <w:rFonts w:ascii="Arial" w:cs="Arial" w:eastAsia="Arial" w:hAnsi="Arial"/>
          <w:sz w:val="15"/>
          <w:szCs w:val="15"/>
          <w:b w:val="1"/>
          <w:bCs w:val="1"/>
          <w:color w:val="0070C0"/>
        </w:rPr>
      </w:pPr>
      <w:r>
        <w:rPr>
          <w:rFonts w:ascii="Arial" w:cs="Arial" w:eastAsia="Arial" w:hAnsi="Arial"/>
          <w:sz w:val="15"/>
          <w:szCs w:val="15"/>
          <w:color w:val="auto"/>
        </w:rPr>
        <w:t>The increase in MS product revenue was primarily due to an increase in global TYSABRI and VUMERITY revenue driven by favorable pricing and channel dynamics as well as the favorable impact of foreign currency exchange, partially offset by a decrease in global demand of TECFIDERA, particularly in Europe, driven by generic competition.</w:t>
      </w:r>
    </w:p>
    <w:p>
      <w:pPr>
        <w:spacing w:after="0" w:line="2" w:lineRule="exact"/>
        <w:rPr>
          <w:rFonts w:ascii="Arial" w:cs="Arial" w:eastAsia="Arial" w:hAnsi="Arial"/>
          <w:sz w:val="15"/>
          <w:szCs w:val="15"/>
          <w:b w:val="1"/>
          <w:bCs w:val="1"/>
          <w:color w:val="0070C0"/>
        </w:rPr>
      </w:pPr>
    </w:p>
    <w:p>
      <w:pPr>
        <w:ind w:left="155" w:right="60" w:hanging="155"/>
        <w:spacing w:after="0" w:line="258" w:lineRule="auto"/>
        <w:tabs>
          <w:tab w:leader="none" w:pos="113" w:val="left"/>
        </w:tabs>
        <w:numPr>
          <w:ilvl w:val="0"/>
          <w:numId w:val="16"/>
        </w:numPr>
        <w:rPr>
          <w:rFonts w:ascii="Arial" w:cs="Arial" w:eastAsia="Arial" w:hAnsi="Arial"/>
          <w:sz w:val="15"/>
          <w:szCs w:val="15"/>
          <w:color w:val="0070C0"/>
        </w:rPr>
      </w:pPr>
      <w:r>
        <w:rPr>
          <w:rFonts w:ascii="Arial" w:cs="Arial" w:eastAsia="Arial" w:hAnsi="Arial"/>
          <w:sz w:val="15"/>
          <w:szCs w:val="15"/>
          <w:color w:val="auto"/>
        </w:rPr>
        <w:t>The decrease in rare disease product revenue was primarily due to unfavorable inventory dynamics resulting from the timing of shipments for SPINRAZA in certain international markets, partially offset by revenue growth from our new product launches, including SKYCLARYS and</w:t>
      </w:r>
    </w:p>
    <w:p>
      <w:pPr>
        <w:spacing w:after="0" w:line="1" w:lineRule="exact"/>
        <w:rPr>
          <w:rFonts w:ascii="Arial" w:cs="Arial" w:eastAsia="Arial" w:hAnsi="Arial"/>
          <w:sz w:val="15"/>
          <w:szCs w:val="15"/>
          <w:color w:val="0070C0"/>
        </w:rPr>
      </w:pPr>
    </w:p>
    <w:p>
      <w:pPr>
        <w:ind w:left="155"/>
        <w:spacing w:after="0"/>
        <w:rPr>
          <w:rFonts w:ascii="Arial" w:cs="Arial" w:eastAsia="Arial" w:hAnsi="Arial"/>
          <w:sz w:val="15"/>
          <w:szCs w:val="15"/>
          <w:color w:val="0070C0"/>
        </w:rPr>
      </w:pPr>
      <w:r>
        <w:rPr>
          <w:rFonts w:ascii="Arial" w:cs="Arial" w:eastAsia="Arial" w:hAnsi="Arial"/>
          <w:sz w:val="15"/>
          <w:szCs w:val="15"/>
          <w:color w:val="auto"/>
        </w:rPr>
        <w:t>QALSODY.</w:t>
      </w:r>
    </w:p>
    <w:p>
      <w:pPr>
        <w:spacing w:after="0" w:line="70" w:lineRule="exact"/>
        <w:rPr>
          <w:rFonts w:ascii="Arial" w:cs="Arial" w:eastAsia="Arial" w:hAnsi="Arial"/>
          <w:sz w:val="15"/>
          <w:szCs w:val="15"/>
          <w:color w:val="0070C0"/>
        </w:rPr>
      </w:pPr>
    </w:p>
    <w:p>
      <w:pPr>
        <w:ind w:left="155" w:hanging="155"/>
        <w:spacing w:after="0" w:line="301" w:lineRule="auto"/>
        <w:tabs>
          <w:tab w:leader="none" w:pos="113" w:val="left"/>
        </w:tabs>
        <w:numPr>
          <w:ilvl w:val="0"/>
          <w:numId w:val="16"/>
        </w:numPr>
        <w:rPr>
          <w:rFonts w:ascii="Arial" w:cs="Arial" w:eastAsia="Arial" w:hAnsi="Arial"/>
          <w:sz w:val="15"/>
          <w:szCs w:val="15"/>
          <w:color w:val="0070C0"/>
        </w:rPr>
      </w:pPr>
      <w:r>
        <w:rPr>
          <w:rFonts w:ascii="Arial" w:cs="Arial" w:eastAsia="Arial" w:hAnsi="Arial"/>
          <w:sz w:val="15"/>
          <w:szCs w:val="15"/>
          <w:color w:val="auto"/>
        </w:rPr>
        <w:t>ZURZUVAE revenue of $55.4 million in the first quarter of 2026 was driven by the continued launch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207645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5185" w:space="720"/>
            <w:col w:w="5175"/>
          </w:cols>
          <w:pgMar w:left="320" w:top="130" w:right="499" w:bottom="1440" w:gutter="0" w:footer="0" w:header="0"/>
          <w:type w:val="continuous"/>
        </w:sectPr>
      </w:pPr>
    </w:p>
    <w:p>
      <w:pPr>
        <w:jc w:val="center"/>
        <w:ind w:right="-159"/>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122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122680"/>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Decreased</w:t>
      </w:r>
    </w:p>
    <w:p>
      <w:pPr>
        <w:spacing w:after="0" w:line="21"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$19.7 million or 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089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6"/>
          <w:szCs w:val="16"/>
          <w:color w:val="0070C0"/>
        </w:rPr>
      </w:pPr>
      <w:r>
        <w:rPr>
          <w:rFonts w:ascii="Arial" w:cs="Arial" w:eastAsia="Arial" w:hAnsi="Arial"/>
          <w:sz w:val="16"/>
          <w:szCs w:val="16"/>
          <w:color w:val="0070C0"/>
        </w:rPr>
        <w:t>Cost of sales increased $31.7 million, or 5.0%</w:t>
      </w:r>
    </w:p>
    <w:p>
      <w:pPr>
        <w:spacing w:after="0" w:line="30" w:lineRule="exact"/>
        <w:rPr>
          <w:rFonts w:ascii="Arial" w:cs="Arial" w:eastAsia="Arial" w:hAnsi="Arial"/>
          <w:sz w:val="16"/>
          <w:szCs w:val="16"/>
          <w:color w:val="0070C0"/>
        </w:rPr>
      </w:pPr>
    </w:p>
    <w:p>
      <w:pPr>
        <w:ind w:left="120" w:hanging="112"/>
        <w:spacing w:after="0"/>
        <w:tabs>
          <w:tab w:leader="none" w:pos="120" w:val="left"/>
        </w:tabs>
        <w:numPr>
          <w:ilvl w:val="0"/>
          <w:numId w:val="17"/>
        </w:numPr>
        <w:rPr>
          <w:rFonts w:ascii="Arial" w:cs="Arial" w:eastAsia="Arial" w:hAnsi="Arial"/>
          <w:sz w:val="16"/>
          <w:szCs w:val="16"/>
          <w:color w:val="0070C0"/>
        </w:rPr>
      </w:pPr>
      <w:r>
        <w:rPr>
          <w:rFonts w:ascii="Arial" w:cs="Arial" w:eastAsia="Arial" w:hAnsi="Arial"/>
          <w:sz w:val="16"/>
          <w:szCs w:val="16"/>
          <w:color w:val="0070C0"/>
        </w:rPr>
        <w:t>R&amp;D expense increased $104.9 million, or 24.2%</w:t>
      </w:r>
    </w:p>
    <w:p>
      <w:pPr>
        <w:spacing w:after="0" w:line="8" w:lineRule="exact"/>
        <w:rPr>
          <w:rFonts w:ascii="Arial" w:cs="Arial" w:eastAsia="Arial" w:hAnsi="Arial"/>
          <w:sz w:val="16"/>
          <w:szCs w:val="16"/>
          <w:color w:val="0070C0"/>
        </w:rPr>
      </w:pPr>
    </w:p>
    <w:p>
      <w:pPr>
        <w:ind w:left="120" w:hanging="112"/>
        <w:spacing w:after="0"/>
        <w:tabs>
          <w:tab w:leader="none" w:pos="120" w:val="left"/>
        </w:tabs>
        <w:numPr>
          <w:ilvl w:val="0"/>
          <w:numId w:val="17"/>
        </w:numPr>
        <w:rPr>
          <w:rFonts w:ascii="Arial" w:cs="Arial" w:eastAsia="Arial" w:hAnsi="Arial"/>
          <w:sz w:val="16"/>
          <w:szCs w:val="16"/>
          <w:color w:val="0070C0"/>
        </w:rPr>
      </w:pPr>
      <w:r>
        <w:rPr>
          <w:rFonts w:ascii="Arial" w:cs="Arial" w:eastAsia="Arial" w:hAnsi="Arial"/>
          <w:sz w:val="16"/>
          <w:szCs w:val="16"/>
          <w:color w:val="0070C0"/>
        </w:rPr>
        <w:t>SG&amp;A expense increased $34.8 million, or 6.1%</w:t>
      </w:r>
    </w:p>
    <w:p>
      <w:pPr>
        <w:spacing w:after="0" w:line="14" w:lineRule="exact"/>
        <w:rPr>
          <w:rFonts w:ascii="Arial" w:cs="Arial" w:eastAsia="Arial" w:hAnsi="Arial"/>
          <w:sz w:val="16"/>
          <w:szCs w:val="16"/>
          <w:color w:val="0070C0"/>
        </w:rPr>
      </w:pPr>
    </w:p>
    <w:p>
      <w:pPr>
        <w:ind w:left="180" w:right="245" w:hanging="172"/>
        <w:spacing w:after="0" w:line="270" w:lineRule="auto"/>
        <w:tabs>
          <w:tab w:leader="none" w:pos="129" w:val="left"/>
        </w:tabs>
        <w:numPr>
          <w:ilvl w:val="0"/>
          <w:numId w:val="17"/>
        </w:numPr>
        <w:rPr>
          <w:rFonts w:ascii="Arial" w:cs="Arial" w:eastAsia="Arial" w:hAnsi="Arial"/>
          <w:sz w:val="16"/>
          <w:szCs w:val="16"/>
          <w:color w:val="0070C0"/>
        </w:rPr>
      </w:pPr>
      <w:r>
        <w:rPr>
          <w:rFonts w:ascii="Arial" w:cs="Arial" w:eastAsia="Arial" w:hAnsi="Arial"/>
          <w:sz w:val="16"/>
          <w:szCs w:val="16"/>
          <w:color w:val="0070C0"/>
        </w:rPr>
        <w:t>Acquired IPR&amp;D, upfront and milestone expense decreased $166.7 million, or 83.1%</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5" w:hanging="115"/>
        <w:spacing w:after="0"/>
        <w:tabs>
          <w:tab w:leader="none" w:pos="115" w:val="left"/>
        </w:tabs>
        <w:numPr>
          <w:ilvl w:val="0"/>
          <w:numId w:val="18"/>
        </w:numPr>
        <w:rPr>
          <w:rFonts w:ascii="Arial" w:cs="Arial" w:eastAsia="Arial" w:hAnsi="Arial"/>
          <w:sz w:val="15"/>
          <w:szCs w:val="15"/>
          <w:b w:val="1"/>
          <w:bCs w:val="1"/>
          <w:i w:val="1"/>
          <w:iCs w:val="1"/>
          <w:color w:val="0070C0"/>
        </w:rPr>
      </w:pPr>
      <w:r>
        <w:rPr>
          <w:rFonts w:ascii="Arial" w:cs="Arial" w:eastAsia="Arial" w:hAnsi="Arial"/>
          <w:sz w:val="15"/>
          <w:szCs w:val="15"/>
          <w:color w:val="auto"/>
        </w:rPr>
        <w:t>The increase in cost of sales was primarily due to higher period costs.</w:t>
      </w:r>
    </w:p>
    <w:p>
      <w:pPr>
        <w:spacing w:after="0" w:line="35" w:lineRule="exact"/>
        <w:rPr>
          <w:rFonts w:ascii="Arial" w:cs="Arial" w:eastAsia="Arial" w:hAnsi="Arial"/>
          <w:sz w:val="15"/>
          <w:szCs w:val="15"/>
          <w:b w:val="1"/>
          <w:bCs w:val="1"/>
          <w:i w:val="1"/>
          <w:iCs w:val="1"/>
          <w:color w:val="0070C0"/>
        </w:rPr>
      </w:pPr>
    </w:p>
    <w:p>
      <w:pPr>
        <w:ind w:left="155" w:right="200" w:hanging="155"/>
        <w:spacing w:after="0" w:line="259" w:lineRule="auto"/>
        <w:tabs>
          <w:tab w:leader="none" w:pos="113" w:val="left"/>
        </w:tabs>
        <w:numPr>
          <w:ilvl w:val="0"/>
          <w:numId w:val="18"/>
        </w:numPr>
        <w:rPr>
          <w:rFonts w:ascii="Arial" w:cs="Arial" w:eastAsia="Arial" w:hAnsi="Arial"/>
          <w:sz w:val="15"/>
          <w:szCs w:val="15"/>
          <w:color w:val="0070C0"/>
        </w:rPr>
      </w:pPr>
      <w:r>
        <w:rPr>
          <w:rFonts w:ascii="Arial" w:cs="Arial" w:eastAsia="Arial" w:hAnsi="Arial"/>
          <w:sz w:val="15"/>
          <w:szCs w:val="15"/>
          <w:color w:val="auto"/>
        </w:rPr>
        <w:t>The increase in R&amp;D expense was primarily due to approximately $56.8 million of step-up amortization related to SKYCLARYS inventory and higher spend on clinical trials, including felzartamab and litifilimab.</w:t>
      </w:r>
    </w:p>
    <w:p>
      <w:pPr>
        <w:ind w:left="155" w:right="200" w:hanging="155"/>
        <w:spacing w:after="0" w:line="257" w:lineRule="auto"/>
        <w:tabs>
          <w:tab w:leader="none" w:pos="100" w:val="left"/>
        </w:tabs>
        <w:numPr>
          <w:ilvl w:val="0"/>
          <w:numId w:val="18"/>
        </w:numPr>
        <w:rPr>
          <w:rFonts w:ascii="Arial" w:cs="Arial" w:eastAsia="Arial" w:hAnsi="Arial"/>
          <w:sz w:val="15"/>
          <w:szCs w:val="15"/>
          <w:b w:val="1"/>
          <w:bCs w:val="1"/>
          <w:i w:val="1"/>
          <w:iCs w:val="1"/>
          <w:color w:val="0070C0"/>
        </w:rPr>
      </w:pPr>
      <w:r>
        <w:rPr>
          <w:rFonts w:ascii="Arial" w:cs="Arial" w:eastAsia="Arial" w:hAnsi="Arial"/>
          <w:sz w:val="15"/>
          <w:szCs w:val="15"/>
          <w:color w:val="auto"/>
        </w:rPr>
        <w:t>The increase in SG&amp;A expense was primarily due to an increase in operational spending on sales and marketing activities in support of our U.S. and international product launches.</w:t>
      </w:r>
    </w:p>
    <w:p>
      <w:pPr>
        <w:spacing w:after="0" w:line="1" w:lineRule="exact"/>
        <w:rPr>
          <w:rFonts w:ascii="Arial" w:cs="Arial" w:eastAsia="Arial" w:hAnsi="Arial"/>
          <w:sz w:val="15"/>
          <w:szCs w:val="15"/>
          <w:b w:val="1"/>
          <w:bCs w:val="1"/>
          <w:i w:val="1"/>
          <w:iCs w:val="1"/>
          <w:color w:val="0070C0"/>
        </w:rPr>
      </w:pPr>
    </w:p>
    <w:p>
      <w:pPr>
        <w:ind w:left="155" w:right="20" w:hanging="155"/>
        <w:spacing w:after="0" w:line="273" w:lineRule="auto"/>
        <w:tabs>
          <w:tab w:leader="none" w:pos="113" w:val="left"/>
        </w:tabs>
        <w:numPr>
          <w:ilvl w:val="0"/>
          <w:numId w:val="18"/>
        </w:numPr>
        <w:rPr>
          <w:rFonts w:ascii="Arial" w:cs="Arial" w:eastAsia="Arial" w:hAnsi="Arial"/>
          <w:sz w:val="15"/>
          <w:szCs w:val="15"/>
          <w:color w:val="0070C0"/>
        </w:rPr>
      </w:pPr>
      <w:r>
        <w:rPr>
          <w:rFonts w:ascii="Arial" w:cs="Arial" w:eastAsia="Arial" w:hAnsi="Arial"/>
          <w:sz w:val="15"/>
          <w:szCs w:val="15"/>
          <w:color w:val="auto"/>
        </w:rPr>
        <w:t>The decrease in acquired IPR&amp;D, upfront and milestone expense was due to higher upfront and milestone payments in the first quarter of 2025 of $200.7 million, compared to $34.0 million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923290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1" w:lineRule="exact"/>
        <w:rPr>
          <w:sz w:val="20"/>
          <w:szCs w:val="20"/>
          <w:color w:val="auto"/>
        </w:rPr>
      </w:pPr>
    </w:p>
    <w:p>
      <w:pPr>
        <w:sectPr>
          <w:pgSz w:w="11900" w:h="16838" w:orient="portrait"/>
          <w:cols w:equalWidth="0" w:num="2">
            <w:col w:w="5185" w:space="720"/>
            <w:col w:w="5175"/>
          </w:cols>
          <w:pgMar w:left="320" w:top="13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8" w:lineRule="exact"/>
        <w:rPr>
          <w:sz w:val="20"/>
          <w:szCs w:val="20"/>
          <w:color w:val="auto"/>
        </w:rPr>
      </w:pPr>
    </w:p>
    <w:p>
      <w:pPr>
        <w:spacing w:after="0"/>
        <w:tabs>
          <w:tab w:leader="none" w:pos="5880" w:val="left"/>
        </w:tabs>
        <w:rPr>
          <w:sz w:val="20"/>
          <w:szCs w:val="20"/>
          <w:color w:val="auto"/>
        </w:rPr>
      </w:pPr>
      <w:r>
        <w:rPr>
          <w:rFonts w:ascii="Arial" w:cs="Arial" w:eastAsia="Arial" w:hAnsi="Arial"/>
          <w:sz w:val="15"/>
          <w:szCs w:val="15"/>
          <w:color w:val="0070C0"/>
        </w:rPr>
        <w:t xml:space="preserve">• </w:t>
      </w:r>
      <w:r>
        <w:rPr>
          <w:rFonts w:ascii="Arial" w:cs="Arial" w:eastAsia="Arial" w:hAnsi="Arial"/>
          <w:sz w:val="15"/>
          <w:szCs w:val="15"/>
          <w:color w:val="000000"/>
        </w:rPr>
        <w:t>Cash, cash equivalents and marketable securities totaled approximately</w:t>
      </w:r>
      <w:r>
        <w:rPr>
          <w:sz w:val="20"/>
          <w:szCs w:val="20"/>
          <w:color w:val="auto"/>
        </w:rPr>
        <w:tab/>
      </w:r>
      <w:r>
        <w:rPr>
          <w:rFonts w:ascii="Arial" w:cs="Arial" w:eastAsia="Arial" w:hAnsi="Arial"/>
          <w:sz w:val="15"/>
          <w:szCs w:val="15"/>
          <w:color w:val="0070C0"/>
        </w:rPr>
        <w:t xml:space="preserve">• </w:t>
      </w:r>
      <w:r>
        <w:rPr>
          <w:rFonts w:ascii="Arial" w:cs="Arial" w:eastAsia="Arial" w:hAnsi="Arial"/>
          <w:sz w:val="15"/>
          <w:szCs w:val="15"/>
          <w:color w:val="000000"/>
        </w:rPr>
        <w:t>We generated approximately $645.5 million of net cash flow from</w:t>
      </w:r>
    </w:p>
    <w:p>
      <w:pPr>
        <w:sectPr>
          <w:pgSz w:w="11900" w:h="16838" w:orient="portrait"/>
          <w:cols w:equalWidth="0" w:num="1">
            <w:col w:w="11080"/>
          </w:cols>
          <w:pgMar w:left="320" w:top="130" w:right="499" w:bottom="1440" w:gutter="0" w:footer="0" w:header="0"/>
          <w:type w:val="continuous"/>
        </w:sectPr>
      </w:pPr>
    </w:p>
    <w:p>
      <w:pPr>
        <w:spacing w:after="0" w:line="28" w:lineRule="exact"/>
        <w:rPr>
          <w:sz w:val="20"/>
          <w:szCs w:val="20"/>
          <w:color w:val="auto"/>
        </w:rPr>
      </w:pPr>
    </w:p>
    <w:p>
      <w:pPr>
        <w:ind w:left="180" w:right="260"/>
        <w:spacing w:after="0" w:line="267" w:lineRule="auto"/>
        <w:rPr>
          <w:sz w:val="20"/>
          <w:szCs w:val="20"/>
          <w:color w:val="auto"/>
        </w:rPr>
      </w:pPr>
      <w:r>
        <w:rPr>
          <w:rFonts w:ascii="Arial" w:cs="Arial" w:eastAsia="Arial" w:hAnsi="Arial"/>
          <w:sz w:val="15"/>
          <w:szCs w:val="15"/>
          <w:color w:val="auto"/>
        </w:rPr>
        <w:t>$4.7 billion as of March 31, 2026, compared to approximately $4.2 billion as of December 31, 2025.</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380"/>
        <w:spacing w:after="0" w:line="267" w:lineRule="auto"/>
        <w:rPr>
          <w:sz w:val="20"/>
          <w:szCs w:val="20"/>
          <w:color w:val="auto"/>
        </w:rPr>
      </w:pPr>
      <w:r>
        <w:rPr>
          <w:rFonts w:ascii="Arial" w:cs="Arial" w:eastAsia="Arial" w:hAnsi="Arial"/>
          <w:sz w:val="15"/>
          <w:szCs w:val="15"/>
          <w:color w:val="auto"/>
        </w:rPr>
        <w:t>operations for the three months ended March 31, 2026, compared to approximately $259.3 million in the prior year comparative period.</w:t>
      </w:r>
    </w:p>
    <w:p>
      <w:pPr>
        <w:spacing w:after="0" w:line="200" w:lineRule="exact"/>
        <w:rPr>
          <w:sz w:val="20"/>
          <w:szCs w:val="20"/>
          <w:color w:val="auto"/>
        </w:rPr>
      </w:pPr>
    </w:p>
    <w:p>
      <w:pPr>
        <w:sectPr>
          <w:pgSz w:w="11900" w:h="16838" w:orient="portrait"/>
          <w:cols w:equalWidth="0" w:num="2">
            <w:col w:w="5340" w:space="720"/>
            <w:col w:w="5020"/>
          </w:cols>
          <w:pgMar w:left="320" w:top="130" w:right="499" w:bottom="1440" w:gutter="0" w:footer="0" w:header="0"/>
          <w:type w:val="continuous"/>
        </w:sect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0070C0"/>
        </w:rPr>
        <w:t>RECENT DEVELOPMENTS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APELLIS PHARMACEUTICALS, INC.</w:t>
      </w:r>
    </w:p>
    <w:p>
      <w:pPr>
        <w:spacing w:after="0" w:line="1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March 2026 we entered into an agreement to acquire all of the issued and outstanding shares of Apellis Pharmaceuticals, Inc., a commercial-stage biopharmaceutical company focused on the discovery, development and commercialization of novel therapeutic compounds to treat diseases with high unmet needs. As a result of this proposed acquisition we would acquire two FDA-approved products from Apellis: SYFOVRE (pegcetacoplan injection) for the treatment of GA, an immune-mediated retinal disease; and EMPAVELI (pegcetacoplan) for the treatment of PNH, a rare blood disorder, and C3G and primary IC-MPGN in rare immune-mediated kidney diseases. The addition of Apellis is expected to enhance our short- and long-term revenue growth profile by adding two commercialized differentiated immunology and rare disease medicines to our growth portfolio.</w:t>
      </w:r>
    </w:p>
    <w:p>
      <w:pPr>
        <w:spacing w:after="0" w:line="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the terms of the proposed acquisition, we would pay Apellis shareholders $41.00 per share in cash, representing an expected total transaction value of approximately $5.6 billion, and one contractual, non-transferable contingent value right per share representing the right to receive contingent cash payments of up to an aggregate of $4.00 in cash, subject to the achievement of specified annual global net sales thresholds for SYFOVRE.</w:t>
      </w:r>
    </w:p>
    <w:p>
      <w:pPr>
        <w:spacing w:after="0" w:line="68"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plan to fund the proposed acquisition of Apellis through approximately $3.6 billion of available cash and marketable securities on hand, supplemented by approximately $2.0 billion in bank loans. We expect this transaction to be accounted for as a business combination.</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0070C0"/>
        </w:rPr>
        <w:t>COLLABORATIVE AND OTHER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TJ BIOPHARMA CO., LTD.</w:t>
      </w:r>
    </w:p>
    <w:p>
      <w:pPr>
        <w:spacing w:after="0" w:line="1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April 2026 we entered into a definitive agreement with TJ Biopharma Co., Ltd. to acquire TJ Bio's exclusive rights to felzartamab in the greater China region. With this agreement, we will own exclusive worldwide rights to felzartamab.</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the terms of this agreement we made an upfront payment of $100.0 million to TJ Bio, which will be recognized in acquired in-process research and development, upfront and milestone expense within our condensed consolidated statements of income during the second quarter of 2026.</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TJ Bio will also be eligible to receive potential commercial and sales milestone payments of up to $20.0 million and $730.0 million, respectively, if all specified milestones set forth in this collaboration are achieved. In addition, we may pay TJ Bio tiered royalties on potential net sales of felzartamab in the greater China region in the mid-single digit to low-double digit percentages.</w:t>
      </w:r>
    </w:p>
    <w:p>
      <w:pPr>
        <w:spacing w:after="0" w:line="6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Additionally, we assumed regulatory and sales milestone obligations under a pre-existing agreement between TJ Bio and MorphoSys and may pay MorphoSys tiered royalties on potential net sales of felzartamab in the greater China region.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ALTEOGEN INC.</w:t>
      </w:r>
    </w:p>
    <w:p>
      <w:pPr>
        <w:spacing w:after="0" w:line="10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March 2026 we entered into an exclusive license agreement with Alteogen Inc. to enable the development of a subcutaneous formulation of felzartamab using Alteogen's ALT-B4 hyaluronidase technology.</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$20.0 million to Alteogen, which was recognized in acquired in-process research and development, upfront and milestone expense within our condensed consolidated statements of income for the three months ended March 31, 2026, which was subsequently paid in April 2026.</w:t>
      </w:r>
    </w:p>
    <w:p>
      <w:pPr>
        <w:spacing w:after="0" w:line="63" w:lineRule="exact"/>
        <w:rPr>
          <w:sz w:val="20"/>
          <w:szCs w:val="20"/>
          <w:color w:val="auto"/>
        </w:rPr>
      </w:pPr>
    </w:p>
    <w:p>
      <w:pPr>
        <w:jc w:val="both"/>
        <w:ind w:right="480"/>
        <w:spacing w:after="0" w:line="262" w:lineRule="auto"/>
        <w:rPr>
          <w:sz w:val="20"/>
          <w:szCs w:val="20"/>
          <w:color w:val="auto"/>
        </w:rPr>
      </w:pPr>
      <w:r>
        <w:rPr>
          <w:rFonts w:ascii="Arial" w:cs="Arial" w:eastAsia="Arial" w:hAnsi="Arial"/>
          <w:sz w:val="18"/>
          <w:szCs w:val="18"/>
          <w:color w:val="auto"/>
        </w:rPr>
        <w:t>Alteogen will also be eligible to receive a $10.0 million option payment if a second program is selected for development, and potential development, regulatory and commercial milestone payments of up to $ 39.0 million, $80.0 million and $430.0 million respectively, if all specified milestones set forth in this collaboration for both programs are achieved. In addition, we may pay Alteogen tiered royalties on potential net sales of any combination products under this collaboration in the mid-single digit percentages.</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ALLOY THERAPEUTICS, INC.</w:t>
      </w:r>
    </w:p>
    <w:p>
      <w:pPr>
        <w:spacing w:after="0" w:line="1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March 2026 we entered into a collaboration and license agreement with Alloy Therapeutics Inc. for the use of Alloy’s novel and proprietary AntiClastic ASO Platform. Through this collaboration, we will apply the platform to advance antisense therapeutics against multiple targets.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closing of this transaction we accrued an upfront payment of $12.0 million to Alloy, which was recognized in acquired in-process research and development, upfront and milestone expense within our condensed consolidated statements of income for the three months ended March 31, 2026. We expect this upfront milestone to be paid during the second quarter of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Alloy will also be eligible to receive potential milestone payments and tiered royalties on any products resulting from the collaboration.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during 2026 consisted of the following:</w:t>
      </w:r>
    </w:p>
    <w:p>
      <w:pPr>
        <w:spacing w:after="0" w:line="90" w:lineRule="exact"/>
        <w:rPr>
          <w:sz w:val="20"/>
          <w:szCs w:val="20"/>
          <w:color w:val="auto"/>
        </w:rPr>
      </w:pPr>
    </w:p>
    <w:p>
      <w:pPr>
        <w:ind w:left="340" w:right="220" w:hanging="332"/>
        <w:spacing w:after="0" w:line="268" w:lineRule="auto"/>
        <w:tabs>
          <w:tab w:leader="none" w:pos="295" w:val="left"/>
        </w:tabs>
        <w:numPr>
          <w:ilvl w:val="0"/>
          <w:numId w:val="19"/>
        </w:numPr>
        <w:rPr>
          <w:rFonts w:ascii="Arial" w:cs="Arial" w:eastAsia="Arial" w:hAnsi="Arial"/>
          <w:sz w:val="18"/>
          <w:szCs w:val="18"/>
          <w:color w:val="0070C0"/>
        </w:rPr>
      </w:pPr>
      <w:r>
        <w:rPr>
          <w:rFonts w:ascii="Arial" w:cs="Arial" w:eastAsia="Arial" w:hAnsi="Arial"/>
          <w:sz w:val="18"/>
          <w:szCs w:val="18"/>
          <w:color w:val="auto"/>
        </w:rPr>
        <w:t>In March 2026 we and our collaboration partner Eisai announced new real-world findings from an analysis of long-term treatment persistence and baseline characteristics among people receiving IV lecanemab. The findings showed that most patients continue with ongoing maintenance therapy after the initial 18 months of treatment.</w:t>
      </w:r>
    </w:p>
    <w:p>
      <w:pPr>
        <w:spacing w:after="0" w:line="49" w:lineRule="exact"/>
        <w:rPr>
          <w:rFonts w:ascii="Arial" w:cs="Arial" w:eastAsia="Arial" w:hAnsi="Arial"/>
          <w:sz w:val="18"/>
          <w:szCs w:val="18"/>
          <w:color w:val="0070C0"/>
        </w:rPr>
      </w:pPr>
    </w:p>
    <w:p>
      <w:pPr>
        <w:ind w:left="340" w:right="360" w:hanging="332"/>
        <w:spacing w:after="0" w:line="287" w:lineRule="auto"/>
        <w:tabs>
          <w:tab w:leader="none" w:pos="295" w:val="left"/>
        </w:tabs>
        <w:numPr>
          <w:ilvl w:val="0"/>
          <w:numId w:val="19"/>
        </w:numPr>
        <w:rPr>
          <w:rFonts w:ascii="Arial" w:cs="Arial" w:eastAsia="Arial" w:hAnsi="Arial"/>
          <w:sz w:val="18"/>
          <w:szCs w:val="18"/>
          <w:color w:val="0F6EC8"/>
        </w:rPr>
      </w:pPr>
      <w:r>
        <w:rPr>
          <w:rFonts w:ascii="Arial" w:cs="Arial" w:eastAsia="Arial" w:hAnsi="Arial"/>
          <w:sz w:val="18"/>
          <w:szCs w:val="18"/>
          <w:color w:val="auto"/>
        </w:rPr>
        <w:t>In January 2026 the FDA accepted for review the supplemental BLA for LEQEMBI subcutaneous autoinjector, LEQEMBI IQLIK, for a weekly starting dose, with a PDUFA action date of May 24, 2026.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during 2026 consisted of the following:</w:t>
      </w:r>
    </w:p>
    <w:p>
      <w:pPr>
        <w:spacing w:after="0" w:line="104"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0F6EC8"/>
        </w:rPr>
      </w:pPr>
      <w:r>
        <w:rPr>
          <w:rFonts w:ascii="Arial" w:cs="Arial" w:eastAsia="Arial" w:hAnsi="Arial"/>
          <w:sz w:val="18"/>
          <w:szCs w:val="18"/>
          <w:color w:val="auto"/>
        </w:rPr>
        <w:t>In February 2026 the BLA for LEQEMBI subcutaneous autoinjector was designated for Priority Review by the NMPA in China.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LITIFILIMAB</w:t>
      </w:r>
    </w:p>
    <w:p>
      <w:pPr>
        <w:spacing w:after="0" w:line="106" w:lineRule="exact"/>
        <w:rPr>
          <w:sz w:val="20"/>
          <w:szCs w:val="20"/>
          <w:color w:val="auto"/>
        </w:rPr>
      </w:pPr>
    </w:p>
    <w:p>
      <w:pPr>
        <w:ind w:left="340" w:right="140" w:hanging="332"/>
        <w:spacing w:after="0" w:line="262" w:lineRule="auto"/>
        <w:tabs>
          <w:tab w:leader="none" w:pos="295" w:val="left"/>
        </w:tabs>
        <w:numPr>
          <w:ilvl w:val="0"/>
          <w:numId w:val="21"/>
        </w:numPr>
        <w:rPr>
          <w:rFonts w:ascii="Arial" w:cs="Arial" w:eastAsia="Arial" w:hAnsi="Arial"/>
          <w:sz w:val="18"/>
          <w:szCs w:val="18"/>
          <w:color w:val="0F6EC8"/>
        </w:rPr>
      </w:pPr>
      <w:r>
        <w:rPr>
          <w:rFonts w:ascii="Arial" w:cs="Arial" w:eastAsia="Arial" w:hAnsi="Arial"/>
          <w:sz w:val="18"/>
          <w:szCs w:val="18"/>
          <w:color w:val="auto"/>
        </w:rPr>
        <w:t>In March 2026 we announced positive results from the Phase 2 part of the AMETHYST Phase 2/3 study (Part A) of litifilimab in people living with CLE. The Phase 2 part of the AMETHYST study met its primary endpoint of reduction of disease activity in people living with CLE at Week 16, with more litifilimab participants achieving clear/almost clear skin. If approved, litifilimab could be the first targeted therapy for this disease.</w:t>
      </w:r>
    </w:p>
    <w:p>
      <w:pPr>
        <w:spacing w:after="0" w:line="68" w:lineRule="exact"/>
        <w:rPr>
          <w:rFonts w:ascii="Arial" w:cs="Arial" w:eastAsia="Arial" w:hAnsi="Arial"/>
          <w:sz w:val="18"/>
          <w:szCs w:val="18"/>
          <w:color w:val="0F6EC8"/>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January 2026 the FDA granted Breakthrough Therapy designation for litifilimab for the treatment of CLE.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SALANERSEN (BIIB115)</w:t>
      </w:r>
    </w:p>
    <w:p>
      <w:pPr>
        <w:spacing w:after="0" w:line="106" w:lineRule="exact"/>
        <w:rPr>
          <w:sz w:val="20"/>
          <w:szCs w:val="20"/>
          <w:color w:val="auto"/>
        </w:rPr>
      </w:pPr>
    </w:p>
    <w:p>
      <w:pPr>
        <w:ind w:left="340" w:right="80" w:hanging="332"/>
        <w:spacing w:after="0" w:line="268" w:lineRule="auto"/>
        <w:tabs>
          <w:tab w:leader="none" w:pos="295" w:val="left"/>
        </w:tabs>
        <w:numPr>
          <w:ilvl w:val="0"/>
          <w:numId w:val="22"/>
        </w:numPr>
        <w:rPr>
          <w:rFonts w:ascii="Arial" w:cs="Arial" w:eastAsia="Arial" w:hAnsi="Arial"/>
          <w:sz w:val="18"/>
          <w:szCs w:val="18"/>
          <w:color w:val="0F6EC8"/>
        </w:rPr>
      </w:pPr>
      <w:r>
        <w:rPr>
          <w:rFonts w:ascii="Arial" w:cs="Arial" w:eastAsia="Arial" w:hAnsi="Arial"/>
          <w:sz w:val="18"/>
          <w:szCs w:val="18"/>
          <w:color w:val="auto"/>
        </w:rPr>
        <w:t>In March 2026 we presented additional results from the Phase 1b study of salanersen, an ASO given once a year for the treatment of SMA. The data showed support for the safety and effectiveness of salanersen over one year of treatment in children with SMA who had the potential for improvement due to suboptimal clinical status with prior gene therapy.</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06" w:lineRule="exact"/>
        <w:rPr>
          <w:sz w:val="20"/>
          <w:szCs w:val="20"/>
          <w:color w:val="auto"/>
        </w:rPr>
      </w:pPr>
    </w:p>
    <w:p>
      <w:pPr>
        <w:ind w:left="340" w:right="40" w:hanging="332"/>
        <w:spacing w:after="0" w:line="287" w:lineRule="auto"/>
        <w:tabs>
          <w:tab w:leader="none" w:pos="295" w:val="left"/>
        </w:tabs>
        <w:numPr>
          <w:ilvl w:val="0"/>
          <w:numId w:val="23"/>
        </w:numPr>
        <w:rPr>
          <w:rFonts w:ascii="Arial" w:cs="Arial" w:eastAsia="Arial" w:hAnsi="Arial"/>
          <w:sz w:val="18"/>
          <w:szCs w:val="18"/>
          <w:color w:val="0F6EC8"/>
        </w:rPr>
      </w:pPr>
      <w:r>
        <w:rPr>
          <w:rFonts w:ascii="Arial" w:cs="Arial" w:eastAsia="Arial" w:hAnsi="Arial"/>
          <w:sz w:val="18"/>
          <w:szCs w:val="18"/>
          <w:color w:val="auto"/>
        </w:rPr>
        <w:t>In March 2026 the FDA approved the high dose regimen of SPINRAZA, which is comprised of 50 mg/5 mL and 28mg/5 mL doses for the treatment of SMA.</w:t>
      </w:r>
    </w:p>
    <w:p>
      <w:pPr>
        <w:spacing w:after="0" w:line="44" w:lineRule="exact"/>
        <w:rPr>
          <w:rFonts w:ascii="Arial" w:cs="Arial" w:eastAsia="Arial" w:hAnsi="Arial"/>
          <w:sz w:val="18"/>
          <w:szCs w:val="18"/>
          <w:color w:val="0F6EC8"/>
        </w:rPr>
      </w:pPr>
    </w:p>
    <w:p>
      <w:pPr>
        <w:ind w:left="340" w:right="40" w:hanging="332"/>
        <w:spacing w:after="0" w:line="262" w:lineRule="auto"/>
        <w:tabs>
          <w:tab w:leader="none" w:pos="295" w:val="left"/>
        </w:tabs>
        <w:numPr>
          <w:ilvl w:val="0"/>
          <w:numId w:val="23"/>
        </w:numPr>
        <w:rPr>
          <w:rFonts w:ascii="Arial" w:cs="Arial" w:eastAsia="Arial" w:hAnsi="Arial"/>
          <w:sz w:val="18"/>
          <w:szCs w:val="18"/>
          <w:color w:val="0F6EC8"/>
        </w:rPr>
      </w:pPr>
      <w:r>
        <w:rPr>
          <w:rFonts w:ascii="Arial" w:cs="Arial" w:eastAsia="Arial" w:hAnsi="Arial"/>
          <w:sz w:val="18"/>
          <w:szCs w:val="18"/>
          <w:color w:val="auto"/>
        </w:rPr>
        <w:t>In January 2026 the EC granted marketing authorization for a high dose regimen of SPINRAZA in the E.U. for the treatment of 5q SMA, which is the most common form of the disease and represents approximately 95% of all SMA cases. The high dose regimen is comprised of 50 mg/5 mL and 28 mg/5 mL doses and individuals transitioning from the 12 mg dose will receive one 50 mg dose in place of their next 12 mg dose, followed by 28 mg maintenance doses every four months thereafter.</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00587F"/>
        </w:rPr>
        <w:t>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REVENUE</w:t>
      </w:r>
    </w:p>
    <w:p>
      <w:pPr>
        <w:spacing w:after="0" w:line="1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condensed consolidated financial statements included in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For the Three Months Ended March 31,</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2026</w:t>
            </w:r>
          </w:p>
        </w:tc>
        <w:tc>
          <w:tcPr>
            <w:tcW w:w="6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ind w:left="60"/>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180" w:type="dxa"/>
            <w:vAlign w:val="bottom"/>
            <w:tcBorders>
              <w:bottom w:val="single" w:sz="8" w:color="auto"/>
            </w:tcBorders>
            <w:gridSpan w:val="2"/>
            <w:shd w:val="clear" w:color="auto" w:fill="DBDBDB"/>
          </w:tcPr>
          <w:p>
            <w:pPr>
              <w:jc w:val="right"/>
              <w:ind w:right="16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Product revenue, net:</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r>
      <w:tr>
        <w:trPr>
          <w:trHeight w:val="203"/>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839.2</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33.9 %</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753.8</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31.0 %</w:t>
            </w:r>
          </w:p>
        </w:tc>
        <w:tc>
          <w:tcPr>
            <w:tcW w:w="10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6"/>
              </w:rPr>
              <w:t>$</w:t>
            </w:r>
          </w:p>
        </w:tc>
        <w:tc>
          <w:tcPr>
            <w:tcW w:w="9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0070C0"/>
              </w:rPr>
              <w:t>85.4</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4"/>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Rest of world</w:t>
            </w:r>
          </w:p>
        </w:tc>
        <w:tc>
          <w:tcPr>
            <w:tcW w:w="30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913.1</w:t>
            </w: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36.8</w:t>
            </w:r>
          </w:p>
        </w:tc>
        <w:tc>
          <w:tcPr>
            <w:tcW w:w="1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center"/>
              <w:ind w:left="428"/>
              <w:spacing w:after="0"/>
              <w:rPr>
                <w:sz w:val="20"/>
                <w:szCs w:val="20"/>
                <w:color w:val="auto"/>
              </w:rPr>
            </w:pPr>
            <w:r>
              <w:rPr>
                <w:rFonts w:ascii="Arial" w:cs="Arial" w:eastAsia="Arial" w:hAnsi="Arial"/>
                <w:sz w:val="14"/>
                <w:szCs w:val="14"/>
                <w:color w:val="0070C0"/>
              </w:rPr>
              <w:t>(59.6)</w:t>
            </w:r>
          </w:p>
        </w:tc>
        <w:tc>
          <w:tcPr>
            <w:tcW w:w="100" w:type="dxa"/>
            <w:vAlign w:val="bottom"/>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(6.1)</w:t>
            </w:r>
          </w:p>
        </w:tc>
        <w:tc>
          <w:tcPr>
            <w:tcW w:w="140" w:type="dxa"/>
            <w:vAlign w:val="bottom"/>
            <w:tcBorders>
              <w:bottom w:val="single" w:sz="8" w:color="auto"/>
            </w:tcBorders>
            <w:shd w:val="clear" w:color="auto" w:fill="DBDBDB"/>
          </w:tcPr>
          <w:p>
            <w:pPr>
              <w:spacing w:after="0"/>
              <w:rPr>
                <w:sz w:val="17"/>
                <w:szCs w:val="17"/>
                <w:color w:val="auto"/>
              </w:rPr>
            </w:pPr>
          </w:p>
        </w:tc>
      </w:tr>
      <w:tr>
        <w:trPr>
          <w:trHeight w:val="194"/>
        </w:trPr>
        <w:tc>
          <w:tcPr>
            <w:tcW w:w="3980" w:type="dxa"/>
            <w:vAlign w:val="bottom"/>
            <w:gridSpan w:val="3"/>
          </w:tcPr>
          <w:p>
            <w:pPr>
              <w:ind w:left="360"/>
              <w:spacing w:after="0"/>
              <w:rPr>
                <w:sz w:val="20"/>
                <w:szCs w:val="20"/>
                <w:color w:val="auto"/>
              </w:rPr>
            </w:pPr>
            <w:r>
              <w:rPr>
                <w:rFonts w:ascii="Arial" w:cs="Arial" w:eastAsia="Arial" w:hAnsi="Arial"/>
                <w:sz w:val="14"/>
                <w:szCs w:val="14"/>
                <w:color w:val="auto"/>
              </w:rPr>
              <w:t>Total product revenue, net</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1,752.3</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70.7</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1,726.5</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0070C0"/>
              </w:rPr>
              <w:t>25.8</w:t>
            </w:r>
          </w:p>
        </w:tc>
        <w:tc>
          <w:tcPr>
            <w:tcW w:w="100" w:type="dxa"/>
            <w:vAlign w:val="bottom"/>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140" w:type="dxa"/>
            <w:vAlign w:val="bottom"/>
            <w:shd w:val="clear" w:color="auto" w:fill="DBDBDB"/>
          </w:tcPr>
          <w:p>
            <w:pPr>
              <w:spacing w:after="0"/>
              <w:rPr>
                <w:sz w:val="16"/>
                <w:szCs w:val="16"/>
                <w:color w:val="auto"/>
              </w:rPr>
            </w:pPr>
          </w:p>
        </w:tc>
      </w:tr>
      <w:tr>
        <w:trPr>
          <w:trHeight w:val="20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419.1</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378.2</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0070C0"/>
              </w:rPr>
              <w:t>40.9</w:t>
            </w:r>
          </w:p>
        </w:tc>
        <w:tc>
          <w:tcPr>
            <w:tcW w:w="100" w:type="dxa"/>
            <w:vAlign w:val="bottom"/>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10.8</w:t>
            </w:r>
          </w:p>
        </w:tc>
        <w:tc>
          <w:tcPr>
            <w:tcW w:w="140" w:type="dxa"/>
            <w:vAlign w:val="bottom"/>
            <w:shd w:val="clear" w:color="auto" w:fill="DBDBDB"/>
          </w:tcPr>
          <w:p>
            <w:pPr>
              <w:spacing w:after="0"/>
              <w:rPr>
                <w:sz w:val="17"/>
                <w:szCs w:val="17"/>
                <w:color w:val="auto"/>
              </w:rPr>
            </w:pPr>
          </w:p>
        </w:tc>
      </w:tr>
      <w:tr>
        <w:trPr>
          <w:trHeight w:val="21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Alzheimer's collaboration revenue</w:t>
            </w:r>
            <w:r>
              <w:rPr>
                <w:rFonts w:ascii="Arial" w:cs="Arial" w:eastAsia="Arial" w:hAnsi="Arial"/>
                <w:sz w:val="18"/>
                <w:szCs w:val="18"/>
                <w:color w:val="auto"/>
                <w:vertAlign w:val="superscript"/>
              </w:rPr>
              <w:t>(1)</w:t>
            </w:r>
          </w:p>
        </w:tc>
        <w:tc>
          <w:tcPr>
            <w:tcW w:w="30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59.5</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w:t>
            </w:r>
          </w:p>
        </w:tc>
        <w:tc>
          <w:tcPr>
            <w:tcW w:w="14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0070C0"/>
              </w:rPr>
              <w:t>26.5</w:t>
            </w:r>
          </w:p>
        </w:tc>
        <w:tc>
          <w:tcPr>
            <w:tcW w:w="100" w:type="dxa"/>
            <w:vAlign w:val="bottom"/>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80.3</w:t>
            </w:r>
          </w:p>
        </w:tc>
        <w:tc>
          <w:tcPr>
            <w:tcW w:w="140" w:type="dxa"/>
            <w:vAlign w:val="bottom"/>
            <w:shd w:val="clear" w:color="auto" w:fill="DBDBDB"/>
          </w:tcPr>
          <w:p>
            <w:pPr>
              <w:spacing w:after="0"/>
              <w:rPr>
                <w:sz w:val="18"/>
                <w:szCs w:val="18"/>
                <w:color w:val="auto"/>
              </w:rPr>
            </w:pPr>
          </w:p>
        </w:tc>
      </w:tr>
      <w:tr>
        <w:trPr>
          <w:trHeight w:val="194"/>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246.9</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10.0</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center"/>
              <w:ind w:left="428"/>
              <w:spacing w:after="0"/>
              <w:rPr>
                <w:sz w:val="20"/>
                <w:szCs w:val="20"/>
                <w:color w:val="auto"/>
              </w:rPr>
            </w:pPr>
            <w:r>
              <w:rPr>
                <w:rFonts w:ascii="Arial" w:cs="Arial" w:eastAsia="Arial" w:hAnsi="Arial"/>
                <w:sz w:val="14"/>
                <w:szCs w:val="14"/>
                <w:color w:val="0070C0"/>
              </w:rPr>
              <w:t>(46.4)</w:t>
            </w:r>
          </w:p>
        </w:tc>
        <w:tc>
          <w:tcPr>
            <w:tcW w:w="100" w:type="dxa"/>
            <w:vAlign w:val="bottom"/>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(15.8)</w:t>
            </w:r>
          </w:p>
        </w:tc>
        <w:tc>
          <w:tcPr>
            <w:tcW w:w="140" w:type="dxa"/>
            <w:vAlign w:val="bottom"/>
            <w:tcBorders>
              <w:bottom w:val="single" w:sz="8" w:color="auto"/>
            </w:tcBorders>
            <w:shd w:val="clear" w:color="auto" w:fill="DBDBDB"/>
          </w:tcPr>
          <w:p>
            <w:pPr>
              <w:spacing w:after="0"/>
              <w:rPr>
                <w:sz w:val="16"/>
                <w:szCs w:val="16"/>
                <w:color w:val="auto"/>
              </w:rPr>
            </w:pPr>
          </w:p>
        </w:tc>
      </w:tr>
      <w:tr>
        <w:trPr>
          <w:trHeight w:val="220"/>
        </w:trPr>
        <w:tc>
          <w:tcPr>
            <w:tcW w:w="3980" w:type="dxa"/>
            <w:vAlign w:val="bottom"/>
            <w:gridSpan w:val="3"/>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2,477.8</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2,431.0</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6"/>
              </w:rPr>
              <w:t>$</w:t>
            </w:r>
          </w:p>
        </w:tc>
        <w:tc>
          <w:tcPr>
            <w:tcW w:w="9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0070C0"/>
              </w:rPr>
              <w:t>46.8</w:t>
            </w:r>
          </w:p>
        </w:tc>
        <w:tc>
          <w:tcPr>
            <w:tcW w:w="100" w:type="dxa"/>
            <w:vAlign w:val="bottom"/>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69"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0070C0"/>
        </w:rPr>
        <w:t>PRODUCT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11"/>
          </w:tcPr>
          <w:p>
            <w:pPr>
              <w:ind w:left="440"/>
              <w:spacing w:after="0"/>
              <w:rPr>
                <w:sz w:val="20"/>
                <w:szCs w:val="20"/>
                <w:color w:val="auto"/>
              </w:rPr>
            </w:pPr>
            <w:r>
              <w:rPr>
                <w:rFonts w:ascii="Arial" w:cs="Arial" w:eastAsia="Arial" w:hAnsi="Arial"/>
                <w:sz w:val="14"/>
                <w:szCs w:val="14"/>
                <w:b w:val="1"/>
                <w:bCs w:val="1"/>
                <w:color w:val="auto"/>
              </w:rPr>
              <w:t>For the Three Months Ended March 31,</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4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4"/>
            <w:shd w:val="clear" w:color="auto" w:fill="DDDDDD"/>
          </w:tcPr>
          <w:p>
            <w:pPr>
              <w:jc w:val="right"/>
              <w:ind w:right="8"/>
              <w:spacing w:after="0"/>
              <w:rPr>
                <w:sz w:val="20"/>
                <w:szCs w:val="20"/>
                <w:color w:val="auto"/>
              </w:rPr>
            </w:pPr>
            <w:r>
              <w:rPr>
                <w:rFonts w:ascii="Arial" w:cs="Arial" w:eastAsia="Arial" w:hAnsi="Arial"/>
                <w:sz w:val="14"/>
                <w:szCs w:val="14"/>
                <w:b w:val="1"/>
                <w:bCs w:val="1"/>
                <w:color w:val="257ACB"/>
              </w:rPr>
              <w:t>2026</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6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(In millions, except</w:t>
            </w:r>
          </w:p>
        </w:tc>
        <w:tc>
          <w:tcPr>
            <w:tcW w:w="140" w:type="dxa"/>
            <w:vAlign w:val="bottom"/>
          </w:tcPr>
          <w:p>
            <w:pPr>
              <w:spacing w:after="0"/>
              <w:rPr>
                <w:sz w:val="12"/>
                <w:szCs w:val="12"/>
                <w:color w:val="auto"/>
              </w:rPr>
            </w:pPr>
          </w:p>
        </w:tc>
        <w:tc>
          <w:tcPr>
            <w:tcW w:w="640" w:type="dxa"/>
            <w:vAlign w:val="bottom"/>
          </w:tcPr>
          <w:p>
            <w:pPr>
              <w:jc w:val="right"/>
              <w:ind w:right="88"/>
              <w:spacing w:after="0" w:line="143"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48"/>
              <w:spacing w:after="0" w:line="143" w:lineRule="exact"/>
              <w:rPr>
                <w:sz w:val="20"/>
                <w:szCs w:val="20"/>
                <w:color w:val="auto"/>
              </w:rPr>
            </w:pPr>
            <w:r>
              <w:rPr>
                <w:rFonts w:ascii="Arial" w:cs="Arial" w:eastAsia="Arial" w:hAnsi="Arial"/>
                <w:sz w:val="14"/>
                <w:szCs w:val="14"/>
                <w:b w:val="1"/>
                <w:bCs w:val="1"/>
                <w:color w:val="0070C0"/>
              </w:rPr>
              <w:t>$</w:t>
            </w:r>
          </w:p>
        </w:tc>
        <w:tc>
          <w:tcPr>
            <w:tcW w:w="100" w:type="dxa"/>
            <w:vAlign w:val="bottom"/>
          </w:tcPr>
          <w:p>
            <w:pPr>
              <w:spacing w:after="0"/>
              <w:rPr>
                <w:sz w:val="12"/>
                <w:szCs w:val="12"/>
                <w:color w:val="auto"/>
              </w:rPr>
            </w:pPr>
          </w:p>
        </w:tc>
        <w:tc>
          <w:tcPr>
            <w:tcW w:w="880" w:type="dxa"/>
            <w:vAlign w:val="bottom"/>
            <w:gridSpan w:val="2"/>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World</w:t>
            </w:r>
          </w:p>
        </w:tc>
        <w:tc>
          <w:tcPr>
            <w:tcW w:w="12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6"/>
                <w:szCs w:val="16"/>
                <w:color w:val="auto"/>
              </w:rPr>
            </w:pPr>
          </w:p>
        </w:tc>
        <w:tc>
          <w:tcPr>
            <w:tcW w:w="8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559.4</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ACB"/>
              </w:rPr>
              <w:t>398.1</w:t>
            </w: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957.5</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54.6 %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462.6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55.2 %</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4.5</w:t>
            </w:r>
          </w:p>
        </w:tc>
        <w:tc>
          <w:tcPr>
            <w:tcW w:w="100" w:type="dxa"/>
            <w:vAlign w:val="bottom"/>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224.5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ACB"/>
              </w:rPr>
              <w:t>332.7</w:t>
            </w: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557.2</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31.8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(6.1)</w:t>
            </w:r>
          </w:p>
        </w:tc>
        <w:tc>
          <w:tcPr>
            <w:tcW w:w="10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w:t>
            </w:r>
          </w:p>
        </w:tc>
        <w:tc>
          <w:tcPr>
            <w:tcW w:w="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ACB"/>
              </w:rPr>
              <w:t>182.2</w:t>
            </w: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182.2</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rPr>
              <w:t>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w:t>
            </w:r>
          </w:p>
        </w:tc>
        <w:tc>
          <w:tcPr>
            <w:tcW w:w="10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0.8</w:t>
            </w:r>
          </w:p>
        </w:tc>
        <w:tc>
          <w:tcPr>
            <w:tcW w:w="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55.3</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color w:val="257ACB"/>
              </w:rPr>
              <w:t>0.1</w:t>
            </w: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55.4</w:t>
            </w:r>
          </w:p>
        </w:tc>
        <w:tc>
          <w:tcPr>
            <w:tcW w:w="1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rPr>
              <w:t>3.2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26.0</w:t>
            </w:r>
          </w:p>
        </w:tc>
        <w:tc>
          <w:tcPr>
            <w:tcW w:w="100" w:type="dxa"/>
            <w:vAlign w:val="bottom"/>
          </w:tcPr>
          <w:p>
            <w:pPr>
              <w:spacing w:after="0"/>
              <w:rPr>
                <w:sz w:val="18"/>
                <w:szCs w:val="18"/>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88.4</w:t>
            </w:r>
          </w:p>
        </w:tc>
        <w:tc>
          <w:tcPr>
            <w:tcW w:w="14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12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839.2</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ACB"/>
              </w:rPr>
              <w:t>913.1</w:t>
            </w: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1,752.3</w:t>
            </w: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100.0 %</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753.8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972.7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1,726.5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25.8</w:t>
            </w:r>
          </w:p>
        </w:tc>
        <w:tc>
          <w:tcPr>
            <w:tcW w:w="100" w:type="dxa"/>
            <w:vAlign w:val="bottom"/>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Other includes ZURZUVAE, FUMADERM and ADUHELM.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left="5900" w:right="140" w:hanging="161"/>
        <w:spacing w:after="0" w:line="259"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Global TYSABRI revenue increased $60.0 million, from $381.5 million in</w:t>
      </w:r>
      <w:r>
        <w:rPr>
          <w:rFonts w:ascii="Arial" w:cs="Arial" w:eastAsia="Arial" w:hAnsi="Arial"/>
          <w:sz w:val="16"/>
          <w:szCs w:val="16"/>
          <w:b w:val="1"/>
          <w:bCs w:val="1"/>
          <w:color w:val="0070C0"/>
        </w:rPr>
        <w:t xml:space="preserve"> </w:t>
      </w:r>
      <w:r>
        <w:rPr>
          <w:rFonts w:ascii="Arial" w:cs="Arial" w:eastAsia="Arial" w:hAnsi="Arial"/>
          <w:sz w:val="16"/>
          <w:szCs w:val="16"/>
          <w:color w:val="000000"/>
        </w:rPr>
        <w:t>2025 to $441.5 million in 2026, or 15.7%, primarily due to favorable channel dynamics, a favorable pricing change in estimates in the U.S., an increase in rest of world demand driven by the subcutaneous offering and the favorable impact of foreign currency exchange. The increase was partially offset by a decrease in U.S. demand driven by increased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-873125</wp:posOffset>
            </wp:positionV>
            <wp:extent cx="2571750" cy="2143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900" w:right="220" w:hanging="161"/>
        <w:spacing w:after="0" w:line="264" w:lineRule="auto"/>
        <w:rPr>
          <w:sz w:val="20"/>
          <w:szCs w:val="20"/>
          <w:color w:val="auto"/>
        </w:rPr>
      </w:pPr>
      <w:r>
        <w:rPr>
          <w:rFonts w:ascii="Arial" w:cs="Arial" w:eastAsia="Arial" w:hAnsi="Arial"/>
          <w:sz w:val="16"/>
          <w:szCs w:val="16"/>
          <w:color w:val="0F6EC8"/>
        </w:rPr>
        <w:t xml:space="preserve">• </w:t>
      </w:r>
      <w:r>
        <w:rPr>
          <w:rFonts w:ascii="Arial" w:cs="Arial" w:eastAsia="Arial" w:hAnsi="Arial"/>
          <w:sz w:val="16"/>
          <w:szCs w:val="16"/>
          <w:color w:val="000000"/>
        </w:rPr>
        <w:t>Global VUMERITY revenue increased $40.2 million, from $138.8 million</w:t>
      </w:r>
      <w:r>
        <w:rPr>
          <w:rFonts w:ascii="Arial" w:cs="Arial" w:eastAsia="Arial" w:hAnsi="Arial"/>
          <w:sz w:val="16"/>
          <w:szCs w:val="16"/>
          <w:color w:val="0F6EC8"/>
        </w:rPr>
        <w:t xml:space="preserve"> </w:t>
      </w:r>
      <w:r>
        <w:rPr>
          <w:rFonts w:ascii="Arial" w:cs="Arial" w:eastAsia="Arial" w:hAnsi="Arial"/>
          <w:sz w:val="16"/>
          <w:szCs w:val="16"/>
          <w:color w:val="000000"/>
        </w:rPr>
        <w:t>in 2025 to $179.0 million in 2026, or 29.0%, primarily due to favorable pricing and channel dynamics in the U.S., an increase in rest of world demand and the favorable impact of foreign currency exchange.</w:t>
      </w:r>
    </w:p>
    <w:p>
      <w:pPr>
        <w:ind w:left="5900" w:right="140" w:hanging="161"/>
        <w:spacing w:after="0" w:line="264"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Global TECFIDERA revenue decreased $96.6 million, from $206.1</w:t>
      </w:r>
      <w:r>
        <w:rPr>
          <w:rFonts w:ascii="Arial" w:cs="Arial" w:eastAsia="Arial" w:hAnsi="Arial"/>
          <w:sz w:val="16"/>
          <w:szCs w:val="16"/>
          <w:b w:val="1"/>
          <w:bCs w:val="1"/>
          <w:color w:val="0070C0"/>
        </w:rPr>
        <w:t xml:space="preserve"> </w:t>
      </w:r>
      <w:r>
        <w:rPr>
          <w:rFonts w:ascii="Arial" w:cs="Arial" w:eastAsia="Arial" w:hAnsi="Arial"/>
          <w:sz w:val="16"/>
          <w:szCs w:val="16"/>
          <w:color w:val="000000"/>
        </w:rPr>
        <w:t>million in 2025 to $109.5 million in 2026, or 46.9%, driven by a decrease in global demand, particularly in Europe, as a result of multiple TECFIDERA generic entrants.</w:t>
      </w:r>
    </w:p>
    <w:p>
      <w:pPr>
        <w:ind w:left="5900" w:right="120" w:hanging="161"/>
        <w:spacing w:after="0" w:line="265"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Global Interferon revenue increased $1.2 million, from $226.3 million in</w:t>
      </w:r>
      <w:r>
        <w:rPr>
          <w:rFonts w:ascii="Arial" w:cs="Arial" w:eastAsia="Arial" w:hAnsi="Arial"/>
          <w:sz w:val="16"/>
          <w:szCs w:val="16"/>
          <w:b w:val="1"/>
          <w:bCs w:val="1"/>
          <w:color w:val="0070C0"/>
        </w:rPr>
        <w:t xml:space="preserve"> </w:t>
      </w:r>
      <w:r>
        <w:rPr>
          <w:rFonts w:ascii="Arial" w:cs="Arial" w:eastAsia="Arial" w:hAnsi="Arial"/>
          <w:sz w:val="16"/>
          <w:szCs w:val="16"/>
          <w:color w:val="000000"/>
        </w:rPr>
        <w:t>2025 to $227.5 million in 2026, or 0.5%, driven by an increase in pricing in the U.S. and the favorable impact of foreign currency exchange, offset by a decrease in demand as patients transition to higher efficacy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MS revenue includes sales from TECFIDERA, VUMERITY, AVONEX, PLEGRIDY and TYSABRI.</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2026 we expect total MS revenue will decline as a result of increasing competition for many of our MS products in both the U.S. and rest of world markets. We expect TECFIDERA revenue will be adversely impacted by accelerating generic competition in certain markets in the E.U. Additionally, a biosimilar entrant of TYSABRI was approved in the U.S. and the E.U. in 2023. We expect the future sales of TYSABRI will continue to be adversely affected by the entrance of this biosimilar. We expect the decline to be partially offset by continued increasing demand for VUMERITY.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5860" w:right="320" w:hanging="323"/>
        <w:spacing w:after="0" w:line="266"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U.S. SPINRAZA revenue decreased $12.2 million, from $154.4 million in 2025 to $142.2 million in 2026, or 7.9%, primarily due to lower demand and unfavorable inventory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2571750" cy="3703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0" cy="3703320"/>
                    </a:xfrm>
                    <a:prstGeom prst="rect">
                      <a:avLst/>
                    </a:prstGeom>
                    <a:noFill/>
                  </pic:spPr>
                </pic:pic>
              </a:graphicData>
            </a:graphic>
          </wp:anchor>
        </w:drawing>
      </w:r>
    </w:p>
    <w:p>
      <w:pPr>
        <w:ind w:left="5580"/>
        <w:spacing w:after="0"/>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decreased $37.7 million, from</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$269.5 million in 2025 to $231.8 million in 2026, or 14.0%, primarily</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due to unfavorable inventory dynamics driven by the timing of</w:t>
      </w:r>
    </w:p>
    <w:p>
      <w:pPr>
        <w:spacing w:after="0" w:line="1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shipments in certain international markets compared to the first</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quarter of 2025. The decrease was also driven by a one-time VAT</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refund received during the first quarter of 2025 of approximately</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$18.1 million, partially offset by the favorable impact of foreign</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currency exchange.</w:t>
      </w:r>
    </w:p>
    <w:p>
      <w:pPr>
        <w:spacing w:after="0" w:line="52" w:lineRule="exact"/>
        <w:rPr>
          <w:sz w:val="20"/>
          <w:szCs w:val="20"/>
          <w:color w:val="auto"/>
        </w:rPr>
      </w:pPr>
    </w:p>
    <w:p>
      <w:pPr>
        <w:ind w:left="5860" w:right="80" w:hanging="323"/>
        <w:spacing w:after="0" w:line="257"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Global SKYCLARYS revenue increased $26.8 million, from $123.9 million in 2025 to $150.7 million in 2026, or 21.6%, primarily related to an increase in rest of world sales volumes driven by the continued launch in Europe and certain other international markets, partially offset by unfavorable inventory dynamics in the U.S.</w:t>
      </w:r>
    </w:p>
    <w:p>
      <w:pPr>
        <w:spacing w:after="0" w:line="33" w:lineRule="exact"/>
        <w:rPr>
          <w:sz w:val="20"/>
          <w:szCs w:val="20"/>
          <w:color w:val="auto"/>
        </w:rPr>
      </w:pPr>
    </w:p>
    <w:p>
      <w:pPr>
        <w:ind w:left="5860" w:right="80" w:hanging="323"/>
        <w:spacing w:after="0" w:line="260"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Global QALSODY revenue increased $17.0 million, from $15.5 million in 2025 to $32.5 million in 2026, or 109.7%, primarily related to an increase in rest of world sales volumes driven by the continued launch 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Rare disease revenue includes sales from SPINRAZA, QALSODY and SKYCLARYS.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2026 we expect growth in rare disease revenue due to the continued launch of SKYCLARYS in Europe and other international markets as well as the continued launch of QALSODY in Europe. We anticipate global SPINRAZA revenue growth to be relatively flat in 2026.</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9" w:lineRule="exact"/>
        <w:rPr>
          <w:sz w:val="20"/>
          <w:szCs w:val="20"/>
          <w:color w:val="auto"/>
        </w:rPr>
      </w:pPr>
    </w:p>
    <w:p>
      <w:pPr>
        <w:ind w:left="5840" w:right="360" w:hanging="323"/>
        <w:spacing w:after="0" w:line="262" w:lineRule="auto"/>
        <w:tabs>
          <w:tab w:leader="none" w:pos="5820" w:val="left"/>
        </w:tabs>
        <w:rPr>
          <w:sz w:val="20"/>
          <w:szCs w:val="20"/>
          <w:color w:val="auto"/>
        </w:rPr>
      </w:pPr>
      <w:r>
        <w:rPr>
          <w:rFonts w:ascii="Arial" w:cs="Arial" w:eastAsia="Arial" w:hAnsi="Arial"/>
          <w:sz w:val="18"/>
          <w:szCs w:val="18"/>
          <w:b w:val="1"/>
          <w:bCs w:val="1"/>
          <w:i w:val="1"/>
          <w:iCs w:val="1"/>
          <w:color w:val="0070C0"/>
        </w:rPr>
        <w:t>•</w:t>
      </w:r>
      <w:r>
        <w:rPr>
          <w:sz w:val="20"/>
          <w:szCs w:val="20"/>
          <w:color w:val="auto"/>
        </w:rPr>
        <w:tab/>
      </w:r>
      <w:r>
        <w:rPr>
          <w:rFonts w:ascii="Arial" w:cs="Arial" w:eastAsia="Arial" w:hAnsi="Arial"/>
          <w:sz w:val="18"/>
          <w:szCs w:val="18"/>
          <w:color w:val="auto"/>
        </w:rPr>
        <w:t>For the three months ended March 31, 2026, compared to the same period of 2025, the increase in biosimilar revenue was primarily due to the favorable impact of foreign currency exchange, offset by a 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5229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Biosimilars revenue includes sales from BENEPALI, IMRALDI, FLIXABI, BYOOVIZ and TOFIDENCE. In 2025 we completed the sale of our rights to TOFIDENCE and BYOOVIZ.</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color w:val="0070C0"/>
        </w:rPr>
        <w:t>OTHER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ZURZUVAE</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Global ZURZUVAE revenue increased $27.7 million, from $27.7 million in 2025 to $55.4 million in </w:t>
      </w:r>
      <w:r>
        <w:rPr>
          <w:rFonts w:ascii="Arial" w:cs="Arial" w:eastAsia="Arial" w:hAnsi="Arial"/>
          <w:sz w:val="17"/>
          <w:szCs w:val="17"/>
          <w:color w:val="auto"/>
        </w:rPr>
        <w:t>2026, or</w:t>
      </w:r>
      <w:r>
        <w:rPr>
          <w:rFonts w:ascii="Arial" w:cs="Arial" w:eastAsia="Arial" w:hAnsi="Arial"/>
          <w:sz w:val="18"/>
          <w:szCs w:val="18"/>
          <w:color w:val="auto"/>
        </w:rPr>
        <w:t xml:space="preserve"> 100.0%, primarily due to higher demand resulting from an increase in total patients in the U.S. We anticipate growth in U.S. ZURZUVAE revenue as we expect total patients to continue to increase in 2026.</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317.2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288.8</w:t>
            </w: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83.7</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20"/>
        </w:trPr>
        <w:tc>
          <w:tcPr>
            <w:tcW w:w="7620" w:type="dxa"/>
            <w:vAlign w:val="bottom"/>
            <w:gridSpan w:val="2"/>
          </w:tcPr>
          <w:p>
            <w:pPr>
              <w:ind w:left="1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419.1</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378.2</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ROYALTY REVENUE ON SALES OF OCREVUS</w:t>
      </w:r>
    </w:p>
    <w:p>
      <w:pPr>
        <w:spacing w:after="0" w:line="1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increase in royalty revenue on sales of OCREVUS was primarily due to sales growth of OCREVUS in the U.S.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BIOGEN'S SHARE OF PRE-TAX PROFITS IN THE U.S. FOR RITUXAN, GAZYVA AND LUNSUMIO</w:t>
      </w:r>
    </w:p>
    <w:p>
      <w:pPr>
        <w:spacing w:after="0" w:line="10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increase in our share of pre-tax profits in the U.S. for RITUXAN, GAZYVA and LUNSUMIO was primarily due to increases in sales volumes.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OTHER REVENUE FROM ANTI-CD20 THERAPEUTIC PROGRAMS</w:t>
      </w:r>
    </w:p>
    <w:p>
      <w:pPr>
        <w:spacing w:after="0" w:line="1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Other revenue from anti-CD20 therapeutic programs consists of our share of pre-tax co-promotion profits from RITUXAN in Canada, royalty revenue on sales of LUNSUMIO outside the U.S. and royalty revenue on net sales of COLUMVI in the U.S.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ALZHEIMER'S COLLABORATION REVENUE</w:t>
      </w:r>
    </w:p>
    <w:p>
      <w:pPr>
        <w:spacing w:after="0" w:line="1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March 31, 2026 and 2025, we recognized Alzheimer's collaboration revenue of approximately $59.5 million and $33.0 million, respectively. The increase was primarily due to higher sales volumes driven by the continued launch of LEQEMBI in the U.S. and international markets.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4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237.2</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282.3</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2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246.9</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293.3</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CONTRACT MANUFACTURING REVENUE</w:t>
      </w:r>
    </w:p>
    <w:p>
      <w:pPr>
        <w:spacing w:after="0" w:line="13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decrease in contract manufacturing revenue was primarily driven by lower volumes due to the timing of batch production.</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ROYALTY AND OTHER REVENUE</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IRA's drug pricing controls and Medicare Part D redesign had an adverse impact on our sales, particularly for our products that are more substantially reliant on Medicare reimbursement. The IRA Medicare Part D redesign had a modest net unfavorable impact to our full-year 2025 revenue of approximately $90.0 million, concentrated in our SKYCLARYS and MS portfolio product revenue, approximately a quarter of which was associated with SKYCLARYS.</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such as the OBBBA. The full extent of the IRA's impacts on our sales and, in turn, our business, remains uncertain.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655.3</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658.3</w:t>
            </w:r>
          </w:p>
        </w:tc>
      </w:tr>
      <w:tr>
        <w:trPr>
          <w:trHeight w:val="203"/>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3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187.1</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2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887.8</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854.9</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2026 and 2025, reserves for discounts and allowances as a percentage of gross product revenue was 33.3% and 33.1%,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CONTRACTUAL ADJUSTMENTS</w:t>
      </w:r>
    </w:p>
    <w:p>
      <w:pPr>
        <w:spacing w:after="0" w:line="124"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VA, 340B discounts, specialty pharmacy program fees and other government rebates or applicable allowances.</w:t>
      </w:r>
    </w:p>
    <w:p>
      <w:pPr>
        <w:spacing w:after="0" w:line="4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For the three months ended March 31, 2026, compared to the same period in 2025, contractual adjustments remained flat, reflecting lower Medicaid rebates, co-pay assistance and managed care rebates in the U.S., offset by higher government rebates in rest of world and higher Medicare manufacturer reserves and 340B discounts in the U.S.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DISCOUNTS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wholesaler incentives and volume related discounts.</w:t>
      </w:r>
    </w:p>
    <w:p>
      <w:pPr>
        <w:spacing w:after="0" w:line="117"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increase in discounts was primarily driven by higher purchase discounts in rest of world and higher volume discounts in the U.S.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RETURNS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spacing w:after="0" w:line="4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the three months ended March 31, 2026, compared to the same period in 2025, the increase in returns was primarily driven by higher returns in the U.S.</w:t>
      </w:r>
    </w:p>
    <w:p>
      <w:pPr>
        <w:spacing w:after="0" w:line="4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88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5" w:lineRule="exact"/>
        <w:rPr>
          <w:sz w:val="20"/>
          <w:szCs w:val="20"/>
          <w:color w:val="auto"/>
        </w:rPr>
      </w:pPr>
    </w:p>
    <w:p>
      <w:pPr>
        <w:ind w:left="20"/>
        <w:spacing w:after="0" w:line="301" w:lineRule="auto"/>
        <w:rPr>
          <w:sz w:val="20"/>
          <w:szCs w:val="20"/>
          <w:color w:val="auto"/>
        </w:rPr>
      </w:pPr>
      <w:r>
        <w:rPr>
          <w:rFonts w:ascii="Arial" w:cs="Arial" w:eastAsia="Arial" w:hAnsi="Arial"/>
          <w:sz w:val="14"/>
          <w:szCs w:val="14"/>
          <w:color w:val="auto"/>
        </w:rPr>
        <w:t>Cost of sales, excluding amortization and impairment of acquired intangible assets Research and development</w:t>
      </w:r>
    </w:p>
    <w:p>
      <w:pPr>
        <w:spacing w:after="0" w:line="1" w:lineRule="exact"/>
        <w:rPr>
          <w:sz w:val="20"/>
          <w:szCs w:val="20"/>
          <w:color w:val="auto"/>
        </w:rPr>
      </w:pPr>
    </w:p>
    <w:p>
      <w:pPr>
        <w:ind w:left="20" w:right="180"/>
        <w:spacing w:after="0" w:line="301" w:lineRule="auto"/>
        <w:rPr>
          <w:sz w:val="20"/>
          <w:szCs w:val="20"/>
          <w:color w:val="auto"/>
        </w:rPr>
      </w:pPr>
      <w:r>
        <w:rPr>
          <w:rFonts w:ascii="Arial" w:cs="Arial" w:eastAsia="Arial" w:hAnsi="Arial"/>
          <w:sz w:val="14"/>
          <w:szCs w:val="14"/>
          <w:color w:val="auto"/>
        </w:rPr>
        <w:t>Acquired in-process research and development, upfront and milestone expense Selling, general and administrative</w:t>
      </w:r>
    </w:p>
    <w:p>
      <w:pPr>
        <w:spacing w:after="0" w:line="1" w:lineRule="exact"/>
        <w:rPr>
          <w:sz w:val="20"/>
          <w:szCs w:val="20"/>
          <w:color w:val="auto"/>
        </w:rPr>
      </w:pPr>
    </w:p>
    <w:p>
      <w:pPr>
        <w:ind w:left="20" w:right="1540"/>
        <w:spacing w:after="0" w:line="301" w:lineRule="auto"/>
        <w:rPr>
          <w:sz w:val="20"/>
          <w:szCs w:val="20"/>
          <w:color w:val="auto"/>
        </w:rPr>
      </w:pPr>
      <w:r>
        <w:rPr>
          <w:rFonts w:ascii="Arial" w:cs="Arial" w:eastAsia="Arial" w:hAnsi="Arial"/>
          <w:sz w:val="14"/>
          <w:szCs w:val="14"/>
          <w:color w:val="auto"/>
        </w:rPr>
        <w:t>Amortization and impairment of acquired intangible assets Collaboration profit sharing/(loss reimbursement)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(Gain) loss on fair value remeasurement of contingent consideration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shd w:val="clear" w:color="auto" w:fill="DDDDDD"/>
          </w:tcPr>
          <w:p>
            <w:pPr>
              <w:spacing w:after="0"/>
              <w:rPr>
                <w:sz w:val="17"/>
                <w:szCs w:val="17"/>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2026</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1100" w:type="dxa"/>
            <w:vAlign w:val="bottom"/>
            <w:tcBorders>
              <w:top w:val="single" w:sz="8" w:color="auto"/>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97"/>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661.0</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629.3</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31.7</w:t>
            </w:r>
          </w:p>
        </w:tc>
        <w:tc>
          <w:tcPr>
            <w:tcW w:w="80" w:type="dxa"/>
            <w:vAlign w:val="bottom"/>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195"/>
        </w:trPr>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434.1</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104.9</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24.2</w:t>
            </w:r>
          </w:p>
        </w:tc>
        <w:tc>
          <w:tcPr>
            <w:tcW w:w="140" w:type="dxa"/>
            <w:vAlign w:val="bottom"/>
          </w:tcPr>
          <w:p>
            <w:pPr>
              <w:spacing w:after="0"/>
              <w:rPr>
                <w:sz w:val="16"/>
                <w:szCs w:val="16"/>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(166.7)</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(83.1)</w:t>
            </w:r>
          </w:p>
        </w:tc>
        <w:tc>
          <w:tcPr>
            <w:tcW w:w="140" w:type="dxa"/>
            <w:vAlign w:val="bottom"/>
          </w:tcPr>
          <w:p>
            <w:pPr>
              <w:spacing w:after="0"/>
              <w:rPr>
                <w:sz w:val="17"/>
                <w:szCs w:val="17"/>
                <w:color w:val="auto"/>
              </w:rPr>
            </w:pPr>
          </w:p>
        </w:tc>
      </w:tr>
      <w:tr>
        <w:trPr>
          <w:trHeight w:val="202"/>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572.5</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34.8</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6.1</w:t>
            </w:r>
          </w:p>
        </w:tc>
        <w:tc>
          <w:tcPr>
            <w:tcW w:w="140" w:type="dxa"/>
            <w:vAlign w:val="bottom"/>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111.8</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24.7</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22.1</w:t>
            </w:r>
          </w:p>
        </w:tc>
        <w:tc>
          <w:tcPr>
            <w:tcW w:w="140" w:type="dxa"/>
            <w:vAlign w:val="bottom"/>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58.1</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16.1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27.7</w:t>
            </w:r>
          </w:p>
        </w:tc>
        <w:tc>
          <w:tcPr>
            <w:tcW w:w="140" w:type="dxa"/>
            <w:vAlign w:val="bottom"/>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10.9</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113.5</w:t>
            </w:r>
          </w:p>
        </w:tc>
        <w:tc>
          <w:tcPr>
            <w:tcW w:w="140" w:type="dxa"/>
            <w:vAlign w:val="bottom"/>
          </w:tcPr>
          <w:p>
            <w:pPr>
              <w:spacing w:after="0"/>
              <w:rPr>
                <w:sz w:val="17"/>
                <w:szCs w:val="17"/>
                <w:color w:val="auto"/>
              </w:rPr>
            </w:pPr>
          </w:p>
        </w:tc>
      </w:tr>
      <w:tr>
        <w:trPr>
          <w:trHeight w:val="203"/>
        </w:trPr>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(27.4)</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070C0"/>
              </w:rPr>
              <w:t>(77.6)</w:t>
            </w:r>
          </w:p>
        </w:tc>
        <w:tc>
          <w:tcPr>
            <w:tcW w:w="140" w:type="dxa"/>
            <w:vAlign w:val="bottom"/>
          </w:tcPr>
          <w:p>
            <w:pPr>
              <w:spacing w:after="0"/>
              <w:rPr>
                <w:sz w:val="17"/>
                <w:szCs w:val="17"/>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68.4</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(48.7)</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(71.2)</w:t>
            </w:r>
          </w:p>
        </w:tc>
        <w:tc>
          <w:tcPr>
            <w:tcW w:w="140" w:type="dxa"/>
            <w:vAlign w:val="bottom"/>
            <w:tcBorders>
              <w:bottom w:val="single" w:sz="8" w:color="auto"/>
            </w:tcBorders>
          </w:tcPr>
          <w:p>
            <w:pPr>
              <w:spacing w:after="0"/>
              <w:rPr>
                <w:sz w:val="17"/>
                <w:szCs w:val="17"/>
                <w:color w:val="auto"/>
              </w:rPr>
            </w:pPr>
          </w:p>
        </w:tc>
      </w:tr>
      <w:tr>
        <w:trPr>
          <w:trHeight w:val="216"/>
        </w:trPr>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2,100.1</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2,119.8</w:t>
            </w:r>
          </w:p>
        </w:tc>
        <w:tc>
          <w:tcPr>
            <w:tcW w:w="80" w:type="dxa"/>
            <w:vAlign w:val="bottom"/>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(19.7)</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0070C0"/>
              </w:rPr>
              <w:t>(0.9)%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-1336675</wp:posOffset>
            </wp:positionV>
            <wp:extent cx="908685" cy="132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8685" cy="1320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360"/>
            <w:col w:w="56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COST OF SALES, EXCLUDING AMORTIZATION AND IMPAIRMENT OF ACQUIRED INTANGIBLE ASSETS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2025</w:t>
            </w:r>
          </w:p>
        </w:tc>
      </w:tr>
      <w:tr>
        <w:trPr>
          <w:trHeight w:val="189"/>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478.7</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462.2</w:t>
            </w:r>
          </w:p>
        </w:tc>
      </w:tr>
      <w:tr>
        <w:trPr>
          <w:trHeight w:val="207"/>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3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182.3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167.1</w:t>
            </w:r>
          </w:p>
        </w:tc>
      </w:tr>
      <w:tr>
        <w:trPr>
          <w:trHeight w:val="220"/>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661.0</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629.3</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COST OF SALES</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increase in product cost of sales was primarily due to higher period costs.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Contract manufacturing revenue includes LEQEMBI inventory produced for Eisai. Cost of sales as a percentage of revenue was adversely affected by LEQEMBI batches due to lower margins associated with this business.</w:t>
      </w:r>
    </w:p>
    <w:p>
      <w:pPr>
        <w:spacing w:after="0" w:line="4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a result of our acquisition of Reata in September 2023 we recorded a fair value step-up adjustment related to the acquired inventory of SKYCLARYS. This fair value step-up adjustment is being amortized to cost of sales as the inventory is sold. We expect this amount to be fully amortized by the end of 2028. For the three months ended March 31, 2026 and 2025, amortization from the fair value step-up adjustment was approximately $50.8 million and $51.4 million, respectively.</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 For additional information on our acquisition of Reata,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2, Acquisitions</w:t>
      </w:r>
      <w:r>
        <w:rPr>
          <w:rFonts w:ascii="Arial" w:cs="Arial" w:eastAsia="Arial" w:hAnsi="Arial"/>
          <w:sz w:val="18"/>
          <w:szCs w:val="18"/>
          <w:color w:val="auto"/>
        </w:rPr>
        <w:t>, to our consolidated financial statements included in our 2025 Form 10-K.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ROYALTY COST OF SALES</w:t>
      </w:r>
    </w:p>
    <w:p>
      <w:pPr>
        <w:spacing w:after="0" w:line="126"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increase in royalty cost of sales was primarily due to higher royalties payable associated with higher sales of TYSABRI.</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65665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spacing w:after="0" w:line="264" w:lineRule="auto"/>
        <w:rPr>
          <w:sz w:val="20"/>
          <w:szCs w:val="20"/>
          <w:color w:val="auto"/>
        </w:rPr>
      </w:pPr>
      <w:r>
        <w:rPr>
          <w:rFonts w:ascii="Arial" w:cs="Arial" w:eastAsia="Arial" w:hAnsi="Arial"/>
          <w:sz w:val="17"/>
          <w:szCs w:val="17"/>
          <w:color w:val="auto"/>
        </w:rPr>
        <w:t>Research and development expense, as a percentage of total revenue, was 21.8% and 17.9% for the three months ended March 31, 2026 and 2025, respectively.</w:t>
      </w:r>
    </w:p>
    <w:p>
      <w:pPr>
        <w:spacing w:after="0" w:line="70" w:lineRule="exact"/>
        <w:rPr>
          <w:sz w:val="20"/>
          <w:szCs w:val="20"/>
          <w:color w:val="auto"/>
        </w:rPr>
      </w:pPr>
    </w:p>
    <w:p>
      <w:pPr>
        <w:ind w:left="380" w:right="40"/>
        <w:spacing w:after="0" w:line="250" w:lineRule="auto"/>
        <w:rPr>
          <w:sz w:val="20"/>
          <w:szCs w:val="20"/>
          <w:color w:val="auto"/>
        </w:rPr>
      </w:pPr>
      <w:r>
        <w:rPr>
          <w:rFonts w:ascii="Arial" w:cs="Arial" w:eastAsia="Arial" w:hAnsi="Arial"/>
          <w:sz w:val="17"/>
          <w:szCs w:val="17"/>
          <w:color w:val="auto"/>
        </w:rPr>
        <w:t>For the three months ended March 31, 2026, compared to the same period in 2025, the increase in research and development was primarily driven by approximately $56.8 million of step-up amortization related to SKYCLARYS inventory and higher spend on clinical trials, including felzartamab and litifilimab. Clinical trial spend related to litifilimab during the first quarter of 2026 and 2025 was offset by $25.0 million and $50.0 million, respectively, in research and development funding received from Royalty Pharma.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EARLY STAGE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Q1 2026 vs. Q1 2025</w:t>
      </w:r>
    </w:p>
    <w:p>
      <w:pPr>
        <w:spacing w:after="0" w:line="32" w:lineRule="exact"/>
        <w:rPr>
          <w:sz w:val="20"/>
          <w:szCs w:val="20"/>
          <w:color w:val="auto"/>
        </w:rPr>
      </w:pPr>
    </w:p>
    <w:p>
      <w:pPr>
        <w:ind w:left="380" w:right="600"/>
        <w:spacing w:after="0" w:line="260" w:lineRule="auto"/>
        <w:rPr>
          <w:sz w:val="20"/>
          <w:szCs w:val="20"/>
          <w:color w:val="auto"/>
        </w:rPr>
      </w:pPr>
      <w:r>
        <w:rPr>
          <w:rFonts w:ascii="Arial" w:cs="Arial" w:eastAsia="Arial" w:hAnsi="Arial"/>
          <w:sz w:val="17"/>
          <w:szCs w:val="17"/>
          <w:color w:val="auto"/>
        </w:rPr>
        <w:t>The decrease in early stage program expense was driven by a decrease in costs associated with:</w:t>
      </w:r>
    </w:p>
    <w:p>
      <w:pPr>
        <w:ind w:left="340" w:hanging="117"/>
        <w:spacing w:after="0"/>
        <w:tabs>
          <w:tab w:leader="none" w:pos="340" w:val="left"/>
        </w:tabs>
        <w:numPr>
          <w:ilvl w:val="0"/>
          <w:numId w:val="26"/>
        </w:numPr>
        <w:rPr>
          <w:rFonts w:ascii="Arial" w:cs="Arial" w:eastAsia="Arial" w:hAnsi="Arial"/>
          <w:sz w:val="17"/>
          <w:szCs w:val="17"/>
          <w:color w:val="0070C0"/>
        </w:rPr>
      </w:pPr>
      <w:r>
        <w:rPr>
          <w:rFonts w:ascii="Arial" w:cs="Arial" w:eastAsia="Arial" w:hAnsi="Arial"/>
          <w:sz w:val="17"/>
          <w:szCs w:val="17"/>
          <w:color w:val="auto"/>
        </w:rPr>
        <w:t>advancement of felzartamab for IgAN and PMN to late stage.</w:t>
      </w:r>
    </w:p>
    <w:p>
      <w:pPr>
        <w:spacing w:after="0" w:line="56" w:lineRule="exact"/>
        <w:rPr>
          <w:sz w:val="20"/>
          <w:szCs w:val="20"/>
          <w:color w:val="auto"/>
        </w:rPr>
      </w:pPr>
    </w:p>
    <w:p>
      <w:pPr>
        <w:ind w:left="380" w:right="180"/>
        <w:spacing w:after="0" w:line="260" w:lineRule="auto"/>
        <w:rPr>
          <w:sz w:val="20"/>
          <w:szCs w:val="20"/>
          <w:color w:val="auto"/>
        </w:rPr>
      </w:pPr>
      <w:r>
        <w:rPr>
          <w:rFonts w:ascii="Arial" w:cs="Arial" w:eastAsia="Arial" w:hAnsi="Arial"/>
          <w:sz w:val="17"/>
          <w:szCs w:val="17"/>
          <w:color w:val="auto"/>
        </w:rPr>
        <w:t>The decrease was partially offset by an increase in costs associated with:</w:t>
      </w:r>
    </w:p>
    <w:p>
      <w:pPr>
        <w:ind w:left="340" w:hanging="117"/>
        <w:spacing w:after="0"/>
        <w:tabs>
          <w:tab w:leader="none" w:pos="340"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development of salanersen for the treatment of SMA.</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LATE STAGE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Q1 2026 vs. Q1 2025</w:t>
      </w:r>
    </w:p>
    <w:p>
      <w:pPr>
        <w:spacing w:after="0" w:line="45" w:lineRule="exact"/>
        <w:rPr>
          <w:sz w:val="20"/>
          <w:szCs w:val="20"/>
          <w:color w:val="auto"/>
        </w:rPr>
      </w:pPr>
    </w:p>
    <w:p>
      <w:pPr>
        <w:ind w:left="380" w:right="640"/>
        <w:spacing w:after="0" w:line="260" w:lineRule="auto"/>
        <w:rPr>
          <w:sz w:val="20"/>
          <w:szCs w:val="20"/>
          <w:color w:val="auto"/>
        </w:rPr>
      </w:pPr>
      <w:r>
        <w:rPr>
          <w:rFonts w:ascii="Arial" w:cs="Arial" w:eastAsia="Arial" w:hAnsi="Arial"/>
          <w:sz w:val="17"/>
          <w:szCs w:val="17"/>
          <w:color w:val="auto"/>
        </w:rPr>
        <w:t>The increase in late stage program expense was driven by an increase in costs associated with:</w:t>
      </w:r>
    </w:p>
    <w:p>
      <w:pPr>
        <w:ind w:left="340" w:hanging="117"/>
        <w:spacing w:after="0"/>
        <w:tabs>
          <w:tab w:leader="none" w:pos="340" w:val="left"/>
        </w:tabs>
        <w:numPr>
          <w:ilvl w:val="0"/>
          <w:numId w:val="28"/>
        </w:numPr>
        <w:rPr>
          <w:rFonts w:ascii="Arial" w:cs="Arial" w:eastAsia="Arial" w:hAnsi="Arial"/>
          <w:sz w:val="17"/>
          <w:szCs w:val="17"/>
          <w:color w:val="0070C0"/>
        </w:rPr>
      </w:pPr>
      <w:r>
        <w:rPr>
          <w:rFonts w:ascii="Arial" w:cs="Arial" w:eastAsia="Arial" w:hAnsi="Arial"/>
          <w:sz w:val="17"/>
          <w:szCs w:val="17"/>
          <w:color w:val="auto"/>
        </w:rPr>
        <w:t>the development of felzartamab for AMR, IgAN and PMN; and</w:t>
      </w:r>
    </w:p>
    <w:p>
      <w:pPr>
        <w:spacing w:after="0" w:line="20" w:lineRule="exact"/>
        <w:rPr>
          <w:rFonts w:ascii="Arial" w:cs="Arial" w:eastAsia="Arial" w:hAnsi="Arial"/>
          <w:sz w:val="17"/>
          <w:szCs w:val="17"/>
          <w:color w:val="0070C0"/>
        </w:rPr>
      </w:pPr>
    </w:p>
    <w:p>
      <w:pPr>
        <w:jc w:val="both"/>
        <w:ind w:left="380" w:right="140" w:hanging="157"/>
        <w:spacing w:after="0" w:line="261" w:lineRule="auto"/>
        <w:tabs>
          <w:tab w:leader="none" w:pos="330" w:val="left"/>
        </w:tabs>
        <w:numPr>
          <w:ilvl w:val="0"/>
          <w:numId w:val="28"/>
        </w:numPr>
        <w:rPr>
          <w:rFonts w:ascii="Arial" w:cs="Arial" w:eastAsia="Arial" w:hAnsi="Arial"/>
          <w:sz w:val="17"/>
          <w:szCs w:val="17"/>
          <w:color w:val="0070C0"/>
        </w:rPr>
      </w:pPr>
      <w:r>
        <w:rPr>
          <w:rFonts w:ascii="Arial" w:cs="Arial" w:eastAsia="Arial" w:hAnsi="Arial"/>
          <w:sz w:val="17"/>
          <w:szCs w:val="17"/>
          <w:color w:val="auto"/>
        </w:rPr>
        <w:t>development of litifilimab for the treatment of CLE and SLE, offset by Royalty Pharma funding received during the first quarter of 2026 and 2025 of $25.0 million and $50.0 million, respectively.</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MARKETED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Q1 2026 vs. Q1 2025</w:t>
      </w:r>
    </w:p>
    <w:p>
      <w:pPr>
        <w:spacing w:after="0" w:line="45" w:lineRule="exact"/>
        <w:rPr>
          <w:sz w:val="20"/>
          <w:szCs w:val="20"/>
          <w:color w:val="auto"/>
        </w:rPr>
      </w:pPr>
    </w:p>
    <w:p>
      <w:pPr>
        <w:ind w:left="380"/>
        <w:spacing w:after="0" w:line="260" w:lineRule="auto"/>
        <w:rPr>
          <w:sz w:val="20"/>
          <w:szCs w:val="20"/>
          <w:color w:val="auto"/>
        </w:rPr>
      </w:pPr>
      <w:r>
        <w:rPr>
          <w:rFonts w:ascii="Arial" w:cs="Arial" w:eastAsia="Arial" w:hAnsi="Arial"/>
          <w:sz w:val="17"/>
          <w:szCs w:val="17"/>
          <w:color w:val="auto"/>
        </w:rPr>
        <w:t>The increase in marketed program expense was driven by an increase in costs associated with:</w:t>
      </w:r>
    </w:p>
    <w:p>
      <w:pPr>
        <w:ind w:left="380" w:right="20" w:hanging="157"/>
        <w:spacing w:after="0" w:line="256" w:lineRule="auto"/>
        <w:tabs>
          <w:tab w:leader="none" w:pos="330" w:val="left"/>
        </w:tabs>
        <w:numPr>
          <w:ilvl w:val="0"/>
          <w:numId w:val="29"/>
        </w:numPr>
        <w:rPr>
          <w:rFonts w:ascii="Arial" w:cs="Arial" w:eastAsia="Arial" w:hAnsi="Arial"/>
          <w:sz w:val="17"/>
          <w:szCs w:val="17"/>
          <w:color w:val="0070C0"/>
        </w:rPr>
      </w:pPr>
      <w:r>
        <w:rPr>
          <w:rFonts w:ascii="Arial" w:cs="Arial" w:eastAsia="Arial" w:hAnsi="Arial"/>
          <w:sz w:val="17"/>
          <w:szCs w:val="17"/>
          <w:color w:val="auto"/>
        </w:rPr>
        <w:t>$56.8 million of step-up amortization related to SKYCLARYS inventory; and</w:t>
      </w:r>
    </w:p>
    <w:p>
      <w:pPr>
        <w:spacing w:after="0" w:line="1" w:lineRule="exact"/>
        <w:rPr>
          <w:rFonts w:ascii="Arial" w:cs="Arial" w:eastAsia="Arial" w:hAnsi="Arial"/>
          <w:sz w:val="17"/>
          <w:szCs w:val="17"/>
          <w:color w:val="0070C0"/>
        </w:rPr>
      </w:pPr>
    </w:p>
    <w:p>
      <w:pPr>
        <w:ind w:left="380" w:right="640" w:hanging="157"/>
        <w:spacing w:after="0" w:line="273" w:lineRule="auto"/>
        <w:tabs>
          <w:tab w:leader="none" w:pos="330" w:val="left"/>
        </w:tabs>
        <w:numPr>
          <w:ilvl w:val="0"/>
          <w:numId w:val="29"/>
        </w:numPr>
        <w:rPr>
          <w:rFonts w:ascii="Arial" w:cs="Arial" w:eastAsia="Arial" w:hAnsi="Arial"/>
          <w:sz w:val="17"/>
          <w:szCs w:val="17"/>
          <w:color w:val="0F6EC8"/>
        </w:rPr>
      </w:pPr>
      <w:r>
        <w:rPr>
          <w:rFonts w:ascii="Arial" w:cs="Arial" w:eastAsia="Arial" w:hAnsi="Arial"/>
          <w:sz w:val="17"/>
          <w:szCs w:val="17"/>
          <w:color w:val="auto"/>
        </w:rPr>
        <w:t>increased spend on LEQEMBI for the treatment of Alzheimer's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00"/>
          </w:cols>
          <w:pgMar w:left="320" w:top="130" w:right="45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4" w:lineRule="exact"/>
        <w:rPr>
          <w:sz w:val="20"/>
          <w:szCs w:val="20"/>
          <w:color w:val="auto"/>
        </w:rPr>
      </w:pPr>
    </w:p>
    <w:p>
      <w:pPr>
        <w:ind w:left="440" w:hanging="270"/>
        <w:spacing w:after="0"/>
        <w:tabs>
          <w:tab w:leader="none" w:pos="440" w:val="left"/>
        </w:tabs>
        <w:numPr>
          <w:ilvl w:val="0"/>
          <w:numId w:val="30"/>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0"/>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0"/>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63" w:lineRule="exact"/>
        <w:rPr>
          <w:rFonts w:ascii="Arial" w:cs="Arial" w:eastAsia="Arial" w:hAnsi="Arial"/>
          <w:sz w:val="18"/>
          <w:szCs w:val="18"/>
          <w:color w:val="0070C0"/>
        </w:rPr>
      </w:pPr>
    </w:p>
    <w:p>
      <w:pPr>
        <w:ind w:left="500" w:right="240" w:hanging="330"/>
        <w:spacing w:after="0" w:line="281" w:lineRule="auto"/>
        <w:tabs>
          <w:tab w:leader="none" w:pos="455" w:val="left"/>
        </w:tabs>
        <w:numPr>
          <w:ilvl w:val="0"/>
          <w:numId w:val="30"/>
        </w:numPr>
        <w:rPr>
          <w:rFonts w:ascii="Arial" w:cs="Arial" w:eastAsia="Arial" w:hAnsi="Arial"/>
          <w:sz w:val="18"/>
          <w:szCs w:val="18"/>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1" w:lineRule="exact"/>
        <w:rPr>
          <w:rFonts w:ascii="Arial" w:cs="Arial" w:eastAsia="Arial" w:hAnsi="Arial"/>
          <w:sz w:val="18"/>
          <w:szCs w:val="18"/>
          <w:color w:val="0070C0"/>
        </w:rPr>
      </w:pPr>
    </w:p>
    <w:p>
      <w:pPr>
        <w:ind w:left="500" w:right="220" w:hanging="330"/>
        <w:spacing w:after="0" w:line="262" w:lineRule="auto"/>
        <w:tabs>
          <w:tab w:leader="none" w:pos="455" w:val="left"/>
        </w:tabs>
        <w:numPr>
          <w:ilvl w:val="0"/>
          <w:numId w:val="30"/>
        </w:numPr>
        <w:rPr>
          <w:rFonts w:ascii="Arial" w:cs="Arial" w:eastAsia="Arial" w:hAnsi="Arial"/>
          <w:sz w:val="18"/>
          <w:szCs w:val="18"/>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A significant amount of our research and development costs consist of indirect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expect our core research and development expense to increase in 2026, primarily due to investments in our late-stage programs and the reduction of research and development funding received from Royalty Pharma. We intend to continue committing significant resources to targeted research and development opportunities while continuing to invest in our pipeline, where there is a significant unmet need and where a drug candidate has the potential to be highly differentiated.</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ACQUIRED IN-PROCESS RESEARCH AND DEVELOPMENT, UPFRONT AND MILESTONE EXPENSE</w:t>
      </w:r>
    </w:p>
    <w:p>
      <w:pPr>
        <w:spacing w:after="0" w:line="10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three months ended March 31, 2026 and 2025, acquired in-process research and development, upfront and milestone expense totaled approximately $34.0 million and $200.7 million, respectively. The decrease was driven by higher upfront and milestone payments in the first quarter of 2025 compared to 2026.</w:t>
      </w:r>
    </w:p>
    <w:p>
      <w:pPr>
        <w:spacing w:after="0" w:line="6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For the three months ended March 31, 2026, acquired in-process research and development, upfront and milestone expense primarily consists of the following activity:</w:t>
      </w:r>
    </w:p>
    <w:p>
      <w:pPr>
        <w:spacing w:after="0" w:line="45" w:lineRule="exact"/>
        <w:rPr>
          <w:sz w:val="20"/>
          <w:szCs w:val="20"/>
          <w:color w:val="auto"/>
        </w:rPr>
      </w:pPr>
    </w:p>
    <w:p>
      <w:pPr>
        <w:ind w:left="440" w:hanging="270"/>
        <w:spacing w:after="0"/>
        <w:tabs>
          <w:tab w:leader="none" w:pos="440" w:val="left"/>
        </w:tabs>
        <w:numPr>
          <w:ilvl w:val="0"/>
          <w:numId w:val="31"/>
        </w:numPr>
        <w:rPr>
          <w:rFonts w:ascii="Arial" w:cs="Arial" w:eastAsia="Arial" w:hAnsi="Arial"/>
          <w:sz w:val="18"/>
          <w:szCs w:val="18"/>
          <w:color w:val="0F6EC8"/>
        </w:rPr>
      </w:pPr>
      <w:r>
        <w:rPr>
          <w:rFonts w:ascii="Arial" w:cs="Arial" w:eastAsia="Arial" w:hAnsi="Arial"/>
          <w:sz w:val="18"/>
          <w:szCs w:val="18"/>
          <w:color w:val="auto"/>
        </w:rPr>
        <w:t>Upfront payment of $20.0 million to Alteogen accrued in connection with the closing of our collaboration and license agreement; and</w:t>
      </w:r>
    </w:p>
    <w:p>
      <w:pPr>
        <w:spacing w:after="0" w:line="117" w:lineRule="exact"/>
        <w:rPr>
          <w:rFonts w:ascii="Arial" w:cs="Arial" w:eastAsia="Arial" w:hAnsi="Arial"/>
          <w:sz w:val="18"/>
          <w:szCs w:val="18"/>
          <w:color w:val="0F6EC8"/>
        </w:rPr>
      </w:pPr>
    </w:p>
    <w:p>
      <w:pPr>
        <w:ind w:left="440" w:hanging="270"/>
        <w:spacing w:after="0"/>
        <w:tabs>
          <w:tab w:leader="none" w:pos="440" w:val="left"/>
        </w:tabs>
        <w:numPr>
          <w:ilvl w:val="0"/>
          <w:numId w:val="31"/>
        </w:numPr>
        <w:rPr>
          <w:rFonts w:ascii="Arial" w:cs="Arial" w:eastAsia="Arial" w:hAnsi="Arial"/>
          <w:sz w:val="18"/>
          <w:szCs w:val="18"/>
          <w:color w:val="0F6EC8"/>
        </w:rPr>
      </w:pPr>
      <w:r>
        <w:rPr>
          <w:rFonts w:ascii="Arial" w:cs="Arial" w:eastAsia="Arial" w:hAnsi="Arial"/>
          <w:sz w:val="18"/>
          <w:szCs w:val="18"/>
          <w:color w:val="auto"/>
        </w:rPr>
        <w:t>Upfront payment of $12.0 million to Alloy accrued in connection with the closing of our collaboration and license agreement.</w:t>
      </w:r>
    </w:p>
    <w:p>
      <w:pPr>
        <w:spacing w:after="0" w:line="117" w:lineRule="exact"/>
        <w:rPr>
          <w:sz w:val="20"/>
          <w:szCs w:val="20"/>
          <w:color w:val="auto"/>
        </w:rPr>
      </w:pPr>
    </w:p>
    <w:p>
      <w:pPr>
        <w:ind w:left="80" w:right="480"/>
        <w:spacing w:after="0" w:line="287" w:lineRule="auto"/>
        <w:rPr>
          <w:sz w:val="20"/>
          <w:szCs w:val="20"/>
          <w:color w:val="auto"/>
        </w:rPr>
      </w:pPr>
      <w:r>
        <w:rPr>
          <w:rFonts w:ascii="Arial" w:cs="Arial" w:eastAsia="Arial" w:hAnsi="Arial"/>
          <w:sz w:val="18"/>
          <w:szCs w:val="18"/>
          <w:color w:val="auto"/>
        </w:rPr>
        <w:t>For the three months ended March 31, 2025, acquired in-process research and development, upfront and milestone expense primarily consists of the following activity:</w:t>
      </w:r>
    </w:p>
    <w:p>
      <w:pPr>
        <w:spacing w:after="0" w:line="45" w:lineRule="exact"/>
        <w:rPr>
          <w:sz w:val="20"/>
          <w:szCs w:val="20"/>
          <w:color w:val="auto"/>
        </w:rPr>
      </w:pPr>
    </w:p>
    <w:p>
      <w:pPr>
        <w:ind w:left="440" w:hanging="270"/>
        <w:spacing w:after="0"/>
        <w:tabs>
          <w:tab w:leader="none" w:pos="440" w:val="left"/>
        </w:tabs>
        <w:numPr>
          <w:ilvl w:val="0"/>
          <w:numId w:val="32"/>
        </w:numPr>
        <w:rPr>
          <w:rFonts w:ascii="Arial" w:cs="Arial" w:eastAsia="Arial" w:hAnsi="Arial"/>
          <w:sz w:val="18"/>
          <w:szCs w:val="18"/>
          <w:color w:val="0F6EC8"/>
        </w:rPr>
      </w:pPr>
      <w:r>
        <w:rPr>
          <w:rFonts w:ascii="Arial" w:cs="Arial" w:eastAsia="Arial" w:hAnsi="Arial"/>
          <w:sz w:val="18"/>
          <w:szCs w:val="18"/>
          <w:color w:val="auto"/>
        </w:rPr>
        <w:t>Upfront payment of $165.0 million made to Stoke in connection with the closing of our collaboration and license agreement; and</w:t>
      </w:r>
    </w:p>
    <w:p>
      <w:pPr>
        <w:spacing w:after="0" w:line="117" w:lineRule="exact"/>
        <w:rPr>
          <w:rFonts w:ascii="Arial" w:cs="Arial" w:eastAsia="Arial" w:hAnsi="Arial"/>
          <w:sz w:val="18"/>
          <w:szCs w:val="18"/>
          <w:color w:val="0F6EC8"/>
        </w:rPr>
      </w:pPr>
    </w:p>
    <w:p>
      <w:pPr>
        <w:ind w:left="500" w:right="740" w:hanging="330"/>
        <w:spacing w:after="0" w:line="287" w:lineRule="auto"/>
        <w:tabs>
          <w:tab w:leader="none" w:pos="455" w:val="left"/>
        </w:tabs>
        <w:numPr>
          <w:ilvl w:val="0"/>
          <w:numId w:val="32"/>
        </w:numPr>
        <w:rPr>
          <w:rFonts w:ascii="Arial" w:cs="Arial" w:eastAsia="Arial" w:hAnsi="Arial"/>
          <w:sz w:val="18"/>
          <w:szCs w:val="18"/>
          <w:color w:val="0F6EC8"/>
        </w:rPr>
      </w:pPr>
      <w:r>
        <w:rPr>
          <w:rFonts w:ascii="Arial" w:cs="Arial" w:eastAsia="Arial" w:hAnsi="Arial"/>
          <w:sz w:val="18"/>
          <w:szCs w:val="18"/>
          <w:color w:val="auto"/>
        </w:rPr>
        <w:t>Milestone payment of $35.0 million to MorphoSys accrued in connection with the first patient dosed in a Phase 3 clinical trial of felzartamab for the treatment of AMR.</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SELLING, GENERAL AND ADMINISTRATIVE</w:t>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months ended March 31, 2026, compared to the same period in 2025, selling, general and administrative expense increased by approximately 6.1% primarily due to an increase in operational spending on sales and marketing activities in support of our U.S. and international product launches.</w:t>
      </w:r>
    </w:p>
    <w:p>
      <w:pPr>
        <w:spacing w:after="0" w:line="63"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We expect selling, general and administrative expense for 2026 to remain relatively flat when compared to 2025. We anticipate increased spend related to our continued investment in product launches and pre-launch activities, offset by reduced spending for our mature products.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TYSABRI, AVONEX, SPINRAZA, VUMERITY and SKYCLARYS.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For the three months ended March 31, 2026 and 2025, amortization and impairment of acquired intangible assets totaled $136.5 million and $111.8 million, respectively. The increase was primarily due to amortization for the acquired intangible assets associated with SKYCLARYS and TYSABRI.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 we had no impairment charges.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condensed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Collaboration profit sharing/(loss reimbursement) includes Samsung Bioepis' 50.0% share of the profit or loss related to our biosimilars 2013 commercial agreement with Samsung Bioepis and collaboration profit sharing/(loss reimbursement) related to Supernus' 50.0% share of the profit or loss in the U.S. related to ZURZUVAE for PPD.</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the three months ended March 31, 2026 and 2025, we recognized net profit-sharing expense of approximately $57.2 million and $48.0 million, respectively, to reflect Samsung Bioepis' 50.0% sharing of the net collaboration profits.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the three months ended March 31, 2026 and 2025, we recognized net profit-sharing expense of approximately $17.0 million and $10.1 million, respectively, to reflect Supernus' 50.0% share of the net collaboration results in the U.S.</w:t>
      </w:r>
    </w:p>
    <w:p>
      <w:pPr>
        <w:spacing w:after="0" w:line="4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and Supernus,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 consolidated financial statements included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(GAIN) LOSS ON FAIR VALUE REMEASUREMENT OF CONTINGENT CONSIDERATION</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 In connection with our acquisition of HI-Bio in July 2024 we recorded contingent consideration obligations related to potential milestone payments.</w:t>
      </w:r>
    </w:p>
    <w:p>
      <w:pPr>
        <w:spacing w:after="0" w:line="7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For the three months ended March 31, 2026, changes in the fair value of our contingent consideration obligations were primarily due to changes in the probabilities of success and expected timing of the achievement of certain remaining developmental milestones.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2023 FIT FOR GROWTH RESTRUCTURING PROGRAM</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 xml:space="preserve">For the </w:t>
      </w:r>
      <w:r>
        <w:rPr>
          <w:rFonts w:ascii="Arial" w:cs="Arial" w:eastAsia="Arial" w:hAnsi="Arial"/>
          <w:sz w:val="18"/>
          <w:szCs w:val="18"/>
          <w:color w:val="auto"/>
        </w:rPr>
        <w:t>three</w:t>
      </w:r>
      <w:r>
        <w:rPr>
          <w:rFonts w:ascii="Arial" w:cs="Arial" w:eastAsia="Arial" w:hAnsi="Arial"/>
          <w:sz w:val="18"/>
          <w:szCs w:val="18"/>
          <w:b w:val="1"/>
          <w:bCs w:val="1"/>
          <w:color w:val="auto"/>
        </w:rPr>
        <w:t xml:space="preserve"> months ended </w:t>
      </w:r>
      <w:r>
        <w:rPr>
          <w:rFonts w:ascii="Arial" w:cs="Arial" w:eastAsia="Arial" w:hAnsi="Arial"/>
          <w:sz w:val="18"/>
          <w:szCs w:val="18"/>
          <w:color w:val="auto"/>
        </w:rPr>
        <w:t>March 31, 2025</w:t>
      </w:r>
      <w:r>
        <w:rPr>
          <w:rFonts w:ascii="Arial" w:cs="Arial" w:eastAsia="Arial" w:hAnsi="Arial"/>
          <w:sz w:val="18"/>
          <w:szCs w:val="18"/>
          <w:b w:val="1"/>
          <w:bCs w:val="1"/>
          <w:color w:val="auto"/>
        </w:rPr>
        <w:t xml:space="preserve">, we recorded approximately $35.3 million </w:t>
      </w:r>
      <w:r>
        <w:rPr>
          <w:rFonts w:ascii="Arial" w:cs="Arial" w:eastAsia="Arial" w:hAnsi="Arial"/>
          <w:sz w:val="18"/>
          <w:szCs w:val="18"/>
          <w:color w:val="auto"/>
        </w:rPr>
        <w:t>in restructuring charges related to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from our Fit for Growth program within restructuring charges in our condensed consolidated statements of income.</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xml:space="preserve"> to our consolidated financial statements included in our 2025 Form 10-K.</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change in other (income) expense, net primarily reflects higher losses on our equity investments in 2025.</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INTEREST INCOME AND EXPENSE</w:t>
      </w:r>
    </w:p>
    <w:p>
      <w:pPr>
        <w:spacing w:after="0" w:line="12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the three months ended March 31, 2026, net interest expense was approximately $29.7 million, compared to $36.1 million in the prior year comparative period. The change was primarily due to higher interest income driven by higher cash balances in 2026.</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anticipate higher net interest expense in 2026, compared to 2025, due to lower interest income driven by lower cash balances and higher interest expense resulting from additional financing related to our proposed acquisition of Apellis.</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NET (GAINS) LOSSES IN EQUITY SECURITIES</w:t>
      </w:r>
    </w:p>
    <w:p>
      <w:pPr>
        <w:spacing w:after="0" w:line="1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three months ended March 31, 2026, net unrealized and realized gains on our holdings in equity securities were approximately $19.1 million and $ 3.2 million, respectively, compared to net unrealized losses and realized gains of approximately $41.0 million and $5.4 million, respectively, in the prior year comparative period.</w:t>
      </w:r>
    </w:p>
    <w:p>
      <w:pPr>
        <w:spacing w:after="0" w:line="63" w:lineRule="exact"/>
        <w:rPr>
          <w:sz w:val="20"/>
          <w:szCs w:val="20"/>
          <w:color w:val="auto"/>
        </w:rPr>
      </w:pPr>
    </w:p>
    <w:p>
      <w:pPr>
        <w:ind w:left="340" w:right="300" w:hanging="332"/>
        <w:spacing w:after="0" w:line="287" w:lineRule="auto"/>
        <w:tabs>
          <w:tab w:leader="none" w:pos="295" w:val="left"/>
        </w:tabs>
        <w:numPr>
          <w:ilvl w:val="0"/>
          <w:numId w:val="33"/>
        </w:numPr>
        <w:rPr>
          <w:rFonts w:ascii="Arial" w:cs="Arial" w:eastAsia="Arial" w:hAnsi="Arial"/>
          <w:sz w:val="18"/>
          <w:szCs w:val="18"/>
          <w:color w:val="0070C0"/>
        </w:rPr>
      </w:pPr>
      <w:r>
        <w:rPr>
          <w:rFonts w:ascii="Arial" w:cs="Arial" w:eastAsia="Arial" w:hAnsi="Arial"/>
          <w:sz w:val="18"/>
          <w:szCs w:val="18"/>
          <w:color w:val="auto"/>
        </w:rPr>
        <w:t>The net unrealized gains recognized during the three months ended March 31, 2026, primarily reflect an increase in the aggregate fair value of our investment in Denali common stock of approximately $19.2 million.</w:t>
      </w:r>
    </w:p>
    <w:p>
      <w:pPr>
        <w:spacing w:after="0" w:line="44" w:lineRule="exact"/>
        <w:rPr>
          <w:rFonts w:ascii="Arial" w:cs="Arial" w:eastAsia="Arial" w:hAnsi="Arial"/>
          <w:sz w:val="18"/>
          <w:szCs w:val="18"/>
          <w:color w:val="0070C0"/>
        </w:rPr>
      </w:pPr>
    </w:p>
    <w:p>
      <w:pPr>
        <w:jc w:val="both"/>
        <w:ind w:left="340" w:right="260" w:hanging="332"/>
        <w:spacing w:after="0" w:line="268" w:lineRule="auto"/>
        <w:tabs>
          <w:tab w:leader="none" w:pos="295" w:val="left"/>
        </w:tabs>
        <w:numPr>
          <w:ilvl w:val="0"/>
          <w:numId w:val="33"/>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three months ended March 31, 2025, primarily reflect a decrease in the aggregate fair value of our investment in Denali common stock of approximately $48.5 million, partially offset by an increase in the fair value of Sage common stock of approximately $15.7 million, which was later disposed of during the third quarter of 2025.</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INCOME TAX PROVISION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b w:val="1"/>
                <w:bCs w:val="1"/>
                <w:color w:val="0070C0"/>
              </w:rPr>
              <w:t>2026</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2025</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0070C0"/>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377.7</w:t>
            </w:r>
          </w:p>
        </w:tc>
        <w:tc>
          <w:tcPr>
            <w:tcW w:w="160" w:type="dxa"/>
            <w:vAlign w:val="bottom"/>
            <w:shd w:val="clear" w:color="auto" w:fill="DBDBDB"/>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311.2</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58.2</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70.7</w:t>
            </w:r>
          </w:p>
        </w:tc>
      </w:tr>
      <w:tr>
        <w:trPr>
          <w:trHeight w:val="21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3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22.7 %</w:t>
            </w: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months ended March 31, 2026 and 2025, our effective tax rate was 15.4% and 22.7%, respectively. The decrease in our effective tax rate was partially driven by favorable impacts of a current year settlement of a foreign tax audit and the vesting of certain share based awards, partially offset by the higher rate of tax on NCTI due to the OBBBA enactment.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PILLAR TWO</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three months ended March 31, 2026 and 2025, reflects currently enacted legislation and guidance related to the OECD model rules, including the Pillar Two side-by-side package announced by the OECD in January 2026. This enacted legislation and guidance related to the OECD model rules did not result in any material adjustments to our income tax provision or income tax balances as of March 31, 2026 and December 31, 2025. At this stage, we do not believe the side-by-side package impacts our financial results as of March 31, 2026 and December 31, 2025.</w:t>
      </w:r>
    </w:p>
    <w:p>
      <w:pPr>
        <w:spacing w:after="0" w:line="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our consolidated financial statements included in our 2025 Form 10-K.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vMerge w:val="restart"/>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56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As of March 31, 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shd w:val="clear" w:color="auto" w:fill="DBDBDB"/>
          </w:tcPr>
          <w:p>
            <w:pPr>
              <w:spacing w:after="0"/>
              <w:rPr>
                <w:sz w:val="14"/>
                <w:szCs w:val="14"/>
                <w:color w:val="auto"/>
              </w:rPr>
            </w:pPr>
          </w:p>
        </w:tc>
        <w:tc>
          <w:tcPr>
            <w:tcW w:w="1060" w:type="dxa"/>
            <w:vAlign w:val="bottom"/>
            <w:vMerge w:val="restart"/>
            <w:shd w:val="clear" w:color="auto" w:fill="DBDBDB"/>
          </w:tcPr>
          <w:p>
            <w:pPr>
              <w:jc w:val="right"/>
              <w:ind w:right="18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4"/>
                <w:szCs w:val="14"/>
                <w:color w:val="auto"/>
              </w:rPr>
            </w:pPr>
          </w:p>
        </w:tc>
        <w:tc>
          <w:tcPr>
            <w:tcW w:w="1280" w:type="dxa"/>
            <w:vAlign w:val="bottom"/>
            <w:gridSpan w:val="2"/>
            <w:vMerge w:val="restart"/>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560" w:type="dxa"/>
            <w:vAlign w:val="bottom"/>
            <w:tcBorders>
              <w:bottom w:val="single" w:sz="8" w:color="auto"/>
            </w:tcBorders>
            <w:vMerge w:val="continue"/>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00" w:type="dxa"/>
            <w:vAlign w:val="bottom"/>
            <w:shd w:val="clear" w:color="auto" w:fill="DDDDDD"/>
          </w:tcPr>
          <w:p>
            <w:pPr>
              <w:spacing w:after="0"/>
              <w:rPr>
                <w:sz w:val="16"/>
                <w:szCs w:val="16"/>
                <w:color w:val="auto"/>
              </w:rPr>
            </w:pPr>
          </w:p>
        </w:tc>
        <w:tc>
          <w:tcPr>
            <w:tcW w:w="15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3,382.7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3,008.5</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374.2</w:t>
            </w:r>
          </w:p>
        </w:tc>
        <w:tc>
          <w:tcPr>
            <w:tcW w:w="100" w:type="dxa"/>
            <w:vAlign w:val="bottom"/>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0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807.2</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92.8</w:t>
            </w:r>
          </w:p>
        </w:tc>
        <w:tc>
          <w:tcPr>
            <w:tcW w:w="100" w:type="dxa"/>
            <w:vAlign w:val="bottom"/>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11.5</w:t>
            </w:r>
          </w:p>
        </w:tc>
        <w:tc>
          <w:tcPr>
            <w:tcW w:w="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0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465.6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33.7</w:t>
            </w:r>
          </w:p>
        </w:tc>
        <w:tc>
          <w:tcPr>
            <w:tcW w:w="100" w:type="dxa"/>
            <w:vAlign w:val="bottom"/>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7.8</w:t>
            </w:r>
          </w:p>
        </w:tc>
        <w:tc>
          <w:tcPr>
            <w:tcW w:w="1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4,748.3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4,247.6</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500.7</w:t>
            </w:r>
          </w:p>
        </w:tc>
        <w:tc>
          <w:tcPr>
            <w:tcW w:w="100" w:type="dxa"/>
            <w:vAlign w:val="bottom"/>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11.8</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16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Borrowings:</w:t>
            </w:r>
          </w:p>
        </w:tc>
        <w:tc>
          <w:tcPr>
            <w:tcW w:w="100" w:type="dxa"/>
            <w:vAlign w:val="bottom"/>
            <w:tcBorders>
              <w:top w:val="single" w:sz="8" w:color="auto"/>
            </w:tcBorders>
            <w:shd w:val="clear" w:color="auto" w:fill="DBDBDB"/>
          </w:tcPr>
          <w:p>
            <w:pPr>
              <w:spacing w:after="0"/>
              <w:rPr>
                <w:sz w:val="14"/>
                <w:szCs w:val="14"/>
                <w:color w:val="auto"/>
              </w:rPr>
            </w:pPr>
          </w:p>
        </w:tc>
        <w:tc>
          <w:tcPr>
            <w:tcW w:w="156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6,288.5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6,286.8</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w:t>
            </w:r>
          </w:p>
        </w:tc>
        <w:tc>
          <w:tcPr>
            <w:tcW w:w="100" w:type="dxa"/>
            <w:vAlign w:val="bottom"/>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41"/>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6,288.5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6,286.8</w:t>
            </w:r>
          </w:p>
        </w:tc>
        <w:tc>
          <w:tcPr>
            <w:tcW w:w="10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w:t>
            </w:r>
          </w:p>
        </w:tc>
        <w:tc>
          <w:tcPr>
            <w:tcW w:w="100" w:type="dxa"/>
            <w:vAlign w:val="bottom"/>
          </w:tcPr>
          <w:p>
            <w:pPr>
              <w:spacing w:after="0"/>
              <w:rPr>
                <w:sz w:val="20"/>
                <w:szCs w:val="20"/>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0" w:type="dxa"/>
            <w:vAlign w:val="bottom"/>
          </w:tcPr>
          <w:p>
            <w:pPr>
              <w:spacing w:after="0"/>
              <w:rPr>
                <w:sz w:val="1"/>
                <w:szCs w:val="1"/>
                <w:color w:val="auto"/>
              </w:rPr>
            </w:pPr>
          </w:p>
        </w:tc>
      </w:tr>
      <w:tr>
        <w:trPr>
          <w:trHeight w:val="161"/>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Working capital:</w:t>
            </w:r>
          </w:p>
        </w:tc>
        <w:tc>
          <w:tcPr>
            <w:tcW w:w="100" w:type="dxa"/>
            <w:vAlign w:val="bottom"/>
            <w:tcBorders>
              <w:top w:val="single" w:sz="8" w:color="auto"/>
            </w:tcBorders>
            <w:shd w:val="clear" w:color="auto" w:fill="DBDBDB"/>
          </w:tcPr>
          <w:p>
            <w:pPr>
              <w:spacing w:after="0"/>
              <w:rPr>
                <w:sz w:val="14"/>
                <w:szCs w:val="14"/>
                <w:color w:val="auto"/>
              </w:rPr>
            </w:pPr>
          </w:p>
        </w:tc>
        <w:tc>
          <w:tcPr>
            <w:tcW w:w="156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0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9,190.4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8,974.1</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216.3</w:t>
            </w:r>
          </w:p>
        </w:tc>
        <w:tc>
          <w:tcPr>
            <w:tcW w:w="100" w:type="dxa"/>
            <w:vAlign w:val="bottom"/>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7"/>
        </w:trPr>
        <w:tc>
          <w:tcPr>
            <w:tcW w:w="51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0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(2,998.9)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(3,349.4)</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350.5</w:t>
            </w:r>
          </w:p>
        </w:tc>
        <w:tc>
          <w:tcPr>
            <w:tcW w:w="100" w:type="dxa"/>
            <w:vAlign w:val="bottom"/>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(10.5)</w:t>
            </w:r>
          </w:p>
        </w:tc>
        <w:tc>
          <w:tcPr>
            <w:tcW w:w="1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12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6,191.5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5,624.7</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566.8</w:t>
            </w:r>
          </w:p>
        </w:tc>
        <w:tc>
          <w:tcPr>
            <w:tcW w:w="100" w:type="dxa"/>
            <w:vAlign w:val="bottom"/>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2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and borrowings, as well as our existing cash resources. We believe that generic and biosimilar competition for many of our key products, the continued overall decline of our MS business and our investments in the launch of key new products and the development of our pipeline will have a significant adverse impact on our future cash flow from operations.</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March 2026 we entered into an agreement to acquire all of the issued and outstanding shares of Apellis for $5.6 billion, which we plan to fund through approximately $3.6 billion of available cash and marketable securities on hand, supplemented by approximately $2.0 billion in bank loans. Additionally, in April 2026 we entered into a definitive agreement with TJ Bio to acquire TJ Bio's exclusive rights to felzartamab in the greater China region and made an upfront payment of $100.0 million during the second quarter of 2026.</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3. Quantitative and Qualitative Disclosures About Market Risk </w:t>
      </w:r>
      <w:r>
        <w:rPr>
          <w:rFonts w:ascii="Arial" w:cs="Arial" w:eastAsia="Arial" w:hAnsi="Arial"/>
          <w:sz w:val="18"/>
          <w:szCs w:val="18"/>
          <w:color w:val="auto"/>
        </w:rPr>
        <w:t>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Working capital is defined as current assets less current liabilities. Our working capital was $6.2 billion and $5.6 billion as of March 31, 2026 and December 31, 2025, respectively. The change in working capital reflects an increase in total current assets of approximately $216.3 million and a decrease in total current liabilities of approximately $350.5 million. The changes in total current assets and total current liabilities were primarily driven by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96"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22"/>
          <w:szCs w:val="22"/>
          <w:b w:val="1"/>
          <w:bCs w:val="1"/>
          <w:i w:val="1"/>
          <w:iCs w:val="1"/>
          <w:color w:val="0070C0"/>
        </w:rPr>
      </w:pPr>
      <w:r>
        <w:rPr>
          <w:rFonts w:ascii="Arial" w:cs="Arial" w:eastAsia="Arial" w:hAnsi="Arial"/>
          <w:sz w:val="18"/>
          <w:szCs w:val="18"/>
          <w:color w:val="auto"/>
        </w:rPr>
        <w:t>$467.0 million increase in cash, cash equivalents and current marketable securities; and</w:t>
      </w:r>
    </w:p>
    <w:p>
      <w:pPr>
        <w:spacing w:after="0" w:line="57" w:lineRule="exact"/>
        <w:rPr>
          <w:rFonts w:ascii="Arial" w:cs="Arial" w:eastAsia="Arial" w:hAnsi="Arial"/>
          <w:sz w:val="22"/>
          <w:szCs w:val="22"/>
          <w:b w:val="1"/>
          <w:bCs w:val="1"/>
          <w:i w:val="1"/>
          <w:iCs w:val="1"/>
          <w:color w:val="0070C0"/>
        </w:rPr>
      </w:pPr>
    </w:p>
    <w:p>
      <w:pPr>
        <w:ind w:left="260" w:hanging="252"/>
        <w:spacing w:after="0"/>
        <w:tabs>
          <w:tab w:leader="none" w:pos="260" w:val="left"/>
        </w:tabs>
        <w:numPr>
          <w:ilvl w:val="0"/>
          <w:numId w:val="34"/>
        </w:numPr>
        <w:rPr>
          <w:rFonts w:ascii="Arial" w:cs="Arial" w:eastAsia="Arial" w:hAnsi="Arial"/>
          <w:sz w:val="22"/>
          <w:szCs w:val="22"/>
          <w:b w:val="1"/>
          <w:bCs w:val="1"/>
          <w:i w:val="1"/>
          <w:iCs w:val="1"/>
          <w:color w:val="0070C0"/>
        </w:rPr>
      </w:pPr>
      <w:r>
        <w:rPr>
          <w:rFonts w:ascii="Arial" w:cs="Arial" w:eastAsia="Arial" w:hAnsi="Arial"/>
          <w:sz w:val="18"/>
          <w:szCs w:val="18"/>
          <w:color w:val="auto"/>
        </w:rPr>
        <w:t>$219.1 million decrease in inventory primarily due to timing of production</w:t>
      </w:r>
      <w:r>
        <w:rPr>
          <w:rFonts w:ascii="Arial" w:cs="Arial" w:eastAsia="Arial" w:hAnsi="Arial"/>
          <w:sz w:val="18"/>
          <w:szCs w:val="18"/>
          <w:color w:val="EE2724"/>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96"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22"/>
          <w:szCs w:val="22"/>
          <w:b w:val="1"/>
          <w:bCs w:val="1"/>
          <w:i w:val="1"/>
          <w:iCs w:val="1"/>
          <w:color w:val="0070C0"/>
        </w:rPr>
      </w:pPr>
      <w:r>
        <w:rPr>
          <w:rFonts w:ascii="Arial" w:cs="Arial" w:eastAsia="Arial" w:hAnsi="Arial"/>
          <w:sz w:val="18"/>
          <w:szCs w:val="18"/>
          <w:color w:val="auto"/>
        </w:rPr>
        <w:t>$255.8 million decrease in accrued expense and other primarily due to the timing of our annual incentive compensation payment.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March 31, 2026, we had cash, cash equivalents and marketable securities totaling approximately $4.7 billion compared to approximately $4.2 billion as of December 31, 2025. The increase in the balance was primarily due to cash flows from operations, which includes $25.0 million of research and development funding received from Royalty Pharma, partially offset by the $35.0 million payment made to the former shareholders of Alcyone upon FDA approval of a supplemental application in January 2026, capital expenditures and payments related to the issuance of stock for share-based compensation arrangements.</w:t>
      </w:r>
    </w:p>
    <w:p>
      <w:pPr>
        <w:spacing w:after="0" w:line="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condensed consolidated financial statements included in this report</w:t>
      </w:r>
      <w:r>
        <w:rPr>
          <w:rFonts w:ascii="Arial" w:cs="Arial" w:eastAsia="Arial" w:hAnsi="Arial"/>
          <w:sz w:val="18"/>
          <w:szCs w:val="18"/>
          <w:i w:val="1"/>
          <w:iCs w:val="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7"/>
          </w:tcPr>
          <w:p>
            <w:pPr>
              <w:jc w:val="right"/>
              <w:ind w:right="102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9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b w:val="1"/>
                <w:bCs w:val="1"/>
                <w:color w:val="257ACB"/>
              </w:rPr>
              <w:t>2026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1620" w:type="dxa"/>
            <w:vAlign w:val="bottom"/>
            <w:tcBorders>
              <w:bottom w:val="single" w:sz="8" w:color="auto"/>
            </w:tcBorders>
            <w:gridSpan w:val="2"/>
            <w:shd w:val="clear" w:color="auto" w:fill="DBDBDB"/>
          </w:tcPr>
          <w:p>
            <w:pPr>
              <w:jc w:val="right"/>
              <w:ind w:right="38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645.5</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148.9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342.9</w:t>
            </w:r>
          </w:p>
        </w:tc>
        <w:tc>
          <w:tcPr>
            <w:tcW w:w="140" w:type="dxa"/>
            <w:vAlign w:val="bottom"/>
            <w:shd w:val="clear" w:color="auto" w:fill="DBDBDB"/>
          </w:tcPr>
          <w:p>
            <w:pPr>
              <w:spacing w:after="0"/>
              <w:rPr>
                <w:sz w:val="17"/>
                <w:szCs w:val="17"/>
                <w:color w:val="auto"/>
              </w:rPr>
            </w:pPr>
          </w:p>
        </w:tc>
      </w:tr>
      <w:tr>
        <w:trPr>
          <w:trHeight w:val="21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90.4</w:t>
            </w:r>
          </w:p>
        </w:tc>
        <w:tc>
          <w:tcPr>
            <w:tcW w:w="140" w:type="dxa"/>
            <w:vAlign w:val="bottom"/>
            <w:shd w:val="clear" w:color="auto" w:fill="DBDBDB"/>
          </w:tcPr>
          <w:p>
            <w:pPr>
              <w:spacing w:after="0"/>
              <w:rPr>
                <w:sz w:val="18"/>
                <w:szCs w:val="18"/>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260" w:hanging="331"/>
        <w:spacing w:after="0" w:line="260" w:lineRule="auto"/>
        <w:tabs>
          <w:tab w:leader="none" w:pos="368" w:val="left"/>
        </w:tabs>
        <w:numPr>
          <w:ilvl w:val="0"/>
          <w:numId w:val="36"/>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26" w:lineRule="exact"/>
        <w:rPr>
          <w:rFonts w:ascii="Arial" w:cs="Arial" w:eastAsia="Arial" w:hAnsi="Arial"/>
          <w:sz w:val="20"/>
          <w:szCs w:val="20"/>
          <w:color w:val="0070C0"/>
        </w:rPr>
      </w:pPr>
    </w:p>
    <w:p>
      <w:pPr>
        <w:ind w:left="420" w:right="340" w:hanging="331"/>
        <w:spacing w:after="0" w:line="272" w:lineRule="auto"/>
        <w:tabs>
          <w:tab w:leader="none" w:pos="368" w:val="left"/>
        </w:tabs>
        <w:numPr>
          <w:ilvl w:val="0"/>
          <w:numId w:val="36"/>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7" w:lineRule="exact"/>
        <w:rPr>
          <w:rFonts w:ascii="Arial" w:cs="Arial" w:eastAsia="Arial" w:hAnsi="Arial"/>
          <w:sz w:val="20"/>
          <w:szCs w:val="20"/>
          <w:color w:val="0070C0"/>
        </w:rPr>
      </w:pPr>
    </w:p>
    <w:p>
      <w:pPr>
        <w:ind w:left="420" w:right="260" w:hanging="331"/>
        <w:spacing w:after="0" w:line="260" w:lineRule="auto"/>
        <w:tabs>
          <w:tab w:leader="none" w:pos="368" w:val="left"/>
        </w:tabs>
        <w:numPr>
          <w:ilvl w:val="0"/>
          <w:numId w:val="36"/>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in-process research and development.</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three months ended March 31, 2026, compared to the same period in 2025, the increase in net cash flow provided by operating activities was primarily due to a higher net income in 2026. Net income in 2025 included the $165.0 million upfront payment made to Stoke in connection with the closing of our collaboration and license agreement and higher losses on our equity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change in net cash flow in investing activities was primarily due to higher net purchases of marketable securities in 2026.</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2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months ended March 31, 2026, compared to the same period in 2025, the change in net cash flow in financing activities was primarily due to higher payments related to the issuance of stock for share-based compensation arrangements in 2026.</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w:t>
      </w:r>
    </w:p>
    <w:p>
      <w:pPr>
        <w:spacing w:after="0" w:line="112"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Our long-term obligations primarily consist of long-term debt related to our Senior Notes with final maturity dates ranging between 2030 and 2055. As of March 31, 2026, our outstanding balance related to long-term debt was $6.3 billion, net of discounts and debt offering costs.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REVOLVING CREDIT FACILITY</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March 31, 2026 and December 31, 2025, we had no outstanding borrowings and were in compliance with all covenants under this facility.</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March 31, 2026 and December 31, 2025,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 Fair Value Measurements, </w:t>
      </w:r>
      <w:r>
        <w:rPr>
          <w:rFonts w:ascii="Arial" w:cs="Arial" w:eastAsia="Arial" w:hAnsi="Arial"/>
          <w:sz w:val="18"/>
          <w:szCs w:val="18"/>
          <w:color w:val="auto"/>
        </w:rPr>
        <w:t>to our condensed consolidated financial statements included in this report.</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our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our 2025 Form 10-K.</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months ended March 31, 2026 and 2025. Approximately $2.1 billion remained available under our 2020 Share Repurchase Program as of March 31, 2026.</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CONTRACTUAL OBLIGATIONS AND OFF-BALANCE SHEET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70C0"/>
        </w:rPr>
        <w:t>CONTRACTUAL OBLIGATIONS</w:t>
      </w:r>
    </w:p>
    <w:p>
      <w:pPr>
        <w:spacing w:after="0" w:line="11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research and development funding arrangements with third parties, contingent development, regulatory and commercial milestone payments and contingent payments, as described below.</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In addition, certain of our collaboration and licensing arrangements include royalty payment obligations. For additional information on our royalty payments please read, </w:t>
      </w:r>
      <w:r>
        <w:rPr>
          <w:rFonts w:ascii="Arial" w:cs="Arial" w:eastAsia="Arial" w:hAnsi="Arial"/>
          <w:sz w:val="18"/>
          <w:szCs w:val="18"/>
          <w:i w:val="1"/>
          <w:iCs w:val="1"/>
          <w:color w:val="auto"/>
        </w:rPr>
        <w:t>Note 22, Commitments and Contingencies</w:t>
      </w:r>
      <w:r>
        <w:rPr>
          <w:rFonts w:ascii="Arial" w:cs="Arial" w:eastAsia="Arial" w:hAnsi="Arial"/>
          <w:sz w:val="18"/>
          <w:szCs w:val="18"/>
          <w:color w:val="auto"/>
        </w:rPr>
        <w:t>, to our consolidated financial statements included in our 2025 Form 10-K.</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There have been no material changes in our contractual obligations, including those related to our other lease agreements, since December 31, 2025.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 RELATED TO BUSINESS COMBINATIONS</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approximately $350.0 million in remaining milestones related to this acquisition.</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our 2025 Form 10-K.</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DEVELOPMENT, REGULATORY AND COMMERCIAL MILESTONE PAYMENTS</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Based on our development plans as of March 31, 2026, we could make potential future milestone payments to third parties of up to approximately $6.6 billion, including approximately $0.9 billion in development milestones, approximately $0.8 billion in regulatory milestones and approximately $4.9 billion in commercial milestones, as part of our various collaborations, including licensing and development programs. Payments under these agreements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generally become due and payable upon achievement of certain development, regulatory or commercial milestones. Because the achievement of these milestones was not considered probable as of March 31, 2026,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If certain research milestones are met, we may pay up to approximately $65.5 million in additional milestones in 2026 under our current agreements, excluding opt-in payments.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0070C0"/>
        </w:rPr>
        <w:t>OTHER FUNDING COMMITMENTS</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of March 31, 2026, we have several ongoing clinical studies in various clinical trial stages. Our most significant clinical trial expenditures are to CROs. The contracts with CROs are generally cancellable, with notice, at our option. We recorded accrued expense of approximately $39.3 million in our condensed consolidated balance sheets for expenditures incurred by CROs as of March 31, 2026. We have approximately $504.7 million in cancellable future commitments based on existing CRO contracts as of March 31, 2026.</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0070C0"/>
        </w:rPr>
        <w:t>TAX RELATED OBLIGATIONS</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March 31, 2026, we have approximately $153.1 million of liabilities associated with uncertain tax positions.</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NEW ACCOUNTING STANDARDS</w:t>
      </w:r>
    </w:p>
    <w:p>
      <w:pPr>
        <w:spacing w:after="0" w:line="13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condensed consolidated financial statements included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CRITICAL ACCOUNTING ESTIMATES</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There have been no material changes to our critical accounting estimates since our 2025 Form 10-K. For a discussion of our other critical accounting estimates, please read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in our 2025 Form 10-K.</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3.</w:t>
        <w:tab/>
        <w:t>QUANTITATIVE AND QUALITATIVE DISCLOSURES ABOUT MARKET RISK</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the Polish zloty.</w:t>
      </w:r>
    </w:p>
    <w:p>
      <w:pPr>
        <w:spacing w:after="0" w:line="6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March 31, 2026, and is not expected to have a material impact on our results of operations or financial position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OPERATING EXPENSE HEDGING PROGRAM</w:t>
      </w:r>
    </w:p>
    <w:p>
      <w:pPr>
        <w:spacing w:after="0" w:line="10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18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condensed consolidated financial statements included in this report.</w:t>
      </w:r>
    </w:p>
    <w:p>
      <w:pPr>
        <w:spacing w:after="0" w:line="7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March 31, 2026 and December 31, 2025, a hypothetical adverse 10.0% movement in foreign currency exchange rates compared to the U.S. dollar across all maturities would result in a hypothetical decrease in the fair value of forward contracts of approximately $254.1 million and $278.0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CREDIT RISK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March 31, 2026 and December 31, 2025.</w:t>
      </w:r>
    </w:p>
    <w:p>
      <w:pPr>
        <w:spacing w:after="0" w:line="219"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auto"/>
        </w:rPr>
        <w:t>ITEM 4.</w:t>
        <w:tab/>
        <w:t>CONTROLS AND PROCEDURES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CONTROLS AND PROCEDURES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March 31, 2026. Based upon that evaluation, our principal executive officer and principal financial officer concluded that, as of the end of the period covered by this report, our disclosure controls and procedures are effective in ensuring that:</w:t>
      </w:r>
    </w:p>
    <w:p>
      <w:pPr>
        <w:spacing w:after="0" w:line="71" w:lineRule="exact"/>
        <w:rPr>
          <w:sz w:val="20"/>
          <w:szCs w:val="20"/>
          <w:color w:val="auto"/>
        </w:rPr>
      </w:pPr>
    </w:p>
    <w:p>
      <w:pPr>
        <w:ind w:left="740" w:right="20" w:hanging="246"/>
        <w:spacing w:after="0" w:line="268" w:lineRule="auto"/>
        <w:tabs>
          <w:tab w:leader="none" w:pos="7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62" w:lineRule="exact"/>
        <w:rPr>
          <w:rFonts w:ascii="Arial" w:cs="Arial" w:eastAsia="Arial" w:hAnsi="Arial"/>
          <w:sz w:val="18"/>
          <w:szCs w:val="18"/>
          <w:color w:val="auto"/>
        </w:rPr>
      </w:pPr>
    </w:p>
    <w:p>
      <w:pPr>
        <w:ind w:left="740" w:right="440" w:hanging="246"/>
        <w:spacing w:after="0" w:line="287" w:lineRule="auto"/>
        <w:tabs>
          <w:tab w:leader="none" w:pos="7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1C5A7D"/>
        </w:rPr>
        <w:t>PART II OTHER INFORMATION</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1.</w:t>
        <w:tab/>
        <w:t>LEGAL PROCEEDINGS</w:t>
      </w:r>
    </w:p>
    <w:p>
      <w:pPr>
        <w:spacing w:after="0" w:line="12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 xml:space="preserve">For a discussion of legal proceedings as of March 31, 2026,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41"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color w:val="auto"/>
        </w:rPr>
        <w:t>ITEM 1A.</w:t>
      </w:r>
      <w:r>
        <w:rPr>
          <w:sz w:val="20"/>
          <w:szCs w:val="20"/>
          <w:color w:val="auto"/>
        </w:rPr>
        <w:tab/>
      </w:r>
      <w:r>
        <w:rPr>
          <w:rFonts w:ascii="Arial" w:cs="Arial" w:eastAsia="Arial" w:hAnsi="Arial"/>
          <w:sz w:val="24"/>
          <w:szCs w:val="24"/>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0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our stock price:</w:t>
      </w:r>
    </w:p>
    <w:p>
      <w:pPr>
        <w:spacing w:after="0" w:line="14" w:lineRule="exact"/>
        <w:rPr>
          <w:sz w:val="20"/>
          <w:szCs w:val="20"/>
          <w:color w:val="auto"/>
        </w:rPr>
      </w:pPr>
    </w:p>
    <w:p>
      <w:pPr>
        <w:ind w:left="340" w:right="700" w:hanging="332"/>
        <w:spacing w:after="0" w:line="298" w:lineRule="auto"/>
        <w:tabs>
          <w:tab w:leader="none" w:pos="2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63" w:lineRule="exact"/>
        <w:rPr>
          <w:rFonts w:ascii="Arial" w:cs="Arial" w:eastAsia="Arial" w:hAnsi="Arial"/>
          <w:sz w:val="18"/>
          <w:szCs w:val="18"/>
          <w:color w:val="auto"/>
        </w:rPr>
      </w:pPr>
    </w:p>
    <w:p>
      <w:pPr>
        <w:ind w:left="340" w:right="300" w:hanging="332"/>
        <w:spacing w:after="0" w:line="262" w:lineRule="auto"/>
        <w:tabs>
          <w:tab w:leader="none" w:pos="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relating to inflation and those resulting from governmental or regulatory requirements, including those relating to any future potential drug price negotiation under the IRA or other legislative or executive acts; increased competition, including from generic or biosimilar versions of our products; or changes in, or implementation of, reimbursement policies and practices of payors and other third parties;</w:t>
      </w:r>
    </w:p>
    <w:p>
      <w:pPr>
        <w:spacing w:after="0" w:line="14"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legal, administrative, geopolitical, regulatory or legislative developments; and</w:t>
      </w:r>
    </w:p>
    <w:p>
      <w:pPr>
        <w:spacing w:after="0" w:line="63" w:lineRule="exact"/>
        <w:rPr>
          <w:rFonts w:ascii="Arial" w:cs="Arial" w:eastAsia="Arial" w:hAnsi="Arial"/>
          <w:sz w:val="18"/>
          <w:szCs w:val="18"/>
          <w:color w:val="auto"/>
        </w:rPr>
      </w:pPr>
    </w:p>
    <w:p>
      <w:pPr>
        <w:ind w:left="340" w:right="200" w:hanging="332"/>
        <w:spacing w:after="0" w:line="287" w:lineRule="auto"/>
        <w:tabs>
          <w:tab w:leader="none" w:pos="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LEQEMBI is in the early stages of commercial launch in the U.S. and certain international markets and SKYCLARYS is in the early stages of commercial launch in certain European markets.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spacing w:after="0" w:line="14"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approval in other markets;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and/or greater acceptance of other new products for the same or similar indications;</w:t>
      </w:r>
    </w:p>
    <w:p>
      <w:pPr>
        <w:spacing w:after="0" w:line="63" w:lineRule="exact"/>
        <w:rPr>
          <w:rFonts w:ascii="Arial" w:cs="Arial" w:eastAsia="Arial" w:hAnsi="Arial"/>
          <w:sz w:val="18"/>
          <w:szCs w:val="18"/>
          <w:color w:val="auto"/>
        </w:rPr>
      </w:pPr>
    </w:p>
    <w:p>
      <w:pPr>
        <w:jc w:val="both"/>
        <w:ind w:left="340" w:right="140" w:hanging="332"/>
        <w:spacing w:after="0" w:line="268" w:lineRule="auto"/>
        <w:tabs>
          <w:tab w:leader="none" w:pos="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spacing w:after="0" w:line="8"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w:t>
      </w:r>
    </w:p>
    <w:p>
      <w:pPr>
        <w:spacing w:after="0" w:line="11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 -term success depends upon the successful development of new products from our research and development activities or our licenses or acquisitions from third parties, as well as the development of additional indications for our existing products. Product development is very expensive and involves a high degree of uncertainty and risk and is not always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ASO platform, presents additional challenges and risks, including obtaining approval from regulatory authorities that have limited experience with the development of such therapies. For example, we are currently seeking approval of a</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subcutaneous formulation of LEQEMBI as a starting dose in the U.S. and any delays or challenges may impact our ability to realize the anticipated benefits from LEQEMBI.</w:t>
      </w:r>
    </w:p>
    <w:p>
      <w:pPr>
        <w:spacing w:after="0" w:line="1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 product candidate,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safety warnings in an approved label, adverse placement within the treatment paradigm or significant reduction in the commercial potential of the product candidate.</w:t>
      </w:r>
    </w:p>
    <w:p>
      <w:pPr>
        <w:spacing w:after="0" w:line="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Even if we could successfully develop new products or additional indications for our existing products, we may make a strategic decision to discontinue development of a product candidate or an additional indication for our existing products if, for example, we believe commercialization will be difficult relative to the standard of care or we prioritize other opportunities in our pipeline.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companies that have a greater number of products on the market and in the product pipeline, substantially greater financial, marketing, research and development and other resources, and other technological or competitive advantages.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in the past reduced, and may in the future significantly reduce, both the price that we are able to charge for our products and the volume of products we sell, which has and may continue to negatively impact our revenue. In addition, in some markets, when a generic or biosimilar version of one of our products is commercialized, it has in the past and may in the future be automatically substituted for our product and significantly reduce our revenue in a short period of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be adversely affected by a number of factors, including:</w:t>
      </w:r>
    </w:p>
    <w:p>
      <w:pPr>
        <w:spacing w:after="0" w:line="63" w:lineRule="exact"/>
        <w:rPr>
          <w:sz w:val="20"/>
          <w:szCs w:val="20"/>
          <w:color w:val="auto"/>
        </w:rPr>
      </w:pPr>
    </w:p>
    <w:p>
      <w:pPr>
        <w:ind w:left="340" w:right="100" w:hanging="332"/>
        <w:spacing w:after="0" w:line="281"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63" w:lineRule="exact"/>
        <w:rPr>
          <w:rFonts w:ascii="Arial" w:cs="Arial" w:eastAsia="Arial" w:hAnsi="Arial"/>
          <w:sz w:val="18"/>
          <w:szCs w:val="18"/>
          <w:color w:val="auto"/>
        </w:rPr>
      </w:pPr>
    </w:p>
    <w:p>
      <w:pPr>
        <w:ind w:left="340" w:right="280" w:hanging="332"/>
        <w:spacing w:after="0" w:line="281"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1" w:lineRule="exact"/>
        <w:rPr>
          <w:rFonts w:ascii="Arial" w:cs="Arial" w:eastAsia="Arial" w:hAnsi="Arial"/>
          <w:sz w:val="18"/>
          <w:szCs w:val="18"/>
          <w:color w:val="auto"/>
        </w:rPr>
      </w:pPr>
    </w:p>
    <w:p>
      <w:pPr>
        <w:ind w:left="340" w:right="460" w:hanging="332"/>
        <w:spacing w:after="0" w:line="281"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1" w:lineRule="exact"/>
        <w:rPr>
          <w:rFonts w:ascii="Arial" w:cs="Arial" w:eastAsia="Arial" w:hAnsi="Arial"/>
          <w:sz w:val="18"/>
          <w:szCs w:val="18"/>
          <w:color w:val="auto"/>
        </w:rPr>
      </w:pPr>
    </w:p>
    <w:p>
      <w:pPr>
        <w:jc w:val="both"/>
        <w:ind w:left="340" w:right="240" w:hanging="332"/>
        <w:spacing w:after="0" w:line="287" w:lineRule="auto"/>
        <w:tabs>
          <w:tab w:leader="none" w:pos="2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ind w:left="340" w:right="420" w:hanging="332"/>
        <w:spacing w:after="0" w:line="281" w:lineRule="auto"/>
        <w:tabs>
          <w:tab w:leader="none" w:pos="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obtain and maintain appropriate pricing and adequate reimbursement for our products compared to our competitors in key markets;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1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as well as our ability to execute on strategic decisions and initiatives.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36" w:lineRule="exact"/>
        <w:rPr>
          <w:sz w:val="20"/>
          <w:szCs w:val="20"/>
          <w:color w:val="auto"/>
        </w:rPr>
      </w:pPr>
    </w:p>
    <w:p>
      <w:pPr>
        <w:jc w:val="both"/>
        <w:ind w:right="780"/>
        <w:spacing w:after="0" w:line="268"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w:t>
      </w:r>
    </w:p>
    <w:p>
      <w:pPr>
        <w:spacing w:after="0" w:line="4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4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to acquire or in-license is highly competitive. As such, we are not certain that we will be able to identify suitable candidates for acquisition or in-licensing or if we will be able to reach agreement to make any such acquisition or in-license if suitable candidates are identified.</w:t>
      </w:r>
    </w:p>
    <w:p>
      <w:pPr>
        <w:spacing w:after="0" w:line="3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collaborations or strategic decisions, such as the decision to retain the biosimilars business, or the benefits may be delayed or not occur at all. We may also face additional costs or liabilities in completed transactions that were not contemplated prior to completion.</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we recently announced that we have entered into a definitive agreement to acquire Apellis. Our ability to realize the anticipated benefits of the potential acquisition depends on, among other things, our ability to complete the transaction in a timely manner or at all, and how efficiently and effectively we are able to integrate Apellis’ operations into ours and to commercialize EMPAVELI and SYFOVRE.</w:t>
      </w:r>
    </w:p>
    <w:p>
      <w:pPr>
        <w:spacing w:after="0" w:line="7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2573BA"/>
        </w:rPr>
        <w:t>Sales of our products depend, to a significant extent, on the availability and extent of adequate coverage, pricing and reimbursement from government health administration authorities, private health insurers and other organizations,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7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governmental health administration authorities, private health insurers and other organizations.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6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63" w:lineRule="exact"/>
        <w:rPr>
          <w:rFonts w:ascii="Arial" w:cs="Arial" w:eastAsia="Arial" w:hAnsi="Arial"/>
          <w:sz w:val="18"/>
          <w:szCs w:val="18"/>
          <w:color w:val="auto"/>
        </w:rPr>
      </w:pPr>
    </w:p>
    <w:p>
      <w:pPr>
        <w:ind w:left="340" w:right="480" w:hanging="332"/>
        <w:spacing w:after="0" w:line="287" w:lineRule="auto"/>
        <w:tabs>
          <w:tab w:leader="none" w:pos="2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consolidation and increasing assertiveness of governmental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ind w:left="340" w:right="280" w:hanging="332"/>
        <w:spacing w:after="0" w:line="281"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1" w:lineRule="exact"/>
        <w:rPr>
          <w:rFonts w:ascii="Arial" w:cs="Arial" w:eastAsia="Arial" w:hAnsi="Arial"/>
          <w:sz w:val="18"/>
          <w:szCs w:val="18"/>
          <w:color w:val="auto"/>
        </w:rPr>
      </w:pPr>
    </w:p>
    <w:p>
      <w:pPr>
        <w:ind w:left="340" w:right="200" w:hanging="332"/>
        <w:spacing w:after="0" w:line="268"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healthcare costs to continue to be subject to political or societal pressures on a global basis. Certain countries set prices by reference to the prices in other countries where our products are marketed. Our inability to obtain and maintain adequate prices in a particular country has limited, and may in the future limit, the revenue from our products within that country and has, and may in the future, also adversely affect our ability to secure acceptable prices in existing and potential new markets, which has limited, and may in the future limit, market growth and result in reductions in revenue. This has created, or may create, the opportunity for third-party cross-border trade or influence our decision to sell or not to sell a product, thus adversely affecting our geographic expansion plans and revenue. Additionally, in certain jurisdictions governmental health agencies are permitted to adjust, retroactively and/or prospectively, reimbursement rates for our products. Reimbursement for our products by governments, including the timing of any reimbursements, are also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dictate the manner in which they spend money. There can be no assurance that the economic, budgeting or political issues will not worsen and adversely impact sales or reimbursements of our products.</w:t>
      </w:r>
    </w:p>
    <w:p>
      <w:pPr>
        <w:spacing w:after="0" w:line="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from current and future competitors has and may continue to negatively impact our ability to maintain pricing and our market share. New products marketed by our competitors have caused and could continue to cause our revenue to decrease due to potential price reductions and lower sales volumes. Additionally, the introduction of generic or biosimilar versions of our products, follow-on products, prodrugs or products approved under abbreviated regulatory pathways has and may continue to significantly reduce the price and the volume of products we sell.</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third-party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and/or could cause a decline or volatility in our stock price.</w:t>
      </w:r>
    </w:p>
    <w:p>
      <w:pPr>
        <w:spacing w:after="0" w:line="38" w:lineRule="exact"/>
        <w:rPr>
          <w:sz w:val="20"/>
          <w:szCs w:val="20"/>
          <w:color w:val="auto"/>
        </w:rPr>
      </w:pPr>
    </w:p>
    <w:p>
      <w:pPr>
        <w:jc w:val="both"/>
        <w:ind w:right="220"/>
        <w:spacing w:after="0" w:line="272" w:lineRule="auto"/>
        <w:rPr>
          <w:sz w:val="20"/>
          <w:szCs w:val="20"/>
          <w:color w:val="auto"/>
        </w:rPr>
      </w:pPr>
      <w:r>
        <w:rPr>
          <w:rFonts w:ascii="Arial" w:cs="Arial" w:eastAsia="Arial" w:hAnsi="Arial"/>
          <w:sz w:val="18"/>
          <w:szCs w:val="18"/>
          <w:b w:val="1"/>
          <w:bCs w:val="1"/>
          <w:i w:val="1"/>
          <w:iCs w:val="1"/>
          <w:color w:val="2573BA"/>
        </w:rPr>
        <w:t>We depend on relationships with collaborators and other third parties for revenue, and for the development, regulatory approval, commercialization and marketing of certain of our products and product candidates, which are outside of our full control, and if these relationships fail, our business may be adversely affected.</w:t>
      </w:r>
    </w:p>
    <w:p>
      <w:pPr>
        <w:spacing w:after="0" w:line="5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14" w:lineRule="exact"/>
        <w:rPr>
          <w:sz w:val="20"/>
          <w:szCs w:val="20"/>
          <w:color w:val="auto"/>
        </w:rPr>
      </w:pPr>
    </w:p>
    <w:p>
      <w:pPr>
        <w:ind w:left="340" w:right="440" w:hanging="332"/>
        <w:spacing w:after="0" w:line="281"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 parties devote to our programs, products or product candidates, which may affect our ability to achieve development goals or milestones;</w:t>
      </w:r>
    </w:p>
    <w:p>
      <w:pPr>
        <w:spacing w:after="0" w:line="1" w:lineRule="exact"/>
        <w:rPr>
          <w:rFonts w:ascii="Arial" w:cs="Arial" w:eastAsia="Arial" w:hAnsi="Arial"/>
          <w:sz w:val="18"/>
          <w:szCs w:val="18"/>
          <w:color w:val="auto"/>
        </w:rPr>
      </w:pPr>
    </w:p>
    <w:p>
      <w:pPr>
        <w:ind w:left="340" w:right="120" w:hanging="332"/>
        <w:spacing w:after="0" w:line="268"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 parties fail to perform;</w:t>
      </w:r>
    </w:p>
    <w:p>
      <w:pPr>
        <w:spacing w:after="0" w:line="8" w:lineRule="exact"/>
        <w:rPr>
          <w:rFonts w:ascii="Arial" w:cs="Arial" w:eastAsia="Arial" w:hAnsi="Arial"/>
          <w:sz w:val="18"/>
          <w:szCs w:val="18"/>
          <w:color w:val="auto"/>
        </w:rPr>
      </w:pPr>
    </w:p>
    <w:p>
      <w:pPr>
        <w:ind w:left="340" w:hanging="332"/>
        <w:spacing w:after="0" w:line="262"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interests of our collaborators or third parties may not always align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14" w:lineRule="exact"/>
        <w:rPr>
          <w:rFonts w:ascii="Arial" w:cs="Arial" w:eastAsia="Arial" w:hAnsi="Arial"/>
          <w:sz w:val="18"/>
          <w:szCs w:val="18"/>
          <w:color w:val="auto"/>
        </w:rPr>
      </w:pPr>
    </w:p>
    <w:p>
      <w:pPr>
        <w:ind w:left="340" w:right="380" w:hanging="332"/>
        <w:spacing w:after="0" w:line="268"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the parties to cooperate effectively, which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8" w:lineRule="exact"/>
        <w:rPr>
          <w:rFonts w:ascii="Arial" w:cs="Arial" w:eastAsia="Arial" w:hAnsi="Arial"/>
          <w:sz w:val="18"/>
          <w:szCs w:val="18"/>
          <w:color w:val="auto"/>
        </w:rPr>
      </w:pPr>
    </w:p>
    <w:p>
      <w:pPr>
        <w:ind w:left="340" w:right="460" w:hanging="332"/>
        <w:spacing w:after="0" w:line="287"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failure on the part of our collaborators or third parties to comply with applicable laws, including tax laws, regulatory requirements and/or applicable contractual obligations or to fulfill any responsibilities they may have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100"/>
        <w:spacing w:after="0" w:line="281" w:lineRule="auto"/>
        <w:rPr>
          <w:sz w:val="20"/>
          <w:szCs w:val="20"/>
          <w:color w:val="auto"/>
        </w:rPr>
      </w:pPr>
      <w:r>
        <w:rPr>
          <w:rFonts w:ascii="Arial" w:cs="Arial" w:eastAsia="Arial" w:hAnsi="Arial"/>
          <w:sz w:val="18"/>
          <w:szCs w:val="18"/>
          <w:color w:val="auto"/>
        </w:rPr>
        <w:t>to protect and enforce any intellectual property rights underlying our products could have an adverse effect on our revenue or reputation as well as involve us in possible legal proceedings;</w:t>
      </w:r>
    </w:p>
    <w:p>
      <w:pPr>
        <w:spacing w:after="0" w:line="1" w:lineRule="exact"/>
        <w:rPr>
          <w:sz w:val="20"/>
          <w:szCs w:val="20"/>
          <w:color w:val="auto"/>
        </w:rPr>
      </w:pPr>
    </w:p>
    <w:p>
      <w:pPr>
        <w:ind w:left="340" w:right="120" w:hanging="332"/>
        <w:spacing w:after="0" w:line="268" w:lineRule="auto"/>
        <w:tabs>
          <w:tab w:leader="none" w:pos="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turnover or changes in strategy, priorities or capabilities at our collaborators resulting from, for example, a change in control, may impact the commercialization or manufacturing of our shared products and may result in loss of revenue or higher operating expense; and</w:t>
      </w:r>
    </w:p>
    <w:p>
      <w:pPr>
        <w:spacing w:after="0" w:line="8" w:lineRule="exact"/>
        <w:rPr>
          <w:rFonts w:ascii="Arial" w:cs="Arial" w:eastAsia="Arial" w:hAnsi="Arial"/>
          <w:sz w:val="18"/>
          <w:szCs w:val="18"/>
          <w:color w:val="auto"/>
        </w:rPr>
      </w:pPr>
    </w:p>
    <w:p>
      <w:pPr>
        <w:ind w:left="340" w:right="420" w:hanging="332"/>
        <w:spacing w:after="0" w:line="268" w:lineRule="auto"/>
        <w:tabs>
          <w:tab w:leader="none" w:pos="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 parties could subject us to civil or criminal investigations and monetary and injunctive penalties, require management attention, impact the accuracy and timing of our financial reporting and/or adversely impact our business and our reputation.</w:t>
      </w:r>
    </w:p>
    <w:p>
      <w:pPr>
        <w:spacing w:after="0" w:line="4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38" w:lineRule="exact"/>
        <w:rPr>
          <w:sz w:val="20"/>
          <w:szCs w:val="20"/>
          <w:color w:val="auto"/>
        </w:rPr>
      </w:pPr>
    </w:p>
    <w:p>
      <w:pPr>
        <w:jc w:val="both"/>
        <w:ind w:right="160"/>
        <w:spacing w:after="0" w:line="294" w:lineRule="auto"/>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 including those contained in the PPACA, IRA, OBBBA, MFN and executive orders.</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the cost of healthcare. Legislative and regulatory proposals, enactments to reform healthcare insurance programs (including those in the IRA and OBBBA) and increasing pressure from social sources could significantly influence the manner in which our products are prescribed, purchased and reimbursed. For example, provisions of the PPACA have resulted in changes in the way healthcare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PHS Act and similar state legislation. These changes have had and are expected to continue to have a significant impact on our business.</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July 2025 the U.S. signed into law the OBBBA, which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 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pacing w:after="0" w:line="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substantial public attention on the costs of prescription drugs and we expect drug pricing and other healthcare costs to continue to be subject to political and societal pressures globally. In addition, there have been, and are expected to continue to be, legislative proposals to address prescription drug pricing. We face uncertainties regarding potential healthcare reforms, governmental policy and prioritization. The uncertainty about the future of the PPACA and healthcare laws may put downward pressure on drug pricing and increase our regulatory burdens and operating costs. For example, we expect the IRA's drug pricing controls and Medicare Part D redesign to have an adverse impact on sales, particularly for our products that are more substantially reliant on Medicare reimbursement.</w:t>
      </w:r>
    </w:p>
    <w:p>
      <w:pPr>
        <w:spacing w:after="0" w:line="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the current government administration has introduced various measures to address prescription drug pricing and access, including through issuance of an executive order aiming to establish an MFN drug pricing policy that would tie U.S. drug prices to the prices paid for drugs in other developed countries. If HHS sets MFN pricing targets for prescription drugs, including the use of international pricing reference to set drug prices in the U.S., or if legislation is passed enabling generic drug or biosimilar entry sooner than expected, our business could be materially harmed, including with respect to our ability to set adequate pricing for new drugs to recover our research and development costs. Additional proposals, regulations or initiatives related to drug pricing, such as the CMS-proposed MFN initiatives, the Global Benchmark for Efficient Drug Pricing for certain Medicare Part B drugs and the Guarding U.S. Medicare Against Rising Drug Costs for certain Medicare Part D drugs, continue to be debated, and additional executive orders or regulatory initiatives focused on drug pricing and competition may be adopted and implemented in some form. The timing and extent of implementation of any of the measures described above is uncertain and we cannot fully predict their impact on our product candidates and our business. The adoption of these and any other government controls and measures, and tightening of restrictive policies in jurisdictions with</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existing controls and measures, could exclude or limit our product candidates from coverage, limit payments for pharmaceuticals, limit our ability to launch products in certain markets and impact healthcare systems and drug markets in the U.S. and abroad, thereby negatively affecting our revenue and adversely impacting our business.</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also significant economic pressure on state budgets, that may result in states increasingly seeking to achieve budget savings through mechanisms that limit coverage or payment for our drugs.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6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E.U. and some other international markets, the government provides healthcare at low cost to consumers and regulates pharmaceutical prices, patient eligibility or reimbursement levels to control costs for the government-sponsored healthcare system. Many countries have announced or implemented measures, and may in the future implement new or additional measures, to reduce healthcare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65"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our business may be adversely affected.</w:t>
      </w:r>
    </w:p>
    <w:p>
      <w:pPr>
        <w:spacing w:after="0" w:line="4"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The development, manufacture and commercialization of biosimilars require specialized expertise and are costly and subject to complex regulation. Our success in commercializing biosimilars is subject to a number of risks, including:</w:t>
      </w:r>
    </w:p>
    <w:p>
      <w:pPr>
        <w:spacing w:after="0" w:line="1" w:lineRule="exact"/>
        <w:rPr>
          <w:sz w:val="20"/>
          <w:szCs w:val="20"/>
          <w:color w:val="auto"/>
        </w:rPr>
      </w:pPr>
    </w:p>
    <w:p>
      <w:pPr>
        <w:ind w:left="340" w:right="160" w:hanging="332"/>
        <w:spacing w:after="0" w:line="256"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in part, on the efforts of collaboration partners and other third parties for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of biosimilars. These third parties are independent entities subject to their own unique operational, strategic and financial risks that are outside of our control and may be affected by events outside of our control. For example, one of our contract manufacturers for IMRALDI and BENEPALI was acquired by a third party in 2024 which may impact the contract manufacturer's operational, strategic or financial risk. If these third parties fail to perform, or reduce their third-party manufacturing production, our biosimilar product development or commercialization of biosimilars could be delayed, revenue from biosimilars could decline and/or we may not realize the anticipated benefits of these arrangements;</w:t>
      </w:r>
    </w:p>
    <w:p>
      <w:pPr>
        <w:spacing w:after="0" w:line="20" w:lineRule="exact"/>
        <w:rPr>
          <w:rFonts w:ascii="Arial" w:cs="Arial" w:eastAsia="Arial" w:hAnsi="Arial"/>
          <w:sz w:val="18"/>
          <w:szCs w:val="18"/>
          <w:color w:val="auto"/>
        </w:rPr>
      </w:pPr>
    </w:p>
    <w:p>
      <w:pPr>
        <w:ind w:left="340" w:right="120" w:hanging="332"/>
        <w:spacing w:after="0" w:line="259"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spacing w:after="0" w:line="17" w:lineRule="exact"/>
        <w:rPr>
          <w:rFonts w:ascii="Arial" w:cs="Arial" w:eastAsia="Arial" w:hAnsi="Arial"/>
          <w:sz w:val="18"/>
          <w:szCs w:val="18"/>
          <w:color w:val="auto"/>
        </w:rPr>
      </w:pPr>
    </w:p>
    <w:p>
      <w:pPr>
        <w:ind w:left="340" w:right="500" w:hanging="332"/>
        <w:spacing w:after="0" w:line="281"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1" w:lineRule="exact"/>
        <w:rPr>
          <w:rFonts w:ascii="Arial" w:cs="Arial" w:eastAsia="Arial" w:hAnsi="Arial"/>
          <w:sz w:val="18"/>
          <w:szCs w:val="18"/>
          <w:color w:val="auto"/>
        </w:rPr>
      </w:pPr>
    </w:p>
    <w:p>
      <w:pPr>
        <w:ind w:left="340" w:right="200" w:hanging="332"/>
        <w:spacing w:after="0" w:line="281" w:lineRule="auto"/>
        <w:tabs>
          <w:tab w:leader="none" w:pos="29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Ability to Provide Adequate Supply. </w:t>
      </w:r>
      <w:r>
        <w:rPr>
          <w:rFonts w:ascii="Arial" w:cs="Arial" w:eastAsia="Arial" w:hAnsi="Arial"/>
          <w:sz w:val="17"/>
          <w:szCs w:val="17"/>
          <w:color w:val="auto"/>
        </w:rPr>
        <w:t>Manufacturing biosimilars is complex. If we encounter any persistent manufacturing or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we may be unable to meet demand. We are dependent on a third party for the manufacture of our biosimilar products and such third 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2" w:lineRule="exact"/>
        <w:rPr>
          <w:rFonts w:ascii="Arial" w:cs="Arial" w:eastAsia="Arial" w:hAnsi="Arial"/>
          <w:sz w:val="17"/>
          <w:szCs w:val="17"/>
          <w:color w:val="auto"/>
        </w:rPr>
      </w:pPr>
    </w:p>
    <w:p>
      <w:pPr>
        <w:jc w:val="both"/>
        <w:ind w:left="340" w:hanging="332"/>
        <w:spacing w:after="0" w:line="268"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intellectual property clearances and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 and</w:t>
      </w:r>
    </w:p>
    <w:p>
      <w:pPr>
        <w:spacing w:after="0" w:line="8" w:lineRule="exact"/>
        <w:rPr>
          <w:rFonts w:ascii="Arial" w:cs="Arial" w:eastAsia="Arial" w:hAnsi="Arial"/>
          <w:sz w:val="18"/>
          <w:szCs w:val="18"/>
          <w:color w:val="auto"/>
        </w:rPr>
      </w:pPr>
    </w:p>
    <w:p>
      <w:pPr>
        <w:ind w:left="340" w:right="180" w:hanging="332"/>
        <w:spacing w:after="0" w:line="268" w:lineRule="auto"/>
        <w:tabs>
          <w:tab w:leader="none" w:pos="29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our stock price to decline or experience periods of volatility.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1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2573BA"/>
        </w:rPr>
        <w:t>Successful preclinical work or early/late stage clinical trials does not ensure success in later stage trials, regulatory approval or commercial viability of a product.</w:t>
      </w:r>
    </w:p>
    <w:p>
      <w:pPr>
        <w:spacing w:after="0" w:line="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Positive results in preclinical work or early/late stage clinical trials have in the past and may in the future fail to be replicated in subsequent or confirmatory trials. Additionally, success in preclinical work or early/late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9"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5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significantly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3"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Adverse safety events involving our products, generic or biosimilar versions of our products or products from the same class as one of our products may have a negative impact on our business. Discovery of safety issues with our products could create product liability and has and may in the future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adversely impact our results of operations.</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lead to periods of stock price volatility.</w:t>
      </w:r>
    </w:p>
    <w:p>
      <w:pPr>
        <w:spacing w:after="0" w:line="5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or require significant expense or divert management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information systems could subject us to liability or interrupt our business operations.</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may include impacts such as, but not limited to, compromising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Cybersecurity threats and incidents are increasing in their frequency, sophistication and intensity, and are becoming increasingly difficult to detect, particularly when they impact vendors, customers or suppliers, and other companies in our supply chain. Cybersecurity threats and incidents are often carried out by motivated, well-resourced, skilled and persistent threat actors, including nation states, organized crime groups, “hacktivists” and may include or target employees or contractors acting with careless or malicious intent. Recent developments in the threat landscape include use of adversarial AI techniques, including generative AI models and machine learning, as well as an increased number of cyber extortion attacks, with higher financial ransom demand amounts and increasing sophistication and variety of ransomware techniques and methodology. AI technologies, including generative AI models and machine learning, develop rapidly and threat actors use them to identify currently unknown vulnerabilities and create new sophisticated attack methods that are increasingly automated, targeted, coordinated and more difficult to defend against. This may necessitate ongoing enhancements to our cybersecurity systems and infrastructure. Geopolitical instability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spacing w:after="0" w:line="41"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While we continue to build and improve our systems and infrastructure, including our business continuity plans, there can be no assurance that our efforts will detect and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Regulations continue to change as regulators worldwide consider new rules. For example, the SEC has adopted additional disclosure rules regarding cyber security risk management, strategy, governance and incident reporting by public companies. These regulations or other regulations being considered in Europe and around the world may impact the manner in which we operate.</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Regulators currently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patients, healthcare providers and the general public to lose trust in us, which could have a material adverse effect on our business.</w:t>
      </w:r>
    </w:p>
    <w:p>
      <w:pPr>
        <w:spacing w:after="0" w:line="75" w:lineRule="exact"/>
        <w:rPr>
          <w:sz w:val="20"/>
          <w:szCs w:val="20"/>
          <w:color w:val="auto"/>
        </w:rPr>
      </w:pPr>
    </w:p>
    <w:p>
      <w:pPr>
        <w:ind w:right="900"/>
        <w:spacing w:after="0" w:line="294" w:lineRule="auto"/>
        <w:rPr>
          <w:sz w:val="20"/>
          <w:szCs w:val="20"/>
          <w:color w:val="auto"/>
        </w:rPr>
      </w:pPr>
      <w:r>
        <w:rPr>
          <w:rFonts w:ascii="Arial" w:cs="Arial" w:eastAsia="Arial" w:hAnsi="Arial"/>
          <w:sz w:val="18"/>
          <w:szCs w:val="18"/>
          <w:b w:val="1"/>
          <w:bCs w:val="1"/>
          <w:i w:val="1"/>
          <w:iCs w:val="1"/>
          <w:color w:val="2573BA"/>
        </w:rPr>
        <w:t>The increasing use of AI-based software presents new risks and challenges and could adversely affect our business and reputation.</w:t>
      </w:r>
    </w:p>
    <w:p>
      <w:pPr>
        <w:spacing w:after="0" w:line="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with many developing technologies, AI-based software presents risks and challenges. For example, algorithms may be flawed, data sets may be insufficient, of poor quality or contain biased information; and inappropriate or controversial data practices could impair results. AI-based software is increasingly used in the biopharmaceutical industry, including by us, for research, marketing, manufacturing and commercialization, and we anticipate increasing our usage of technology that uses AI in the future. If the analyses that AI-based software assist in producing are deficient or inaccurate, we could be subjected to competitive harm, potential legal liability and brand or reputational harm. Use of AI-based software internally, by third parties or by threat actors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 subject to new or evolving laws and regulations, compliance may impose operational costs and limit our ability to use AI-based software, and failure to comply may result in potential government actions, litigation, fines, penalties or adverse publicity.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63" w:lineRule="exact"/>
        <w:rPr>
          <w:sz w:val="20"/>
          <w:szCs w:val="20"/>
          <w:color w:val="auto"/>
        </w:rPr>
      </w:pPr>
    </w:p>
    <w:p>
      <w:pPr>
        <w:ind w:left="340" w:hanging="332"/>
        <w:spacing w:after="0" w:line="254" w:lineRule="auto"/>
        <w:tabs>
          <w:tab w:leader="none" w:pos="2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strategic and financial risks that are outside of our control and may be affected by events outside of our control. Additionally,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23" w:lineRule="exact"/>
        <w:rPr>
          <w:rFonts w:ascii="Arial" w:cs="Arial" w:eastAsia="Arial" w:hAnsi="Arial"/>
          <w:sz w:val="18"/>
          <w:szCs w:val="18"/>
          <w:color w:val="auto"/>
        </w:rPr>
      </w:pPr>
    </w:p>
    <w:p>
      <w:pPr>
        <w:ind w:left="340" w:right="320" w:hanging="332"/>
        <w:spacing w:after="0" w:line="287" w:lineRule="auto"/>
        <w:tabs>
          <w:tab w:leader="none" w:pos="2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product candidates. Our global bulk supply of these products and product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40" w:right="520"/>
        <w:spacing w:after="0" w:line="268" w:lineRule="auto"/>
        <w:rPr>
          <w:sz w:val="20"/>
          <w:szCs w:val="20"/>
          <w:color w:val="auto"/>
        </w:rPr>
      </w:pPr>
      <w:r>
        <w:rPr>
          <w:rFonts w:ascii="Arial" w:cs="Arial" w:eastAsia="Arial" w:hAnsi="Arial"/>
          <w:sz w:val="18"/>
          <w:szCs w:val="18"/>
          <w:color w:val="auto"/>
        </w:rPr>
        <w:t>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spacing w:after="0" w:line="9" w:lineRule="exact"/>
        <w:rPr>
          <w:sz w:val="20"/>
          <w:szCs w:val="20"/>
          <w:color w:val="auto"/>
        </w:rPr>
      </w:pPr>
    </w:p>
    <w:p>
      <w:pPr>
        <w:ind w:left="340" w:right="60" w:hanging="332"/>
        <w:spacing w:after="0" w:line="257" w:lineRule="auto"/>
        <w:tabs>
          <w:tab w:leader="none" w:pos="2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GMP (cGMP). </w:t>
      </w:r>
      <w:r>
        <w:rPr>
          <w:rFonts w:ascii="Arial" w:cs="Arial" w:eastAsia="Arial" w:hAnsi="Arial"/>
          <w:sz w:val="18"/>
          <w:szCs w:val="18"/>
          <w:color w:val="auto"/>
        </w:rPr>
        <w:t>We and our third-party providers are required to maintain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20" w:lineRule="exact"/>
        <w:rPr>
          <w:rFonts w:ascii="Arial" w:cs="Arial" w:eastAsia="Arial" w:hAnsi="Arial"/>
          <w:sz w:val="18"/>
          <w:szCs w:val="18"/>
          <w:color w:val="auto"/>
        </w:rPr>
      </w:pPr>
    </w:p>
    <w:p>
      <w:pPr>
        <w:ind w:left="340" w:hanging="332"/>
        <w:spacing w:after="0" w:line="259" w:lineRule="auto"/>
        <w:tabs>
          <w:tab w:leader="none" w:pos="2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36"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Furthermore, factors such as geopolitical instability, public health epidemics, natural disasters, adverse weather events, labor or raw material shortages, imposition of tariffs or trade restrictions, power failures, cyber-attacks and other supply chain disruptions could result in difficulties and delays in manufacturing our products, which could have an adverse impact on our results of operations or result in product shortages.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6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spacing w:after="0" w:line="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pending acquisition of Apellis, the underperformance or discontinuation of one or more marketed, preclinical or clinical programs, recruitment by competitors or changes in the overall labor market. Changes in our organizational structure or in our flexible working arrangements could also impact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9"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healthcare industry, we could face increased costs, penalties and a loss of business.</w:t>
      </w:r>
    </w:p>
    <w:p>
      <w:pPr>
        <w:spacing w:after="0" w:line="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healthcare providers that prescribe or purchase our products are also subject to laws and government regulation designed to prevent fraud and abuse in the sale and use of products and place significant restrictions on the marketing practices of healthcare companies. Healthcare companies are facing heightened scrutiny of their relationships with healthcare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healthcare industry are subject to change, with possible retroactive effect, including:</w:t>
      </w:r>
    </w:p>
    <w:p>
      <w:pPr>
        <w:spacing w:after="0" w:line="63" w:lineRule="exact"/>
        <w:rPr>
          <w:sz w:val="20"/>
          <w:szCs w:val="20"/>
          <w:color w:val="auto"/>
        </w:rPr>
      </w:pPr>
    </w:p>
    <w:p>
      <w:pPr>
        <w:jc w:val="both"/>
        <w:ind w:left="340" w:right="180" w:hanging="332"/>
        <w:spacing w:after="0" w:line="259"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healthcare availability, pricing or marketing practices, compliance with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7" w:lineRule="exact"/>
        <w:rPr>
          <w:rFonts w:ascii="Arial" w:cs="Arial" w:eastAsia="Arial" w:hAnsi="Arial"/>
          <w:sz w:val="18"/>
          <w:szCs w:val="18"/>
          <w:color w:val="auto"/>
        </w:rPr>
      </w:pPr>
    </w:p>
    <w:p>
      <w:pPr>
        <w:jc w:val="both"/>
        <w:ind w:left="340" w:right="560" w:hanging="332"/>
        <w:spacing w:after="0" w:line="287" w:lineRule="auto"/>
        <w:tabs>
          <w:tab w:leader="none" w:pos="2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and the potential imposition of new or changing standards in the FDA and foreign regulatory approval processes, staffing, resources or perspectives that may delay or prevent certain processes, including, but not limited to, the approval of new products, product labels and/or formulations and approvals required for manufacturing facilities and may result in lost market opportunity;</w:t>
      </w:r>
    </w:p>
    <w:p>
      <w:pPr>
        <w:jc w:val="both"/>
        <w:ind w:left="340" w:right="80" w:hanging="332"/>
        <w:spacing w:after="0" w:line="268"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government shutdowns, funding disputes, reorganizations, furloughs or reductions in staffing and/or resources or changes in priorities or focus may result in delays to the review and approval process, slowing the time necessary for new drug candidates and other regulatory matters to be reviewed and/or approved, which may adversely affect our business;</w:t>
      </w:r>
    </w:p>
    <w:p>
      <w:pPr>
        <w:spacing w:after="0" w:line="8" w:lineRule="exact"/>
        <w:rPr>
          <w:rFonts w:ascii="Arial" w:cs="Arial" w:eastAsia="Arial" w:hAnsi="Arial"/>
          <w:sz w:val="18"/>
          <w:szCs w:val="18"/>
          <w:color w:val="auto"/>
        </w:rPr>
      </w:pPr>
    </w:p>
    <w:p>
      <w:pPr>
        <w:ind w:left="340" w:hanging="332"/>
        <w:spacing w:after="0" w:line="268"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4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Additionally, conditions and regulations governing the healthcare industry in the U.S. are subject to greater risk of change and uncertainty as a result of changes in legislative and regulatory priorities and personnel.</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63"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and the delivery of healthcare treatments;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63" w:lineRule="exact"/>
        <w:rPr>
          <w:rFonts w:ascii="Arial" w:cs="Arial" w:eastAsia="Arial" w:hAnsi="Arial"/>
          <w:sz w:val="18"/>
          <w:szCs w:val="18"/>
          <w:color w:val="auto"/>
        </w:rPr>
      </w:pPr>
    </w:p>
    <w:p>
      <w:pPr>
        <w:ind w:left="340" w:right="540" w:hanging="332"/>
        <w:spacing w:after="0" w:line="28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63" w:lineRule="exact"/>
        <w:rPr>
          <w:rFonts w:ascii="Arial" w:cs="Arial" w:eastAsia="Arial" w:hAnsi="Arial"/>
          <w:sz w:val="18"/>
          <w:szCs w:val="18"/>
          <w:color w:val="auto"/>
        </w:rPr>
      </w:pPr>
    </w:p>
    <w:p>
      <w:pPr>
        <w:ind w:left="340" w:right="580" w:hanging="332"/>
        <w:spacing w:after="0" w:line="28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complexity in manufacturing or conducting clinical research internationally, including materials manufactured in China or working with CROs in China;</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 and the military conflict in the Middle East;</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63" w:lineRule="exact"/>
        <w:rPr>
          <w:rFonts w:ascii="Arial" w:cs="Arial" w:eastAsia="Arial" w:hAnsi="Arial"/>
          <w:sz w:val="18"/>
          <w:szCs w:val="18"/>
          <w:color w:val="auto"/>
        </w:rPr>
      </w:pPr>
    </w:p>
    <w:p>
      <w:pPr>
        <w:ind w:left="340" w:right="940" w:hanging="332"/>
        <w:spacing w:after="0" w:line="28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63" w:lineRule="exact"/>
        <w:rPr>
          <w:rFonts w:ascii="Arial" w:cs="Arial" w:eastAsia="Arial" w:hAnsi="Arial"/>
          <w:sz w:val="18"/>
          <w:szCs w:val="18"/>
          <w:color w:val="auto"/>
        </w:rPr>
      </w:pPr>
    </w:p>
    <w:p>
      <w:pPr>
        <w:ind w:left="340" w:right="160" w:hanging="332"/>
        <w:spacing w:after="0" w:line="28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 w:lineRule="exact"/>
        <w:rPr>
          <w:rFonts w:ascii="Arial" w:cs="Arial" w:eastAsia="Arial" w:hAnsi="Arial"/>
          <w:sz w:val="18"/>
          <w:szCs w:val="18"/>
          <w:color w:val="auto"/>
        </w:rPr>
      </w:pPr>
    </w:p>
    <w:p>
      <w:pPr>
        <w:ind w:left="340" w:right="380" w:hanging="332"/>
        <w:spacing w:after="0" w:line="281"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anti-bribery and anti-corruption legislation across the globe, including the U.K. Bribery Act 2010, and elsewhere and escalation of investigations and prosecutions pursuant to such laws;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63" w:lineRule="exact"/>
        <w:rPr>
          <w:rFonts w:ascii="Arial" w:cs="Arial" w:eastAsia="Arial" w:hAnsi="Arial"/>
          <w:sz w:val="18"/>
          <w:szCs w:val="18"/>
          <w:color w:val="auto"/>
        </w:rPr>
      </w:pPr>
    </w:p>
    <w:p>
      <w:pPr>
        <w:ind w:left="340" w:right="540" w:hanging="332"/>
        <w:spacing w:after="0" w:line="287"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imposition of tariffs or reciprocal tariffs, trade protection measures, embargoes, import or export licensing requirements and the imposition of trade sanctions and other similar restrictions.</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international operations are also subject to regulation under U.S. law. For example, the U.S. federal government has initiated Section 232 investigations including with respect to pharmaceutical imports into the U.S. The result of these Section 232 investigations and any subsequent rulemaking could result in the government taking actions such as trade protection measures, embargoes, import or export licensing requirements, the imposition of trade sanctions or similar restrictions, which could have adverse consequences to our business and operations.</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could suffer severe penalties and may be subject to other liabilities, which could negatively affect our business, operating results and financial condition.</w:t>
      </w:r>
    </w:p>
    <w:p>
      <w:pPr>
        <w:spacing w:after="0" w:line="33"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b w:val="1"/>
          <w:bCs w:val="1"/>
          <w:i w:val="1"/>
          <w:iCs w:val="1"/>
          <w:color w:val="2573BA"/>
        </w:rPr>
        <w:t>We built a large-scale biologics manufacturing facility and are building a clinical packaging and other manufacturing facility, which represent a significant investment with no assurance that such investment will be recouped.</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 Although the Solothurn facility was approved by the FDA for LEQEMBI and TYSABRI, there can be no assurance that the regulatory authorities will approve the Solothurn facility for the manufacturing of other products.</w:t>
      </w:r>
    </w:p>
    <w:p>
      <w:pPr>
        <w:spacing w:after="0" w:line="4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Additionally, we are building a new clinical packaging and other manufacturing facility as well as modernizing and automating our existing manufacturing facilities in RTP with no assurance that these investments will be fully utilized.</w:t>
      </w:r>
    </w:p>
    <w:p>
      <w:pPr>
        <w:spacing w:after="0" w:line="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occur and would have a negative effect on our financial condition and results of operations.</w:t>
      </w:r>
    </w:p>
    <w:p>
      <w:pPr>
        <w:spacing w:after="0" w:line="33" w:lineRule="exact"/>
        <w:rPr>
          <w:sz w:val="20"/>
          <w:szCs w:val="20"/>
          <w:color w:val="auto"/>
        </w:rPr>
      </w:pPr>
    </w:p>
    <w:p>
      <w:pPr>
        <w:ind w:right="360"/>
        <w:spacing w:after="0" w:line="288"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7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may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the negative publicity generated from false or misleading social media posts concerning us, which we may not be able to reverse. If any of these events were to occur or we otherwise fail to comply with applicable regulations, we could incur liability, face restrictive regulatory actions or incur other harm to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Our quarterly revenue, expense and net income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in the future be required to record, charges that include:</w:t>
      </w:r>
    </w:p>
    <w:p>
      <w:pPr>
        <w:spacing w:after="0" w:line="9"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associated with decisions to terminate research and development programs;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63" w:lineRule="exact"/>
        <w:rPr>
          <w:rFonts w:ascii="Arial" w:cs="Arial" w:eastAsia="Arial" w:hAnsi="Arial"/>
          <w:sz w:val="18"/>
          <w:szCs w:val="18"/>
          <w:color w:val="auto"/>
        </w:rPr>
      </w:pPr>
    </w:p>
    <w:p>
      <w:pPr>
        <w:ind w:left="340" w:right="180" w:hanging="332"/>
        <w:spacing w:after="0" w:line="281"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capacity, charges for excess or obsolescence and charges for inventory write-downs relating to product suspensions, expirations or recalls;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40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the global economy and the delivery of healthcare.</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results of future periods.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favorable terms, which could increase financing costs.</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debt refinancing,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us and limit our ability to plan for or respond to changes in our business.</w:t>
      </w:r>
    </w:p>
    <w:p>
      <w:pPr>
        <w:spacing w:after="0" w:line="75"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1"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63" w:lineRule="exact"/>
        <w:rPr>
          <w:rFonts w:ascii="Arial" w:cs="Arial" w:eastAsia="Arial" w:hAnsi="Arial"/>
          <w:sz w:val="18"/>
          <w:szCs w:val="18"/>
          <w:color w:val="auto"/>
        </w:rPr>
      </w:pPr>
    </w:p>
    <w:p>
      <w:pPr>
        <w:ind w:left="340" w:right="480" w:hanging="332"/>
        <w:spacing w:after="0" w:line="268"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8" w:lineRule="exact"/>
        <w:rPr>
          <w:rFonts w:ascii="Arial" w:cs="Arial" w:eastAsia="Arial" w:hAnsi="Arial"/>
          <w:sz w:val="18"/>
          <w:szCs w:val="18"/>
          <w:color w:val="auto"/>
        </w:rPr>
      </w:pPr>
    </w:p>
    <w:p>
      <w:pPr>
        <w:ind w:left="340" w:right="340" w:hanging="332"/>
        <w:spacing w:after="0" w:line="287"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65"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2573BA"/>
        </w:rPr>
        <w:t>There can be no assurance that we will repurchase shares or that we will repurchase shares at favorable prices, which may negatively affect our stock price.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63" w:lineRule="exact"/>
        <w:rPr>
          <w:sz w:val="20"/>
          <w:szCs w:val="20"/>
          <w:color w:val="auto"/>
        </w:rPr>
      </w:pPr>
    </w:p>
    <w:p>
      <w:pPr>
        <w:ind w:right="200"/>
        <w:spacing w:after="0" w:line="288"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result in reduced milestone, profit or royalty payments to us or give our collaboration partner rights to terminate our collaboration agreement, acquire operational control or force the purchase or sale of the programs that are the subject of the collaboration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06" w:lineRule="exact"/>
        <w:rPr>
          <w:sz w:val="20"/>
          <w:szCs w:val="20"/>
          <w:color w:val="auto"/>
        </w:rPr>
      </w:pPr>
    </w:p>
    <w:p>
      <w:pPr>
        <w:ind w:right="320"/>
        <w:spacing w:after="0" w:line="288" w:lineRule="auto"/>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 in our financial statements.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global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(including the OBBBA) and Switzerland, and regulations either prospectively or retrospectively and the effects of the integrations of Reata and HI-Bio. Our estimates concerning the impact of the OBBBA remain subject to developing interpretations of the provisions of the OBBBA, which may require further adjustments and changes in our estimates, and could have a material adverse effect on our business.</w:t>
      </w:r>
    </w:p>
    <w:p>
      <w:pPr>
        <w:spacing w:after="0" w:line="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enactment and interpretation of some or all of the recommendations set forth or that may be forthcoming in the OECD’s project on “Base Erosion and Profit Shifting” by tax authorities and economic blocs in the countries in which we operate, could unfavorably impact our effective tax rate. Many countries have or are in the process of enacting legislation intended to implement the OECD GloBE Model Rules. The impact on the Company will depend on the timing of implementation, the exact nature of each country's GloBE legislation, guidance and regulations (including the Pillar Two side-by-side package announced by the OECD in January 2026) thereon and their application by tax authorities either prospectively or retrospectively.</w:t>
      </w:r>
    </w:p>
    <w:p>
      <w:pPr>
        <w:spacing w:after="0" w:line="49"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2573BA"/>
        </w:rPr>
        <w:t>Our business involves environmental and operational risks, which include the cost of compliance and the risk of contamination or injury.</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climate disclosure rules that will generally require additional disclosure. These new rules collectively will impose additional disclosure requirements relating to climate-related risks and emissions disclosures. We expect to be subject to these new laws and regulations if or when they go into</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30" w:right="9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color w:val="auto"/>
        </w:rPr>
        <w:t>ITEM 2.</w:t>
        <w:tab/>
        <w:t>UNREGISTERED SALES OF EQUITY SECURITIES AND USE OF PROCEEDS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ISSUER PURCHASES OF EQUITY SECURITIES</w:t>
      </w:r>
    </w:p>
    <w:p>
      <w:pPr>
        <w:spacing w:after="0" w:line="106"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first quarter of 2026:</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rPr>
              <w:t>as 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9"/>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Announced Programs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5"/>
        </w:trPr>
        <w:tc>
          <w:tcPr>
            <w:tcW w:w="34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3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7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3520" w:type="dxa"/>
            <w:vAlign w:val="bottom"/>
            <w:gridSpan w:val="3"/>
          </w:tcPr>
          <w:p>
            <w:pPr>
              <w:ind w:left="20"/>
              <w:spacing w:after="0"/>
              <w:rPr>
                <w:sz w:val="20"/>
                <w:szCs w:val="20"/>
                <w:color w:val="auto"/>
              </w:rPr>
            </w:pPr>
            <w:r>
              <w:rPr>
                <w:rFonts w:ascii="Arial" w:cs="Arial" w:eastAsia="Arial" w:hAnsi="Arial"/>
                <w:sz w:val="14"/>
                <w:szCs w:val="14"/>
                <w:color w:val="auto"/>
              </w:rPr>
              <w:t>January 1, 2026 - January 31, 2026</w:t>
            </w:r>
          </w:p>
        </w:tc>
        <w:tc>
          <w:tcPr>
            <w:tcW w:w="320" w:type="dxa"/>
            <w:vAlign w:val="bottom"/>
            <w:shd w:val="clear" w:color="auto" w:fill="DBDBDB"/>
          </w:tcPr>
          <w:p>
            <w:pPr>
              <w:spacing w:after="0"/>
              <w:rPr>
                <w:sz w:val="16"/>
                <w:szCs w:val="16"/>
                <w:color w:val="auto"/>
              </w:rPr>
            </w:pPr>
          </w:p>
        </w:tc>
        <w:tc>
          <w:tcPr>
            <w:tcW w:w="130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1520" w:type="dxa"/>
            <w:vAlign w:val="bottom"/>
            <w:gridSpan w:val="3"/>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3"/>
        </w:trPr>
        <w:tc>
          <w:tcPr>
            <w:tcW w:w="3520" w:type="dxa"/>
            <w:vAlign w:val="bottom"/>
            <w:gridSpan w:val="3"/>
          </w:tcPr>
          <w:p>
            <w:pPr>
              <w:ind w:left="20"/>
              <w:spacing w:after="0"/>
              <w:rPr>
                <w:sz w:val="20"/>
                <w:szCs w:val="20"/>
                <w:color w:val="auto"/>
              </w:rPr>
            </w:pPr>
            <w:r>
              <w:rPr>
                <w:rFonts w:ascii="Arial" w:cs="Arial" w:eastAsia="Arial" w:hAnsi="Arial"/>
                <w:sz w:val="14"/>
                <w:szCs w:val="14"/>
                <w:color w:val="auto"/>
              </w:rPr>
              <w:t>February 1, 2026 - February 28, 2026</w:t>
            </w:r>
          </w:p>
        </w:tc>
        <w:tc>
          <w:tcPr>
            <w:tcW w:w="320" w:type="dxa"/>
            <w:vAlign w:val="bottom"/>
            <w:shd w:val="clear" w:color="auto" w:fill="DBDBDB"/>
          </w:tcPr>
          <w:p>
            <w:pPr>
              <w:spacing w:after="0"/>
              <w:rPr>
                <w:sz w:val="17"/>
                <w:szCs w:val="17"/>
                <w:color w:val="auto"/>
              </w:rPr>
            </w:pPr>
          </w:p>
        </w:tc>
        <w:tc>
          <w:tcPr>
            <w:tcW w:w="130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500" w:type="dxa"/>
            <w:vAlign w:val="bottom"/>
            <w:gridSpan w:val="2"/>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7"/>
        </w:trPr>
        <w:tc>
          <w:tcPr>
            <w:tcW w:w="3520" w:type="dxa"/>
            <w:vAlign w:val="bottom"/>
            <w:gridSpan w:val="3"/>
          </w:tcPr>
          <w:p>
            <w:pPr>
              <w:ind w:left="20"/>
              <w:spacing w:after="0"/>
              <w:rPr>
                <w:sz w:val="20"/>
                <w:szCs w:val="20"/>
                <w:color w:val="auto"/>
              </w:rPr>
            </w:pPr>
            <w:r>
              <w:rPr>
                <w:rFonts w:ascii="Arial" w:cs="Arial" w:eastAsia="Arial" w:hAnsi="Arial"/>
                <w:sz w:val="14"/>
                <w:szCs w:val="14"/>
                <w:color w:val="auto"/>
              </w:rPr>
              <w:t>March 1, 2026 - March 31, 2026</w:t>
            </w:r>
          </w:p>
        </w:tc>
        <w:tc>
          <w:tcPr>
            <w:tcW w:w="3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1880" w:type="dxa"/>
            <w:vAlign w:val="bottom"/>
            <w:tcBorders>
              <w:bottom w:val="single" w:sz="8" w:color="DBDBDB"/>
            </w:tcBorders>
            <w:gridSpan w:val="2"/>
            <w:shd w:val="clear" w:color="auto" w:fill="DBDBDB"/>
          </w:tcPr>
          <w:p>
            <w:pPr>
              <w:spacing w:after="0"/>
              <w:rPr>
                <w:sz w:val="17"/>
                <w:szCs w:val="17"/>
                <w:color w:val="auto"/>
              </w:rPr>
            </w:pPr>
          </w:p>
        </w:tc>
        <w:tc>
          <w:tcPr>
            <w:tcW w:w="3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tcBorders>
              <w:bottom w:val="single" w:sz="8" w:color="DBDBDB"/>
            </w:tcBorders>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480" w:type="dxa"/>
            <w:vAlign w:val="bottom"/>
            <w:gridSpan w:val="2"/>
          </w:tcPr>
          <w:p>
            <w:pPr>
              <w:ind w:left="10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320" w:type="dxa"/>
            <w:vAlign w:val="bottom"/>
            <w:shd w:val="clear" w:color="auto" w:fill="DBDBDB"/>
          </w:tcPr>
          <w:p>
            <w:pPr>
              <w:spacing w:after="0"/>
              <w:rPr>
                <w:sz w:val="19"/>
                <w:szCs w:val="19"/>
                <w:color w:val="auto"/>
              </w:rPr>
            </w:pPr>
          </w:p>
        </w:tc>
        <w:tc>
          <w:tcPr>
            <w:tcW w:w="1300" w:type="dxa"/>
            <w:vAlign w:val="bottom"/>
            <w:shd w:val="clear" w:color="auto" w:fill="DBDBDB"/>
          </w:tcPr>
          <w:p>
            <w:pPr>
              <w:ind w:left="112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1208"/>
              <w:spacing w:after="0"/>
              <w:rPr>
                <w:sz w:val="20"/>
                <w:szCs w:val="20"/>
                <w:color w:val="auto"/>
              </w:rPr>
            </w:pPr>
            <w:r>
              <w:rPr>
                <w:rFonts w:ascii="Arial" w:cs="Arial" w:eastAsia="Arial" w:hAnsi="Arial"/>
                <w:sz w:val="14"/>
                <w:szCs w:val="14"/>
                <w:color w:val="026DCE"/>
              </w:rPr>
              <w:t>$</w:t>
            </w:r>
          </w:p>
        </w:tc>
        <w:tc>
          <w:tcPr>
            <w:tcW w:w="2140" w:type="dxa"/>
            <w:vAlign w:val="bottom"/>
            <w:gridSpan w:val="3"/>
            <w:shd w:val="clear" w:color="auto" w:fill="DBDBDB"/>
          </w:tcPr>
          <w:p>
            <w:pPr>
              <w:ind w:left="4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first quarter of 2026.</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share repurchases of our common stock during the three months ended March 31, 2026 and 2025. Approximately $2.1 billion remained available under our 2020 Share Repurchase Program as of March 31, 2026.</w:t>
      </w:r>
    </w:p>
    <w:p>
      <w:pPr>
        <w:spacing w:after="0" w:line="21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5.</w:t>
        <w:tab/>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70C0"/>
        </w:rPr>
        <w:t>TRADING ARRANGEMENTS</w:t>
      </w:r>
    </w:p>
    <w:p>
      <w:pPr>
        <w:spacing w:after="0" w:line="1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time to time, our officers (as defined in Rule 16a-1(f)) and directors may enter into, amend or terminate Rule 10b5-1 or non-Rule 10b5-1 trading arrangements (as each such term is defined in Item 408 of Regulation S-K). During the first quarter of 2026 there were no trading arrangements for the purchase or sale of our securities entered into, amended or terminated by our officers and directors.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348"/>
        </w:trPr>
        <w:tc>
          <w:tcPr>
            <w:tcW w:w="1020" w:type="dxa"/>
            <w:vAlign w:val="bottom"/>
            <w:gridSpan w:val="3"/>
          </w:tcPr>
          <w:p>
            <w:pPr>
              <w:spacing w:after="0"/>
              <w:rPr>
                <w:sz w:val="20"/>
                <w:szCs w:val="20"/>
                <w:color w:val="auto"/>
              </w:rPr>
            </w:pPr>
            <w:r>
              <w:rPr>
                <w:rFonts w:ascii="Arial" w:cs="Arial" w:eastAsia="Arial" w:hAnsi="Arial"/>
                <w:sz w:val="25"/>
                <w:szCs w:val="25"/>
                <w:b w:val="1"/>
                <w:bCs w:val="1"/>
                <w:color w:val="auto"/>
              </w:rPr>
              <w:t>ITEM 6.</w:t>
            </w:r>
          </w:p>
        </w:tc>
        <w:tc>
          <w:tcPr>
            <w:tcW w:w="10160" w:type="dxa"/>
            <w:vAlign w:val="bottom"/>
            <w:gridSpan w:val="9"/>
          </w:tcPr>
          <w:p>
            <w:pPr>
              <w:ind w:left="140"/>
              <w:spacing w:after="0"/>
              <w:rPr>
                <w:sz w:val="20"/>
                <w:szCs w:val="20"/>
                <w:color w:val="auto"/>
              </w:rPr>
            </w:pPr>
            <w:r>
              <w:rPr>
                <w:rFonts w:ascii="Arial" w:cs="Arial" w:eastAsia="Arial" w:hAnsi="Arial"/>
                <w:sz w:val="25"/>
                <w:szCs w:val="25"/>
                <w:b w:val="1"/>
                <w:bCs w:val="1"/>
                <w:color w:val="auto"/>
              </w:rPr>
              <w:t>EXHIBITS</w:t>
            </w:r>
          </w:p>
        </w:tc>
        <w:tc>
          <w:tcPr>
            <w:tcW w:w="0" w:type="dxa"/>
            <w:vAlign w:val="bottom"/>
          </w:tcPr>
          <w:p>
            <w:pPr>
              <w:spacing w:after="0"/>
              <w:rPr>
                <w:sz w:val="1"/>
                <w:szCs w:val="1"/>
                <w:color w:val="auto"/>
              </w:rPr>
            </w:pPr>
          </w:p>
        </w:tc>
      </w:tr>
      <w:tr>
        <w:trPr>
          <w:trHeight w:val="288"/>
        </w:trPr>
        <w:tc>
          <w:tcPr>
            <w:tcW w:w="11180" w:type="dxa"/>
            <w:vAlign w:val="bottom"/>
            <w:gridSpan w:val="12"/>
          </w:tcPr>
          <w:p>
            <w:pPr>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60" w:type="dxa"/>
            <w:vAlign w:val="bottom"/>
            <w:gridSpan w:val="6"/>
          </w:tcPr>
          <w:p>
            <w:pPr>
              <w:ind w:left="360"/>
              <w:spacing w:after="0"/>
              <w:rPr>
                <w:sz w:val="20"/>
                <w:szCs w:val="20"/>
                <w:color w:val="auto"/>
              </w:rPr>
            </w:pPr>
            <w:r>
              <w:rPr>
                <w:rFonts w:ascii="Arial" w:cs="Arial" w:eastAsia="Arial" w:hAnsi="Arial"/>
                <w:sz w:val="25"/>
                <w:szCs w:val="25"/>
                <w:color w:val="0070C0"/>
              </w:rPr>
              <w:t>EXHIBIT INDEX</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3"/>
                <w:szCs w:val="23"/>
                <w:color w:val="auto"/>
              </w:rPr>
            </w:pPr>
          </w:p>
        </w:tc>
        <w:tc>
          <w:tcPr>
            <w:tcW w:w="87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Number</w:t>
            </w:r>
          </w:p>
        </w:tc>
        <w:tc>
          <w:tcPr>
            <w:tcW w:w="1440" w:type="dxa"/>
            <w:vAlign w:val="bottom"/>
          </w:tcPr>
          <w:p>
            <w:pPr>
              <w:spacing w:after="0"/>
              <w:rPr>
                <w:sz w:val="16"/>
                <w:szCs w:val="16"/>
                <w:color w:val="auto"/>
              </w:rPr>
            </w:pPr>
          </w:p>
        </w:tc>
        <w:tc>
          <w:tcPr>
            <w:tcW w:w="87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0" w:type="dxa"/>
            <w:vAlign w:val="bottom"/>
            <w:tcBorders>
              <w:bottom w:val="single" w:sz="8" w:color="0000FF"/>
            </w:tcBorders>
            <w:gridSpan w:val="6"/>
          </w:tcPr>
          <w:p>
            <w:pPr>
              <w:spacing w:after="0"/>
              <w:rPr>
                <w:rFonts w:ascii="Arial" w:cs="Arial" w:eastAsia="Arial" w:hAnsi="Arial"/>
                <w:sz w:val="18"/>
                <w:szCs w:val="18"/>
                <w:color w:val="0000FF"/>
                <w:w w:val="99"/>
              </w:rPr>
            </w:pPr>
            <w:hyperlink r:id="rId175">
              <w:r>
                <w:rPr>
                  <w:rFonts w:ascii="Arial" w:cs="Arial" w:eastAsia="Arial" w:hAnsi="Arial"/>
                  <w:sz w:val="18"/>
                  <w:szCs w:val="18"/>
                  <w:color w:val="0000FF"/>
                  <w:w w:val="99"/>
                </w:rPr>
                <w:t>Agreement and Plan of Merger, dated as of March 31, 2026, by and among Apellis Pharmaceuticals, Inc.,</w:t>
              </w:r>
            </w:hyperlink>
          </w:p>
        </w:tc>
        <w:tc>
          <w:tcPr>
            <w:tcW w:w="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720" w:type="dxa"/>
            <w:vAlign w:val="bottom"/>
            <w:gridSpan w:val="8"/>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Biogen Inc. and Aspen Purchaser Sub, Inc. Filed as Exhibit 2.1 to our Current Report on Form 8-K filed on</w:t>
              </w:r>
            </w:hyperlink>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6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March 31, 2026.</w:t>
              </w:r>
            </w:hyperlink>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the Chief Executive Officer Pursuant to Section 302 of the Sarbanes-Oxley Act of 2002.</w:t>
            </w:r>
          </w:p>
        </w:tc>
        <w:tc>
          <w:tcPr>
            <w:tcW w:w="5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1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the Chief Financial Officer Pursuant to Section 302 of the Sarbanes-Oxley Act of 2002.</w:t>
            </w:r>
          </w:p>
        </w:tc>
        <w:tc>
          <w:tcPr>
            <w:tcW w:w="6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March 31,</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8"/>
          </w:tcPr>
          <w:p>
            <w:pPr>
              <w:spacing w:after="0" w:line="183" w:lineRule="exact"/>
              <w:rPr>
                <w:sz w:val="20"/>
                <w:szCs w:val="20"/>
                <w:color w:val="auto"/>
              </w:rPr>
            </w:pPr>
            <w:r>
              <w:rPr>
                <w:rFonts w:ascii="Arial" w:cs="Arial" w:eastAsia="Arial" w:hAnsi="Arial"/>
                <w:sz w:val="18"/>
                <w:szCs w:val="18"/>
                <w:color w:val="auto"/>
              </w:rPr>
              <w:t>2026, formatted in iXBRL (Inline Extensible Business Reporting Language): (i) the Condensed Consolidated</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8"/>
          </w:tcPr>
          <w:p>
            <w:pPr>
              <w:spacing w:after="0" w:line="181" w:lineRule="exact"/>
              <w:rPr>
                <w:sz w:val="20"/>
                <w:szCs w:val="20"/>
                <w:color w:val="auto"/>
              </w:rPr>
            </w:pPr>
            <w:r>
              <w:rPr>
                <w:rFonts w:ascii="Arial" w:cs="Arial" w:eastAsia="Arial" w:hAnsi="Arial"/>
                <w:sz w:val="18"/>
                <w:szCs w:val="18"/>
                <w:color w:val="auto"/>
              </w:rPr>
              <w:t>Statements of Income, (ii) the Condensed Consolidated Statements of Comprehensive Income, (iii) the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8"/>
          </w:tcPr>
          <w:p>
            <w:pPr>
              <w:spacing w:after="0" w:line="176" w:lineRule="exact"/>
              <w:rPr>
                <w:sz w:val="20"/>
                <w:szCs w:val="20"/>
                <w:color w:val="auto"/>
              </w:rPr>
            </w:pPr>
            <w:r>
              <w:rPr>
                <w:rFonts w:ascii="Arial" w:cs="Arial" w:eastAsia="Arial" w:hAnsi="Arial"/>
                <w:sz w:val="18"/>
                <w:szCs w:val="18"/>
                <w:color w:val="auto"/>
                <w:w w:val="99"/>
              </w:rPr>
              <w:t>Condensed Consolidated Balance Sheets, (iv) the Condensed Consolidated Statements of Cash Flow, (v) the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8"/>
          </w:tcPr>
          <w:p>
            <w:pPr>
              <w:spacing w:after="0" w:line="183" w:lineRule="exact"/>
              <w:rPr>
                <w:sz w:val="20"/>
                <w:szCs w:val="20"/>
                <w:color w:val="auto"/>
              </w:rPr>
            </w:pPr>
            <w:r>
              <w:rPr>
                <w:rFonts w:ascii="Arial" w:cs="Arial" w:eastAsia="Arial" w:hAnsi="Arial"/>
                <w:sz w:val="18"/>
                <w:szCs w:val="18"/>
                <w:color w:val="auto"/>
              </w:rPr>
              <w:t>Condensed Consolidated Statements of Equity and (vi) Notes to Condensed Consolidated Financial</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226"/>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auto"/>
              </w:rPr>
              <w:t>The cover page from this Quarterly Report on Form 10-Q for the quarter ended March 31, 2026, formatted in</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720" w:type="dxa"/>
            <w:vAlign w:val="bottom"/>
            <w:gridSpan w:val="8"/>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660" w:right="220" w:hanging="652"/>
        <w:spacing w:after="0" w:line="287" w:lineRule="auto"/>
        <w:tabs>
          <w:tab w:leader="none" w:pos="2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Schedules, exhibits and similar attachments have been omitted pursuant to Item 601(a)(5) of Regulation S-K. Biogen hereby agrees to supplementally furnish to the SEC upon request any omitted schedule, exhibit or similar attachment to Exhibit 2.1.</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1C5A7D"/>
        </w:rPr>
        <w:t>SIGNATURES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5120"/>
        <w:spacing w:after="0"/>
        <w:tabs>
          <w:tab w:leader="none" w:pos="5500" w:val="left"/>
        </w:tabs>
        <w:rPr>
          <w:sz w:val="20"/>
          <w:szCs w:val="20"/>
          <w:color w:val="auto"/>
        </w:rPr>
      </w:pPr>
      <w:r>
        <w:rPr>
          <w:rFonts w:ascii="Arial" w:cs="Arial" w:eastAsia="Arial" w:hAnsi="Arial"/>
          <w:sz w:val="18"/>
          <w:szCs w:val="18"/>
          <w:color w:val="auto"/>
        </w:rPr>
        <w:t>/s/</w:t>
        <w:tab/>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17780</wp:posOffset>
            </wp:positionV>
            <wp:extent cx="16630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Robin C. Kramer</w:t>
      </w:r>
    </w:p>
    <w:p>
      <w:pPr>
        <w:spacing w:after="0" w:line="3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130" w:right="45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171"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April 29,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6"/>
                <w:szCs w:val="16"/>
                <w:color w:val="auto"/>
              </w:rPr>
              <w:t>HRISTOPHER</w:t>
            </w:r>
            <w:r>
              <w:rPr>
                <w:rFonts w:ascii="Arial" w:cs="Arial" w:eastAsia="Arial" w:hAnsi="Arial"/>
                <w:sz w:val="18"/>
                <w:szCs w:val="18"/>
                <w:color w:val="auto"/>
              </w:rPr>
              <w:t xml:space="preserve"> A. V</w:t>
            </w:r>
            <w:r>
              <w:rPr>
                <w:rFonts w:ascii="Arial" w:cs="Arial" w:eastAsia="Arial" w:hAnsi="Arial"/>
                <w:sz w:val="16"/>
                <w:szCs w:val="16"/>
                <w:color w:val="auto"/>
              </w:rPr>
              <w:t>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Robin C. Kramer, certify that:</w:t>
      </w:r>
    </w:p>
    <w:p>
      <w:pPr>
        <w:spacing w:after="0" w:line="171"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April 29,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w:t>
            </w:r>
            <w:r>
              <w:rPr>
                <w:rFonts w:ascii="Arial" w:cs="Arial" w:eastAsia="Arial" w:hAnsi="Arial"/>
                <w:sz w:val="16"/>
                <w:szCs w:val="16"/>
                <w:color w:val="auto"/>
              </w:rPr>
              <w:t>OBIN</w:t>
            </w:r>
            <w:r>
              <w:rPr>
                <w:rFonts w:ascii="Arial" w:cs="Arial" w:eastAsia="Arial" w:hAnsi="Arial"/>
                <w:sz w:val="18"/>
                <w:szCs w:val="18"/>
                <w:color w:val="auto"/>
              </w:rPr>
              <w:t xml:space="preserve"> C. K</w:t>
            </w:r>
            <w:r>
              <w:rPr>
                <w:rFonts w:ascii="Arial" w:cs="Arial" w:eastAsia="Arial" w:hAnsi="Arial"/>
                <w:sz w:val="16"/>
                <w:szCs w:val="16"/>
                <w:color w:val="auto"/>
              </w:rPr>
              <w:t>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17"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The Quarterly Report on Form 10-Q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April 29,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w:t>
            </w:r>
            <w:r>
              <w:rPr>
                <w:rFonts w:ascii="Arial" w:cs="Arial" w:eastAsia="Arial" w:hAnsi="Arial"/>
                <w:sz w:val="16"/>
                <w:szCs w:val="16"/>
                <w:color w:val="auto"/>
              </w:rPr>
              <w:t>HRISTOPHER</w:t>
            </w:r>
            <w:r>
              <w:rPr>
                <w:rFonts w:ascii="Arial" w:cs="Arial" w:eastAsia="Arial" w:hAnsi="Arial"/>
                <w:sz w:val="18"/>
                <w:szCs w:val="18"/>
                <w:color w:val="auto"/>
              </w:rPr>
              <w:t xml:space="preserve"> A. V</w:t>
            </w:r>
            <w:r>
              <w:rPr>
                <w:rFonts w:ascii="Arial" w:cs="Arial" w:eastAsia="Arial" w:hAnsi="Arial"/>
                <w:sz w:val="16"/>
                <w:szCs w:val="16"/>
                <w:color w:val="auto"/>
              </w:rPr>
              <w:t>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860"/>
        </w:trPr>
        <w:tc>
          <w:tcPr>
            <w:tcW w:w="6200" w:type="dxa"/>
            <w:vAlign w:val="bottom"/>
          </w:tcPr>
          <w:p>
            <w:pPr>
              <w:spacing w:after="0"/>
              <w:rPr>
                <w:sz w:val="20"/>
                <w:szCs w:val="20"/>
                <w:color w:val="auto"/>
              </w:rPr>
            </w:pPr>
            <w:r>
              <w:rPr>
                <w:rFonts w:ascii="Arial" w:cs="Arial" w:eastAsia="Arial" w:hAnsi="Arial"/>
                <w:sz w:val="18"/>
                <w:szCs w:val="18"/>
                <w:color w:val="auto"/>
              </w:rPr>
              <w:t>Date: April 29,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w:t>
            </w:r>
            <w:r>
              <w:rPr>
                <w:rFonts w:ascii="Arial" w:cs="Arial" w:eastAsia="Arial" w:hAnsi="Arial"/>
                <w:sz w:val="16"/>
                <w:szCs w:val="16"/>
                <w:color w:val="auto"/>
              </w:rPr>
              <w:t>OBIN</w:t>
            </w:r>
            <w:r>
              <w:rPr>
                <w:rFonts w:ascii="Arial" w:cs="Arial" w:eastAsia="Arial" w:hAnsi="Arial"/>
                <w:sz w:val="18"/>
                <w:szCs w:val="18"/>
                <w:color w:val="auto"/>
              </w:rPr>
              <w:t xml:space="preserve"> C. K</w:t>
            </w:r>
            <w:r>
              <w:rPr>
                <w:rFonts w:ascii="Arial" w:cs="Arial" w:eastAsia="Arial" w:hAnsi="Arial"/>
                <w:sz w:val="16"/>
                <w:szCs w:val="16"/>
                <w:color w:val="auto"/>
              </w:rPr>
              <w:t>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4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lowerRoman"/>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5" Type="http://schemas.openxmlformats.org/officeDocument/2006/relationships/hyperlink" Target="https://www.sec.gov/Archives/edgar/data/875045/000119312526134889/d14986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2026-04-29T05:45:02Z</dcterms:created>
  <dcterms:modified xsi:type="dcterms:W3CDTF">2026-04-29T05:45:02Z</dcterms:modified>
</cp:coreProperties>
</file>