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xml:space="preserve">Date of Report (Date of earliest event reported): </w:t>
      </w:r>
      <w:r>
        <w:rPr>
          <w:rFonts w:ascii="Arial" w:cs="Arial" w:eastAsia="Arial" w:hAnsi="Arial"/>
          <w:sz w:val="21"/>
          <w:szCs w:val="21"/>
          <w:b w:val="1"/>
          <w:bCs w:val="1"/>
          <w:color w:val="auto"/>
        </w:rPr>
        <w:t>April 29, 2026</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BIOGEN INC.</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958" w:right="339" w:bottom="1440" w:gutter="0" w:footer="0" w:header="0"/>
        </w:sectPr>
      </w:pPr>
    </w:p>
    <w:p>
      <w:pPr>
        <w:spacing w:after="0" w:line="112" w:lineRule="exact"/>
        <w:rPr>
          <w:sz w:val="24"/>
          <w:szCs w:val="24"/>
          <w:color w:val="auto"/>
        </w:rPr>
      </w:pPr>
    </w:p>
    <w:p>
      <w:pPr>
        <w:ind w:left="19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0-19311</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33-0112644</w:t>
      </w:r>
    </w:p>
    <w:p>
      <w:pPr>
        <w:spacing w:after="0" w:line="54" w:lineRule="exact"/>
        <w:rPr>
          <w:sz w:val="24"/>
          <w:szCs w:val="24"/>
          <w:color w:val="auto"/>
        </w:rPr>
      </w:pPr>
    </w:p>
    <w:p>
      <w:pPr>
        <w:sectPr>
          <w:pgSz w:w="11900" w:h="16838" w:orient="portrait"/>
          <w:cols w:equalWidth="0" w:num="3">
            <w:col w:w="4980" w:space="720"/>
            <w:col w:w="2420" w:space="720"/>
            <w:col w:w="2400"/>
          </w:cols>
          <w:pgMar w:left="320" w:top="958" w:right="339" w:bottom="1440" w:gutter="0" w:footer="0" w:header="0"/>
          <w:type w:val="continuous"/>
        </w:sectPr>
      </w:pPr>
    </w:p>
    <w:p>
      <w:pPr>
        <w:ind w:left="1040"/>
        <w:spacing w:after="0"/>
        <w:rPr>
          <w:sz w:val="20"/>
          <w:szCs w:val="20"/>
          <w:color w:val="auto"/>
        </w:rPr>
      </w:pPr>
      <w:r>
        <w:rPr>
          <w:rFonts w:ascii="Arial" w:cs="Arial" w:eastAsia="Arial" w:hAnsi="Arial"/>
          <w:sz w:val="13"/>
          <w:szCs w:val="13"/>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3"/>
          <w:szCs w:val="13"/>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200" w:lineRule="exact"/>
        <w:rPr>
          <w:sz w:val="24"/>
          <w:szCs w:val="24"/>
          <w:color w:val="auto"/>
        </w:rPr>
      </w:pPr>
    </w:p>
    <w:p>
      <w:pPr>
        <w:sectPr>
          <w:pgSz w:w="11900" w:h="16838" w:orient="portrait"/>
          <w:cols w:equalWidth="0" w:num="3">
            <w:col w:w="4460" w:space="720"/>
            <w:col w:w="2380" w:space="720"/>
            <w:col w:w="2960"/>
          </w:cols>
          <w:pgMar w:left="320" w:top="958" w:right="339" w:bottom="1440" w:gutter="0" w:footer="0" w:header="0"/>
          <w:type w:val="continuous"/>
        </w:sectPr>
      </w:pP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225 Binney Street, Cambridge, Massachusetts 02142</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679-2000</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5" w:lineRule="exact"/>
        <w:rPr>
          <w:sz w:val="24"/>
          <w:szCs w:val="24"/>
          <w:color w:val="auto"/>
        </w:rPr>
      </w:pPr>
    </w:p>
    <w:p>
      <w:pPr>
        <w:ind w:right="320"/>
        <w:spacing w:after="0" w:line="29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Written communications pursuant to Rule 425 under the Securities Act (17 CFR 230.425)</w:t>
      </w:r>
    </w:p>
    <w:p>
      <w:pPr>
        <w:spacing w:after="0" w:line="45" w:lineRule="exact"/>
        <w:rPr>
          <w:rFonts w:ascii="MS PGothic" w:cs="MS PGothic" w:eastAsia="MS PGothic" w:hAnsi="MS PGothic"/>
          <w:sz w:val="21"/>
          <w:szCs w:val="21"/>
          <w:color w:val="auto"/>
        </w:rPr>
      </w:pPr>
    </w:p>
    <w:p>
      <w:pPr>
        <w:ind w:left="360" w:hanging="357"/>
        <w:spacing w:after="0" w:line="232" w:lineRule="auto"/>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Soliciting material pursuant to Rule 14a-12 under the Exchange Act (17 CFR 240.14a-12)</w:t>
      </w:r>
    </w:p>
    <w:p>
      <w:pPr>
        <w:spacing w:after="0" w:line="36" w:lineRule="exact"/>
        <w:rPr>
          <w:rFonts w:ascii="MS PGothic" w:cs="MS PGothic" w:eastAsia="MS PGothic" w:hAnsi="MS PGothic"/>
          <w:sz w:val="21"/>
          <w:szCs w:val="21"/>
          <w:color w:val="auto"/>
        </w:rPr>
      </w:pPr>
    </w:p>
    <w:p>
      <w:pPr>
        <w:ind w:left="360" w:hanging="357"/>
        <w:spacing w:after="0" w:line="232" w:lineRule="auto"/>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Pre-commencement communications pursuant to Rule 14d-2(b) under the Exchange Act (17 CFR 240.14d-2(b))</w:t>
      </w:r>
    </w:p>
    <w:p>
      <w:pPr>
        <w:spacing w:after="0" w:line="40" w:lineRule="exact"/>
        <w:rPr>
          <w:rFonts w:ascii="MS PGothic" w:cs="MS PGothic" w:eastAsia="MS PGothic" w:hAnsi="MS PGothic"/>
          <w:sz w:val="21"/>
          <w:szCs w:val="21"/>
          <w:color w:val="auto"/>
        </w:rPr>
      </w:pPr>
    </w:p>
    <w:p>
      <w:pPr>
        <w:ind w:left="360" w:hanging="357"/>
        <w:spacing w:after="0"/>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Pre-commencement communications pursuant to Rule 13e-4(c) under the Exchange Act (17 CFR 240.13e-4(c))</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7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Title of each class</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Trading Symbol(s)</w:t>
            </w:r>
          </w:p>
        </w:tc>
        <w:tc>
          <w:tcPr>
            <w:tcW w:w="3680" w:type="dxa"/>
            <w:vAlign w:val="bottom"/>
          </w:tcPr>
          <w:p>
            <w:pPr>
              <w:ind w:left="460"/>
              <w:spacing w:after="0"/>
              <w:rPr>
                <w:sz w:val="20"/>
                <w:szCs w:val="20"/>
                <w:color w:val="auto"/>
              </w:rPr>
            </w:pPr>
            <w:r>
              <w:rPr>
                <w:rFonts w:ascii="Arial" w:cs="Arial" w:eastAsia="Arial" w:hAnsi="Arial"/>
                <w:sz w:val="14"/>
                <w:szCs w:val="14"/>
                <w:color w:val="auto"/>
              </w:rPr>
              <w:t>Name of each exchange on which registered</w:t>
            </w:r>
          </w:p>
        </w:tc>
      </w:tr>
      <w:tr>
        <w:trPr>
          <w:trHeight w:val="235"/>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Common Stock, $0.0005 par value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BIIB</w:t>
            </w:r>
          </w:p>
        </w:tc>
        <w:tc>
          <w:tcPr>
            <w:tcW w:w="100" w:type="dxa"/>
            <w:vAlign w:val="bottom"/>
          </w:tcPr>
          <w:p>
            <w:pPr>
              <w:spacing w:after="0"/>
              <w:rPr>
                <w:sz w:val="20"/>
                <w:szCs w:val="20"/>
                <w:color w:val="auto"/>
              </w:rPr>
            </w:pPr>
          </w:p>
        </w:tc>
        <w:tc>
          <w:tcPr>
            <w:tcW w:w="3680" w:type="dxa"/>
            <w:vAlign w:val="bottom"/>
            <w:tcBorders>
              <w:top w:val="single" w:sz="8" w:color="auto"/>
            </w:tcBorders>
          </w:tcPr>
          <w:p>
            <w:pPr>
              <w:ind w:left="460"/>
              <w:spacing w:after="0"/>
              <w:rPr>
                <w:sz w:val="20"/>
                <w:szCs w:val="20"/>
                <w:color w:val="auto"/>
              </w:rPr>
            </w:pPr>
            <w:r>
              <w:rPr>
                <w:rFonts w:ascii="Arial" w:cs="Arial" w:eastAsia="Arial" w:hAnsi="Arial"/>
                <w:sz w:val="17"/>
                <w:szCs w:val="17"/>
                <w:b w:val="1"/>
                <w:bCs w:val="1"/>
                <w:color w:val="auto"/>
              </w:rPr>
              <w:t>The Nasdaq Global Select Market</w:t>
            </w:r>
          </w:p>
        </w:tc>
      </w:tr>
    </w:tbl>
    <w:p>
      <w:pPr>
        <w:spacing w:after="0" w:line="288" w:lineRule="exact"/>
        <w:rPr>
          <w:sz w:val="24"/>
          <w:szCs w:val="24"/>
          <w:color w:val="auto"/>
        </w:rPr>
      </w:pPr>
    </w:p>
    <w:p>
      <w:pPr>
        <w:ind w:right="280"/>
        <w:spacing w:after="0" w:line="291"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2" w:lineRule="exact"/>
        <w:rPr>
          <w:sz w:val="24"/>
          <w:szCs w:val="24"/>
          <w:color w:val="auto"/>
        </w:rPr>
      </w:pPr>
    </w:p>
    <w:p>
      <w:pPr>
        <w:ind w:left="360" w:hanging="357"/>
        <w:spacing w:after="0"/>
        <w:tabs>
          <w:tab w:leader="none" w:pos="360" w:val="left"/>
        </w:tabs>
        <w:numPr>
          <w:ilvl w:val="0"/>
          <w:numId w:val="2"/>
        </w:numPr>
        <w:rPr>
          <w:rFonts w:ascii="MS PGothic" w:cs="MS PGothic" w:eastAsia="MS PGothic" w:hAnsi="MS PGothic"/>
          <w:sz w:val="21"/>
          <w:szCs w:val="21"/>
          <w:color w:val="auto"/>
        </w:rPr>
      </w:pPr>
      <w:r>
        <w:rPr>
          <w:rFonts w:ascii="Arial" w:cs="Arial" w:eastAsia="Arial" w:hAnsi="Arial"/>
          <w:sz w:val="17"/>
          <w:szCs w:val="17"/>
          <w:color w:val="auto"/>
        </w:rPr>
        <w:t>Emerging growth company</w:t>
      </w:r>
    </w:p>
    <w:p>
      <w:pPr>
        <w:spacing w:after="0" w:line="223" w:lineRule="exact"/>
        <w:rPr>
          <w:sz w:val="24"/>
          <w:szCs w:val="24"/>
          <w:color w:val="auto"/>
        </w:rPr>
      </w:pPr>
    </w:p>
    <w:p>
      <w:pPr>
        <w:ind w:right="320"/>
        <w:spacing w:after="0" w:line="25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643255</wp:posOffset>
            </wp:positionV>
            <wp:extent cx="71634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21"/>
          <w:szCs w:val="21"/>
          <w:b w:val="1"/>
          <w:bCs w:val="1"/>
          <w:color w:val="1C5A7D"/>
        </w:rPr>
        <w:t>Item 2.02</w:t>
      </w:r>
      <w:r>
        <w:rPr>
          <w:sz w:val="20"/>
          <w:szCs w:val="20"/>
          <w:color w:val="auto"/>
        </w:rPr>
        <w:tab/>
      </w:r>
      <w:r>
        <w:rPr>
          <w:rFonts w:ascii="Arial" w:cs="Arial" w:eastAsia="Arial" w:hAnsi="Arial"/>
          <w:sz w:val="20"/>
          <w:szCs w:val="20"/>
          <w:b w:val="1"/>
          <w:bCs w:val="1"/>
          <w:color w:val="1C5A7D"/>
        </w:rPr>
        <w:t>Results of Operations and Financial Condition.</w:t>
      </w:r>
    </w:p>
    <w:p>
      <w:pPr>
        <w:spacing w:after="0" w:line="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29, 2026, Biogen Inc. issued a press release announcing its results of operations and financial condition for the first quarter ended March 31, 2026. A copy of the press release is furnished as Exhibit 99.1 and is incorporated herein by reference.</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press release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w:t>
      </w:r>
    </w:p>
    <w:p>
      <w:pPr>
        <w:spacing w:after="0" w:line="206"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1C5A7D"/>
        </w:rPr>
        <w:t>Item 9.01</w:t>
      </w:r>
      <w:r>
        <w:rPr>
          <w:sz w:val="20"/>
          <w:szCs w:val="20"/>
          <w:color w:val="auto"/>
        </w:rPr>
        <w:tab/>
      </w:r>
      <w:r>
        <w:rPr>
          <w:rFonts w:ascii="Arial" w:cs="Arial" w:eastAsia="Arial" w:hAnsi="Arial"/>
          <w:sz w:val="20"/>
          <w:szCs w:val="20"/>
          <w:b w:val="1"/>
          <w:bCs w:val="1"/>
          <w:color w:val="1C5A7D"/>
        </w:rPr>
        <w:t>Financial Statements and Exhibits.</w:t>
      </w:r>
    </w:p>
    <w:p>
      <w:pPr>
        <w:spacing w:after="0" w:line="232" w:lineRule="exact"/>
        <w:rPr>
          <w:sz w:val="20"/>
          <w:szCs w:val="20"/>
          <w:color w:val="auto"/>
        </w:rPr>
      </w:pPr>
    </w:p>
    <w:p>
      <w:pPr>
        <w:ind w:left="420" w:hanging="417"/>
        <w:spacing w:after="0"/>
        <w:tabs>
          <w:tab w:leader="none" w:pos="4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exhibits listed below are furnished as part of this Current Report on Form 8-K.</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7"/>
                <w:szCs w:val="17"/>
                <w:color w:val="auto"/>
                <w:w w:val="99"/>
              </w:rPr>
              <w:t>Exhibit No.</w:t>
            </w:r>
          </w:p>
        </w:tc>
        <w:tc>
          <w:tcPr>
            <w:tcW w:w="1340" w:type="dxa"/>
            <w:vAlign w:val="bottom"/>
          </w:tcPr>
          <w:p>
            <w:pPr>
              <w:spacing w:after="0"/>
              <w:rPr>
                <w:sz w:val="16"/>
                <w:szCs w:val="16"/>
                <w:color w:val="auto"/>
              </w:rPr>
            </w:pPr>
          </w:p>
        </w:tc>
        <w:tc>
          <w:tcPr>
            <w:tcW w:w="8420" w:type="dxa"/>
            <w:vAlign w:val="bottom"/>
            <w:gridSpan w:val="3"/>
          </w:tcPr>
          <w:p>
            <w:pPr>
              <w:spacing w:after="0"/>
              <w:rPr>
                <w:sz w:val="20"/>
                <w:szCs w:val="20"/>
                <w:color w:val="auto"/>
              </w:rPr>
            </w:pPr>
            <w:r>
              <w:rPr>
                <w:rFonts w:ascii="Arial" w:cs="Arial" w:eastAsia="Arial" w:hAnsi="Arial"/>
                <w:sz w:val="17"/>
                <w:szCs w:val="17"/>
                <w:color w:val="auto"/>
              </w:rPr>
              <w:t>Description</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200"/>
        </w:trPr>
        <w:tc>
          <w:tcPr>
            <w:tcW w:w="6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99.1</w:t>
            </w:r>
          </w:p>
        </w:tc>
        <w:tc>
          <w:tcPr>
            <w:tcW w:w="1340" w:type="dxa"/>
            <w:vAlign w:val="bottom"/>
          </w:tcPr>
          <w:p>
            <w:pPr>
              <w:spacing w:after="0"/>
              <w:rPr>
                <w:sz w:val="17"/>
                <w:szCs w:val="17"/>
                <w:color w:val="auto"/>
              </w:rPr>
            </w:pPr>
          </w:p>
        </w:tc>
        <w:tc>
          <w:tcPr>
            <w:tcW w:w="334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rPr>
              <w:t>Biogen's press release dated April 29, 2026</w:t>
            </w:r>
          </w:p>
        </w:tc>
        <w:tc>
          <w:tcPr>
            <w:tcW w:w="5080" w:type="dxa"/>
            <w:vAlign w:val="bottom"/>
          </w:tcPr>
          <w:p>
            <w:pPr>
              <w:spacing w:after="0"/>
              <w:rPr>
                <w:sz w:val="17"/>
                <w:szCs w:val="17"/>
                <w:color w:val="auto"/>
              </w:rPr>
            </w:pPr>
          </w:p>
        </w:tc>
      </w:tr>
      <w:tr>
        <w:trPr>
          <w:trHeight w:val="241"/>
        </w:trPr>
        <w:tc>
          <w:tcPr>
            <w:tcW w:w="1480" w:type="dxa"/>
            <w:vAlign w:val="bottom"/>
            <w:gridSpan w:val="2"/>
          </w:tcPr>
          <w:p>
            <w:pPr>
              <w:ind w:left="640"/>
              <w:spacing w:after="0"/>
              <w:rPr>
                <w:sz w:val="20"/>
                <w:szCs w:val="20"/>
                <w:color w:val="auto"/>
              </w:rPr>
            </w:pPr>
            <w:r>
              <w:rPr>
                <w:rFonts w:ascii="Arial" w:cs="Arial" w:eastAsia="Arial" w:hAnsi="Arial"/>
                <w:sz w:val="17"/>
                <w:szCs w:val="17"/>
                <w:color w:val="auto"/>
              </w:rPr>
              <w:t>104</w:t>
            </w:r>
          </w:p>
        </w:tc>
        <w:tc>
          <w:tcPr>
            <w:tcW w:w="134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155"/>
        </w:trPr>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1C5A7D"/>
        </w:rPr>
        <w:t>SIGNATURES</w:t>
      </w:r>
    </w:p>
    <w:p>
      <w:pPr>
        <w:spacing w:after="0" w:line="234"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BIOGEN INC.</w:t>
      </w:r>
    </w:p>
    <w:p>
      <w:pPr>
        <w:spacing w:after="0" w:line="200" w:lineRule="exact"/>
        <w:rPr>
          <w:sz w:val="20"/>
          <w:szCs w:val="20"/>
          <w:color w:val="auto"/>
        </w:rPr>
      </w:pPr>
    </w:p>
    <w:p>
      <w:pPr>
        <w:spacing w:after="0" w:line="344" w:lineRule="exact"/>
        <w:rPr>
          <w:sz w:val="20"/>
          <w:szCs w:val="20"/>
          <w:color w:val="auto"/>
        </w:rPr>
      </w:pPr>
    </w:p>
    <w:tbl>
      <w:tblPr>
        <w:tblLayout w:type="fixed"/>
        <w:tblInd w:w="5900" w:type="dxa"/>
        <w:tblCellMar>
          <w:top w:w="0" w:type="dxa"/>
          <w:left w:w="0" w:type="dxa"/>
          <w:bottom w:w="0" w:type="dxa"/>
          <w:right w:w="0" w:type="dxa"/>
        </w:tblCellMar>
      </w:tblPr>
      <w:tr>
        <w:trPr>
          <w:trHeight w:val="224"/>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/s/ Wendell Taylor</w:t>
            </w:r>
          </w:p>
        </w:tc>
      </w:tr>
      <w:tr>
        <w:trPr>
          <w:trHeight w:val="209"/>
        </w:trPr>
        <w:tc>
          <w:tcPr>
            <w:tcW w:w="4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Wendell Taylor</w:t>
            </w:r>
          </w:p>
        </w:tc>
      </w:tr>
      <w:tr>
        <w:trPr>
          <w:trHeight w:val="226"/>
        </w:trPr>
        <w:tc>
          <w:tcPr>
            <w:tcW w:w="4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Secretary</w:t>
            </w:r>
          </w:p>
        </w:tc>
      </w:tr>
    </w:tbl>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Date: April 29, 2026</w:t>
      </w:r>
    </w:p>
    <w:p>
      <w:pPr>
        <w:sectPr>
          <w:pgSz w:w="11900" w:h="16838" w:orient="portrait"/>
          <w:cols w:equalWidth="0" w:num="1">
            <w:col w:w="11240"/>
          </w:cols>
          <w:pgMar w:left="320" w:top="8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4213860</wp:posOffset>
            </wp:positionH>
            <wp:positionV relativeFrom="page">
              <wp:posOffset>556895</wp:posOffset>
            </wp:positionV>
            <wp:extent cx="119126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86080"/>
                    </a:xfrm>
                    <a:prstGeom prst="rect">
                      <a:avLst/>
                    </a:prstGeom>
                    <a:noFill/>
                  </pic:spPr>
                </pic:pic>
              </a:graphicData>
            </a:graphic>
          </wp:anchor>
        </w:drawing>
        <w:t>Press Release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Cambridge, Mass. – April 29, 2026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Biogen reports strong first quarter 2026 results</w:t>
      </w:r>
    </w:p>
    <w:p>
      <w:pPr>
        <w:spacing w:after="0" w:line="183"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b w:val="1"/>
          <w:bCs w:val="1"/>
          <w:color w:val="0070C0"/>
        </w:rPr>
        <w:t>First quarter 2026 total revenue of $2.5 billion, increased 2% year-over-year; GAAP diluted EPS of $2.15, increased 31% year-over-year; Non-GAAP diluted EPS of $3.57, increased 18% year-over-year</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0070C0"/>
        </w:rPr>
        <w:t>Growth products</w:t>
      </w:r>
      <w:r>
        <w:rPr>
          <w:rFonts w:ascii="Arial" w:cs="Arial" w:eastAsia="Arial" w:hAnsi="Arial"/>
          <w:sz w:val="24"/>
          <w:szCs w:val="24"/>
          <w:b w:val="1"/>
          <w:bCs w:val="1"/>
          <w:color w:val="0070C0"/>
          <w:vertAlign w:val="superscript"/>
        </w:rPr>
        <w:t>1</w:t>
      </w:r>
      <w:r>
        <w:rPr>
          <w:rFonts w:ascii="Arial" w:cs="Arial" w:eastAsia="Arial" w:hAnsi="Arial"/>
          <w:sz w:val="19"/>
          <w:szCs w:val="19"/>
          <w:b w:val="1"/>
          <w:bCs w:val="1"/>
          <w:color w:val="0070C0"/>
        </w:rPr>
        <w:t xml:space="preserve"> delivered 12% year-over-year growth demonstrating continued strong commercial execution</w:t>
      </w:r>
    </w:p>
    <w:p>
      <w:pPr>
        <w:spacing w:after="0" w:line="40" w:lineRule="exact"/>
        <w:rPr>
          <w:sz w:val="20"/>
          <w:szCs w:val="20"/>
          <w:color w:val="auto"/>
        </w:rPr>
      </w:pPr>
    </w:p>
    <w:p>
      <w:pPr>
        <w:ind w:left="460" w:right="260" w:hanging="301"/>
        <w:spacing w:after="0" w:line="255" w:lineRule="auto"/>
        <w:tabs>
          <w:tab w:leader="none" w:pos="410" w:val="left"/>
        </w:tabs>
        <w:numPr>
          <w:ilvl w:val="0"/>
          <w:numId w:val="4"/>
        </w:numPr>
        <w:rPr>
          <w:rFonts w:ascii="Arial" w:cs="Arial" w:eastAsia="Arial" w:hAnsi="Arial"/>
          <w:sz w:val="19"/>
          <w:szCs w:val="19"/>
          <w:color w:val="0070C0"/>
        </w:rPr>
      </w:pPr>
      <w:r>
        <w:rPr>
          <w:rFonts w:ascii="Arial" w:cs="Arial" w:eastAsia="Arial" w:hAnsi="Arial"/>
          <w:sz w:val="19"/>
          <w:szCs w:val="19"/>
          <w:color w:val="0070C0"/>
        </w:rPr>
        <w:t>LEQEMBI global in-market sales of $168 million, up 74% year-over-year, with U.S. in-market sales of $86 million, representing continued sequential growth</w:t>
      </w:r>
    </w:p>
    <w:p>
      <w:pPr>
        <w:spacing w:after="0" w:line="48" w:lineRule="exact"/>
        <w:rPr>
          <w:rFonts w:ascii="Arial" w:cs="Arial" w:eastAsia="Arial" w:hAnsi="Arial"/>
          <w:sz w:val="19"/>
          <w:szCs w:val="19"/>
          <w:color w:val="0070C0"/>
        </w:rPr>
      </w:pPr>
    </w:p>
    <w:p>
      <w:pPr>
        <w:ind w:left="420" w:hanging="261"/>
        <w:spacing w:after="0"/>
        <w:tabs>
          <w:tab w:leader="none" w:pos="420" w:val="left"/>
        </w:tabs>
        <w:numPr>
          <w:ilvl w:val="0"/>
          <w:numId w:val="4"/>
        </w:numPr>
        <w:rPr>
          <w:rFonts w:ascii="Arial" w:cs="Arial" w:eastAsia="Arial" w:hAnsi="Arial"/>
          <w:sz w:val="19"/>
          <w:szCs w:val="19"/>
          <w:color w:val="0070C0"/>
        </w:rPr>
      </w:pPr>
      <w:r>
        <w:rPr>
          <w:rFonts w:ascii="Arial" w:cs="Arial" w:eastAsia="Arial" w:hAnsi="Arial"/>
          <w:sz w:val="19"/>
          <w:szCs w:val="19"/>
          <w:color w:val="0070C0"/>
        </w:rPr>
        <w:t>SKYCLARYS global revenue of $151 million driven by demand growth, up 22% year-over-year</w:t>
      </w:r>
    </w:p>
    <w:p>
      <w:pPr>
        <w:spacing w:after="0" w:line="79" w:lineRule="exact"/>
        <w:rPr>
          <w:rFonts w:ascii="Arial" w:cs="Arial" w:eastAsia="Arial" w:hAnsi="Arial"/>
          <w:sz w:val="19"/>
          <w:szCs w:val="19"/>
          <w:color w:val="0070C0"/>
        </w:rPr>
      </w:pPr>
    </w:p>
    <w:p>
      <w:pPr>
        <w:ind w:left="460" w:right="740" w:hanging="301"/>
        <w:spacing w:after="0" w:line="275" w:lineRule="auto"/>
        <w:tabs>
          <w:tab w:leader="none" w:pos="410" w:val="left"/>
        </w:tabs>
        <w:numPr>
          <w:ilvl w:val="0"/>
          <w:numId w:val="4"/>
        </w:numPr>
        <w:rPr>
          <w:rFonts w:ascii="Arial" w:cs="Arial" w:eastAsia="Arial" w:hAnsi="Arial"/>
          <w:sz w:val="19"/>
          <w:szCs w:val="19"/>
          <w:color w:val="0070C0"/>
        </w:rPr>
      </w:pPr>
      <w:r>
        <w:rPr>
          <w:rFonts w:ascii="Arial" w:cs="Arial" w:eastAsia="Arial" w:hAnsi="Arial"/>
          <w:sz w:val="19"/>
          <w:szCs w:val="19"/>
          <w:color w:val="0070C0"/>
        </w:rPr>
        <w:t>ZURZUVAE revenue of $55 million, up 100% year-over-year, showed strong continued demand growth; sequential sales impacted by inventory dynamics</w:t>
      </w:r>
    </w:p>
    <w:p>
      <w:pPr>
        <w:spacing w:after="0" w:line="29" w:lineRule="exact"/>
        <w:rPr>
          <w:rFonts w:ascii="Arial" w:cs="Arial" w:eastAsia="Arial" w:hAnsi="Arial"/>
          <w:sz w:val="19"/>
          <w:szCs w:val="19"/>
          <w:color w:val="0070C0"/>
        </w:rPr>
      </w:pPr>
    </w:p>
    <w:p>
      <w:pPr>
        <w:ind w:left="420" w:hanging="261"/>
        <w:spacing w:after="0"/>
        <w:tabs>
          <w:tab w:leader="none" w:pos="420" w:val="left"/>
        </w:tabs>
        <w:numPr>
          <w:ilvl w:val="0"/>
          <w:numId w:val="4"/>
        </w:numPr>
        <w:rPr>
          <w:rFonts w:ascii="Arial" w:cs="Arial" w:eastAsia="Arial" w:hAnsi="Arial"/>
          <w:sz w:val="19"/>
          <w:szCs w:val="19"/>
          <w:color w:val="0070C0"/>
        </w:rPr>
      </w:pPr>
      <w:r>
        <w:rPr>
          <w:rFonts w:ascii="Arial" w:cs="Arial" w:eastAsia="Arial" w:hAnsi="Arial"/>
          <w:sz w:val="19"/>
          <w:szCs w:val="19"/>
          <w:color w:val="0070C0"/>
        </w:rPr>
        <w:t>VUMERITY global revenue of $179 million grew 29% year-over-year supported by inventory dynamics in the U.S.</w:t>
      </w:r>
    </w:p>
    <w:p>
      <w:pPr>
        <w:spacing w:after="0" w:line="79" w:lineRule="exact"/>
        <w:rPr>
          <w:rFonts w:ascii="Arial" w:cs="Arial" w:eastAsia="Arial" w:hAnsi="Arial"/>
          <w:sz w:val="19"/>
          <w:szCs w:val="19"/>
          <w:color w:val="0070C0"/>
        </w:rPr>
      </w:pPr>
    </w:p>
    <w:p>
      <w:pPr>
        <w:ind w:left="420" w:hanging="261"/>
        <w:spacing w:after="0"/>
        <w:tabs>
          <w:tab w:leader="none" w:pos="420" w:val="left"/>
        </w:tabs>
        <w:numPr>
          <w:ilvl w:val="0"/>
          <w:numId w:val="4"/>
        </w:numPr>
        <w:rPr>
          <w:rFonts w:ascii="Arial" w:cs="Arial" w:eastAsia="Arial" w:hAnsi="Arial"/>
          <w:sz w:val="19"/>
          <w:szCs w:val="19"/>
          <w:color w:val="0070C0"/>
        </w:rPr>
      </w:pPr>
      <w:r>
        <w:rPr>
          <w:rFonts w:ascii="Arial" w:cs="Arial" w:eastAsia="Arial" w:hAnsi="Arial"/>
          <w:sz w:val="19"/>
          <w:szCs w:val="19"/>
          <w:color w:val="0070C0"/>
        </w:rPr>
        <w:t>SPINRAZA global revenue of $374 million declined 12% year-over-year with ex-U.S. sales impacted by the timing of shipments</w:t>
      </w:r>
    </w:p>
    <w:p>
      <w:pPr>
        <w:spacing w:after="0" w:line="91" w:lineRule="exact"/>
        <w:rPr>
          <w:rFonts w:ascii="Arial" w:cs="Arial" w:eastAsia="Arial" w:hAnsi="Arial"/>
          <w:sz w:val="19"/>
          <w:szCs w:val="19"/>
          <w:color w:val="0070C0"/>
        </w:rPr>
      </w:pPr>
    </w:p>
    <w:p>
      <w:pPr>
        <w:ind w:left="420" w:hanging="261"/>
        <w:spacing w:after="0"/>
        <w:tabs>
          <w:tab w:leader="none" w:pos="420" w:val="left"/>
        </w:tabs>
        <w:numPr>
          <w:ilvl w:val="0"/>
          <w:numId w:val="4"/>
        </w:numPr>
        <w:rPr>
          <w:rFonts w:ascii="Arial" w:cs="Arial" w:eastAsia="Arial" w:hAnsi="Arial"/>
          <w:sz w:val="19"/>
          <w:szCs w:val="19"/>
          <w:color w:val="0070C0"/>
        </w:rPr>
      </w:pPr>
      <w:r>
        <w:rPr>
          <w:rFonts w:ascii="Arial" w:cs="Arial" w:eastAsia="Arial" w:hAnsi="Arial"/>
          <w:sz w:val="19"/>
          <w:szCs w:val="19"/>
          <w:color w:val="0070C0"/>
        </w:rPr>
        <w:t>QALSODY global revenue of $33 million, up 110% year-over-year, with continued demand growth</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0070C0"/>
        </w:rPr>
        <w:t>New data across key late-stage pipeline programs underscore the potential of the registrational pipeline</w:t>
      </w:r>
    </w:p>
    <w:p>
      <w:pPr>
        <w:spacing w:after="0" w:line="79" w:lineRule="exact"/>
        <w:rPr>
          <w:sz w:val="20"/>
          <w:szCs w:val="20"/>
          <w:color w:val="auto"/>
        </w:rPr>
      </w:pPr>
    </w:p>
    <w:p>
      <w:pPr>
        <w:ind w:left="460" w:right="420" w:hanging="301"/>
        <w:spacing w:after="0" w:line="275" w:lineRule="auto"/>
        <w:tabs>
          <w:tab w:leader="none" w:pos="410" w:val="left"/>
        </w:tabs>
        <w:numPr>
          <w:ilvl w:val="0"/>
          <w:numId w:val="5"/>
        </w:numPr>
        <w:rPr>
          <w:rFonts w:ascii="Arial" w:cs="Arial" w:eastAsia="Arial" w:hAnsi="Arial"/>
          <w:sz w:val="19"/>
          <w:szCs w:val="19"/>
          <w:color w:val="0070C0"/>
        </w:rPr>
      </w:pPr>
      <w:r>
        <w:rPr>
          <w:rFonts w:ascii="Arial" w:cs="Arial" w:eastAsia="Arial" w:hAnsi="Arial"/>
          <w:sz w:val="19"/>
          <w:szCs w:val="19"/>
          <w:color w:val="0070C0"/>
        </w:rPr>
        <w:t>Litifilimab second positive Phase 2 CLE dataset showed meaningful reduction of disease activity in people living with CLE at Week 16; if approved litifilimab could be the first targeted therapy for this disease</w:t>
      </w:r>
    </w:p>
    <w:p>
      <w:pPr>
        <w:spacing w:after="0" w:line="29" w:lineRule="exact"/>
        <w:rPr>
          <w:rFonts w:ascii="Arial" w:cs="Arial" w:eastAsia="Arial" w:hAnsi="Arial"/>
          <w:sz w:val="19"/>
          <w:szCs w:val="19"/>
          <w:color w:val="0070C0"/>
        </w:rPr>
      </w:pPr>
    </w:p>
    <w:p>
      <w:pPr>
        <w:ind w:left="460" w:right="460" w:hanging="301"/>
        <w:spacing w:after="0" w:line="275" w:lineRule="auto"/>
        <w:tabs>
          <w:tab w:leader="none" w:pos="410" w:val="left"/>
        </w:tabs>
        <w:numPr>
          <w:ilvl w:val="0"/>
          <w:numId w:val="5"/>
        </w:numPr>
        <w:rPr>
          <w:rFonts w:ascii="Arial" w:cs="Arial" w:eastAsia="Arial" w:hAnsi="Arial"/>
          <w:sz w:val="19"/>
          <w:szCs w:val="19"/>
          <w:color w:val="0070C0"/>
        </w:rPr>
      </w:pPr>
      <w:r>
        <w:rPr>
          <w:rFonts w:ascii="Arial" w:cs="Arial" w:eastAsia="Arial" w:hAnsi="Arial"/>
          <w:sz w:val="19"/>
          <w:szCs w:val="19"/>
          <w:color w:val="0070C0"/>
        </w:rPr>
        <w:t>Salanersen additional Phase 1b data showed unprecedented new motor milestones achieved in children with SMA who had suboptimal clinical status despite prior administration of gene therapy</w:t>
      </w:r>
    </w:p>
    <w:p>
      <w:pPr>
        <w:spacing w:after="0" w:line="16" w:lineRule="exact"/>
        <w:rPr>
          <w:rFonts w:ascii="Arial" w:cs="Arial" w:eastAsia="Arial" w:hAnsi="Arial"/>
          <w:sz w:val="19"/>
          <w:szCs w:val="19"/>
          <w:color w:val="0070C0"/>
        </w:rPr>
      </w:pPr>
    </w:p>
    <w:p>
      <w:pPr>
        <w:ind w:left="460" w:right="300" w:hanging="301"/>
        <w:spacing w:after="0" w:line="275" w:lineRule="auto"/>
        <w:tabs>
          <w:tab w:leader="none" w:pos="410" w:val="left"/>
        </w:tabs>
        <w:numPr>
          <w:ilvl w:val="0"/>
          <w:numId w:val="5"/>
        </w:numPr>
        <w:rPr>
          <w:rFonts w:ascii="Arial" w:cs="Arial" w:eastAsia="Arial" w:hAnsi="Arial"/>
          <w:sz w:val="19"/>
          <w:szCs w:val="19"/>
          <w:color w:val="0070C0"/>
        </w:rPr>
      </w:pPr>
      <w:r>
        <w:rPr>
          <w:rFonts w:ascii="Arial" w:cs="Arial" w:eastAsia="Arial" w:hAnsi="Arial"/>
          <w:sz w:val="19"/>
          <w:szCs w:val="19"/>
          <w:color w:val="0070C0"/>
        </w:rPr>
        <w:t>LEQEMBI real-world persistence data showed that approximately 78% of patients continued LEQEMBI at 18 months, with the majority continuing treatment into the maintenance phase</w:t>
      </w:r>
    </w:p>
    <w:p>
      <w:pPr>
        <w:spacing w:after="0" w:line="16" w:lineRule="exact"/>
        <w:rPr>
          <w:rFonts w:ascii="Arial" w:cs="Arial" w:eastAsia="Arial" w:hAnsi="Arial"/>
          <w:sz w:val="19"/>
          <w:szCs w:val="19"/>
          <w:color w:val="0070C0"/>
        </w:rPr>
      </w:pPr>
    </w:p>
    <w:p>
      <w:pPr>
        <w:ind w:left="420" w:hanging="261"/>
        <w:spacing w:after="0"/>
        <w:tabs>
          <w:tab w:leader="none" w:pos="420" w:val="left"/>
        </w:tabs>
        <w:numPr>
          <w:ilvl w:val="0"/>
          <w:numId w:val="5"/>
        </w:numPr>
        <w:rPr>
          <w:rFonts w:ascii="Arial" w:cs="Arial" w:eastAsia="Arial" w:hAnsi="Arial"/>
          <w:sz w:val="19"/>
          <w:szCs w:val="19"/>
          <w:color w:val="0070C0"/>
        </w:rPr>
      </w:pPr>
      <w:r>
        <w:rPr>
          <w:rFonts w:ascii="Arial" w:cs="Arial" w:eastAsia="Arial" w:hAnsi="Arial"/>
          <w:sz w:val="19"/>
          <w:szCs w:val="19"/>
          <w:color w:val="0070C0"/>
        </w:rPr>
        <w:t>SPINRAZA High Dose Regimen approved in the U.S. by the FDA following approvals in Japan and E.U.</w:t>
      </w:r>
    </w:p>
    <w:p>
      <w:pPr>
        <w:spacing w:after="0" w:line="247" w:lineRule="exact"/>
        <w:rPr>
          <w:sz w:val="20"/>
          <w:szCs w:val="20"/>
          <w:color w:val="auto"/>
        </w:rPr>
      </w:pPr>
    </w:p>
    <w:p>
      <w:pPr>
        <w:ind w:right="380"/>
        <w:spacing w:after="0" w:line="257" w:lineRule="auto"/>
        <w:rPr>
          <w:sz w:val="20"/>
          <w:szCs w:val="20"/>
          <w:color w:val="auto"/>
        </w:rPr>
      </w:pPr>
      <w:r>
        <w:rPr>
          <w:rFonts w:ascii="Arial" w:cs="Arial" w:eastAsia="Arial" w:hAnsi="Arial"/>
          <w:sz w:val="19"/>
          <w:szCs w:val="19"/>
          <w:b w:val="1"/>
          <w:bCs w:val="1"/>
          <w:color w:val="0070C0"/>
        </w:rPr>
        <w:t>Proposed acquisition of Apellis Pharmaceuticals bolsters growth outlook, adding commercialized medicines in immune-mediated retinal disease and nephrology, and deepening the foundation for Biogen's growing nephrology franchise. Transaction is subject to customary closing conditions</w:t>
      </w:r>
    </w:p>
    <w:p>
      <w:pPr>
        <w:spacing w:after="0" w:line="23" w:lineRule="exact"/>
        <w:rPr>
          <w:sz w:val="20"/>
          <w:szCs w:val="20"/>
          <w:color w:val="auto"/>
        </w:rPr>
      </w:pPr>
    </w:p>
    <w:p>
      <w:pPr>
        <w:ind w:left="420" w:hanging="261"/>
        <w:spacing w:after="0"/>
        <w:tabs>
          <w:tab w:leader="none" w:pos="420" w:val="left"/>
        </w:tabs>
        <w:numPr>
          <w:ilvl w:val="0"/>
          <w:numId w:val="6"/>
        </w:numPr>
        <w:rPr>
          <w:rFonts w:ascii="Arial" w:cs="Arial" w:eastAsia="Arial" w:hAnsi="Arial"/>
          <w:sz w:val="19"/>
          <w:szCs w:val="19"/>
          <w:color w:val="0070C0"/>
        </w:rPr>
      </w:pPr>
      <w:r>
        <w:rPr>
          <w:rFonts w:ascii="Arial" w:cs="Arial" w:eastAsia="Arial" w:hAnsi="Arial"/>
          <w:sz w:val="19"/>
          <w:szCs w:val="19"/>
          <w:color w:val="0070C0"/>
        </w:rPr>
        <w:t>Apellis transaction expected to be accretive in 2027</w:t>
      </w:r>
    </w:p>
    <w:p>
      <w:pPr>
        <w:spacing w:after="0" w:line="79" w:lineRule="exact"/>
        <w:rPr>
          <w:rFonts w:ascii="Arial" w:cs="Arial" w:eastAsia="Arial" w:hAnsi="Arial"/>
          <w:sz w:val="19"/>
          <w:szCs w:val="19"/>
          <w:color w:val="0070C0"/>
        </w:rPr>
      </w:pPr>
    </w:p>
    <w:p>
      <w:pPr>
        <w:ind w:left="460" w:right="240" w:hanging="301"/>
        <w:spacing w:after="0" w:line="275" w:lineRule="auto"/>
        <w:tabs>
          <w:tab w:leader="none" w:pos="410" w:val="left"/>
        </w:tabs>
        <w:numPr>
          <w:ilvl w:val="0"/>
          <w:numId w:val="6"/>
        </w:numPr>
        <w:rPr>
          <w:rFonts w:ascii="Arial" w:cs="Arial" w:eastAsia="Arial" w:hAnsi="Arial"/>
          <w:sz w:val="19"/>
          <w:szCs w:val="19"/>
          <w:color w:val="0070C0"/>
        </w:rPr>
      </w:pPr>
      <w:r>
        <w:rPr>
          <w:rFonts w:ascii="Arial" w:cs="Arial" w:eastAsia="Arial" w:hAnsi="Arial"/>
          <w:sz w:val="19"/>
          <w:szCs w:val="19"/>
          <w:color w:val="0070C0"/>
        </w:rPr>
        <w:t>Apellis is expected to materially increase Biogen’s Non-GAAP diluted EPS compounded annual growth rate through the end of the decade</w:t>
      </w:r>
    </w:p>
    <w:p>
      <w:pPr>
        <w:spacing w:after="0" w:line="185" w:lineRule="exact"/>
        <w:rPr>
          <w:sz w:val="20"/>
          <w:szCs w:val="20"/>
          <w:color w:val="auto"/>
        </w:rPr>
      </w:pPr>
    </w:p>
    <w:p>
      <w:pPr>
        <w:ind w:right="320"/>
        <w:spacing w:after="0" w:line="272" w:lineRule="auto"/>
        <w:rPr>
          <w:sz w:val="20"/>
          <w:szCs w:val="20"/>
          <w:color w:val="auto"/>
        </w:rPr>
      </w:pPr>
      <w:r>
        <w:rPr>
          <w:rFonts w:ascii="Arial" w:cs="Arial" w:eastAsia="Arial" w:hAnsi="Arial"/>
          <w:sz w:val="19"/>
          <w:szCs w:val="19"/>
          <w:b w:val="1"/>
          <w:bCs w:val="1"/>
          <w:color w:val="0070C0"/>
        </w:rPr>
        <w:t>Nephrology franchise further enhanced by agreement with TJ Biopharma to acquire exclusive rights to felzartamab in the Greater China region, potentially one of the largest patient populations globally for IgAN</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0070C0"/>
        </w:rPr>
        <w:t>Biogen updates full year 2026 guidance to reflect continued strong business outlook and investment for growth</w:t>
      </w:r>
    </w:p>
    <w:p>
      <w:pPr>
        <w:spacing w:after="0" w:line="79" w:lineRule="exact"/>
        <w:rPr>
          <w:sz w:val="20"/>
          <w:szCs w:val="20"/>
          <w:color w:val="auto"/>
        </w:rPr>
      </w:pPr>
    </w:p>
    <w:p>
      <w:pPr>
        <w:ind w:left="460" w:right="60" w:hanging="301"/>
        <w:spacing w:after="0" w:line="258" w:lineRule="auto"/>
        <w:tabs>
          <w:tab w:leader="none" w:pos="410" w:val="left"/>
        </w:tabs>
        <w:numPr>
          <w:ilvl w:val="0"/>
          <w:numId w:val="7"/>
        </w:numPr>
        <w:rPr>
          <w:rFonts w:ascii="Arial" w:cs="Arial" w:eastAsia="Arial" w:hAnsi="Arial"/>
          <w:sz w:val="19"/>
          <w:szCs w:val="19"/>
          <w:color w:val="0070C0"/>
        </w:rPr>
      </w:pPr>
      <w:r>
        <w:rPr>
          <w:rFonts w:ascii="Arial" w:cs="Arial" w:eastAsia="Arial" w:hAnsi="Arial"/>
          <w:sz w:val="19"/>
          <w:szCs w:val="19"/>
          <w:color w:val="0070C0"/>
        </w:rPr>
        <w:t>Full year 2026 Non-GAAP diluted EPS is now expected to be between $14.25 and $15.25, excluding any impact from the Apellis transaction. Updated guidance includes an approximately $1.00 impact from acquired IPR&amp;D charges resulting from ongoing business development activities to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1642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16" w:lineRule="exact"/>
        <w:rPr>
          <w:sz w:val="20"/>
          <w:szCs w:val="20"/>
          <w:color w:val="auto"/>
        </w:rPr>
      </w:pPr>
    </w:p>
    <w:p>
      <w:pPr>
        <w:ind w:right="20" w:firstLine="3"/>
        <w:spacing w:after="0" w:line="231" w:lineRule="auto"/>
        <w:tabs>
          <w:tab w:leader="none" w:pos="99"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Growth products include SKYCLARYS, QALSODY, ZURZUVAE, VUMERITY and SPINRAZA, plus Biogen's 50% share of net revenue and cost of sales, including royalties, from the LEQEMBI Collaboration.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w:t>
      </w:r>
    </w:p>
    <w:p>
      <w:pPr>
        <w:sectPr>
          <w:pgSz w:w="11900" w:h="16838" w:orient="portrait"/>
          <w:cols w:equalWidth="0" w:num="1">
            <w:col w:w="11240"/>
          </w:cols>
          <w:pgMar w:left="320" w:top="1347" w:right="339" w:bottom="1440" w:gutter="0" w:footer="0" w:header="0"/>
        </w:sectPr>
      </w:pPr>
    </w:p>
    <w:bookmarkStart w:id="4" w:name="page5"/>
    <w:bookmarkEnd w:id="4"/>
    <w:p>
      <w:pPr>
        <w:ind w:left="460" w:right="100"/>
        <w:spacing w:after="0" w:line="275" w:lineRule="auto"/>
        <w:rPr>
          <w:sz w:val="20"/>
          <w:szCs w:val="20"/>
          <w:color w:val="auto"/>
        </w:rPr>
      </w:pPr>
      <w:r>
        <w:rPr>
          <w:rFonts w:ascii="Arial" w:cs="Arial" w:eastAsia="Arial" w:hAnsi="Arial"/>
          <w:sz w:val="19"/>
          <w:szCs w:val="19"/>
          <w:color w:val="0070C0"/>
        </w:rPr>
        <w:t>Biogen's growth strategy. This comprises approximately $0.20 recorded in the first quarter and approximately $0.80 expected in the second quarter</w:t>
      </w:r>
    </w:p>
    <w:p>
      <w:pPr>
        <w:spacing w:after="0" w:line="17" w:lineRule="exact"/>
        <w:rPr>
          <w:sz w:val="20"/>
          <w:szCs w:val="20"/>
          <w:color w:val="auto"/>
        </w:rPr>
      </w:pPr>
    </w:p>
    <w:p>
      <w:pPr>
        <w:ind w:left="420" w:hanging="261"/>
        <w:spacing w:after="0"/>
        <w:tabs>
          <w:tab w:leader="none" w:pos="420" w:val="left"/>
        </w:tabs>
        <w:numPr>
          <w:ilvl w:val="0"/>
          <w:numId w:val="9"/>
        </w:numPr>
        <w:rPr>
          <w:rFonts w:ascii="Arial" w:cs="Arial" w:eastAsia="Arial" w:hAnsi="Arial"/>
          <w:sz w:val="19"/>
          <w:szCs w:val="19"/>
          <w:color w:val="0070C0"/>
        </w:rPr>
      </w:pPr>
      <w:r>
        <w:rPr>
          <w:rFonts w:ascii="Arial" w:cs="Arial" w:eastAsia="Arial" w:hAnsi="Arial"/>
          <w:sz w:val="19"/>
          <w:szCs w:val="19"/>
          <w:color w:val="0070C0"/>
        </w:rPr>
        <w:t>Full year 2026 total revenue expected to decline by a mid-single digit percentage versus full year 2025</w:t>
      </w:r>
    </w:p>
    <w:p>
      <w:pPr>
        <w:spacing w:after="0" w:line="91" w:lineRule="exact"/>
        <w:rPr>
          <w:rFonts w:ascii="Arial" w:cs="Arial" w:eastAsia="Arial" w:hAnsi="Arial"/>
          <w:sz w:val="19"/>
          <w:szCs w:val="19"/>
          <w:color w:val="0070C0"/>
        </w:rPr>
      </w:pPr>
    </w:p>
    <w:p>
      <w:pPr>
        <w:ind w:left="460" w:right="360" w:hanging="301"/>
        <w:spacing w:after="0" w:line="261" w:lineRule="auto"/>
        <w:tabs>
          <w:tab w:leader="none" w:pos="410" w:val="left"/>
        </w:tabs>
        <w:numPr>
          <w:ilvl w:val="0"/>
          <w:numId w:val="9"/>
        </w:numPr>
        <w:rPr>
          <w:rFonts w:ascii="Arial" w:cs="Arial" w:eastAsia="Arial" w:hAnsi="Arial"/>
          <w:sz w:val="19"/>
          <w:szCs w:val="19"/>
          <w:color w:val="0070C0"/>
        </w:rPr>
      </w:pPr>
      <w:r>
        <w:rPr>
          <w:rFonts w:ascii="Arial" w:cs="Arial" w:eastAsia="Arial" w:hAnsi="Arial"/>
          <w:sz w:val="19"/>
          <w:szCs w:val="19"/>
          <w:color w:val="0070C0"/>
        </w:rPr>
        <w:t>With the Apellis transaction expected to close in the second quarter of 2026, Biogen plans to provide updated 2026 guidance inclusive of Apellis when it reports second quarter 2026 earnings</w:t>
      </w:r>
    </w:p>
    <w:p>
      <w:pPr>
        <w:spacing w:after="0" w:line="185" w:lineRule="exact"/>
        <w:rPr>
          <w:sz w:val="20"/>
          <w:szCs w:val="20"/>
          <w:color w:val="auto"/>
        </w:rPr>
      </w:pPr>
    </w:p>
    <w:p>
      <w:pPr>
        <w:ind w:right="220"/>
        <w:spacing w:after="0" w:line="275" w:lineRule="auto"/>
        <w:rPr>
          <w:sz w:val="20"/>
          <w:szCs w:val="20"/>
          <w:color w:val="auto"/>
        </w:rPr>
      </w:pPr>
      <w:r>
        <w:rPr>
          <w:rFonts w:ascii="Arial" w:cs="Arial" w:eastAsia="Arial" w:hAnsi="Arial"/>
          <w:sz w:val="19"/>
          <w:szCs w:val="19"/>
          <w:b w:val="1"/>
          <w:bCs w:val="1"/>
          <w:color w:val="auto"/>
        </w:rPr>
        <w:t xml:space="preserve">Biogen Inc. (Nasdaq: BIIB) today reported first quarter 2026 financial results. </w:t>
      </w:r>
      <w:r>
        <w:rPr>
          <w:rFonts w:ascii="Arial" w:cs="Arial" w:eastAsia="Arial" w:hAnsi="Arial"/>
          <w:sz w:val="19"/>
          <w:szCs w:val="19"/>
          <w:color w:val="auto"/>
        </w:rPr>
        <w:t>Commenting on the quarter, President and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Christopher A. Viehbacher said:</w:t>
      </w:r>
    </w:p>
    <w:p>
      <w:pPr>
        <w:spacing w:after="0" w:line="159" w:lineRule="exact"/>
        <w:rPr>
          <w:sz w:val="20"/>
          <w:szCs w:val="20"/>
          <w:color w:val="auto"/>
        </w:rPr>
      </w:pPr>
    </w:p>
    <w:p>
      <w:pPr>
        <w:ind w:right="360"/>
        <w:spacing w:after="0" w:line="223" w:lineRule="exact"/>
        <w:rPr>
          <w:sz w:val="20"/>
          <w:szCs w:val="20"/>
          <w:color w:val="auto"/>
        </w:rPr>
      </w:pPr>
      <w:r>
        <w:rPr>
          <w:rFonts w:ascii="Arial" w:cs="Arial" w:eastAsia="Arial" w:hAnsi="Arial"/>
          <w:sz w:val="19"/>
          <w:szCs w:val="19"/>
          <w:color w:val="auto"/>
        </w:rPr>
        <w:t>"We significantly advanced our transformation into the New Biogen through strong commercial and pipeline execution and the announcement of our intent to acquire Apellis. We believe the planned acquisition of Apellis will bolster our revenue and earnings growth, adding two differentiated commercial medicines and deepening the foundation for felzartamab, our key Phase 3 asset in kidney disease. This acquisition and the acquired rights to felzartamab in China come while we also expanded sales of our growth products, demonstrated continued resilience in our MS portfolio and reported important positive new data that reinforce our confidence in the late</w:t>
      </w:r>
      <w:r>
        <w:rPr>
          <w:rFonts w:ascii="MS PGothic" w:cs="MS PGothic" w:eastAsia="MS PGothic" w:hAnsi="MS PGothic"/>
          <w:sz w:val="19"/>
          <w:szCs w:val="19"/>
          <w:color w:val="auto"/>
        </w:rPr>
        <w:t>‑</w:t>
      </w:r>
      <w:r>
        <w:rPr>
          <w:rFonts w:ascii="Arial" w:cs="Arial" w:eastAsia="Arial" w:hAnsi="Arial"/>
          <w:sz w:val="19"/>
          <w:szCs w:val="19"/>
          <w:color w:val="auto"/>
        </w:rPr>
        <w:t>stage pipeline."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Highlights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b w:val="1"/>
                <w:bCs w:val="1"/>
                <w:color w:val="026DCE"/>
              </w:rPr>
              <w:t>Q1 '26</w:t>
            </w: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Q1 '25</w:t>
            </w:r>
          </w:p>
        </w:tc>
        <w:tc>
          <w:tcPr>
            <w:tcW w:w="1520" w:type="dxa"/>
            <w:vAlign w:val="bottom"/>
            <w:gridSpan w:val="2"/>
          </w:tcPr>
          <w:p>
            <w:pPr>
              <w:jc w:val="center"/>
              <w:ind w:right="100"/>
              <w:spacing w:after="0" w:line="171" w:lineRule="exact"/>
              <w:rPr>
                <w:sz w:val="20"/>
                <w:szCs w:val="20"/>
                <w:color w:val="auto"/>
              </w:rPr>
            </w:pPr>
            <w:r>
              <w:rPr>
                <w:rFonts w:ascii="MS PGothic" w:cs="MS PGothic" w:eastAsia="MS PGothic" w:hAnsi="MS PGothic"/>
                <w:sz w:val="17"/>
                <w:szCs w:val="17"/>
                <w:color w:val="auto"/>
                <w:w w:val="82"/>
              </w:rPr>
              <w:t>△</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w w:val="98"/>
              </w:rPr>
              <w:t>r (CC</w:t>
            </w:r>
            <w:r>
              <w:rPr>
                <w:rFonts w:ascii="Arial" w:cs="Arial" w:eastAsia="Arial" w:hAnsi="Arial"/>
                <w:sz w:val="22"/>
                <w:szCs w:val="22"/>
                <w:b w:val="1"/>
                <w:bCs w:val="1"/>
                <w:color w:val="auto"/>
                <w:w w:val="98"/>
                <w:vertAlign w:val="superscript"/>
              </w:rPr>
              <w:t>*</w:t>
            </w:r>
            <w:r>
              <w:rPr>
                <w:rFonts w:ascii="Arial" w:cs="Arial" w:eastAsia="Arial" w:hAnsi="Arial"/>
                <w:sz w:val="17"/>
                <w:szCs w:val="17"/>
                <w:b w:val="1"/>
                <w:bCs w:val="1"/>
                <w:color w:val="auto"/>
                <w:w w:val="98"/>
              </w:rPr>
              <w:t>)</w:t>
            </w:r>
          </w:p>
        </w:tc>
      </w:tr>
      <w:tr>
        <w:trPr>
          <w:trHeight w:val="209"/>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 Revenue (in millions)</w:t>
            </w:r>
          </w:p>
        </w:tc>
        <w:tc>
          <w:tcPr>
            <w:tcW w:w="100" w:type="dxa"/>
            <w:vAlign w:val="bottom"/>
          </w:tcPr>
          <w:p>
            <w:pPr>
              <w:spacing w:after="0"/>
              <w:rPr>
                <w:sz w:val="18"/>
                <w:szCs w:val="18"/>
                <w:color w:val="auto"/>
              </w:rPr>
            </w:pPr>
          </w:p>
        </w:tc>
        <w:tc>
          <w:tcPr>
            <w:tcW w:w="14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7"/>
                <w:szCs w:val="17"/>
                <w:color w:val="026DCE"/>
                <w:w w:val="99"/>
              </w:rPr>
              <w:t>$2,478</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$2,431</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(2)%</w:t>
            </w:r>
          </w:p>
        </w:tc>
      </w:tr>
      <w:tr>
        <w:trPr>
          <w:trHeight w:val="220"/>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GAAP diluted EPS</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$2.15</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w w:val="98"/>
              </w:rPr>
              <w:t>$1.64</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31%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N/A</w:t>
            </w:r>
          </w:p>
        </w:tc>
      </w:tr>
      <w:tr>
        <w:trPr>
          <w:trHeight w:val="224"/>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Non-GAAP diluted EPS</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$3.57</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w w:val="98"/>
              </w:rPr>
              <w:t>$3.02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18%</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-549910</wp:posOffset>
            </wp:positionV>
            <wp:extent cx="116205" cy="116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205" cy="11684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Note: Percent changes represented as favorable/(unfavorable) versus the prior year period.</w:t>
      </w:r>
    </w:p>
    <w:p>
      <w:pPr>
        <w:spacing w:after="0" w:line="216" w:lineRule="auto"/>
        <w:rPr>
          <w:sz w:val="20"/>
          <w:szCs w:val="20"/>
          <w:color w:val="auto"/>
        </w:rPr>
      </w:pPr>
      <w:r>
        <w:rPr>
          <w:rFonts w:ascii="Arial" w:cs="Arial" w:eastAsia="Arial" w:hAnsi="Arial"/>
          <w:sz w:val="16"/>
          <w:szCs w:val="16"/>
          <w:color w:val="auto"/>
        </w:rPr>
        <w:t>N/A = not applicable.</w:t>
      </w:r>
    </w:p>
    <w:p>
      <w:pPr>
        <w:spacing w:after="0" w:line="2" w:lineRule="exact"/>
        <w:rPr>
          <w:sz w:val="20"/>
          <w:szCs w:val="20"/>
          <w:color w:val="auto"/>
        </w:rPr>
      </w:pPr>
    </w:p>
    <w:p>
      <w:pPr>
        <w:ind w:right="60" w:firstLine="3"/>
        <w:spacing w:after="0" w:line="228" w:lineRule="auto"/>
        <w:tabs>
          <w:tab w:leader="none" w:pos="82"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Percentage changes in revenue growth at constant currency (CC) are presented excluding the impact of changes in foreign currency exchange rates and hedging gains or losses. Foreign currency revenue values are converted into U.S. Dollars using the exchange rates from the end of the previous calendar year.</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GAAP to Non-GAAP financial measures can be found in Table 4 at the end of this news release.</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Summary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w:t>
            </w:r>
          </w:p>
        </w:tc>
        <w:tc>
          <w:tcPr>
            <w:tcW w:w="1440" w:type="dxa"/>
            <w:vAlign w:val="bottom"/>
            <w:shd w:val="clear" w:color="auto" w:fill="DDDDDD"/>
          </w:tcPr>
          <w:p>
            <w:pPr>
              <w:jc w:val="center"/>
              <w:spacing w:after="0"/>
              <w:rPr>
                <w:sz w:val="20"/>
                <w:szCs w:val="20"/>
                <w:color w:val="auto"/>
              </w:rPr>
            </w:pPr>
            <w:r>
              <w:rPr>
                <w:rFonts w:ascii="Arial" w:cs="Arial" w:eastAsia="Arial" w:hAnsi="Arial"/>
                <w:sz w:val="17"/>
                <w:szCs w:val="17"/>
                <w:b w:val="1"/>
                <w:bCs w:val="1"/>
                <w:color w:val="2573BA"/>
              </w:rPr>
              <w:t>Q1 '26</w:t>
            </w: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Q1 '25</w:t>
            </w:r>
          </w:p>
        </w:tc>
        <w:tc>
          <w:tcPr>
            <w:tcW w:w="1520" w:type="dxa"/>
            <w:vAlign w:val="bottom"/>
            <w:gridSpan w:val="2"/>
          </w:tcPr>
          <w:p>
            <w:pPr>
              <w:jc w:val="center"/>
              <w:ind w:right="100"/>
              <w:spacing w:after="0" w:line="171" w:lineRule="exact"/>
              <w:rPr>
                <w:sz w:val="20"/>
                <w:szCs w:val="20"/>
                <w:color w:val="auto"/>
              </w:rPr>
            </w:pPr>
            <w:r>
              <w:rPr>
                <w:rFonts w:ascii="MS PGothic" w:cs="MS PGothic" w:eastAsia="MS PGothic" w:hAnsi="MS PGothic"/>
                <w:sz w:val="17"/>
                <w:szCs w:val="17"/>
                <w:color w:val="auto"/>
                <w:w w:val="82"/>
              </w:rPr>
              <w:t>△</w:t>
            </w:r>
          </w:p>
        </w:tc>
        <w:tc>
          <w:tcPr>
            <w:tcW w:w="1440" w:type="dxa"/>
            <w:vAlign w:val="bottom"/>
          </w:tcPr>
          <w:p>
            <w:pPr>
              <w:ind w:left="460"/>
              <w:spacing w:after="0"/>
              <w:rPr>
                <w:sz w:val="20"/>
                <w:szCs w:val="20"/>
                <w:color w:val="auto"/>
              </w:rPr>
            </w:pPr>
            <w:r>
              <w:rPr>
                <w:rFonts w:ascii="Arial" w:cs="Arial" w:eastAsia="Arial" w:hAnsi="Arial"/>
                <w:sz w:val="17"/>
                <w:szCs w:val="17"/>
                <w:b w:val="1"/>
                <w:bCs w:val="1"/>
                <w:color w:val="auto"/>
              </w:rPr>
              <w:t>r (CC</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w:t>
            </w:r>
          </w:p>
        </w:tc>
      </w:tr>
      <w:tr>
        <w:trPr>
          <w:trHeight w:val="205"/>
        </w:trPr>
        <w:tc>
          <w:tcPr>
            <w:tcW w:w="5120" w:type="dxa"/>
            <w:vAlign w:val="bottom"/>
            <w:tcBorders>
              <w:top w:val="single" w:sz="8" w:color="auto"/>
            </w:tcBorders>
          </w:tcPr>
          <w:p>
            <w:pPr>
              <w:ind w:left="20"/>
              <w:spacing w:after="0" w:line="205" w:lineRule="exact"/>
              <w:rPr>
                <w:sz w:val="20"/>
                <w:szCs w:val="20"/>
                <w:color w:val="auto"/>
              </w:rPr>
            </w:pPr>
            <w:r>
              <w:rPr>
                <w:rFonts w:ascii="Arial" w:cs="Arial" w:eastAsia="Arial" w:hAnsi="Arial"/>
                <w:sz w:val="17"/>
                <w:szCs w:val="17"/>
                <w:color w:val="auto"/>
              </w:rPr>
              <w:t>Multiple sclerosis (MS) product revenue</w:t>
            </w:r>
            <w:r>
              <w:rPr>
                <w:rFonts w:ascii="Arial" w:cs="Arial" w:eastAsia="Arial" w:hAnsi="Arial"/>
                <w:sz w:val="22"/>
                <w:szCs w:val="22"/>
                <w:color w:val="auto"/>
                <w:vertAlign w:val="superscript"/>
              </w:rPr>
              <w:t>(1)</w:t>
            </w:r>
          </w:p>
        </w:tc>
        <w:tc>
          <w:tcPr>
            <w:tcW w:w="100" w:type="dxa"/>
            <w:vAlign w:val="bottom"/>
          </w:tcPr>
          <w:p>
            <w:pPr>
              <w:spacing w:after="0"/>
              <w:rPr>
                <w:sz w:val="17"/>
                <w:szCs w:val="17"/>
                <w:color w:val="auto"/>
              </w:rPr>
            </w:pPr>
          </w:p>
        </w:tc>
        <w:tc>
          <w:tcPr>
            <w:tcW w:w="14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7"/>
                <w:szCs w:val="17"/>
                <w:color w:val="026DCE"/>
              </w:rPr>
              <w:t>$958</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$953</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w:t>
            </w:r>
          </w:p>
        </w:tc>
      </w:tr>
      <w:tr>
        <w:trPr>
          <w:trHeight w:val="224"/>
        </w:trPr>
        <w:tc>
          <w:tcPr>
            <w:tcW w:w="5220" w:type="dxa"/>
            <w:vAlign w:val="bottom"/>
            <w:gridSpan w:val="2"/>
          </w:tcPr>
          <w:p>
            <w:pPr>
              <w:ind w:left="20"/>
              <w:spacing w:after="0" w:line="224" w:lineRule="exact"/>
              <w:rPr>
                <w:sz w:val="20"/>
                <w:szCs w:val="20"/>
                <w:color w:val="auto"/>
              </w:rPr>
            </w:pPr>
            <w:r>
              <w:rPr>
                <w:rFonts w:ascii="Arial" w:cs="Arial" w:eastAsia="Arial" w:hAnsi="Arial"/>
                <w:sz w:val="17"/>
                <w:szCs w:val="17"/>
                <w:color w:val="auto"/>
              </w:rPr>
              <w:t>Rare disease revenue</w:t>
            </w:r>
            <w:r>
              <w:rPr>
                <w:rFonts w:ascii="Arial" w:cs="Arial" w:eastAsia="Arial" w:hAnsi="Arial"/>
                <w:sz w:val="22"/>
                <w:szCs w:val="22"/>
                <w:color w:val="auto"/>
                <w:vertAlign w:val="superscript"/>
              </w:rPr>
              <w:t>(2)</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$557</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(5)%</w:t>
            </w:r>
          </w:p>
        </w:tc>
      </w:tr>
      <w:tr>
        <w:trPr>
          <w:trHeight w:val="216"/>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Biosimilars revenue</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$182</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(7)%</w:t>
            </w:r>
          </w:p>
        </w:tc>
      </w:tr>
      <w:tr>
        <w:trPr>
          <w:trHeight w:val="228"/>
        </w:trPr>
        <w:tc>
          <w:tcPr>
            <w:tcW w:w="5220" w:type="dxa"/>
            <w:vAlign w:val="bottom"/>
            <w:gridSpan w:val="2"/>
          </w:tcPr>
          <w:p>
            <w:pPr>
              <w:ind w:left="20"/>
              <w:spacing w:after="0" w:line="228" w:lineRule="exact"/>
              <w:rPr>
                <w:sz w:val="20"/>
                <w:szCs w:val="20"/>
                <w:color w:val="auto"/>
              </w:rPr>
            </w:pPr>
            <w:r>
              <w:rPr>
                <w:rFonts w:ascii="Arial" w:cs="Arial" w:eastAsia="Arial" w:hAnsi="Arial"/>
                <w:sz w:val="17"/>
                <w:szCs w:val="17"/>
                <w:color w:val="auto"/>
              </w:rPr>
              <w:t>Other product revenue</w:t>
            </w:r>
            <w:r>
              <w:rPr>
                <w:rFonts w:ascii="Arial" w:cs="Arial" w:eastAsia="Arial" w:hAnsi="Arial"/>
                <w:sz w:val="22"/>
                <w:szCs w:val="22"/>
                <w:color w:val="auto"/>
                <w:vertAlign w:val="superscript"/>
              </w:rPr>
              <w:t>(3)</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026DCE"/>
                <w:w w:val="98"/>
              </w:rPr>
              <w:t>$55</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88%</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9"/>
              </w:rPr>
              <w:t>87%</w:t>
            </w:r>
          </w:p>
        </w:tc>
      </w:tr>
      <w:tr>
        <w:trPr>
          <w:trHeight w:val="209"/>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Total product revenue</w:t>
            </w:r>
          </w:p>
        </w:tc>
        <w:tc>
          <w:tcPr>
            <w:tcW w:w="14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7"/>
                <w:szCs w:val="17"/>
                <w:color w:val="026DCE"/>
                <w:w w:val="99"/>
              </w:rPr>
              <w:t>$1,752</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$1,727</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w:t>
            </w:r>
          </w:p>
        </w:tc>
      </w:tr>
      <w:tr>
        <w:trPr>
          <w:trHeight w:val="216"/>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Revenue from anti-CD20 therapeutic programs</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$419</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11%</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9"/>
              </w:rPr>
              <w:t>11%</w:t>
            </w:r>
          </w:p>
        </w:tc>
      </w:tr>
      <w:tr>
        <w:trPr>
          <w:trHeight w:val="224"/>
        </w:trPr>
        <w:tc>
          <w:tcPr>
            <w:tcW w:w="5220" w:type="dxa"/>
            <w:vAlign w:val="bottom"/>
            <w:gridSpan w:val="2"/>
          </w:tcPr>
          <w:p>
            <w:pPr>
              <w:ind w:left="20"/>
              <w:spacing w:after="0" w:line="224" w:lineRule="exact"/>
              <w:rPr>
                <w:sz w:val="20"/>
                <w:szCs w:val="20"/>
                <w:color w:val="auto"/>
              </w:rPr>
            </w:pPr>
            <w:r>
              <w:rPr>
                <w:rFonts w:ascii="Arial" w:cs="Arial" w:eastAsia="Arial" w:hAnsi="Arial"/>
                <w:sz w:val="17"/>
                <w:szCs w:val="17"/>
                <w:color w:val="auto"/>
              </w:rPr>
              <w:t>Alzheimer's collaboration revenue</w:t>
            </w:r>
            <w:r>
              <w:rPr>
                <w:rFonts w:ascii="Arial" w:cs="Arial" w:eastAsia="Arial" w:hAnsi="Arial"/>
                <w:sz w:val="22"/>
                <w:szCs w:val="22"/>
                <w:color w:val="auto"/>
                <w:vertAlign w:val="superscript"/>
              </w:rPr>
              <w:t>(4)</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026DCE"/>
                <w:w w:val="98"/>
              </w:rPr>
              <w:t>$60</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80%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9"/>
              </w:rPr>
              <w:t>80%</w:t>
            </w:r>
          </w:p>
        </w:tc>
      </w:tr>
      <w:tr>
        <w:trPr>
          <w:trHeight w:val="224"/>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Contract manufacturing, royalty and other revenue</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$247</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(20)%</w:t>
            </w:r>
          </w:p>
        </w:tc>
      </w:tr>
      <w:tr>
        <w:trPr>
          <w:trHeight w:val="213"/>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revenue</w:t>
            </w:r>
          </w:p>
        </w:tc>
        <w:tc>
          <w:tcPr>
            <w:tcW w:w="14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026DCE"/>
                <w:w w:val="99"/>
              </w:rPr>
              <w:t>$2,478</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$2,431</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2%</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-1403985</wp:posOffset>
            </wp:positionV>
            <wp:extent cx="116205" cy="116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205" cy="11684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Note: Percent changes represented as favorable/(unfavorable) versus the prior year period. Numbers may not foot or recalculate due to rounding.</w:t>
      </w:r>
    </w:p>
    <w:p>
      <w:pPr>
        <w:ind w:left="160" w:hanging="157"/>
        <w:spacing w:after="0" w:line="196" w:lineRule="auto"/>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Multiple sclerosis includes TECFIDERA®, VUMERITY®, AVONEX®, PLEGRIDY® and TYSABRI®.</w:t>
      </w:r>
    </w:p>
    <w:p>
      <w:pPr>
        <w:ind w:left="160" w:hanging="157"/>
        <w:spacing w:after="0" w:line="198" w:lineRule="auto"/>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Rare disease includes SPINRAZA®, SKYCLARYS® and QALSODY®.</w:t>
      </w:r>
    </w:p>
    <w:p>
      <w:pPr>
        <w:ind w:left="160" w:hanging="157"/>
        <w:spacing w:after="0" w:line="198" w:lineRule="auto"/>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Other includes ADUHELM®, FUMADERM® and ZURZUVAE®.</w:t>
      </w:r>
    </w:p>
    <w:p>
      <w:pPr>
        <w:ind w:left="160" w:hanging="157"/>
        <w:spacing w:after="0" w:line="209" w:lineRule="auto"/>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Includes Biogen’s 50% share of net revenue and cost of sales, including royalties, from the LEQEMBI® Collaboration.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2</w:t>
      </w:r>
    </w:p>
    <w:p>
      <w:pPr>
        <w:sectPr>
          <w:pgSz w:w="11900" w:h="16838" w:orient="portrait"/>
          <w:cols w:equalWidth="0" w:num="1">
            <w:col w:w="11240"/>
          </w:cols>
          <w:pgMar w:left="320" w:top="946" w:right="339" w:bottom="1440" w:gutter="0" w:footer="0" w:header="0"/>
        </w:sectPr>
      </w:pPr>
    </w:p>
    <w:bookmarkStart w:id="5" w:name="page6"/>
    <w:bookmarkEnd w:id="5"/>
    <w:p>
      <w:pPr>
        <w:ind w:left="320" w:right="480" w:hanging="317"/>
        <w:spacing w:after="0" w:line="261" w:lineRule="auto"/>
        <w:tabs>
          <w:tab w:leader="none" w:pos="270" w:val="left"/>
        </w:tabs>
        <w:numPr>
          <w:ilvl w:val="0"/>
          <w:numId w:val="12"/>
        </w:numPr>
        <w:rPr>
          <w:rFonts w:ascii="Arial" w:cs="Arial" w:eastAsia="Arial" w:hAnsi="Arial"/>
          <w:sz w:val="19"/>
          <w:szCs w:val="19"/>
          <w:color w:val="0070C0"/>
        </w:rPr>
      </w:pPr>
      <w:r>
        <w:rPr>
          <w:rFonts w:ascii="Arial" w:cs="Arial" w:eastAsia="Arial" w:hAnsi="Arial"/>
          <w:sz w:val="19"/>
          <w:szCs w:val="19"/>
          <w:color w:val="auto"/>
        </w:rPr>
        <w:t>Within MS product revenue TYSABRI benefitted from approximately $40 million from a favorable adjustment to discounts and allowances and inventory timing in the U.S. and $19 million of favorable inventory timing outside the U.S.</w:t>
      </w:r>
    </w:p>
    <w:p>
      <w:pPr>
        <w:spacing w:after="0" w:line="184" w:lineRule="exact"/>
        <w:rPr>
          <w:rFonts w:ascii="Arial" w:cs="Arial" w:eastAsia="Arial" w:hAnsi="Arial"/>
          <w:sz w:val="19"/>
          <w:szCs w:val="19"/>
          <w:color w:val="0070C0"/>
        </w:rPr>
      </w:pPr>
    </w:p>
    <w:p>
      <w:pPr>
        <w:ind w:left="260" w:hanging="257"/>
        <w:spacing w:after="0"/>
        <w:tabs>
          <w:tab w:leader="none" w:pos="260" w:val="left"/>
        </w:tabs>
        <w:numPr>
          <w:ilvl w:val="0"/>
          <w:numId w:val="12"/>
        </w:numPr>
        <w:rPr>
          <w:rFonts w:ascii="Arial" w:cs="Arial" w:eastAsia="Arial" w:hAnsi="Arial"/>
          <w:sz w:val="19"/>
          <w:szCs w:val="19"/>
          <w:color w:val="0070C0"/>
        </w:rPr>
      </w:pPr>
      <w:r>
        <w:rPr>
          <w:rFonts w:ascii="Arial" w:cs="Arial" w:eastAsia="Arial" w:hAnsi="Arial"/>
          <w:sz w:val="19"/>
          <w:szCs w:val="19"/>
          <w:color w:val="auto"/>
        </w:rPr>
        <w:t>Contract manufacturing, royalty and other revenue benefitted from the acceleration of manufacturing activity in the first quarter.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Expense Summary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w:t>
            </w:r>
          </w:p>
        </w:tc>
        <w:tc>
          <w:tcPr>
            <w:tcW w:w="1740" w:type="dxa"/>
            <w:vAlign w:val="bottom"/>
            <w:shd w:val="clear" w:color="auto" w:fill="DBDBDB"/>
          </w:tcPr>
          <w:p>
            <w:pPr>
              <w:jc w:val="center"/>
              <w:spacing w:after="0"/>
              <w:rPr>
                <w:sz w:val="20"/>
                <w:szCs w:val="20"/>
                <w:color w:val="auto"/>
              </w:rPr>
            </w:pPr>
            <w:r>
              <w:rPr>
                <w:rFonts w:ascii="Arial" w:cs="Arial" w:eastAsia="Arial" w:hAnsi="Arial"/>
                <w:sz w:val="17"/>
                <w:szCs w:val="17"/>
                <w:b w:val="1"/>
                <w:bCs w:val="1"/>
                <w:color w:val="2573BA"/>
                <w:w w:val="99"/>
              </w:rPr>
              <w:t>Q1 '26</w:t>
            </w:r>
          </w:p>
        </w:tc>
        <w:tc>
          <w:tcPr>
            <w:tcW w:w="10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Q1 '25</w:t>
            </w:r>
          </w:p>
        </w:tc>
        <w:tc>
          <w:tcPr>
            <w:tcW w:w="13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4"/>
        </w:trPr>
        <w:tc>
          <w:tcPr>
            <w:tcW w:w="6140" w:type="dxa"/>
            <w:vAlign w:val="bottom"/>
            <w:tcBorders>
              <w:top w:val="single" w:sz="8" w:color="auto"/>
            </w:tcBorders>
          </w:tcPr>
          <w:p>
            <w:pPr>
              <w:ind w:left="20"/>
              <w:spacing w:after="0" w:line="213" w:lineRule="exact"/>
              <w:rPr>
                <w:sz w:val="20"/>
                <w:szCs w:val="20"/>
                <w:color w:val="auto"/>
              </w:rPr>
            </w:pPr>
            <w:r>
              <w:rPr>
                <w:rFonts w:ascii="Arial" w:cs="Arial" w:eastAsia="Arial" w:hAnsi="Arial"/>
                <w:sz w:val="17"/>
                <w:szCs w:val="17"/>
                <w:color w:val="auto"/>
              </w:rPr>
              <w:t>GAAP cost of sales</w:t>
            </w:r>
            <w:r>
              <w:rPr>
                <w:rFonts w:ascii="Arial" w:cs="Arial" w:eastAsia="Arial" w:hAnsi="Arial"/>
                <w:sz w:val="22"/>
                <w:szCs w:val="22"/>
                <w:color w:val="auto"/>
                <w:vertAlign w:val="superscript"/>
              </w:rPr>
              <w:t>*</w:t>
            </w:r>
          </w:p>
        </w:tc>
        <w:tc>
          <w:tcPr>
            <w:tcW w:w="100" w:type="dxa"/>
            <w:vAlign w:val="bottom"/>
          </w:tcPr>
          <w:p>
            <w:pPr>
              <w:spacing w:after="0"/>
              <w:rPr>
                <w:sz w:val="18"/>
                <w:szCs w:val="18"/>
                <w:color w:val="auto"/>
              </w:rPr>
            </w:pPr>
          </w:p>
        </w:tc>
        <w:tc>
          <w:tcPr>
            <w:tcW w:w="17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7"/>
                <w:szCs w:val="17"/>
                <w:color w:val="026DCE"/>
              </w:rPr>
              <w:t>$661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$629</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(5)%</w:t>
            </w:r>
          </w:p>
        </w:tc>
      </w:tr>
      <w:tr>
        <w:trPr>
          <w:trHeight w:val="198"/>
        </w:trPr>
        <w:tc>
          <w:tcPr>
            <w:tcW w:w="6240" w:type="dxa"/>
            <w:vAlign w:val="bottom"/>
            <w:gridSpan w:val="2"/>
          </w:tcPr>
          <w:p>
            <w:pPr>
              <w:ind w:left="220"/>
              <w:spacing w:after="0"/>
              <w:rPr>
                <w:sz w:val="20"/>
                <w:szCs w:val="20"/>
                <w:color w:val="auto"/>
              </w:rPr>
            </w:pPr>
            <w:r>
              <w:rPr>
                <w:rFonts w:ascii="Arial" w:cs="Arial" w:eastAsia="Arial" w:hAnsi="Arial"/>
                <w:sz w:val="16"/>
                <w:szCs w:val="16"/>
                <w:i w:val="1"/>
                <w:iCs w:val="1"/>
                <w:color w:val="auto"/>
              </w:rPr>
              <w:t>% of Total Revenue</w:t>
            </w:r>
          </w:p>
        </w:tc>
        <w:tc>
          <w:tcPr>
            <w:tcW w:w="1740" w:type="dxa"/>
            <w:vAlign w:val="bottom"/>
            <w:shd w:val="clear" w:color="auto" w:fill="DBDBDB"/>
          </w:tcPr>
          <w:p>
            <w:pPr>
              <w:jc w:val="center"/>
              <w:spacing w:after="0"/>
              <w:rPr>
                <w:sz w:val="20"/>
                <w:szCs w:val="20"/>
                <w:color w:val="auto"/>
              </w:rPr>
            </w:pPr>
            <w:r>
              <w:rPr>
                <w:rFonts w:ascii="Arial" w:cs="Arial" w:eastAsia="Arial" w:hAnsi="Arial"/>
                <w:sz w:val="16"/>
                <w:szCs w:val="16"/>
                <w:i w:val="1"/>
                <w:iCs w:val="1"/>
                <w:color w:val="026DCE"/>
                <w:w w:val="93"/>
              </w:rPr>
              <w:t>27%</w:t>
            </w:r>
          </w:p>
        </w:tc>
        <w:tc>
          <w:tcPr>
            <w:tcW w:w="1860" w:type="dxa"/>
            <w:vAlign w:val="bottom"/>
            <w:gridSpan w:val="2"/>
          </w:tcPr>
          <w:p>
            <w:pPr>
              <w:jc w:val="center"/>
              <w:ind w:left="16"/>
              <w:spacing w:after="0"/>
              <w:rPr>
                <w:sz w:val="20"/>
                <w:szCs w:val="20"/>
                <w:color w:val="auto"/>
              </w:rPr>
            </w:pPr>
            <w:r>
              <w:rPr>
                <w:rFonts w:ascii="Arial" w:cs="Arial" w:eastAsia="Arial" w:hAnsi="Arial"/>
                <w:sz w:val="16"/>
                <w:szCs w:val="16"/>
                <w:i w:val="1"/>
                <w:iCs w:val="1"/>
                <w:color w:val="auto"/>
                <w:w w:val="99"/>
              </w:rPr>
              <w:t>26%</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9"/>
        </w:trPr>
        <w:tc>
          <w:tcPr>
            <w:tcW w:w="6240" w:type="dxa"/>
            <w:vAlign w:val="bottom"/>
            <w:gridSpan w:val="2"/>
          </w:tcPr>
          <w:p>
            <w:pPr>
              <w:ind w:left="20"/>
              <w:spacing w:after="0" w:line="228" w:lineRule="exact"/>
              <w:rPr>
                <w:sz w:val="20"/>
                <w:szCs w:val="20"/>
                <w:color w:val="auto"/>
              </w:rPr>
            </w:pPr>
            <w:r>
              <w:rPr>
                <w:rFonts w:ascii="Arial" w:cs="Arial" w:eastAsia="Arial" w:hAnsi="Arial"/>
                <w:sz w:val="17"/>
                <w:szCs w:val="17"/>
                <w:color w:val="auto"/>
              </w:rPr>
              <w:t>Non-GAAP cost of sales</w:t>
            </w:r>
            <w:r>
              <w:rPr>
                <w:rFonts w:ascii="Arial" w:cs="Arial" w:eastAsia="Arial" w:hAnsi="Arial"/>
                <w:sz w:val="22"/>
                <w:szCs w:val="22"/>
                <w:color w:val="auto"/>
                <w:vertAlign w:val="superscript"/>
              </w:rPr>
              <w:t>*</w:t>
            </w:r>
          </w:p>
        </w:tc>
        <w:tc>
          <w:tcPr>
            <w:tcW w:w="17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$610</w:t>
            </w:r>
          </w:p>
        </w:tc>
        <w:tc>
          <w:tcPr>
            <w:tcW w:w="1860" w:type="dxa"/>
            <w:vAlign w:val="bottom"/>
            <w:gridSpan w:val="2"/>
          </w:tcPr>
          <w:p>
            <w:pPr>
              <w:jc w:val="center"/>
              <w:spacing w:after="0"/>
              <w:rPr>
                <w:sz w:val="20"/>
                <w:szCs w:val="20"/>
                <w:color w:val="auto"/>
              </w:rPr>
            </w:pPr>
            <w:r>
              <w:rPr>
                <w:rFonts w:ascii="Arial" w:cs="Arial" w:eastAsia="Arial" w:hAnsi="Arial"/>
                <w:sz w:val="17"/>
                <w:szCs w:val="17"/>
                <w:color w:val="auto"/>
              </w:rPr>
              <w:t>$580</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(5)%</w:t>
            </w:r>
          </w:p>
        </w:tc>
      </w:tr>
      <w:tr>
        <w:trPr>
          <w:trHeight w:val="202"/>
        </w:trPr>
        <w:tc>
          <w:tcPr>
            <w:tcW w:w="6240" w:type="dxa"/>
            <w:vAlign w:val="bottom"/>
            <w:gridSpan w:val="2"/>
          </w:tcPr>
          <w:p>
            <w:pPr>
              <w:ind w:left="220"/>
              <w:spacing w:after="0"/>
              <w:rPr>
                <w:sz w:val="20"/>
                <w:szCs w:val="20"/>
                <w:color w:val="auto"/>
              </w:rPr>
            </w:pPr>
            <w:r>
              <w:rPr>
                <w:rFonts w:ascii="Arial" w:cs="Arial" w:eastAsia="Arial" w:hAnsi="Arial"/>
                <w:sz w:val="16"/>
                <w:szCs w:val="16"/>
                <w:i w:val="1"/>
                <w:iCs w:val="1"/>
                <w:color w:val="auto"/>
              </w:rPr>
              <w:t>% of Total Revenue</w:t>
            </w:r>
          </w:p>
        </w:tc>
        <w:tc>
          <w:tcPr>
            <w:tcW w:w="1740" w:type="dxa"/>
            <w:vAlign w:val="bottom"/>
            <w:shd w:val="clear" w:color="auto" w:fill="DBDBDB"/>
          </w:tcPr>
          <w:p>
            <w:pPr>
              <w:jc w:val="center"/>
              <w:spacing w:after="0"/>
              <w:rPr>
                <w:sz w:val="20"/>
                <w:szCs w:val="20"/>
                <w:color w:val="auto"/>
              </w:rPr>
            </w:pPr>
            <w:r>
              <w:rPr>
                <w:rFonts w:ascii="Arial" w:cs="Arial" w:eastAsia="Arial" w:hAnsi="Arial"/>
                <w:sz w:val="16"/>
                <w:szCs w:val="16"/>
                <w:i w:val="1"/>
                <w:iCs w:val="1"/>
                <w:color w:val="026DCE"/>
                <w:w w:val="93"/>
              </w:rPr>
              <w:t>25%</w:t>
            </w:r>
          </w:p>
        </w:tc>
        <w:tc>
          <w:tcPr>
            <w:tcW w:w="1860" w:type="dxa"/>
            <w:vAlign w:val="bottom"/>
            <w:gridSpan w:val="2"/>
          </w:tcPr>
          <w:p>
            <w:pPr>
              <w:jc w:val="center"/>
              <w:ind w:left="16"/>
              <w:spacing w:after="0"/>
              <w:rPr>
                <w:sz w:val="20"/>
                <w:szCs w:val="20"/>
                <w:color w:val="auto"/>
              </w:rPr>
            </w:pPr>
            <w:r>
              <w:rPr>
                <w:rFonts w:ascii="Arial" w:cs="Arial" w:eastAsia="Arial" w:hAnsi="Arial"/>
                <w:sz w:val="16"/>
                <w:szCs w:val="16"/>
                <w:i w:val="1"/>
                <w:iCs w:val="1"/>
                <w:color w:val="auto"/>
                <w:w w:val="99"/>
              </w:rPr>
              <w:t>24%</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0"/>
        </w:trPr>
        <w:tc>
          <w:tcPr>
            <w:tcW w:w="6240" w:type="dxa"/>
            <w:vAlign w:val="bottom"/>
            <w:gridSpan w:val="2"/>
          </w:tcPr>
          <w:p>
            <w:pPr>
              <w:ind w:left="20"/>
              <w:spacing w:after="0"/>
              <w:rPr>
                <w:sz w:val="20"/>
                <w:szCs w:val="20"/>
                <w:color w:val="auto"/>
              </w:rPr>
            </w:pPr>
            <w:r>
              <w:rPr>
                <w:rFonts w:ascii="Arial" w:cs="Arial" w:eastAsia="Arial" w:hAnsi="Arial"/>
                <w:sz w:val="17"/>
                <w:szCs w:val="17"/>
                <w:color w:val="auto"/>
              </w:rPr>
              <w:t>GAAP R&amp;D expense</w:t>
            </w:r>
          </w:p>
        </w:tc>
        <w:tc>
          <w:tcPr>
            <w:tcW w:w="17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$539</w:t>
            </w:r>
          </w:p>
        </w:tc>
        <w:tc>
          <w:tcPr>
            <w:tcW w:w="1860" w:type="dxa"/>
            <w:vAlign w:val="bottom"/>
            <w:gridSpan w:val="2"/>
          </w:tcPr>
          <w:p>
            <w:pPr>
              <w:jc w:val="center"/>
              <w:spacing w:after="0"/>
              <w:rPr>
                <w:sz w:val="20"/>
                <w:szCs w:val="20"/>
                <w:color w:val="auto"/>
              </w:rPr>
            </w:pPr>
            <w:r>
              <w:rPr>
                <w:rFonts w:ascii="Arial" w:cs="Arial" w:eastAsia="Arial" w:hAnsi="Arial"/>
                <w:sz w:val="17"/>
                <w:szCs w:val="17"/>
                <w:color w:val="auto"/>
              </w:rPr>
              <w:t>$434</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(24)%</w:t>
            </w:r>
          </w:p>
        </w:tc>
      </w:tr>
      <w:tr>
        <w:trPr>
          <w:trHeight w:val="220"/>
        </w:trPr>
        <w:tc>
          <w:tcPr>
            <w:tcW w:w="6240" w:type="dxa"/>
            <w:vAlign w:val="bottom"/>
            <w:gridSpan w:val="2"/>
          </w:tcPr>
          <w:p>
            <w:pPr>
              <w:ind w:left="20"/>
              <w:spacing w:after="0"/>
              <w:rPr>
                <w:sz w:val="20"/>
                <w:szCs w:val="20"/>
                <w:color w:val="auto"/>
              </w:rPr>
            </w:pPr>
            <w:r>
              <w:rPr>
                <w:rFonts w:ascii="Arial" w:cs="Arial" w:eastAsia="Arial" w:hAnsi="Arial"/>
                <w:sz w:val="17"/>
                <w:szCs w:val="17"/>
                <w:color w:val="auto"/>
              </w:rPr>
              <w:t>Non-GAAP R&amp;D expense</w:t>
            </w:r>
          </w:p>
        </w:tc>
        <w:tc>
          <w:tcPr>
            <w:tcW w:w="17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$480</w:t>
            </w:r>
          </w:p>
        </w:tc>
        <w:tc>
          <w:tcPr>
            <w:tcW w:w="1860" w:type="dxa"/>
            <w:vAlign w:val="bottom"/>
            <w:gridSpan w:val="2"/>
          </w:tcPr>
          <w:p>
            <w:pPr>
              <w:jc w:val="center"/>
              <w:spacing w:after="0"/>
              <w:rPr>
                <w:sz w:val="20"/>
                <w:szCs w:val="20"/>
                <w:color w:val="auto"/>
              </w:rPr>
            </w:pPr>
            <w:r>
              <w:rPr>
                <w:rFonts w:ascii="Arial" w:cs="Arial" w:eastAsia="Arial" w:hAnsi="Arial"/>
                <w:sz w:val="17"/>
                <w:szCs w:val="17"/>
                <w:color w:val="auto"/>
              </w:rPr>
              <w:t>$427</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(13)%</w:t>
            </w:r>
          </w:p>
        </w:tc>
      </w:tr>
      <w:tr>
        <w:trPr>
          <w:trHeight w:val="220"/>
        </w:trPr>
        <w:tc>
          <w:tcPr>
            <w:tcW w:w="6240" w:type="dxa"/>
            <w:vAlign w:val="bottom"/>
            <w:gridSpan w:val="2"/>
          </w:tcPr>
          <w:p>
            <w:pPr>
              <w:ind w:left="20"/>
              <w:spacing w:after="0"/>
              <w:rPr>
                <w:sz w:val="20"/>
                <w:szCs w:val="20"/>
                <w:color w:val="auto"/>
              </w:rPr>
            </w:pPr>
            <w:r>
              <w:rPr>
                <w:rFonts w:ascii="Arial" w:cs="Arial" w:eastAsia="Arial" w:hAnsi="Arial"/>
                <w:sz w:val="17"/>
                <w:szCs w:val="17"/>
                <w:color w:val="auto"/>
              </w:rPr>
              <w:t>GAAP SG&amp;A expense</w:t>
            </w:r>
          </w:p>
        </w:tc>
        <w:tc>
          <w:tcPr>
            <w:tcW w:w="17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$607</w:t>
            </w:r>
          </w:p>
        </w:tc>
        <w:tc>
          <w:tcPr>
            <w:tcW w:w="1860" w:type="dxa"/>
            <w:vAlign w:val="bottom"/>
            <w:gridSpan w:val="2"/>
          </w:tcPr>
          <w:p>
            <w:pPr>
              <w:jc w:val="center"/>
              <w:spacing w:after="0"/>
              <w:rPr>
                <w:sz w:val="20"/>
                <w:szCs w:val="20"/>
                <w:color w:val="auto"/>
              </w:rPr>
            </w:pPr>
            <w:r>
              <w:rPr>
                <w:rFonts w:ascii="Arial" w:cs="Arial" w:eastAsia="Arial" w:hAnsi="Arial"/>
                <w:sz w:val="17"/>
                <w:szCs w:val="17"/>
                <w:color w:val="auto"/>
              </w:rPr>
              <w:t>$573</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(6)%</w:t>
            </w:r>
          </w:p>
        </w:tc>
      </w:tr>
      <w:tr>
        <w:trPr>
          <w:trHeight w:val="220"/>
        </w:trPr>
        <w:tc>
          <w:tcPr>
            <w:tcW w:w="6240" w:type="dxa"/>
            <w:vAlign w:val="bottom"/>
            <w:gridSpan w:val="2"/>
          </w:tcPr>
          <w:p>
            <w:pPr>
              <w:ind w:left="20"/>
              <w:spacing w:after="0"/>
              <w:rPr>
                <w:sz w:val="20"/>
                <w:szCs w:val="20"/>
                <w:color w:val="auto"/>
              </w:rPr>
            </w:pPr>
            <w:r>
              <w:rPr>
                <w:rFonts w:ascii="Arial" w:cs="Arial" w:eastAsia="Arial" w:hAnsi="Arial"/>
                <w:sz w:val="17"/>
                <w:szCs w:val="17"/>
                <w:color w:val="auto"/>
              </w:rPr>
              <w:t>Non-GAAP SG&amp;A expense</w:t>
            </w:r>
          </w:p>
        </w:tc>
        <w:tc>
          <w:tcPr>
            <w:tcW w:w="17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$600</w:t>
            </w:r>
          </w:p>
        </w:tc>
        <w:tc>
          <w:tcPr>
            <w:tcW w:w="1860" w:type="dxa"/>
            <w:vAlign w:val="bottom"/>
            <w:gridSpan w:val="2"/>
          </w:tcPr>
          <w:p>
            <w:pPr>
              <w:jc w:val="center"/>
              <w:spacing w:after="0"/>
              <w:rPr>
                <w:sz w:val="20"/>
                <w:szCs w:val="20"/>
                <w:color w:val="auto"/>
              </w:rPr>
            </w:pPr>
            <w:r>
              <w:rPr>
                <w:rFonts w:ascii="Arial" w:cs="Arial" w:eastAsia="Arial" w:hAnsi="Arial"/>
                <w:sz w:val="17"/>
                <w:szCs w:val="17"/>
                <w:color w:val="auto"/>
              </w:rPr>
              <w:t>$572</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(5)%</w:t>
            </w:r>
          </w:p>
        </w:tc>
      </w:tr>
      <w:tr>
        <w:trPr>
          <w:trHeight w:val="224"/>
        </w:trPr>
        <w:tc>
          <w:tcPr>
            <w:tcW w:w="6240" w:type="dxa"/>
            <w:vAlign w:val="bottom"/>
            <w:gridSpan w:val="2"/>
          </w:tcPr>
          <w:p>
            <w:pPr>
              <w:ind w:left="20"/>
              <w:spacing w:after="0"/>
              <w:rPr>
                <w:sz w:val="20"/>
                <w:szCs w:val="20"/>
                <w:color w:val="auto"/>
              </w:rPr>
            </w:pPr>
            <w:r>
              <w:rPr>
                <w:rFonts w:ascii="Arial" w:cs="Arial" w:eastAsia="Arial" w:hAnsi="Arial"/>
                <w:sz w:val="17"/>
                <w:szCs w:val="17"/>
                <w:color w:val="auto"/>
              </w:rPr>
              <w:t>GAAP and Non-GAAP acquired IPR&amp;D, upfront and milestone expense</w:t>
            </w:r>
          </w:p>
        </w:tc>
        <w:tc>
          <w:tcPr>
            <w:tcW w:w="1740" w:type="dxa"/>
            <w:vAlign w:val="bottom"/>
            <w:shd w:val="clear" w:color="auto" w:fill="DBDBDB"/>
          </w:tcPr>
          <w:p>
            <w:pPr>
              <w:jc w:val="center"/>
              <w:spacing w:after="0"/>
              <w:rPr>
                <w:sz w:val="20"/>
                <w:szCs w:val="20"/>
                <w:color w:val="auto"/>
              </w:rPr>
            </w:pPr>
            <w:r>
              <w:rPr>
                <w:rFonts w:ascii="Arial" w:cs="Arial" w:eastAsia="Arial" w:hAnsi="Arial"/>
                <w:sz w:val="17"/>
                <w:szCs w:val="17"/>
                <w:color w:val="026DCE"/>
              </w:rPr>
              <w:t>$34</w:t>
            </w:r>
          </w:p>
        </w:tc>
        <w:tc>
          <w:tcPr>
            <w:tcW w:w="1860" w:type="dxa"/>
            <w:vAlign w:val="bottom"/>
            <w:gridSpan w:val="2"/>
          </w:tcPr>
          <w:p>
            <w:pPr>
              <w:jc w:val="center"/>
              <w:spacing w:after="0"/>
              <w:rPr>
                <w:sz w:val="20"/>
                <w:szCs w:val="20"/>
                <w:color w:val="auto"/>
              </w:rPr>
            </w:pPr>
            <w:r>
              <w:rPr>
                <w:rFonts w:ascii="Arial" w:cs="Arial" w:eastAsia="Arial" w:hAnsi="Arial"/>
                <w:sz w:val="17"/>
                <w:szCs w:val="17"/>
                <w:color w:val="auto"/>
              </w:rPr>
              <w:t>$201</w:t>
            </w:r>
          </w:p>
        </w:tc>
        <w:tc>
          <w:tcPr>
            <w:tcW w:w="80" w:type="dxa"/>
            <w:vAlign w:val="bottom"/>
          </w:tcPr>
          <w:p>
            <w:pPr>
              <w:spacing w:after="0"/>
              <w:rPr>
                <w:sz w:val="19"/>
                <w:szCs w:val="19"/>
                <w:color w:val="auto"/>
              </w:rPr>
            </w:pPr>
          </w:p>
        </w:tc>
        <w:tc>
          <w:tcPr>
            <w:tcW w:w="1320" w:type="dxa"/>
            <w:vAlign w:val="bottom"/>
          </w:tcPr>
          <w:p>
            <w:pPr>
              <w:ind w:left="480"/>
              <w:spacing w:after="0"/>
              <w:rPr>
                <w:sz w:val="20"/>
                <w:szCs w:val="20"/>
                <w:color w:val="auto"/>
              </w:rPr>
            </w:pPr>
            <w:r>
              <w:rPr>
                <w:rFonts w:ascii="Arial" w:cs="Arial" w:eastAsia="Arial" w:hAnsi="Arial"/>
                <w:sz w:val="17"/>
                <w:szCs w:val="17"/>
                <w:color w:val="auto"/>
              </w:rPr>
              <w:t>NMF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-1370965</wp:posOffset>
            </wp:positionV>
            <wp:extent cx="116205" cy="116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205" cy="116840"/>
                    </a:xfrm>
                    <a:prstGeom prst="rect">
                      <a:avLst/>
                    </a:prstGeom>
                    <a:noFill/>
                  </pic:spPr>
                </pic:pic>
              </a:graphicData>
            </a:graphic>
          </wp:anchor>
        </w:drawing>
      </w:r>
    </w:p>
    <w:p>
      <w:pPr>
        <w:spacing w:after="0" w:line="84" w:lineRule="exact"/>
        <w:rPr>
          <w:sz w:val="20"/>
          <w:szCs w:val="20"/>
          <w:color w:val="auto"/>
        </w:rPr>
      </w:pPr>
    </w:p>
    <w:p>
      <w:pPr>
        <w:ind w:right="5000"/>
        <w:spacing w:after="0" w:line="235" w:lineRule="auto"/>
        <w:rPr>
          <w:sz w:val="20"/>
          <w:szCs w:val="20"/>
          <w:color w:val="auto"/>
        </w:rPr>
      </w:pPr>
      <w:r>
        <w:rPr>
          <w:rFonts w:ascii="Arial" w:cs="Arial" w:eastAsia="Arial" w:hAnsi="Arial"/>
          <w:sz w:val="16"/>
          <w:szCs w:val="16"/>
          <w:color w:val="auto"/>
        </w:rPr>
        <w:t>Note: Percent changes represented as favorable/(unfavorable) versus the prior year period IPR&amp;D = in-process R&amp;D; NMF = no meaningful figure.</w:t>
      </w:r>
    </w:p>
    <w:p>
      <w:pPr>
        <w:ind w:left="80" w:hanging="77"/>
        <w:spacing w:after="0" w:line="201" w:lineRule="auto"/>
        <w:tabs>
          <w:tab w:leader="none" w:pos="8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Excluding amortization and impairment of acquired intangible assets</w:t>
      </w:r>
    </w:p>
    <w:p>
      <w:pPr>
        <w:spacing w:after="0" w:line="214" w:lineRule="exact"/>
        <w:rPr>
          <w:sz w:val="20"/>
          <w:szCs w:val="20"/>
          <w:color w:val="auto"/>
        </w:rPr>
      </w:pPr>
    </w:p>
    <w:p>
      <w:pPr>
        <w:ind w:left="320" w:right="400" w:hanging="317"/>
        <w:spacing w:after="0" w:line="261" w:lineRule="auto"/>
        <w:tabs>
          <w:tab w:leader="none" w:pos="270" w:val="left"/>
        </w:tabs>
        <w:numPr>
          <w:ilvl w:val="0"/>
          <w:numId w:val="14"/>
        </w:numPr>
        <w:rPr>
          <w:rFonts w:ascii="Arial" w:cs="Arial" w:eastAsia="Arial" w:hAnsi="Arial"/>
          <w:sz w:val="19"/>
          <w:szCs w:val="19"/>
          <w:color w:val="0070C0"/>
        </w:rPr>
      </w:pPr>
      <w:r>
        <w:rPr>
          <w:rFonts w:ascii="Arial" w:cs="Arial" w:eastAsia="Arial" w:hAnsi="Arial"/>
          <w:sz w:val="19"/>
          <w:szCs w:val="19"/>
          <w:color w:val="auto"/>
        </w:rPr>
        <w:t>The increase in first quarter 2026 GAAP and Non-GAAP cost of sales as a percentage of total revenue was driven primarily by product mix.</w:t>
      </w:r>
    </w:p>
    <w:p>
      <w:pPr>
        <w:spacing w:after="0" w:line="184" w:lineRule="exact"/>
        <w:rPr>
          <w:rFonts w:ascii="Arial" w:cs="Arial" w:eastAsia="Arial" w:hAnsi="Arial"/>
          <w:sz w:val="19"/>
          <w:szCs w:val="19"/>
          <w:color w:val="0070C0"/>
        </w:rPr>
      </w:pPr>
    </w:p>
    <w:p>
      <w:pPr>
        <w:ind w:left="320" w:right="40" w:hanging="317"/>
        <w:spacing w:after="0" w:line="243" w:lineRule="auto"/>
        <w:tabs>
          <w:tab w:leader="none" w:pos="270" w:val="left"/>
        </w:tabs>
        <w:numPr>
          <w:ilvl w:val="0"/>
          <w:numId w:val="14"/>
        </w:numPr>
        <w:rPr>
          <w:rFonts w:ascii="Arial" w:cs="Arial" w:eastAsia="Arial" w:hAnsi="Arial"/>
          <w:sz w:val="19"/>
          <w:szCs w:val="19"/>
          <w:color w:val="0070C0"/>
        </w:rPr>
      </w:pPr>
      <w:r>
        <w:rPr>
          <w:rFonts w:ascii="Arial" w:cs="Arial" w:eastAsia="Arial" w:hAnsi="Arial"/>
          <w:sz w:val="19"/>
          <w:szCs w:val="19"/>
          <w:color w:val="auto"/>
        </w:rPr>
        <w:t>The increase in first quarter 2026 GAAP R&amp;D expense was primarily driven by approximately $57 million of step-up amortization related to SKYCLARYS inventory as well as increased investment in late-stage programs including litifilimab and felzartamab. The increase in first quarter 2026 Non-GAAP R&amp;D expense was primarily driven by increased investment in late-stage programs including litifilimab and felzartamab.</w:t>
      </w:r>
    </w:p>
    <w:p>
      <w:pPr>
        <w:spacing w:after="0" w:line="188" w:lineRule="exact"/>
        <w:rPr>
          <w:rFonts w:ascii="Arial" w:cs="Arial" w:eastAsia="Arial" w:hAnsi="Arial"/>
          <w:sz w:val="19"/>
          <w:szCs w:val="19"/>
          <w:color w:val="0070C0"/>
        </w:rPr>
      </w:pPr>
    </w:p>
    <w:p>
      <w:pPr>
        <w:ind w:left="260" w:hanging="257"/>
        <w:spacing w:after="0"/>
        <w:tabs>
          <w:tab w:leader="none" w:pos="260" w:val="left"/>
        </w:tabs>
        <w:numPr>
          <w:ilvl w:val="0"/>
          <w:numId w:val="14"/>
        </w:numPr>
        <w:rPr>
          <w:rFonts w:ascii="Arial" w:cs="Arial" w:eastAsia="Arial" w:hAnsi="Arial"/>
          <w:sz w:val="19"/>
          <w:szCs w:val="19"/>
          <w:color w:val="0070C0"/>
        </w:rPr>
      </w:pPr>
      <w:r>
        <w:rPr>
          <w:rFonts w:ascii="Arial" w:cs="Arial" w:eastAsia="Arial" w:hAnsi="Arial"/>
          <w:sz w:val="19"/>
          <w:szCs w:val="19"/>
          <w:color w:val="auto"/>
        </w:rPr>
        <w:t>The increase in first quarter 2026 GAAP and Non-GAAP SG&amp;A was primarily driven by investments to support product launches.</w:t>
      </w:r>
    </w:p>
    <w:p>
      <w:pPr>
        <w:spacing w:after="0" w:line="234" w:lineRule="exact"/>
        <w:rPr>
          <w:rFonts w:ascii="Arial" w:cs="Arial" w:eastAsia="Arial" w:hAnsi="Arial"/>
          <w:sz w:val="19"/>
          <w:szCs w:val="19"/>
          <w:color w:val="0070C0"/>
        </w:rPr>
      </w:pPr>
    </w:p>
    <w:p>
      <w:pPr>
        <w:ind w:left="260" w:hanging="257"/>
        <w:spacing w:after="0"/>
        <w:tabs>
          <w:tab w:leader="none" w:pos="260" w:val="left"/>
        </w:tabs>
        <w:numPr>
          <w:ilvl w:val="0"/>
          <w:numId w:val="14"/>
        </w:numPr>
        <w:rPr>
          <w:rFonts w:ascii="Arial" w:cs="Arial" w:eastAsia="Arial" w:hAnsi="Arial"/>
          <w:sz w:val="19"/>
          <w:szCs w:val="19"/>
          <w:color w:val="0070C0"/>
        </w:rPr>
      </w:pPr>
      <w:r>
        <w:rPr>
          <w:rFonts w:ascii="Arial" w:cs="Arial" w:eastAsia="Arial" w:hAnsi="Arial"/>
          <w:sz w:val="19"/>
          <w:szCs w:val="19"/>
          <w:color w:val="auto"/>
        </w:rPr>
        <w:t>First quarter 2026 GAAP and Non-GAAP acquired IPR&amp;D, upfront and milestone expense was $34 million.</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Financial Highlights</w:t>
      </w:r>
    </w:p>
    <w:p>
      <w:pPr>
        <w:spacing w:after="0" w:line="221" w:lineRule="exact"/>
        <w:rPr>
          <w:sz w:val="20"/>
          <w:szCs w:val="20"/>
          <w:color w:val="auto"/>
        </w:rPr>
      </w:pPr>
    </w:p>
    <w:p>
      <w:pPr>
        <w:ind w:left="320" w:right="120" w:hanging="317"/>
        <w:spacing w:after="0" w:line="251" w:lineRule="auto"/>
        <w:tabs>
          <w:tab w:leader="none" w:pos="270" w:val="left"/>
        </w:tabs>
        <w:numPr>
          <w:ilvl w:val="0"/>
          <w:numId w:val="15"/>
        </w:numPr>
        <w:rPr>
          <w:rFonts w:ascii="Arial" w:cs="Arial" w:eastAsia="Arial" w:hAnsi="Arial"/>
          <w:sz w:val="19"/>
          <w:szCs w:val="19"/>
          <w:color w:val="0070C0"/>
        </w:rPr>
      </w:pPr>
      <w:r>
        <w:rPr>
          <w:rFonts w:ascii="Arial" w:cs="Arial" w:eastAsia="Arial" w:hAnsi="Arial"/>
          <w:sz w:val="19"/>
          <w:szCs w:val="19"/>
          <w:color w:val="auto"/>
        </w:rPr>
        <w:t>First quarter 2026 GAAP and Non-GAAP collaboration profit sharing was a net expense of approximately $74 million, which includes approximately $57 million related to Biogen’s collaboration with Samsung Bioepis, and approximately $17 million related to Biogen’s collaboration with Supernus Pharmaceuticals, Inc. for the commercialization of ZURZUVAE in the U.S.</w:t>
      </w:r>
    </w:p>
    <w:p>
      <w:pPr>
        <w:spacing w:after="0" w:line="194" w:lineRule="exact"/>
        <w:rPr>
          <w:rFonts w:ascii="Arial" w:cs="Arial" w:eastAsia="Arial" w:hAnsi="Arial"/>
          <w:sz w:val="19"/>
          <w:szCs w:val="19"/>
          <w:color w:val="0070C0"/>
        </w:rPr>
      </w:pPr>
    </w:p>
    <w:p>
      <w:pPr>
        <w:ind w:left="320" w:right="100" w:hanging="317"/>
        <w:spacing w:after="0" w:line="251" w:lineRule="auto"/>
        <w:tabs>
          <w:tab w:leader="none" w:pos="270" w:val="left"/>
        </w:tabs>
        <w:numPr>
          <w:ilvl w:val="0"/>
          <w:numId w:val="15"/>
        </w:numPr>
        <w:rPr>
          <w:rFonts w:ascii="Arial" w:cs="Arial" w:eastAsia="Arial" w:hAnsi="Arial"/>
          <w:sz w:val="19"/>
          <w:szCs w:val="19"/>
          <w:color w:val="0070C0"/>
        </w:rPr>
      </w:pPr>
      <w:r>
        <w:rPr>
          <w:rFonts w:ascii="Arial" w:cs="Arial" w:eastAsia="Arial" w:hAnsi="Arial"/>
          <w:sz w:val="19"/>
          <w:szCs w:val="19"/>
          <w:color w:val="auto"/>
        </w:rPr>
        <w:t>First quarter 2026 GAAP other expense was approximately $20 million driven by net interest expense partially offset by net unrealized gains on equity securities. First quarter 2026 Non-GAAP other expense was approximately $42 million primarily driven by net interest expense.</w:t>
      </w:r>
    </w:p>
    <w:p>
      <w:pPr>
        <w:spacing w:after="0" w:line="181" w:lineRule="exact"/>
        <w:rPr>
          <w:rFonts w:ascii="Arial" w:cs="Arial" w:eastAsia="Arial" w:hAnsi="Arial"/>
          <w:sz w:val="19"/>
          <w:szCs w:val="19"/>
          <w:color w:val="0070C0"/>
        </w:rPr>
      </w:pPr>
    </w:p>
    <w:p>
      <w:pPr>
        <w:ind w:left="320" w:right="260" w:hanging="317"/>
        <w:spacing w:after="0" w:line="243" w:lineRule="auto"/>
        <w:tabs>
          <w:tab w:leader="none" w:pos="270" w:val="left"/>
        </w:tabs>
        <w:numPr>
          <w:ilvl w:val="0"/>
          <w:numId w:val="15"/>
        </w:numPr>
        <w:rPr>
          <w:rFonts w:ascii="Arial" w:cs="Arial" w:eastAsia="Arial" w:hAnsi="Arial"/>
          <w:sz w:val="19"/>
          <w:szCs w:val="19"/>
          <w:color w:val="0070C0"/>
        </w:rPr>
      </w:pPr>
      <w:r>
        <w:rPr>
          <w:rFonts w:ascii="Arial" w:cs="Arial" w:eastAsia="Arial" w:hAnsi="Arial"/>
          <w:sz w:val="19"/>
          <w:szCs w:val="19"/>
          <w:color w:val="auto"/>
        </w:rPr>
        <w:t>First quarter 2026 GAAP and Non-GAAP effective tax rates were 15.4% and 15.3%, respectively. First quarter 2025 GAAP and Non-GAAP effective tax rates were 22.7% and 19.4%, respectively. The year over year decrease in the Non-GAAP effective tax rate was due to favorable impacts from a foreign tax settlement and vesting of certain share-based awards partly offset by the increase in U.S. taxation on foreign earnings in 2026 under the One Big Beautiful Bill Act.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3</w:t>
      </w:r>
    </w:p>
    <w:p>
      <w:pPr>
        <w:sectPr>
          <w:pgSz w:w="11900" w:h="16838" w:orient="portrait"/>
          <w:cols w:equalWidth="0" w:num="1">
            <w:col w:w="11240"/>
          </w:cols>
          <w:pgMar w:left="320" w:top="855"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Financial Position</w:t>
      </w:r>
    </w:p>
    <w:p>
      <w:pPr>
        <w:spacing w:after="0" w:line="221" w:lineRule="exact"/>
        <w:rPr>
          <w:sz w:val="20"/>
          <w:szCs w:val="20"/>
          <w:color w:val="auto"/>
        </w:rPr>
      </w:pPr>
    </w:p>
    <w:p>
      <w:pPr>
        <w:ind w:left="260" w:hanging="257"/>
        <w:spacing w:after="0"/>
        <w:tabs>
          <w:tab w:leader="none" w:pos="260" w:val="left"/>
        </w:tabs>
        <w:numPr>
          <w:ilvl w:val="0"/>
          <w:numId w:val="16"/>
        </w:numPr>
        <w:rPr>
          <w:rFonts w:ascii="Arial" w:cs="Arial" w:eastAsia="Arial" w:hAnsi="Arial"/>
          <w:sz w:val="19"/>
          <w:szCs w:val="19"/>
          <w:color w:val="0070C0"/>
        </w:rPr>
      </w:pPr>
      <w:r>
        <w:rPr>
          <w:rFonts w:ascii="Arial" w:cs="Arial" w:eastAsia="Arial" w:hAnsi="Arial"/>
          <w:sz w:val="19"/>
          <w:szCs w:val="19"/>
          <w:color w:val="auto"/>
        </w:rPr>
        <w:t>First quarter 2026 net cash flow from operations was approximately $646 million. Capital expenditures were approximately</w:t>
      </w:r>
    </w:p>
    <w:p>
      <w:pPr>
        <w:spacing w:after="0" w:line="19" w:lineRule="exact"/>
        <w:rPr>
          <w:sz w:val="20"/>
          <w:szCs w:val="20"/>
          <w:color w:val="auto"/>
        </w:rPr>
      </w:pPr>
    </w:p>
    <w:p>
      <w:pPr>
        <w:ind w:left="320"/>
        <w:spacing w:after="0" w:line="241" w:lineRule="auto"/>
        <w:rPr>
          <w:sz w:val="20"/>
          <w:szCs w:val="20"/>
          <w:color w:val="auto"/>
        </w:rPr>
      </w:pPr>
      <w:r>
        <w:rPr>
          <w:rFonts w:ascii="Arial" w:cs="Arial" w:eastAsia="Arial" w:hAnsi="Arial"/>
          <w:sz w:val="19"/>
          <w:szCs w:val="19"/>
          <w:color w:val="auto"/>
        </w:rPr>
        <w:t>$51 million, and free cash flow, a Non-GAAP financial measure defined as net cash flow from operations less capital expenditures, was approximately $594 million.</w:t>
      </w:r>
    </w:p>
    <w:p>
      <w:pPr>
        <w:spacing w:after="0" w:line="203" w:lineRule="exact"/>
        <w:rPr>
          <w:sz w:val="20"/>
          <w:szCs w:val="20"/>
          <w:color w:val="auto"/>
        </w:rPr>
      </w:pPr>
    </w:p>
    <w:p>
      <w:pPr>
        <w:ind w:left="320" w:right="200" w:hanging="317"/>
        <w:spacing w:after="0" w:line="261" w:lineRule="auto"/>
        <w:tabs>
          <w:tab w:leader="none" w:pos="270" w:val="left"/>
        </w:tabs>
        <w:numPr>
          <w:ilvl w:val="0"/>
          <w:numId w:val="17"/>
        </w:numPr>
        <w:rPr>
          <w:rFonts w:ascii="Arial" w:cs="Arial" w:eastAsia="Arial" w:hAnsi="Arial"/>
          <w:sz w:val="19"/>
          <w:szCs w:val="19"/>
          <w:color w:val="0070C0"/>
        </w:rPr>
      </w:pPr>
      <w:r>
        <w:rPr>
          <w:rFonts w:ascii="Arial" w:cs="Arial" w:eastAsia="Arial" w:hAnsi="Arial"/>
          <w:sz w:val="19"/>
          <w:szCs w:val="19"/>
          <w:color w:val="auto"/>
        </w:rPr>
        <w:t>As of March 31, 2026, Biogen had cash and cash equivalents totaling approximately $4.7 billion and approximately $6.3 billion in total debt, resulting in net debt of approximately $1.5 billion.</w:t>
      </w:r>
    </w:p>
    <w:p>
      <w:pPr>
        <w:spacing w:after="0" w:line="184" w:lineRule="exact"/>
        <w:rPr>
          <w:rFonts w:ascii="Arial" w:cs="Arial" w:eastAsia="Arial" w:hAnsi="Arial"/>
          <w:sz w:val="19"/>
          <w:szCs w:val="19"/>
          <w:color w:val="0070C0"/>
        </w:rPr>
      </w:pPr>
    </w:p>
    <w:p>
      <w:pPr>
        <w:ind w:left="260" w:hanging="257"/>
        <w:spacing w:after="0"/>
        <w:tabs>
          <w:tab w:leader="none" w:pos="260" w:val="left"/>
        </w:tabs>
        <w:numPr>
          <w:ilvl w:val="0"/>
          <w:numId w:val="17"/>
        </w:numPr>
        <w:rPr>
          <w:rFonts w:ascii="Arial" w:cs="Arial" w:eastAsia="Arial" w:hAnsi="Arial"/>
          <w:sz w:val="19"/>
          <w:szCs w:val="19"/>
          <w:color w:val="0070C0"/>
        </w:rPr>
      </w:pPr>
      <w:r>
        <w:rPr>
          <w:rFonts w:ascii="Arial" w:cs="Arial" w:eastAsia="Arial" w:hAnsi="Arial"/>
          <w:sz w:val="19"/>
          <w:szCs w:val="19"/>
          <w:color w:val="auto"/>
        </w:rPr>
        <w:t>For the first quarter of 2026 the Company’s weighted average diluted shares were approximately 148 million.</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Full Year 2026 Financial Guidance</w:t>
      </w:r>
    </w:p>
    <w:p>
      <w:pPr>
        <w:spacing w:after="0" w:line="221" w:lineRule="exact"/>
        <w:rPr>
          <w:sz w:val="20"/>
          <w:szCs w:val="20"/>
          <w:color w:val="auto"/>
        </w:rPr>
      </w:pPr>
    </w:p>
    <w:p>
      <w:pPr>
        <w:ind w:right="260"/>
        <w:spacing w:after="0" w:line="248" w:lineRule="auto"/>
        <w:rPr>
          <w:sz w:val="20"/>
          <w:szCs w:val="20"/>
          <w:color w:val="auto"/>
        </w:rPr>
      </w:pPr>
      <w:r>
        <w:rPr>
          <w:rFonts w:ascii="Arial" w:cs="Arial" w:eastAsia="Arial" w:hAnsi="Arial"/>
          <w:sz w:val="19"/>
          <w:szCs w:val="19"/>
          <w:color w:val="auto"/>
        </w:rPr>
        <w:t>Biogen is updating its guidance for full year 2026 to reflect an approximately $1.00 impact from acquired IPR&amp;D charges resulting from ongoing business development activities to support Biogen's growth strategy. This comprises approximately $0.20 recorded in the first quarter and approximately $0.80 expected in the second quarter. This updated guidance excludes the anticipated Apellis transaction. Full year 2026 Non-GAAP diluted EPS range is expected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20" w:type="dxa"/>
            <w:vAlign w:val="bottom"/>
          </w:tcPr>
          <w:p>
            <w:pPr>
              <w:jc w:val="center"/>
              <w:spacing w:after="0"/>
              <w:rPr>
                <w:sz w:val="20"/>
                <w:szCs w:val="20"/>
                <w:color w:val="auto"/>
              </w:rPr>
            </w:pPr>
            <w:r>
              <w:rPr>
                <w:rFonts w:ascii="Arial" w:cs="Arial" w:eastAsia="Arial" w:hAnsi="Arial"/>
                <w:sz w:val="19"/>
                <w:szCs w:val="19"/>
                <w:b w:val="1"/>
                <w:bCs w:val="1"/>
                <w:color w:val="auto"/>
                <w:w w:val="99"/>
              </w:rPr>
              <w:t>Full Year 2026 Non-GAAP Diluted EPS</w:t>
            </w:r>
          </w:p>
        </w:tc>
        <w:tc>
          <w:tcPr>
            <w:tcW w:w="0" w:type="dxa"/>
            <w:vAlign w:val="bottom"/>
          </w:tcPr>
          <w:p>
            <w:pPr>
              <w:spacing w:after="0"/>
              <w:rPr>
                <w:sz w:val="1"/>
                <w:szCs w:val="1"/>
                <w:color w:val="auto"/>
              </w:rPr>
            </w:pPr>
          </w:p>
        </w:tc>
      </w:tr>
      <w:tr>
        <w:trPr>
          <w:trHeight w:val="262"/>
        </w:trPr>
        <w:tc>
          <w:tcPr>
            <w:tcW w:w="4900" w:type="dxa"/>
            <w:vAlign w:val="bottom"/>
          </w:tcPr>
          <w:p>
            <w:pPr>
              <w:jc w:val="center"/>
              <w:spacing w:after="0"/>
              <w:rPr>
                <w:sz w:val="20"/>
                <w:szCs w:val="20"/>
                <w:color w:val="auto"/>
              </w:rPr>
            </w:pPr>
            <w:r>
              <w:rPr>
                <w:rFonts w:ascii="Arial" w:cs="Arial" w:eastAsia="Arial" w:hAnsi="Arial"/>
                <w:sz w:val="19"/>
                <w:szCs w:val="19"/>
                <w:color w:val="auto"/>
                <w:w w:val="99"/>
              </w:rPr>
              <w:t>Prior Guidance (February 2026)</w:t>
            </w:r>
          </w:p>
        </w:tc>
        <w:tc>
          <w:tcPr>
            <w:tcW w:w="220" w:type="dxa"/>
            <w:vAlign w:val="bottom"/>
          </w:tcPr>
          <w:p>
            <w:pPr>
              <w:spacing w:after="0"/>
              <w:rPr>
                <w:sz w:val="22"/>
                <w:szCs w:val="22"/>
                <w:color w:val="auto"/>
              </w:rPr>
            </w:pPr>
          </w:p>
        </w:tc>
        <w:tc>
          <w:tcPr>
            <w:tcW w:w="5820" w:type="dxa"/>
            <w:vAlign w:val="bottom"/>
          </w:tcPr>
          <w:p>
            <w:pPr>
              <w:jc w:val="center"/>
              <w:spacing w:after="0"/>
              <w:rPr>
                <w:sz w:val="20"/>
                <w:szCs w:val="20"/>
                <w:color w:val="auto"/>
              </w:rPr>
            </w:pPr>
            <w:r>
              <w:rPr>
                <w:rFonts w:ascii="Arial" w:cs="Arial" w:eastAsia="Arial" w:hAnsi="Arial"/>
                <w:sz w:val="19"/>
                <w:szCs w:val="19"/>
                <w:color w:val="auto"/>
                <w:w w:val="99"/>
              </w:rPr>
              <w:t>$15.25 to $16.25</w:t>
            </w:r>
          </w:p>
        </w:tc>
        <w:tc>
          <w:tcPr>
            <w:tcW w:w="0" w:type="dxa"/>
            <w:vAlign w:val="bottom"/>
          </w:tcPr>
          <w:p>
            <w:pPr>
              <w:spacing w:after="0"/>
              <w:rPr>
                <w:sz w:val="1"/>
                <w:szCs w:val="1"/>
                <w:color w:val="auto"/>
              </w:rPr>
            </w:pPr>
          </w:p>
        </w:tc>
      </w:tr>
      <w:tr>
        <w:trPr>
          <w:trHeight w:val="229"/>
        </w:trPr>
        <w:tc>
          <w:tcPr>
            <w:tcW w:w="4900" w:type="dxa"/>
            <w:vAlign w:val="bottom"/>
          </w:tcPr>
          <w:p>
            <w:pPr>
              <w:jc w:val="center"/>
              <w:spacing w:after="0"/>
              <w:rPr>
                <w:sz w:val="20"/>
                <w:szCs w:val="20"/>
                <w:color w:val="auto"/>
              </w:rPr>
            </w:pPr>
            <w:r>
              <w:rPr>
                <w:rFonts w:ascii="Arial" w:cs="Arial" w:eastAsia="Arial" w:hAnsi="Arial"/>
                <w:sz w:val="19"/>
                <w:szCs w:val="19"/>
                <w:color w:val="auto"/>
                <w:w w:val="99"/>
              </w:rPr>
              <w:t>Approx. impact from acquired IPR&amp;D charges recorded in</w:t>
            </w:r>
          </w:p>
        </w:tc>
        <w:tc>
          <w:tcPr>
            <w:tcW w:w="6040" w:type="dxa"/>
            <w:vAlign w:val="bottom"/>
            <w:gridSpan w:val="2"/>
            <w:vMerge w:val="restart"/>
          </w:tcPr>
          <w:p>
            <w:pPr>
              <w:jc w:val="center"/>
              <w:ind w:left="125"/>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16"/>
        </w:trPr>
        <w:tc>
          <w:tcPr>
            <w:tcW w:w="4900" w:type="dxa"/>
            <w:vAlign w:val="bottom"/>
          </w:tcPr>
          <w:p>
            <w:pPr>
              <w:jc w:val="center"/>
              <w:spacing w:after="0" w:line="216" w:lineRule="exact"/>
              <w:rPr>
                <w:sz w:val="20"/>
                <w:szCs w:val="20"/>
                <w:color w:val="auto"/>
              </w:rPr>
            </w:pPr>
            <w:r>
              <w:rPr>
                <w:rFonts w:ascii="Arial" w:cs="Arial" w:eastAsia="Arial" w:hAnsi="Arial"/>
                <w:sz w:val="19"/>
                <w:szCs w:val="19"/>
                <w:color w:val="auto"/>
                <w:w w:val="99"/>
              </w:rPr>
              <w:t>Q1 and expected in Q2 2026*</w:t>
            </w:r>
          </w:p>
        </w:tc>
        <w:tc>
          <w:tcPr>
            <w:tcW w:w="6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tcPr>
          <w:p>
            <w:pPr>
              <w:jc w:val="center"/>
              <w:spacing w:after="0"/>
              <w:rPr>
                <w:sz w:val="20"/>
                <w:szCs w:val="20"/>
                <w:color w:val="auto"/>
              </w:rPr>
            </w:pPr>
            <w:r>
              <w:rPr>
                <w:rFonts w:ascii="Arial" w:cs="Arial" w:eastAsia="Arial" w:hAnsi="Arial"/>
                <w:sz w:val="16"/>
                <w:szCs w:val="16"/>
                <w:color w:val="auto"/>
                <w:w w:val="97"/>
              </w:rPr>
              <w:t>(Excluding the Apellis transaction)</w:t>
            </w:r>
          </w:p>
        </w:tc>
        <w:tc>
          <w:tcPr>
            <w:tcW w:w="2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4900" w:type="dxa"/>
            <w:vAlign w:val="bottom"/>
            <w:shd w:val="clear" w:color="auto" w:fill="DBDBDB"/>
          </w:tcPr>
          <w:p>
            <w:pPr>
              <w:jc w:val="center"/>
              <w:spacing w:after="0"/>
              <w:rPr>
                <w:sz w:val="20"/>
                <w:szCs w:val="20"/>
                <w:color w:val="auto"/>
              </w:rPr>
            </w:pPr>
            <w:r>
              <w:rPr>
                <w:rFonts w:ascii="Arial" w:cs="Arial" w:eastAsia="Arial" w:hAnsi="Arial"/>
                <w:sz w:val="19"/>
                <w:szCs w:val="19"/>
                <w:b w:val="1"/>
                <w:bCs w:val="1"/>
                <w:color w:val="026DCE"/>
                <w:w w:val="98"/>
              </w:rPr>
              <w:t>Updated Guidance</w:t>
            </w:r>
          </w:p>
        </w:tc>
        <w:tc>
          <w:tcPr>
            <w:tcW w:w="220" w:type="dxa"/>
            <w:vAlign w:val="bottom"/>
          </w:tcPr>
          <w:p>
            <w:pPr>
              <w:spacing w:after="0"/>
              <w:rPr>
                <w:sz w:val="24"/>
                <w:szCs w:val="24"/>
                <w:color w:val="auto"/>
              </w:rPr>
            </w:pPr>
          </w:p>
        </w:tc>
        <w:tc>
          <w:tcPr>
            <w:tcW w:w="5820" w:type="dxa"/>
            <w:vAlign w:val="bottom"/>
            <w:shd w:val="clear" w:color="auto" w:fill="DBDBDB"/>
          </w:tcPr>
          <w:p>
            <w:pPr>
              <w:jc w:val="center"/>
              <w:spacing w:after="0"/>
              <w:rPr>
                <w:sz w:val="20"/>
                <w:szCs w:val="20"/>
                <w:color w:val="auto"/>
              </w:rPr>
            </w:pPr>
            <w:r>
              <w:rPr>
                <w:rFonts w:ascii="Arial" w:cs="Arial" w:eastAsia="Arial" w:hAnsi="Arial"/>
                <w:sz w:val="19"/>
                <w:szCs w:val="19"/>
                <w:b w:val="1"/>
                <w:bCs w:val="1"/>
                <w:color w:val="026DCE"/>
              </w:rPr>
              <w:t>$14.25 to $15.25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-172085</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-172085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-172085</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-172085</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-172085</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-172085</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-172085</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-172085</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-172085</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-172085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-172085</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-172085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-172085</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-172085</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-172085</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-172085</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3517900</wp:posOffset>
            </wp:positionH>
            <wp:positionV relativeFrom="paragraph">
              <wp:posOffset>-172085</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-172085</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-172085</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-172085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-172085</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-172085</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-172085</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-172085</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-172085</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-172085</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-172085</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-172085</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-172085</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-172085</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-172085</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-172085</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-172085</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-172085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-172085</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-172085</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-172085</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-172085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-172085</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-172085</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-172085</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-172085</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-172085</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-172085</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-172085</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-172085</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4010660</wp:posOffset>
            </wp:positionH>
            <wp:positionV relativeFrom="paragraph">
              <wp:posOffset>-172085</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-172085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-172085</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-172085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-172085</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-172085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-172085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4125595</wp:posOffset>
            </wp:positionH>
            <wp:positionV relativeFrom="paragraph">
              <wp:posOffset>-172085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-172085</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-172085</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-172085</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-172085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-172085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-172085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-172085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-172085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-172085</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-172085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-172085</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-172085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4338955</wp:posOffset>
            </wp:positionH>
            <wp:positionV relativeFrom="paragraph">
              <wp:posOffset>-172085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4355465</wp:posOffset>
            </wp:positionH>
            <wp:positionV relativeFrom="paragraph">
              <wp:posOffset>-172085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-172085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-172085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-172085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-172085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-172085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-172085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-172085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-172085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-172085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4519930</wp:posOffset>
            </wp:positionH>
            <wp:positionV relativeFrom="paragraph">
              <wp:posOffset>-172085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-172085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-172085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4569460</wp:posOffset>
            </wp:positionH>
            <wp:positionV relativeFrom="paragraph">
              <wp:posOffset>-172085</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-172085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-172085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4618355</wp:posOffset>
            </wp:positionH>
            <wp:positionV relativeFrom="paragraph">
              <wp:posOffset>-172085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-172085</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-172085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-172085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-172085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4700905</wp:posOffset>
            </wp:positionH>
            <wp:positionV relativeFrom="paragraph">
              <wp:posOffset>-172085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-172085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-172085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-172085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-172085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-172085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4799330</wp:posOffset>
            </wp:positionH>
            <wp:positionV relativeFrom="paragraph">
              <wp:posOffset>-172085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-172085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-172085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-172085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-172085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-172085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-172085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-172085</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-172085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-172085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-172085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-172085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-172085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5012690</wp:posOffset>
            </wp:positionH>
            <wp:positionV relativeFrom="paragraph">
              <wp:posOffset>-172085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-172085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-172085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-172085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-172085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-172085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5111115</wp:posOffset>
            </wp:positionH>
            <wp:positionV relativeFrom="paragraph">
              <wp:posOffset>-172085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5127625</wp:posOffset>
            </wp:positionH>
            <wp:positionV relativeFrom="paragraph">
              <wp:posOffset>-172085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-172085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-172085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-172085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-172085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-172085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-172085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-172085</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-172085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-172085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-172085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-172085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5325110</wp:posOffset>
            </wp:positionH>
            <wp:positionV relativeFrom="paragraph">
              <wp:posOffset>-172085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-172085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5357495</wp:posOffset>
            </wp:positionH>
            <wp:positionV relativeFrom="paragraph">
              <wp:posOffset>-172085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-172085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-172085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-172085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-172085</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-172085</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-172085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-172085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-172085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-172085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-172085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5538470</wp:posOffset>
            </wp:positionH>
            <wp:positionV relativeFrom="paragraph">
              <wp:posOffset>-172085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-172085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-172085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-172085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-172085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-172085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-172085</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5653405</wp:posOffset>
            </wp:positionH>
            <wp:positionV relativeFrom="paragraph">
              <wp:posOffset>-172085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-172085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-172085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-172085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-172085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-172085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-172085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-172085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-172085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-172085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-172085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-172085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5850890</wp:posOffset>
            </wp:positionH>
            <wp:positionV relativeFrom="paragraph">
              <wp:posOffset>-172085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5866765</wp:posOffset>
            </wp:positionH>
            <wp:positionV relativeFrom="paragraph">
              <wp:posOffset>-172085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-172085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-172085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-172085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-172085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-172085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-172085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-172085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-172085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-172085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-172085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6047740</wp:posOffset>
            </wp:positionH>
            <wp:positionV relativeFrom="paragraph">
              <wp:posOffset>-172085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-172085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-172085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6097270</wp:posOffset>
            </wp:positionH>
            <wp:positionV relativeFrom="paragraph">
              <wp:posOffset>-172085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6113780</wp:posOffset>
            </wp:positionH>
            <wp:positionV relativeFrom="paragraph">
              <wp:posOffset>-172085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-172085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-172085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-172085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6179185</wp:posOffset>
            </wp:positionH>
            <wp:positionV relativeFrom="paragraph">
              <wp:posOffset>-172085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-172085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-172085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-172085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6245225</wp:posOffset>
            </wp:positionH>
            <wp:positionV relativeFrom="paragraph">
              <wp:posOffset>-172085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-172085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-172085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6294120</wp:posOffset>
            </wp:positionH>
            <wp:positionV relativeFrom="paragraph">
              <wp:posOffset>-172085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6310630</wp:posOffset>
            </wp:positionH>
            <wp:positionV relativeFrom="paragraph">
              <wp:posOffset>-172085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6327140</wp:posOffset>
            </wp:positionH>
            <wp:positionV relativeFrom="paragraph">
              <wp:posOffset>-172085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-172085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6360160</wp:posOffset>
            </wp:positionH>
            <wp:positionV relativeFrom="paragraph">
              <wp:posOffset>-172085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-172085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-172085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-172085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-172085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-172085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6458585</wp:posOffset>
            </wp:positionH>
            <wp:positionV relativeFrom="paragraph">
              <wp:posOffset>-172085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-172085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6491605</wp:posOffset>
            </wp:positionH>
            <wp:positionV relativeFrom="paragraph">
              <wp:posOffset>-172085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6507480</wp:posOffset>
            </wp:positionH>
            <wp:positionV relativeFrom="paragraph">
              <wp:posOffset>-172085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6523990</wp:posOffset>
            </wp:positionH>
            <wp:positionV relativeFrom="paragraph">
              <wp:posOffset>-172085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-172085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-172085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6573520</wp:posOffset>
            </wp:positionH>
            <wp:positionV relativeFrom="paragraph">
              <wp:posOffset>-172085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6590030</wp:posOffset>
            </wp:positionH>
            <wp:positionV relativeFrom="paragraph">
              <wp:posOffset>-172085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-172085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-172085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-172085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6655435</wp:posOffset>
            </wp:positionH>
            <wp:positionV relativeFrom="paragraph">
              <wp:posOffset>-172085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-172085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6688455</wp:posOffset>
            </wp:positionH>
            <wp:positionV relativeFrom="paragraph">
              <wp:posOffset>-172085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6704965</wp:posOffset>
            </wp:positionH>
            <wp:positionV relativeFrom="paragraph">
              <wp:posOffset>-172085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6721475</wp:posOffset>
            </wp:positionH>
            <wp:positionV relativeFrom="paragraph">
              <wp:posOffset>-172085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6737985</wp:posOffset>
            </wp:positionH>
            <wp:positionV relativeFrom="paragraph">
              <wp:posOffset>-172085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-172085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6770370</wp:posOffset>
            </wp:positionH>
            <wp:positionV relativeFrom="paragraph">
              <wp:posOffset>-172085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6786880</wp:posOffset>
            </wp:positionH>
            <wp:positionV relativeFrom="paragraph">
              <wp:posOffset>-172085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-172085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-172085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6836410</wp:posOffset>
            </wp:positionH>
            <wp:positionV relativeFrom="paragraph">
              <wp:posOffset>-172085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6852920</wp:posOffset>
            </wp:positionH>
            <wp:positionV relativeFrom="paragraph">
              <wp:posOffset>-172085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6869430</wp:posOffset>
            </wp:positionH>
            <wp:positionV relativeFrom="paragraph">
              <wp:posOffset>-172085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6885940</wp:posOffset>
            </wp:positionH>
            <wp:positionV relativeFrom="paragraph">
              <wp:posOffset>-172085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6901815</wp:posOffset>
            </wp:positionH>
            <wp:positionV relativeFrom="paragraph">
              <wp:posOffset>-172085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6918325</wp:posOffset>
            </wp:positionH>
            <wp:positionV relativeFrom="paragraph">
              <wp:posOffset>-172085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-172085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-172085</wp:posOffset>
            </wp:positionV>
            <wp:extent cx="31051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05150"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-590550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-590550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-590550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-590550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-590550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-590550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-590550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-590550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-590550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-590550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-590550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-590550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-590550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-590550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-590550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-590550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3517900</wp:posOffset>
            </wp:positionH>
            <wp:positionV relativeFrom="paragraph">
              <wp:posOffset>-590550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-590550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-590550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-590550</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-590550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-590550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-590550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-590550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-590550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-590550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-590550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-590550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-590550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-590550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-590550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-590550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-590550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-590550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-590550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-590550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-590550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-590550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-590550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-590550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-590550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-590550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-590550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-590550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-590550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-590550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4010660</wp:posOffset>
            </wp:positionH>
            <wp:positionV relativeFrom="paragraph">
              <wp:posOffset>-590550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-590550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-590550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-590550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-590550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-590550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-590550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4125595</wp:posOffset>
            </wp:positionH>
            <wp:positionV relativeFrom="paragraph">
              <wp:posOffset>-590550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-590550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-590550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-590550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-590550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-590550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-590550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-590550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-590550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-590550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-590550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-590550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-590550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4338955</wp:posOffset>
            </wp:positionH>
            <wp:positionV relativeFrom="paragraph">
              <wp:posOffset>-590550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4355465</wp:posOffset>
            </wp:positionH>
            <wp:positionV relativeFrom="paragraph">
              <wp:posOffset>-590550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-590550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-590550</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-590550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-590550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-590550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-590550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-590550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-590550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-590550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4519930</wp:posOffset>
            </wp:positionH>
            <wp:positionV relativeFrom="paragraph">
              <wp:posOffset>-590550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-590550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-590550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4569460</wp:posOffset>
            </wp:positionH>
            <wp:positionV relativeFrom="paragraph">
              <wp:posOffset>-590550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-590550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-590550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4618355</wp:posOffset>
            </wp:positionH>
            <wp:positionV relativeFrom="paragraph">
              <wp:posOffset>-590550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-590550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-590550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-590550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-590550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4700905</wp:posOffset>
            </wp:positionH>
            <wp:positionV relativeFrom="paragraph">
              <wp:posOffset>-590550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-590550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-590550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-590550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-590550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-590550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4799330</wp:posOffset>
            </wp:positionH>
            <wp:positionV relativeFrom="paragraph">
              <wp:posOffset>-590550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-590550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-590550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-590550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-590550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-590550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-590550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-590550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-590550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-590550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-590550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-590550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-590550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5012690</wp:posOffset>
            </wp:positionH>
            <wp:positionV relativeFrom="paragraph">
              <wp:posOffset>-590550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-590550</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-590550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-590550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-590550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-590550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5111115</wp:posOffset>
            </wp:positionH>
            <wp:positionV relativeFrom="paragraph">
              <wp:posOffset>-590550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5127625</wp:posOffset>
            </wp:positionH>
            <wp:positionV relativeFrom="paragraph">
              <wp:posOffset>-590550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-590550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-590550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-590550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-590550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-590550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-590550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-590550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-590550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-590550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-590550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-590550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5325110</wp:posOffset>
            </wp:positionH>
            <wp:positionV relativeFrom="paragraph">
              <wp:posOffset>-590550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-590550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5357495</wp:posOffset>
            </wp:positionH>
            <wp:positionV relativeFrom="paragraph">
              <wp:posOffset>-590550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-590550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-590550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-590550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-590550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-590550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-590550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-590550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-590550</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-590550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-590550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5538470</wp:posOffset>
            </wp:positionH>
            <wp:positionV relativeFrom="paragraph">
              <wp:posOffset>-590550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-590550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-590550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-590550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-590550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-590550</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-590550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5653405</wp:posOffset>
            </wp:positionH>
            <wp:positionV relativeFrom="paragraph">
              <wp:posOffset>-590550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-590550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-590550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-590550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-590550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-590550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-590550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-590550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-590550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-590550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-590550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-590550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5850890</wp:posOffset>
            </wp:positionH>
            <wp:positionV relativeFrom="paragraph">
              <wp:posOffset>-590550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5866765</wp:posOffset>
            </wp:positionH>
            <wp:positionV relativeFrom="paragraph">
              <wp:posOffset>-590550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-590550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-590550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-590550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-590550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-590550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-590550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-590550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-590550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-590550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-590550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6047740</wp:posOffset>
            </wp:positionH>
            <wp:positionV relativeFrom="paragraph">
              <wp:posOffset>-590550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-590550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-590550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6097270</wp:posOffset>
            </wp:positionH>
            <wp:positionV relativeFrom="paragraph">
              <wp:posOffset>-590550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6113780</wp:posOffset>
            </wp:positionH>
            <wp:positionV relativeFrom="paragraph">
              <wp:posOffset>-590550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-590550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-590550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-590550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6179185</wp:posOffset>
            </wp:positionH>
            <wp:positionV relativeFrom="paragraph">
              <wp:posOffset>-590550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-590550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-590550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-590550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6245225</wp:posOffset>
            </wp:positionH>
            <wp:positionV relativeFrom="paragraph">
              <wp:posOffset>-590550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-590550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-590550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6294120</wp:posOffset>
            </wp:positionH>
            <wp:positionV relativeFrom="paragraph">
              <wp:posOffset>-590550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6310630</wp:posOffset>
            </wp:positionH>
            <wp:positionV relativeFrom="paragraph">
              <wp:posOffset>-590550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6327140</wp:posOffset>
            </wp:positionH>
            <wp:positionV relativeFrom="paragraph">
              <wp:posOffset>-590550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-590550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6360160</wp:posOffset>
            </wp:positionH>
            <wp:positionV relativeFrom="paragraph">
              <wp:posOffset>-590550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-590550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-590550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-590550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-590550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-590550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6458585</wp:posOffset>
            </wp:positionH>
            <wp:positionV relativeFrom="paragraph">
              <wp:posOffset>-590550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-590550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6491605</wp:posOffset>
            </wp:positionH>
            <wp:positionV relativeFrom="paragraph">
              <wp:posOffset>-590550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6507480</wp:posOffset>
            </wp:positionH>
            <wp:positionV relativeFrom="paragraph">
              <wp:posOffset>-590550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6523990</wp:posOffset>
            </wp:positionH>
            <wp:positionV relativeFrom="paragraph">
              <wp:posOffset>-590550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-590550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-590550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6573520</wp:posOffset>
            </wp:positionH>
            <wp:positionV relativeFrom="paragraph">
              <wp:posOffset>-590550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6590030</wp:posOffset>
            </wp:positionH>
            <wp:positionV relativeFrom="paragraph">
              <wp:posOffset>-590550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-590550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-590550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-590550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6655435</wp:posOffset>
            </wp:positionH>
            <wp:positionV relativeFrom="paragraph">
              <wp:posOffset>-590550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-590550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6688455</wp:posOffset>
            </wp:positionH>
            <wp:positionV relativeFrom="paragraph">
              <wp:posOffset>-590550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6704965</wp:posOffset>
            </wp:positionH>
            <wp:positionV relativeFrom="paragraph">
              <wp:posOffset>-590550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6721475</wp:posOffset>
            </wp:positionH>
            <wp:positionV relativeFrom="paragraph">
              <wp:posOffset>-590550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6737985</wp:posOffset>
            </wp:positionH>
            <wp:positionV relativeFrom="paragraph">
              <wp:posOffset>-590550</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-590550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6770370</wp:posOffset>
            </wp:positionH>
            <wp:positionV relativeFrom="paragraph">
              <wp:posOffset>-590550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6786880</wp:posOffset>
            </wp:positionH>
            <wp:positionV relativeFrom="paragraph">
              <wp:posOffset>-590550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-590550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-590550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6836410</wp:posOffset>
            </wp:positionH>
            <wp:positionV relativeFrom="paragraph">
              <wp:posOffset>-590550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6852920</wp:posOffset>
            </wp:positionH>
            <wp:positionV relativeFrom="paragraph">
              <wp:posOffset>-590550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6869430</wp:posOffset>
            </wp:positionH>
            <wp:positionV relativeFrom="paragraph">
              <wp:posOffset>-590550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6885940</wp:posOffset>
            </wp:positionH>
            <wp:positionV relativeFrom="paragraph">
              <wp:posOffset>-590550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6901815</wp:posOffset>
            </wp:positionH>
            <wp:positionV relativeFrom="paragraph">
              <wp:posOffset>-590550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6918325</wp:posOffset>
            </wp:positionH>
            <wp:positionV relativeFrom="paragraph">
              <wp:posOffset>-590550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-590550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-590550</wp:posOffset>
            </wp:positionV>
            <wp:extent cx="310515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10515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-775970</wp:posOffset>
            </wp:positionV>
            <wp:extent cx="6966585" cy="336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66585" cy="33655"/>
                    </a:xfrm>
                    <a:prstGeom prst="rect">
                      <a:avLst/>
                    </a:prstGeom>
                    <a:noFill/>
                  </pic:spPr>
                </pic:pic>
              </a:graphicData>
            </a:graphic>
          </wp:anchor>
        </w:drawing>
      </w:r>
    </w:p>
    <w:p>
      <w:pPr>
        <w:spacing w:after="0" w:line="19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*Includes an expected approximately $0.55 Non-GAAP diluted EPS impact from the deal with TJ Biopharma for felzartamab Greater China region rights and an additional $0.25 Non-GAAP diluted EPS impact from a milestone expected to occur in the second quarter of 2026.</w:t>
      </w:r>
    </w:p>
    <w:p>
      <w:pPr>
        <w:spacing w:after="0" w:line="181" w:lineRule="exact"/>
        <w:rPr>
          <w:sz w:val="20"/>
          <w:szCs w:val="20"/>
          <w:color w:val="auto"/>
        </w:rPr>
      </w:pPr>
    </w:p>
    <w:p>
      <w:pPr>
        <w:ind w:right="320"/>
        <w:spacing w:after="0" w:line="304" w:lineRule="auto"/>
        <w:rPr>
          <w:sz w:val="20"/>
          <w:szCs w:val="20"/>
          <w:color w:val="auto"/>
        </w:rPr>
      </w:pPr>
      <w:r>
        <w:rPr>
          <w:rFonts w:ascii="Arial" w:cs="Arial" w:eastAsia="Arial" w:hAnsi="Arial"/>
          <w:sz w:val="18"/>
          <w:szCs w:val="18"/>
          <w:color w:val="auto"/>
        </w:rPr>
        <w:t>Total revenue is expected to decline by a mid-single digit percentage for 2026 as compared to 2025 as further declines in multiple sclerosis product revenue, excluding VUMERITY, are expected to be partially offset by increases in revenue from growth products.</w:t>
      </w:r>
    </w:p>
    <w:p>
      <w:pPr>
        <w:spacing w:after="0" w:line="161" w:lineRule="exact"/>
        <w:rPr>
          <w:sz w:val="20"/>
          <w:szCs w:val="20"/>
          <w:color w:val="auto"/>
        </w:rPr>
      </w:pPr>
    </w:p>
    <w:p>
      <w:pPr>
        <w:ind w:right="140"/>
        <w:spacing w:after="0" w:line="265" w:lineRule="auto"/>
        <w:rPr>
          <w:sz w:val="20"/>
          <w:szCs w:val="20"/>
          <w:color w:val="auto"/>
        </w:rPr>
      </w:pPr>
      <w:r>
        <w:rPr>
          <w:rFonts w:ascii="Arial" w:cs="Arial" w:eastAsia="Arial" w:hAnsi="Arial"/>
          <w:sz w:val="19"/>
          <w:szCs w:val="19"/>
          <w:color w:val="auto"/>
        </w:rPr>
        <w:t>For full year 2026 as compared to full year 2025, Biogen expects the gross margin percentage, and combined Non-GAAP R&amp;D expense and Non-GAAP SG&amp;A expense to be roughly consistent year-over-year. Biogen expects full year 2026 Non-GAAP effective tax rate to be between approximately 17% and 18%.</w:t>
      </w:r>
    </w:p>
    <w:p>
      <w:pPr>
        <w:spacing w:after="0" w:line="195"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This guidance also assumes that foreign exchange rates as of April 24, 2026, will remain in effect for the remainder of the year, net of hedging activities.</w:t>
      </w:r>
    </w:p>
    <w:p>
      <w:pPr>
        <w:spacing w:after="0" w:line="185"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Other than the acquired IPR&amp;D impact expressly stated above, this financial guidance does not include any other potential future acquired IPR&amp;D charges, impact from potential acquisitions or business development transactions or pending and future litigation or any impact of potential healthcare reform, as all are difficult to predict. Other important financial considerations will be provided on the conference call and webcast.</w:t>
      </w:r>
    </w:p>
    <w:p>
      <w:pPr>
        <w:spacing w:after="0" w:line="184"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Biogen may incur charges, realize gains or losses, or experience other events or circumstances in 2026 that could cause any of these assumptions and expectations to change and/or actual results to vary from this financial guidance.</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Biogen does not provide guidance for GAAP reported financial measures (other than revenue) or a</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4</w:t>
      </w:r>
    </w:p>
    <w:p>
      <w:pPr>
        <w:sectPr>
          <w:pgSz w:w="11900" w:h="16838" w:orient="portrait"/>
          <w:cols w:equalWidth="0" w:num="1">
            <w:col w:w="11240"/>
          </w:cols>
          <w:pgMar w:left="320" w:top="1114" w:right="339" w:bottom="1440" w:gutter="0" w:footer="0" w:header="0"/>
        </w:sectPr>
      </w:pPr>
    </w:p>
    <w:bookmarkStart w:id="7" w:name="page8"/>
    <w:bookmarkEnd w:id="7"/>
    <w:p>
      <w:pPr>
        <w:ind w:right="100"/>
        <w:spacing w:after="0" w:line="256" w:lineRule="auto"/>
        <w:rPr>
          <w:sz w:val="20"/>
          <w:szCs w:val="20"/>
          <w:color w:val="auto"/>
        </w:rPr>
      </w:pPr>
      <w:r>
        <w:rPr>
          <w:rFonts w:ascii="Arial" w:cs="Arial" w:eastAsia="Arial" w:hAnsi="Arial"/>
          <w:sz w:val="19"/>
          <w:szCs w:val="19"/>
          <w:color w:val="auto"/>
        </w:rPr>
        <w:t>reconciliation of forward-looking Non-GAAP financial measures to the most directly comparable GAAP reported financial measures because the Company is unable without unreasonable effort to predict with reasonable certainty the financial impact of items such as the transaction, integration, and certain other costs related to acquisitions or large business development transactions; unusual gains and losses; potential future asset impairments; gains and losses from equity security investments; and the ultimate outcome of pending or future litigation. These items are uncertain, depend on various factors, and could have a material impact on GAAP reported results for the guidance period. For the same reasons, the Company is unable to address the significance of the unavailable information, which could be material to future results.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 and Webcast</w:t>
      </w:r>
    </w:p>
    <w:p>
      <w:pPr>
        <w:spacing w:after="0" w:line="234"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The Company’s earnings conference call for the first quarter will be broadcast via the internet at 8:00 a.m. ET on April 29, 2026 and will be accessible through the Investors section of Biogen’s website, www.biogen.com. Supplemental information in the form of a slide presentation is also accessible at the same location on the internet and will be subsequently available on the website for at least 90 days.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Biogen</w:t>
      </w:r>
    </w:p>
    <w:p>
      <w:pPr>
        <w:spacing w:after="0" w:line="234" w:lineRule="exact"/>
        <w:rPr>
          <w:sz w:val="20"/>
          <w:szCs w:val="20"/>
          <w:color w:val="auto"/>
        </w:rPr>
      </w:pPr>
    </w:p>
    <w:p>
      <w:pPr>
        <w:ind w:right="120"/>
        <w:spacing w:after="0" w:line="244" w:lineRule="auto"/>
        <w:rPr>
          <w:sz w:val="20"/>
          <w:szCs w:val="20"/>
          <w:color w:val="auto"/>
        </w:rPr>
      </w:pPr>
      <w:r>
        <w:rPr>
          <w:rFonts w:ascii="Arial" w:cs="Arial" w:eastAsia="Arial" w:hAnsi="Arial"/>
          <w:sz w:val="19"/>
          <w:szCs w:val="19"/>
          <w:color w:val="auto"/>
        </w:rPr>
        <w:t>Founded in 1978, Biogen is a leading biotechnology company that pioneers innovative science to deliver new medicines to transform patient’s lives and to create value for shareholders and our communities.</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We apply deep understanding of human biology and leverage different modalities to advance first-in-class treatments or therapies that deliver superior outcomes. Our approach is to take bold risks, balanced with return on investment to deliver long-term growth.</w:t>
      </w:r>
    </w:p>
    <w:p>
      <w:pPr>
        <w:spacing w:after="0" w:line="203" w:lineRule="exact"/>
        <w:rPr>
          <w:sz w:val="20"/>
          <w:szCs w:val="20"/>
          <w:color w:val="auto"/>
        </w:rPr>
      </w:pPr>
    </w:p>
    <w:p>
      <w:pPr>
        <w:ind w:right="4380"/>
        <w:spacing w:after="0" w:line="289" w:lineRule="auto"/>
        <w:rPr>
          <w:sz w:val="20"/>
          <w:szCs w:val="20"/>
          <w:color w:val="auto"/>
        </w:rPr>
      </w:pPr>
      <w:r>
        <w:rPr>
          <w:rFonts w:ascii="Arial" w:cs="Arial" w:eastAsia="Arial" w:hAnsi="Arial"/>
          <w:sz w:val="18"/>
          <w:szCs w:val="18"/>
          <w:color w:val="auto"/>
        </w:rPr>
        <w:t>We routinely post information that may be important to investors on our website at www.biogen.com. Follow us on social media - Facebook, LinkedIn, X, YouTube.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Biogen Safe Harbor</w:t>
      </w:r>
    </w:p>
    <w:p>
      <w:pPr>
        <w:spacing w:after="0" w:line="247"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This press release contains forward-looking statements that are being made pursuant to the provisions of the Private Securities Litigation Reform Act of 1995 (the PSLRA) with the intention of obtaining the benefits of the “Safe Harbor” provisions of the PSLRA. This press release contains forward-looking statements, relating to: our strategy and plans; potential of, and expectations for, our commercial business and pipeline programs; capital allocation and investment strategy; clinical development programs, clinical trials, and data readouts and presentations; regulatory discussions, submissions, filings, and approvals; the potential benefits, safety, and efficacy of our and our collaboration partners’ products and investigational therapies; the anticipated benefits and potential of investments or acquisitions; optimization of our cost structure including our "Fit for Growth" program; the goal of creating long-term sustainable growth; the impact from potential tariffs; productivity of our R&amp;D pipeline, collaborations, and business development activities; our future financial and operating results; the expected timetable for completing the proposed acquisition of Apellis, benefits of the proposed acquisition of Apellis, financing of the proposed acquisition of Apellis, costs and other anticipated financial impacts of the proposed acquisition of Apellis including Biogen non-GAAP diluted EPS and non-GAAP diluted EPS growth, and the expected revenue growth for EMPAVELI® and SYFOVRE® following the proposed acquisition of Apellis; and our full year 2026 financial guidance. These forward-looking statements may be accompanied by such words as “aim,” “anticipate,” “assume,” “believe,” “contemplate,” “continue,” “could,” “estimate,” “expect,” “forecast,” “goal,” “guidance,” “hope,” “intend,” “may,” “objective,” “outlook,” “plan,” “possible,” “potential,” “predict,” “project,” “prospect,” “should,” “target,” “will,” “would,” and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5</w:t>
      </w:r>
    </w:p>
    <w:p>
      <w:pPr>
        <w:sectPr>
          <w:pgSz w:w="11900" w:h="16838" w:orient="portrait"/>
          <w:cols w:equalWidth="0" w:num="1">
            <w:col w:w="11240"/>
          </w:cols>
          <w:pgMar w:left="320" w:top="855" w:right="339" w:bottom="1440" w:gutter="0" w:footer="0" w:header="0"/>
        </w:sectPr>
      </w:pPr>
    </w:p>
    <w:bookmarkStart w:id="8" w:name="page9"/>
    <w:bookmarkEnd w:id="8"/>
    <w:p>
      <w:pPr>
        <w:ind w:right="200"/>
        <w:spacing w:after="0" w:line="243" w:lineRule="auto"/>
        <w:rPr>
          <w:sz w:val="20"/>
          <w:szCs w:val="20"/>
          <w:color w:val="auto"/>
        </w:rPr>
      </w:pPr>
      <w:r>
        <w:rPr>
          <w:rFonts w:ascii="Arial" w:cs="Arial" w:eastAsia="Arial" w:hAnsi="Arial"/>
          <w:sz w:val="19"/>
          <w:szCs w:val="19"/>
          <w:color w:val="auto"/>
        </w:rPr>
        <w:t>Given their forward-looking nature, these statements involve substantial risks and uncertainties that may be based on inaccurate assumptions and could cause actual results to differ materially from those reflected in such statements. These forward-looking statements are based on management's current beliefs and assumptions and on information currently available to management. Given their nature, we cannot assure that any outcome expressed in these forward-looking statements will be realized in whole or in part.</w:t>
      </w:r>
    </w:p>
    <w:p>
      <w:pPr>
        <w:spacing w:after="0" w:line="187"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We caution that these statements are subject to risks and uncertainties, many of which are outside of our control and could cause future events or results to be materially different from those stated or implied in this document, including, among others, factors relating to: our substantial dependence on revenue from our products and other payments under licensing, collaboration, acquisition or divestiture agreements; uncertainty of long-term success in developing, licensing, or acquiring other product candidates or additional indications for existing products; expectations, plans, prospects and timing of actions relating to product approvals, approvals of additional indications for our existing products, sales, pricing, growth, reimbursement and launch of our marketed and pipeline products; 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our ability to effectively implement our corporate strategy; the successful execution of our strategic and growth initiatives, including acquisitions; the drivers for growing our business; difficulties in obtaining and maintaining adequate coverage, pricing, and reimbursement for our products; the drivers for growing our business, including our dependence on collaborators and other third parties for the development, regulatory approval, and commercialization of products and other aspects of our business, which are outside of our full control; risks associated with current and potential future healthcare reforms; risks related to commercialization of biosimilars, which is subject to such risks related to our reliance on third-parties, intellectual property, competitive and market challenges and regulatory compliance; failure to obtain, protect, and enforce our data, intellectual property, and other proprietary rights and the risks and uncertainties relating to intellectual property claims and challenges;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risks relating to technology, including our incorporation of new technologies such as artificial intelligence into some of our processes; risks related to use of information technology systems and potential impacts of any breakdowns, interruptions, invasions, corruptions, data breaches, destructions and/or other cybersecurity incidents of our systems or those of connected and/or third-party systems; problems with our manufacturing capacity, including our ability to manufacture products efficiently or adequately address global bulk supply risks; risks relating to management, personnel and other organizational changes, including our ability to attracting, retaining and motivating qualified individuals; risks related to the failure to comply with current and new legal and regulatory requirements, including judicial decisions, accounting standards, and tariff or trade restrictions; the risks of doing business internationally, including geopolitical tensions, acts of war and large-scale crises; risks relating to investment in our manufacturing capacity; risks relating to the distribution and sale by third parties of counterfeit or unfit versions of our products; risks relating to the use of social media for our business, results of operations and financial condition; fluctuations in our operating results; risks related to investment in properties; risks relating to access to capital and credit markets to finance our present and future operations and business initiatives and obtain funding for such activities on favorable terms; risks related to indebtedness; the market, interest, and credit risks associated with our investment portfolio; risks relating to share repurchase programs; change in control provisions in certain of our collaboration agreements; fluctuations in our effective tax rate and obligations in various jurisdictions in which we are subject to taxation; environmental risks; the timing to consummate the proposed acquisition of Apellis; the risk that the conditions to closing of the proposed acquisition of Apellis may not be satisfied or that the closing of the proposed transaction otherwise does not occur; the risk that a regulatory approval that may be required to consummate the proposed acquisition of Apellis is not obtained or is obtained subject to conditions that are not anticipated or conditions that Biogen is not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6</w:t>
      </w:r>
    </w:p>
    <w:p>
      <w:pPr>
        <w:sectPr>
          <w:pgSz w:w="11900" w:h="16838" w:orient="portrait"/>
          <w:cols w:equalWidth="0" w:num="1">
            <w:col w:w="11240"/>
          </w:cols>
          <w:pgMar w:left="320" w:top="855" w:right="339" w:bottom="1440" w:gutter="0" w:footer="0" w:header="0"/>
        </w:sectPr>
      </w:pPr>
    </w:p>
    <w:bookmarkStart w:id="9" w:name="page10"/>
    <w:bookmarkEnd w:id="9"/>
    <w:p>
      <w:pPr>
        <w:ind w:right="300"/>
        <w:spacing w:after="0" w:line="251" w:lineRule="auto"/>
        <w:rPr>
          <w:sz w:val="20"/>
          <w:szCs w:val="20"/>
          <w:color w:val="auto"/>
        </w:rPr>
      </w:pPr>
      <w:r>
        <w:rPr>
          <w:rFonts w:ascii="Arial" w:cs="Arial" w:eastAsia="Arial" w:hAnsi="Arial"/>
          <w:sz w:val="19"/>
          <w:szCs w:val="19"/>
          <w:color w:val="auto"/>
        </w:rPr>
        <w:t>obligated to accept; the diversion of management time on transaction-related issues; expectations regarding regulatory approval of the acquisition of Apellis; and any other risks and uncertainties that are described in other reports we have filed with the U.S. Securities and Exchange Commission (SEC); which are available on the SEC’s website at www.sec.gov.</w:t>
      </w:r>
    </w:p>
    <w:p>
      <w:pPr>
        <w:spacing w:after="0" w:line="181"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These statements speak only as of the date of this press release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in each case including in the sections thereof captioned “Note Regarding Forward-Looking Statements” and “Item 1A. Risk Factors,” and in our subsequent reports on Form 8-K. Except as required by law, we do not undertake any obligation to publicly update any forward-looking statements whether as a result of any new information, future events, changed circumstances or otherwise.</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Digital Media Disclosure</w:t>
      </w:r>
    </w:p>
    <w:p>
      <w:pPr>
        <w:spacing w:after="0" w:line="221"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From time to time we have used, or expect in the future to use, our investor relations website (investors.biogen.com), the Biogen LinkedIn account (linkedin.com/company/biogen-), and the Biogen X account (x.com/biogen) as a means of disclosing information to the public in a broad, non-exclusionary manner, including for purposes of the SEC’s Regulation Fair Disclosure (Reg FD). Accordingly, investors should monitor our investor relations website and these social media channels in addition to our press releases, SEC filings, public conference calls and webcasts, as the information posted on them could be material to investors.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0C0"/>
        </w:rPr>
        <w:t>MEDIA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INVESTOR CONTACT:</w:t>
      </w:r>
    </w:p>
    <w:p>
      <w:pPr>
        <w:spacing w:after="0" w:line="65" w:lineRule="exact"/>
        <w:rPr>
          <w:sz w:val="20"/>
          <w:szCs w:val="20"/>
          <w:color w:val="auto"/>
        </w:rPr>
      </w:pPr>
    </w:p>
    <w:p>
      <w:pPr>
        <w:sectPr>
          <w:pgSz w:w="11900" w:h="16838" w:orient="portrait"/>
          <w:cols w:equalWidth="0" w:num="2">
            <w:col w:w="5000" w:space="720"/>
            <w:col w:w="5520"/>
          </w:cols>
          <w:pgMar w:left="320" w:top="855"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Biogen</w:t>
      </w:r>
    </w:p>
    <w:p>
      <w:pPr>
        <w:spacing w:after="0" w:line="20" w:lineRule="exact"/>
        <w:rPr>
          <w:sz w:val="20"/>
          <w:szCs w:val="20"/>
          <w:color w:val="auto"/>
        </w:rPr>
      </w:pPr>
      <w:r>
        <w:rPr>
          <w:sz w:val="20"/>
          <w:szCs w:val="20"/>
          <w:color w:val="auto"/>
        </w:rPr>
        <w:br w:type="column"/>
      </w:r>
    </w:p>
    <w:p>
      <w:pPr>
        <w:jc w:val="center"/>
        <w:ind w:right="4880"/>
        <w:spacing w:after="0"/>
        <w:rPr>
          <w:sz w:val="20"/>
          <w:szCs w:val="20"/>
          <w:color w:val="auto"/>
        </w:rPr>
      </w:pPr>
      <w:r>
        <w:rPr>
          <w:rFonts w:ascii="Arial" w:cs="Arial" w:eastAsia="Arial" w:hAnsi="Arial"/>
          <w:sz w:val="18"/>
          <w:szCs w:val="18"/>
          <w:b w:val="1"/>
          <w:bCs w:val="1"/>
          <w:color w:val="auto"/>
        </w:rPr>
        <w:t>Biogen</w:t>
      </w:r>
    </w:p>
    <w:p>
      <w:pPr>
        <w:spacing w:after="0" w:line="65" w:lineRule="exact"/>
        <w:rPr>
          <w:sz w:val="20"/>
          <w:szCs w:val="20"/>
          <w:color w:val="auto"/>
        </w:rPr>
      </w:pPr>
    </w:p>
    <w:p>
      <w:pPr>
        <w:sectPr>
          <w:pgSz w:w="11900" w:h="16838" w:orient="portrait"/>
          <w:cols w:equalWidth="0" w:num="2">
            <w:col w:w="5000" w:space="720"/>
            <w:col w:w="5520"/>
          </w:cols>
          <w:pgMar w:left="320" w:top="855"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Madeleine Shin</w:t>
      </w:r>
    </w:p>
    <w:p>
      <w:pPr>
        <w:spacing w:after="0" w:line="20" w:lineRule="exact"/>
        <w:rPr>
          <w:sz w:val="20"/>
          <w:szCs w:val="20"/>
          <w:color w:val="auto"/>
        </w:rPr>
      </w:pPr>
      <w:r>
        <w:rPr>
          <w:sz w:val="20"/>
          <w:szCs w:val="20"/>
          <w:color w:val="auto"/>
        </w:rPr>
        <w:br w:type="column"/>
      </w:r>
    </w:p>
    <w:p>
      <w:pPr>
        <w:jc w:val="center"/>
        <w:ind w:right="4620"/>
        <w:spacing w:after="0"/>
        <w:rPr>
          <w:sz w:val="20"/>
          <w:szCs w:val="20"/>
          <w:color w:val="auto"/>
        </w:rPr>
      </w:pPr>
      <w:r>
        <w:rPr>
          <w:rFonts w:ascii="Arial" w:cs="Arial" w:eastAsia="Arial" w:hAnsi="Arial"/>
          <w:sz w:val="18"/>
          <w:szCs w:val="18"/>
          <w:color w:val="auto"/>
        </w:rPr>
        <w:t>Tim Power</w:t>
      </w:r>
    </w:p>
    <w:p>
      <w:pPr>
        <w:spacing w:after="0" w:line="65" w:lineRule="exact"/>
        <w:rPr>
          <w:sz w:val="20"/>
          <w:szCs w:val="20"/>
          <w:color w:val="auto"/>
        </w:rPr>
      </w:pPr>
    </w:p>
    <w:p>
      <w:pPr>
        <w:sectPr>
          <w:pgSz w:w="11900" w:h="16838" w:orient="portrait"/>
          <w:cols w:equalWidth="0" w:num="2">
            <w:col w:w="5000" w:space="720"/>
            <w:col w:w="5520"/>
          </w:cols>
          <w:pgMar w:left="320" w:top="855"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Tel: +1 781-464-3260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public.affairs@biogen.com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Tel: +1 781-464-2442</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IR@biogen.com</w:t>
      </w:r>
    </w:p>
    <w:p>
      <w:pPr>
        <w:spacing w:after="0" w:line="200" w:lineRule="exact"/>
        <w:rPr>
          <w:sz w:val="20"/>
          <w:szCs w:val="20"/>
          <w:color w:val="auto"/>
        </w:rPr>
      </w:pPr>
    </w:p>
    <w:p>
      <w:pPr>
        <w:sectPr>
          <w:pgSz w:w="11900" w:h="16838" w:orient="portrait"/>
          <w:cols w:equalWidth="0" w:num="2">
            <w:col w:w="5000" w:space="720"/>
            <w:col w:w="5520"/>
          </w:cols>
          <w:pgMar w:left="320" w:top="8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7</w:t>
      </w:r>
    </w:p>
    <w:p>
      <w:pPr>
        <w:sectPr>
          <w:pgSz w:w="11900" w:h="16838" w:orient="portrait"/>
          <w:cols w:equalWidth="0" w:num="1">
            <w:col w:w="11240"/>
          </w:cols>
          <w:pgMar w:left="320" w:top="855" w:right="339" w:bottom="1440"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21"/>
          <w:szCs w:val="21"/>
          <w:b w:val="1"/>
          <w:bCs w:val="1"/>
          <w:color w:val="1C5A7D"/>
        </w:rPr>
        <w:t>TABLE 1</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1C5A7D"/>
        </w:rPr>
        <w:t>CONDENSED CONSOLIDATED STATEMENT OF INCOME</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1C5A7D"/>
        </w:rPr>
        <w:t>(unaudited, in millions,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jc w:val="right"/>
              <w:ind w:right="302"/>
              <w:spacing w:after="0"/>
              <w:rPr>
                <w:sz w:val="20"/>
                <w:szCs w:val="20"/>
                <w:color w:val="auto"/>
              </w:rPr>
            </w:pPr>
            <w:r>
              <w:rPr>
                <w:rFonts w:ascii="Arial" w:cs="Arial" w:eastAsia="Arial" w:hAnsi="Arial"/>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00"/>
        </w:trPr>
        <w:tc>
          <w:tcPr>
            <w:tcW w:w="758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11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2573BA"/>
              </w:rPr>
              <w:t>2026</w:t>
            </w:r>
          </w:p>
        </w:tc>
        <w:tc>
          <w:tcPr>
            <w:tcW w:w="640" w:type="dxa"/>
            <w:vAlign w:val="bottom"/>
            <w:tcBorders>
              <w:bottom w:val="single" w:sz="8" w:color="auto"/>
            </w:tcBorders>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5"/>
        </w:trPr>
        <w:tc>
          <w:tcPr>
            <w:tcW w:w="7580" w:type="dxa"/>
            <w:vAlign w:val="bottom"/>
            <w:vMerge w:val="continue"/>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Product revenue, net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1,752.3</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1,726.5</w:t>
            </w: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Revenue from anti-CD20 therapeutic programs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419.1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378.2</w:t>
            </w: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Alzheimer's collaboration revenue</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59.5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Contract manufacturing, royalty and other revenue</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246.9</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200"/>
        </w:trPr>
        <w:tc>
          <w:tcPr>
            <w:tcW w:w="758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2,477.8</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2,431.0</w:t>
            </w:r>
          </w:p>
        </w:tc>
        <w:tc>
          <w:tcPr>
            <w:tcW w:w="0" w:type="dxa"/>
            <w:vAlign w:val="bottom"/>
          </w:tcPr>
          <w:p>
            <w:pPr>
              <w:spacing w:after="0"/>
              <w:rPr>
                <w:sz w:val="1"/>
                <w:szCs w:val="1"/>
                <w:color w:val="auto"/>
              </w:rPr>
            </w:pPr>
          </w:p>
        </w:tc>
      </w:tr>
      <w:tr>
        <w:trPr>
          <w:trHeight w:val="187"/>
        </w:trPr>
        <w:tc>
          <w:tcPr>
            <w:tcW w:w="7580" w:type="dxa"/>
            <w:vAlign w:val="bottom"/>
          </w:tcPr>
          <w:p>
            <w:pPr>
              <w:spacing w:after="0"/>
              <w:rPr>
                <w:sz w:val="20"/>
                <w:szCs w:val="20"/>
                <w:color w:val="auto"/>
              </w:rPr>
            </w:pPr>
            <w:r>
              <w:rPr>
                <w:rFonts w:ascii="Arial" w:cs="Arial" w:eastAsia="Arial" w:hAnsi="Arial"/>
                <w:sz w:val="16"/>
                <w:szCs w:val="16"/>
                <w:color w:val="auto"/>
              </w:rPr>
              <w:t>Cost and expense:</w:t>
            </w:r>
          </w:p>
        </w:tc>
        <w:tc>
          <w:tcPr>
            <w:tcW w:w="12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Cost of sales, excluding amortization and impairment of acquired intangible assets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661.0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629.3</w:t>
            </w: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539.0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434.1</w:t>
            </w: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Acquired in-process research and development, upfront and milestone expense</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34.0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607.3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572.5</w:t>
            </w: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Amortization and impairment of acquired intangible assets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136.5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Collaboration profit sharing/(loss reimbursement)</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74.2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07"/>
        </w:trPr>
        <w:tc>
          <w:tcPr>
            <w:tcW w:w="7580" w:type="dxa"/>
            <w:vAlign w:val="bottom"/>
          </w:tcPr>
          <w:p>
            <w:pPr>
              <w:ind w:left="10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19.7</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0"/>
        </w:trPr>
        <w:tc>
          <w:tcPr>
            <w:tcW w:w="7580" w:type="dxa"/>
            <w:vAlign w:val="bottom"/>
          </w:tcPr>
          <w:p>
            <w:pPr>
              <w:ind w:left="320"/>
              <w:spacing w:after="0"/>
              <w:rPr>
                <w:sz w:val="20"/>
                <w:szCs w:val="20"/>
                <w:color w:val="auto"/>
              </w:rPr>
            </w:pPr>
            <w:r>
              <w:rPr>
                <w:rFonts w:ascii="Arial" w:cs="Arial" w:eastAsia="Arial" w:hAnsi="Arial"/>
                <w:sz w:val="16"/>
                <w:szCs w:val="16"/>
                <w:color w:val="auto"/>
              </w:rPr>
              <w:t>Total cost and expense</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2,100.1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2,119.8</w:t>
            </w:r>
          </w:p>
        </w:tc>
        <w:tc>
          <w:tcPr>
            <w:tcW w:w="0" w:type="dxa"/>
            <w:vAlign w:val="bottom"/>
          </w:tcPr>
          <w:p>
            <w:pPr>
              <w:spacing w:after="0"/>
              <w:rPr>
                <w:sz w:val="1"/>
                <w:szCs w:val="1"/>
                <w:color w:val="auto"/>
              </w:rPr>
            </w:pPr>
          </w:p>
        </w:tc>
      </w:tr>
      <w:tr>
        <w:trPr>
          <w:trHeight w:val="200"/>
        </w:trPr>
        <w:tc>
          <w:tcPr>
            <w:tcW w:w="7580" w:type="dxa"/>
            <w:vAlign w:val="bottom"/>
          </w:tcPr>
          <w:p>
            <w:pPr>
              <w:spacing w:after="0"/>
              <w:rPr>
                <w:sz w:val="20"/>
                <w:szCs w:val="20"/>
                <w:color w:val="auto"/>
              </w:rPr>
            </w:pPr>
            <w:r>
              <w:rPr>
                <w:rFonts w:ascii="Arial" w:cs="Arial" w:eastAsia="Arial" w:hAnsi="Arial"/>
                <w:sz w:val="16"/>
                <w:szCs w:val="16"/>
                <w:color w:val="auto"/>
              </w:rPr>
              <w:t>Income before income tax (benefit) expense</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377.7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208"/>
        </w:trPr>
        <w:tc>
          <w:tcPr>
            <w:tcW w:w="758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58.2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33"/>
        </w:trPr>
        <w:tc>
          <w:tcPr>
            <w:tcW w:w="758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000" w:type="dxa"/>
            <w:vAlign w:val="bottom"/>
            <w:shd w:val="clear" w:color="auto" w:fill="DBDBDB"/>
          </w:tcPr>
          <w:p>
            <w:pPr>
              <w:spacing w:after="0"/>
              <w:rPr>
                <w:sz w:val="20"/>
                <w:szCs w:val="20"/>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319.5</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240.5</w:t>
            </w:r>
          </w:p>
        </w:tc>
        <w:tc>
          <w:tcPr>
            <w:tcW w:w="0" w:type="dxa"/>
            <w:vAlign w:val="bottom"/>
          </w:tcPr>
          <w:p>
            <w:pPr>
              <w:spacing w:after="0"/>
              <w:rPr>
                <w:sz w:val="1"/>
                <w:szCs w:val="1"/>
                <w:color w:val="auto"/>
              </w:rPr>
            </w:pPr>
          </w:p>
        </w:tc>
      </w:tr>
      <w:tr>
        <w:trPr>
          <w:trHeight w:val="438"/>
        </w:trPr>
        <w:tc>
          <w:tcPr>
            <w:tcW w:w="7580" w:type="dxa"/>
            <w:vAlign w:val="bottom"/>
          </w:tcPr>
          <w:p>
            <w:pPr>
              <w:spacing w:after="0"/>
              <w:rPr>
                <w:sz w:val="20"/>
                <w:szCs w:val="20"/>
                <w:color w:val="auto"/>
              </w:rPr>
            </w:pPr>
            <w:r>
              <w:rPr>
                <w:rFonts w:ascii="Arial" w:cs="Arial" w:eastAsia="Arial" w:hAnsi="Arial"/>
                <w:sz w:val="16"/>
                <w:szCs w:val="16"/>
                <w:color w:val="auto"/>
              </w:rPr>
              <w:t>Net income per share:</w:t>
            </w:r>
          </w:p>
        </w:tc>
        <w:tc>
          <w:tcPr>
            <w:tcW w:w="120" w:type="dxa"/>
            <w:vAlign w:val="bottom"/>
            <w:tcBorders>
              <w:top w:val="single" w:sz="8" w:color="auto"/>
            </w:tcBorders>
            <w:shd w:val="clear" w:color="auto" w:fill="DBDBDB"/>
          </w:tcPr>
          <w:p>
            <w:pPr>
              <w:spacing w:after="0"/>
              <w:rPr>
                <w:sz w:val="24"/>
                <w:szCs w:val="24"/>
                <w:color w:val="auto"/>
              </w:rPr>
            </w:pPr>
          </w:p>
        </w:tc>
        <w:tc>
          <w:tcPr>
            <w:tcW w:w="1000" w:type="dxa"/>
            <w:vAlign w:val="bottom"/>
            <w:tcBorders>
              <w:top w:val="single" w:sz="8" w:color="auto"/>
            </w:tcBorders>
            <w:shd w:val="clear" w:color="auto" w:fill="DBDBDB"/>
          </w:tcPr>
          <w:p>
            <w:pPr>
              <w:spacing w:after="0"/>
              <w:rPr>
                <w:sz w:val="24"/>
                <w:szCs w:val="24"/>
                <w:color w:val="auto"/>
              </w:rPr>
            </w:pPr>
          </w:p>
        </w:tc>
        <w:tc>
          <w:tcPr>
            <w:tcW w:w="640" w:type="dxa"/>
            <w:vAlign w:val="bottom"/>
            <w:tcBorders>
              <w:top w:val="single" w:sz="8" w:color="auto"/>
            </w:tcBorders>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2.17</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2.15</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466"/>
        </w:trPr>
        <w:tc>
          <w:tcPr>
            <w:tcW w:w="7580" w:type="dxa"/>
            <w:vAlign w:val="bottom"/>
          </w:tcPr>
          <w:p>
            <w:pPr>
              <w:spacing w:after="0"/>
              <w:rPr>
                <w:sz w:val="20"/>
                <w:szCs w:val="20"/>
                <w:color w:val="auto"/>
              </w:rPr>
            </w:pPr>
            <w:r>
              <w:rPr>
                <w:rFonts w:ascii="Arial" w:cs="Arial" w:eastAsia="Arial" w:hAnsi="Arial"/>
                <w:sz w:val="16"/>
                <w:szCs w:val="16"/>
                <w:color w:val="auto"/>
              </w:rPr>
              <w:t>Weighted-average shares used in calculating:</w:t>
            </w:r>
          </w:p>
        </w:tc>
        <w:tc>
          <w:tcPr>
            <w:tcW w:w="120" w:type="dxa"/>
            <w:vAlign w:val="bottom"/>
            <w:shd w:val="clear" w:color="auto" w:fill="DBDBDB"/>
          </w:tcPr>
          <w:p>
            <w:pPr>
              <w:spacing w:after="0"/>
              <w:rPr>
                <w:sz w:val="24"/>
                <w:szCs w:val="24"/>
                <w:color w:val="auto"/>
              </w:rPr>
            </w:pPr>
          </w:p>
        </w:tc>
        <w:tc>
          <w:tcPr>
            <w:tcW w:w="1000" w:type="dxa"/>
            <w:vAlign w:val="bottom"/>
            <w:shd w:val="clear" w:color="auto" w:fill="DBDBDB"/>
          </w:tcPr>
          <w:p>
            <w:pPr>
              <w:spacing w:after="0"/>
              <w:rPr>
                <w:sz w:val="24"/>
                <w:szCs w:val="24"/>
                <w:color w:val="auto"/>
              </w:rPr>
            </w:pPr>
          </w:p>
        </w:tc>
        <w:tc>
          <w:tcPr>
            <w:tcW w:w="640" w:type="dxa"/>
            <w:vAlign w:val="bottom"/>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58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147.2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209"/>
        </w:trPr>
        <w:tc>
          <w:tcPr>
            <w:tcW w:w="758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447260"/>
        </w:rPr>
        <w:t>8</w:t>
      </w:r>
    </w:p>
    <w:p>
      <w:pPr>
        <w:sectPr>
          <w:pgSz w:w="11900" w:h="16838" w:orient="portrait"/>
          <w:cols w:equalWidth="0" w:num="1">
            <w:col w:w="11220"/>
          </w:cols>
          <w:pgMar w:left="340" w:top="1096"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1"/>
          <w:szCs w:val="21"/>
          <w:b w:val="1"/>
          <w:bCs w:val="1"/>
          <w:color w:val="1C5A7D"/>
        </w:rPr>
        <w:t>TABLE 2</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1C5A7D"/>
        </w:rPr>
        <w:t>CONDENSED CONSOLIDATED BALANCE SHEETS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2573BA"/>
              </w:rPr>
              <w:t>ASSETS</w:t>
            </w:r>
          </w:p>
        </w:tc>
        <w:tc>
          <w:tcPr>
            <w:tcW w:w="300" w:type="dxa"/>
            <w:vAlign w:val="bottom"/>
            <w:tcBorders>
              <w:bottom w:val="single" w:sz="8" w:color="auto"/>
            </w:tcBorders>
            <w:shd w:val="clear" w:color="auto" w:fill="DDDDDD"/>
          </w:tcPr>
          <w:p>
            <w:pPr>
              <w:spacing w:after="0"/>
              <w:rPr>
                <w:sz w:val="17"/>
                <w:szCs w:val="17"/>
                <w:color w:val="auto"/>
              </w:rPr>
            </w:pPr>
          </w:p>
        </w:tc>
        <w:tc>
          <w:tcPr>
            <w:tcW w:w="2200" w:type="dxa"/>
            <w:vAlign w:val="bottom"/>
            <w:tcBorders>
              <w:bottom w:val="single" w:sz="8" w:color="auto"/>
            </w:tcBorders>
            <w:shd w:val="clear" w:color="auto" w:fill="DDDDDD"/>
          </w:tcPr>
          <w:p>
            <w:pPr>
              <w:jc w:val="right"/>
              <w:ind w:right="402"/>
              <w:spacing w:after="0"/>
              <w:rPr>
                <w:sz w:val="20"/>
                <w:szCs w:val="20"/>
                <w:color w:val="auto"/>
              </w:rPr>
            </w:pPr>
            <w:r>
              <w:rPr>
                <w:rFonts w:ascii="Arial" w:cs="Arial" w:eastAsia="Arial" w:hAnsi="Arial"/>
                <w:sz w:val="16"/>
                <w:szCs w:val="16"/>
                <w:b w:val="1"/>
                <w:bCs w:val="1"/>
                <w:color w:val="2573BA"/>
              </w:rPr>
              <w:t>As of March 31, 2026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As of December 31, 2025</w:t>
            </w:r>
          </w:p>
        </w:tc>
        <w:tc>
          <w:tcPr>
            <w:tcW w:w="0" w:type="dxa"/>
            <w:vAlign w:val="bottom"/>
          </w:tcPr>
          <w:p>
            <w:pPr>
              <w:spacing w:after="0"/>
              <w:rPr>
                <w:sz w:val="1"/>
                <w:szCs w:val="1"/>
                <w:color w:val="auto"/>
              </w:rPr>
            </w:pPr>
          </w:p>
        </w:tc>
      </w:tr>
      <w:tr>
        <w:trPr>
          <w:trHeight w:val="187"/>
        </w:trPr>
        <w:tc>
          <w:tcPr>
            <w:tcW w:w="5900" w:type="dxa"/>
            <w:vAlign w:val="bottom"/>
            <w:vMerge w:val="continue"/>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220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DBDBDB"/>
          </w:tcPr>
          <w:p>
            <w:pPr>
              <w:jc w:val="right"/>
              <w:ind w:right="122"/>
              <w:spacing w:after="0"/>
              <w:rPr>
                <w:sz w:val="20"/>
                <w:szCs w:val="20"/>
                <w:color w:val="auto"/>
              </w:rPr>
            </w:pPr>
            <w:r>
              <w:rPr>
                <w:rFonts w:ascii="Arial" w:cs="Arial" w:eastAsia="Arial" w:hAnsi="Arial"/>
                <w:sz w:val="16"/>
                <w:szCs w:val="16"/>
                <w:color w:val="2573BA"/>
                <w:w w:val="89"/>
              </w:rPr>
              <w:t>$</w:t>
            </w: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3,382.7</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3,008.5</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Marketable securities</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900.0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807.2</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1,369.2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1,342.4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Due from anti-CD20 therapeutic programs</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421.2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524.6</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Inventory</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1,949.0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2,168.1</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1,168.3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1,123.3</w:t>
            </w:r>
          </w:p>
        </w:tc>
        <w:tc>
          <w:tcPr>
            <w:tcW w:w="0" w:type="dxa"/>
            <w:vAlign w:val="bottom"/>
          </w:tcPr>
          <w:p>
            <w:pPr>
              <w:spacing w:after="0"/>
              <w:rPr>
                <w:sz w:val="1"/>
                <w:szCs w:val="1"/>
                <w:color w:val="auto"/>
              </w:rPr>
            </w:pPr>
          </w:p>
        </w:tc>
      </w:tr>
      <w:tr>
        <w:trPr>
          <w:trHeight w:val="200"/>
        </w:trPr>
        <w:tc>
          <w:tcPr>
            <w:tcW w:w="590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9,190.4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8,974.1</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Marketable securities</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465.6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431.9</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3,017.9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3,055.4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251.3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9,053.5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9,178.5</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6,488.7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6,491.1</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Deferred tax asset</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238.2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08"/>
        </w:trPr>
        <w:tc>
          <w:tcPr>
            <w:tcW w:w="590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300" w:type="dxa"/>
            <w:vAlign w:val="bottom"/>
            <w:tcBorders>
              <w:bottom w:val="single" w:sz="8" w:color="auto"/>
            </w:tcBorders>
            <w:shd w:val="clear" w:color="auto" w:fill="DBDBDB"/>
          </w:tcPr>
          <w:p>
            <w:pPr>
              <w:spacing w:after="0"/>
              <w:rPr>
                <w:sz w:val="18"/>
                <w:szCs w:val="18"/>
                <w:color w:val="auto"/>
              </w:rPr>
            </w:pPr>
          </w:p>
        </w:tc>
        <w:tc>
          <w:tcPr>
            <w:tcW w:w="22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777.5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750.6</w:t>
            </w:r>
          </w:p>
        </w:tc>
        <w:tc>
          <w:tcPr>
            <w:tcW w:w="0" w:type="dxa"/>
            <w:vAlign w:val="bottom"/>
          </w:tcPr>
          <w:p>
            <w:pPr>
              <w:spacing w:after="0"/>
              <w:rPr>
                <w:sz w:val="1"/>
                <w:szCs w:val="1"/>
                <w:color w:val="auto"/>
              </w:rPr>
            </w:pPr>
          </w:p>
        </w:tc>
      </w:tr>
      <w:tr>
        <w:trPr>
          <w:trHeight w:val="233"/>
        </w:trPr>
        <w:tc>
          <w:tcPr>
            <w:tcW w:w="5900" w:type="dxa"/>
            <w:vAlign w:val="bottom"/>
          </w:tcPr>
          <w:p>
            <w:pPr>
              <w:spacing w:after="0"/>
              <w:rPr>
                <w:sz w:val="20"/>
                <w:szCs w:val="20"/>
                <w:color w:val="auto"/>
              </w:rPr>
            </w:pPr>
            <w:r>
              <w:rPr>
                <w:rFonts w:ascii="Arial" w:cs="Arial" w:eastAsia="Arial" w:hAnsi="Arial"/>
                <w:sz w:val="16"/>
                <w:szCs w:val="16"/>
                <w:color w:val="auto"/>
              </w:rPr>
              <w:t>TOTAL ASSETS</w:t>
            </w:r>
          </w:p>
        </w:tc>
        <w:tc>
          <w:tcPr>
            <w:tcW w:w="300" w:type="dxa"/>
            <w:vAlign w:val="bottom"/>
            <w:shd w:val="clear" w:color="auto" w:fill="DBDBDB"/>
          </w:tcPr>
          <w:p>
            <w:pPr>
              <w:jc w:val="right"/>
              <w:ind w:right="122"/>
              <w:spacing w:after="0"/>
              <w:rPr>
                <w:sz w:val="20"/>
                <w:szCs w:val="20"/>
                <w:color w:val="auto"/>
              </w:rPr>
            </w:pPr>
            <w:r>
              <w:rPr>
                <w:rFonts w:ascii="Arial" w:cs="Arial" w:eastAsia="Arial" w:hAnsi="Arial"/>
                <w:sz w:val="16"/>
                <w:szCs w:val="16"/>
                <w:color w:val="2573BA"/>
                <w:w w:val="89"/>
              </w:rPr>
              <w:t>$</w:t>
            </w: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29,483.1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29,439.5</w:t>
            </w:r>
          </w:p>
        </w:tc>
        <w:tc>
          <w:tcPr>
            <w:tcW w:w="0" w:type="dxa"/>
            <w:vAlign w:val="bottom"/>
          </w:tcPr>
          <w:p>
            <w:pPr>
              <w:spacing w:after="0"/>
              <w:rPr>
                <w:sz w:val="1"/>
                <w:szCs w:val="1"/>
                <w:color w:val="auto"/>
              </w:rPr>
            </w:pPr>
          </w:p>
        </w:tc>
      </w:tr>
      <w:tr>
        <w:trPr>
          <w:trHeight w:val="440"/>
        </w:trPr>
        <w:tc>
          <w:tcPr>
            <w:tcW w:w="5900" w:type="dxa"/>
            <w:vAlign w:val="bottom"/>
          </w:tcPr>
          <w:p>
            <w:pPr>
              <w:spacing w:after="0"/>
              <w:rPr>
                <w:sz w:val="20"/>
                <w:szCs w:val="20"/>
                <w:color w:val="auto"/>
              </w:rPr>
            </w:pPr>
            <w:r>
              <w:rPr>
                <w:rFonts w:ascii="Arial" w:cs="Arial" w:eastAsia="Arial" w:hAnsi="Arial"/>
                <w:sz w:val="16"/>
                <w:szCs w:val="16"/>
                <w:b w:val="1"/>
                <w:bCs w:val="1"/>
                <w:color w:val="2573BA"/>
              </w:rPr>
              <w:t>LIABILITIES AND EQUITY</w:t>
            </w:r>
          </w:p>
        </w:tc>
        <w:tc>
          <w:tcPr>
            <w:tcW w:w="300" w:type="dxa"/>
            <w:vAlign w:val="bottom"/>
            <w:tcBorders>
              <w:top w:val="single" w:sz="8" w:color="auto"/>
            </w:tcBorders>
            <w:shd w:val="clear" w:color="auto" w:fill="DBDBDB"/>
          </w:tcPr>
          <w:p>
            <w:pPr>
              <w:spacing w:after="0"/>
              <w:rPr>
                <w:sz w:val="24"/>
                <w:szCs w:val="24"/>
                <w:color w:val="auto"/>
              </w:rPr>
            </w:pPr>
          </w:p>
        </w:tc>
        <w:tc>
          <w:tcPr>
            <w:tcW w:w="2200" w:type="dxa"/>
            <w:vAlign w:val="bottom"/>
            <w:tcBorders>
              <w:top w:val="single" w:sz="8" w:color="auto"/>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900" w:type="dxa"/>
            <w:vAlign w:val="bottom"/>
          </w:tcPr>
          <w:p>
            <w:pPr>
              <w:spacing w:after="0"/>
              <w:rPr>
                <w:sz w:val="20"/>
                <w:szCs w:val="20"/>
                <w:color w:val="auto"/>
              </w:rPr>
            </w:pPr>
            <w:r>
              <w:rPr>
                <w:rFonts w:ascii="Arial" w:cs="Arial" w:eastAsia="Arial" w:hAnsi="Arial"/>
                <w:sz w:val="16"/>
                <w:szCs w:val="16"/>
                <w:color w:val="auto"/>
              </w:rPr>
              <w:t>Taxes payable</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93.6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358.5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Accrued expenses and other</w:t>
            </w:r>
          </w:p>
        </w:tc>
        <w:tc>
          <w:tcPr>
            <w:tcW w:w="30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2,546.8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2,802.6</w:t>
            </w:r>
          </w:p>
        </w:tc>
        <w:tc>
          <w:tcPr>
            <w:tcW w:w="0" w:type="dxa"/>
            <w:vAlign w:val="bottom"/>
          </w:tcPr>
          <w:p>
            <w:pPr>
              <w:spacing w:after="0"/>
              <w:rPr>
                <w:sz w:val="1"/>
                <w:szCs w:val="1"/>
                <w:color w:val="auto"/>
              </w:rPr>
            </w:pPr>
          </w:p>
        </w:tc>
      </w:tr>
      <w:tr>
        <w:trPr>
          <w:trHeight w:val="200"/>
        </w:trPr>
        <w:tc>
          <w:tcPr>
            <w:tcW w:w="59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2,998.9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3,349.4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Notes payable</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6,288.5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6,286.8</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Deferred tax liability</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483.5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273.4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787.1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01"/>
        </w:trPr>
        <w:tc>
          <w:tcPr>
            <w:tcW w:w="5900" w:type="dxa"/>
            <w:vAlign w:val="bottom"/>
          </w:tcPr>
          <w:p>
            <w:pPr>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10,831.4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11,182.7</w:t>
            </w:r>
          </w:p>
        </w:tc>
        <w:tc>
          <w:tcPr>
            <w:tcW w:w="0" w:type="dxa"/>
            <w:vAlign w:val="bottom"/>
          </w:tcPr>
          <w:p>
            <w:pPr>
              <w:spacing w:after="0"/>
              <w:rPr>
                <w:sz w:val="1"/>
                <w:szCs w:val="1"/>
                <w:color w:val="auto"/>
              </w:rPr>
            </w:pPr>
          </w:p>
        </w:tc>
      </w:tr>
      <w:tr>
        <w:trPr>
          <w:trHeight w:val="445"/>
        </w:trPr>
        <w:tc>
          <w:tcPr>
            <w:tcW w:w="5900" w:type="dxa"/>
            <w:vAlign w:val="bottom"/>
          </w:tcPr>
          <w:p>
            <w:pPr>
              <w:spacing w:after="0"/>
              <w:rPr>
                <w:sz w:val="20"/>
                <w:szCs w:val="20"/>
                <w:color w:val="auto"/>
              </w:rPr>
            </w:pPr>
            <w:r>
              <w:rPr>
                <w:rFonts w:ascii="Arial" w:cs="Arial" w:eastAsia="Arial" w:hAnsi="Arial"/>
                <w:sz w:val="16"/>
                <w:szCs w:val="16"/>
                <w:color w:val="auto"/>
              </w:rPr>
              <w:t>Common stock</w:t>
            </w:r>
          </w:p>
        </w:tc>
        <w:tc>
          <w:tcPr>
            <w:tcW w:w="300" w:type="dxa"/>
            <w:vAlign w:val="bottom"/>
            <w:shd w:val="clear" w:color="auto" w:fill="DBDBDB"/>
          </w:tcPr>
          <w:p>
            <w:pPr>
              <w:spacing w:after="0"/>
              <w:rPr>
                <w:sz w:val="24"/>
                <w:szCs w:val="24"/>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896.7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863.1</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Accumulated other comprehensive income (loss)</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(140.2)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Retained earnings</w:t>
            </w:r>
          </w:p>
        </w:tc>
        <w:tc>
          <w:tcPr>
            <w:tcW w:w="300" w:type="dxa"/>
            <w:vAlign w:val="bottom"/>
            <w:shd w:val="clear" w:color="auto" w:fill="DBDBDB"/>
          </w:tcPr>
          <w:p>
            <w:pPr>
              <w:spacing w:after="0"/>
              <w:rPr>
                <w:sz w:val="17"/>
                <w:szCs w:val="17"/>
                <w:color w:val="auto"/>
              </w:rPr>
            </w:pP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20,872.2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20,552.7</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Treasury stock, at cost</w:t>
            </w:r>
          </w:p>
        </w:tc>
        <w:tc>
          <w:tcPr>
            <w:tcW w:w="30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(2,977.1)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01"/>
        </w:trPr>
        <w:tc>
          <w:tcPr>
            <w:tcW w:w="5900" w:type="dxa"/>
            <w:vAlign w:val="bottom"/>
          </w:tcPr>
          <w:p>
            <w:pPr>
              <w:spacing w:after="0"/>
              <w:rPr>
                <w:sz w:val="20"/>
                <w:szCs w:val="20"/>
                <w:color w:val="auto"/>
              </w:rPr>
            </w:pPr>
            <w:r>
              <w:rPr>
                <w:rFonts w:ascii="Arial" w:cs="Arial" w:eastAsia="Arial" w:hAnsi="Arial"/>
                <w:sz w:val="16"/>
                <w:szCs w:val="16"/>
                <w:color w:val="auto"/>
              </w:rPr>
              <w:t>TOTAL EQUITY</w:t>
            </w:r>
          </w:p>
        </w:tc>
        <w:tc>
          <w:tcPr>
            <w:tcW w:w="30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18,651.7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18,256.8</w:t>
            </w:r>
          </w:p>
        </w:tc>
        <w:tc>
          <w:tcPr>
            <w:tcW w:w="0" w:type="dxa"/>
            <w:vAlign w:val="bottom"/>
          </w:tcPr>
          <w:p>
            <w:pPr>
              <w:spacing w:after="0"/>
              <w:rPr>
                <w:sz w:val="1"/>
                <w:szCs w:val="1"/>
                <w:color w:val="auto"/>
              </w:rPr>
            </w:pPr>
          </w:p>
        </w:tc>
      </w:tr>
      <w:tr>
        <w:trPr>
          <w:trHeight w:val="221"/>
        </w:trPr>
        <w:tc>
          <w:tcPr>
            <w:tcW w:w="590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300" w:type="dxa"/>
            <w:vAlign w:val="bottom"/>
            <w:shd w:val="clear" w:color="auto" w:fill="DBDBDB"/>
          </w:tcPr>
          <w:p>
            <w:pPr>
              <w:jc w:val="right"/>
              <w:ind w:right="122"/>
              <w:spacing w:after="0"/>
              <w:rPr>
                <w:sz w:val="20"/>
                <w:szCs w:val="20"/>
                <w:color w:val="auto"/>
              </w:rPr>
            </w:pPr>
            <w:r>
              <w:rPr>
                <w:rFonts w:ascii="Arial" w:cs="Arial" w:eastAsia="Arial" w:hAnsi="Arial"/>
                <w:sz w:val="16"/>
                <w:szCs w:val="16"/>
                <w:color w:val="2573BA"/>
                <w:w w:val="89"/>
              </w:rPr>
              <w:t>$</w:t>
            </w:r>
          </w:p>
        </w:tc>
        <w:tc>
          <w:tcPr>
            <w:tcW w:w="2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29,483.1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29,439.5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447260"/>
        </w:rPr>
        <w:t>9</w:t>
      </w:r>
    </w:p>
    <w:p>
      <w:pPr>
        <w:sectPr>
          <w:pgSz w:w="11900" w:h="16838" w:orient="portrait"/>
          <w:cols w:equalWidth="0" w:num="1">
            <w:col w:w="11060"/>
          </w:cols>
          <w:pgMar w:left="420" w:top="864" w:right="419" w:bottom="1440" w:gutter="0" w:footer="0" w:header="0"/>
        </w:sectPr>
      </w:pPr>
    </w:p>
    <w:bookmarkStart w:id="12" w:name="page13"/>
    <w:bookmarkEnd w:id="12"/>
    <w:p>
      <w:pPr>
        <w:jc w:val="center"/>
        <w:spacing w:after="0"/>
        <w:rPr>
          <w:sz w:val="20"/>
          <w:szCs w:val="20"/>
          <w:color w:val="auto"/>
        </w:rPr>
      </w:pPr>
      <w:r>
        <w:rPr>
          <w:rFonts w:ascii="Arial" w:cs="Arial" w:eastAsia="Arial" w:hAnsi="Arial"/>
          <w:sz w:val="21"/>
          <w:szCs w:val="21"/>
          <w:b w:val="1"/>
          <w:bCs w:val="1"/>
          <w:color w:val="1C5A7D"/>
        </w:rPr>
        <w:t>TABLE 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PRODUCT REVENUE &amp; TOTAL REVENUE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color w:val="1C5A7D"/>
        </w:rPr>
        <w:t>Product Revenue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9"/>
              </w:rPr>
              <w:t>For the Three Months Ended March 31,</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spacing w:after="0"/>
              <w:rPr>
                <w:sz w:val="16"/>
                <w:szCs w:val="16"/>
                <w:color w:val="auto"/>
              </w:rPr>
            </w:pPr>
          </w:p>
        </w:tc>
        <w:tc>
          <w:tcPr>
            <w:tcW w:w="4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920" w:type="dxa"/>
            <w:vAlign w:val="bottom"/>
            <w:tcBorders>
              <w:bottom w:val="single" w:sz="8" w:color="auto"/>
            </w:tcBorders>
            <w:shd w:val="clear" w:color="auto" w:fill="DDDDDD"/>
          </w:tcPr>
          <w:p>
            <w:pPr>
              <w:jc w:val="center"/>
              <w:ind w:right="131"/>
              <w:spacing w:after="0"/>
              <w:rPr>
                <w:sz w:val="20"/>
                <w:szCs w:val="20"/>
                <w:color w:val="auto"/>
              </w:rPr>
            </w:pPr>
            <w:r>
              <w:rPr>
                <w:rFonts w:ascii="Arial" w:cs="Arial" w:eastAsia="Arial" w:hAnsi="Arial"/>
                <w:sz w:val="14"/>
                <w:szCs w:val="14"/>
                <w:b w:val="1"/>
                <w:bCs w:val="1"/>
                <w:color w:val="257ACB"/>
              </w:rPr>
              <w:t>2026</w:t>
            </w:r>
          </w:p>
        </w:tc>
        <w:tc>
          <w:tcPr>
            <w:tcW w:w="120" w:type="dxa"/>
            <w:vAlign w:val="bottom"/>
            <w:tcBorders>
              <w:bottom w:val="single" w:sz="8" w:color="auto"/>
            </w:tcBorders>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90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71"/>
              <w:spacing w:after="0" w:line="140" w:lineRule="exact"/>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51"/>
              <w:spacing w:after="0" w:line="140" w:lineRule="exact"/>
              <w:rPr>
                <w:sz w:val="20"/>
                <w:szCs w:val="20"/>
                <w:color w:val="auto"/>
              </w:rPr>
            </w:pPr>
            <w:r>
              <w:rPr>
                <w:rFonts w:ascii="Arial" w:cs="Arial" w:eastAsia="Arial" w:hAnsi="Arial"/>
                <w:sz w:val="14"/>
                <w:szCs w:val="14"/>
                <w:b w:val="1"/>
                <w:bCs w:val="1"/>
                <w:color w:val="auto"/>
                <w:w w:val="96"/>
              </w:rPr>
              <w:t>Rest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40"/>
              <w:spacing w:after="0" w:line="140" w:lineRule="exact"/>
              <w:rPr>
                <w:sz w:val="20"/>
                <w:szCs w:val="20"/>
                <w:color w:val="auto"/>
              </w:rPr>
            </w:pPr>
            <w:r>
              <w:rPr>
                <w:rFonts w:ascii="Arial" w:cs="Arial" w:eastAsia="Arial" w:hAnsi="Arial"/>
                <w:sz w:val="14"/>
                <w:szCs w:val="14"/>
                <w:b w:val="1"/>
                <w:bCs w:val="1"/>
                <w:color w:val="auto"/>
              </w:rPr>
              <w:t>United</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96"/>
              </w:rPr>
              <w:t>Rest of</w:t>
            </w:r>
          </w:p>
        </w:tc>
        <w:tc>
          <w:tcPr>
            <w:tcW w:w="260" w:type="dxa"/>
            <w:vAlign w:val="bottom"/>
          </w:tcPr>
          <w:p>
            <w:pPr>
              <w:spacing w:after="0"/>
              <w:rPr>
                <w:sz w:val="12"/>
                <w:szCs w:val="12"/>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5"/>
              </w:rPr>
              <w:t>World</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5"/>
              </w:rPr>
              <w:t>World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Multiple Sclerosis (MS):</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31.4</w:t>
            </w:r>
          </w:p>
        </w:tc>
        <w:tc>
          <w:tcPr>
            <w:tcW w:w="360" w:type="dxa"/>
            <w:vAlign w:val="bottom"/>
            <w:gridSpan w:val="3"/>
            <w:shd w:val="clear" w:color="auto" w:fill="DBDBDB"/>
          </w:tcPr>
          <w:p>
            <w:pPr>
              <w:jc w:val="right"/>
              <w:ind w:right="51"/>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78.1</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111"/>
              <w:spacing w:after="0"/>
              <w:rPr>
                <w:sz w:val="20"/>
                <w:szCs w:val="20"/>
                <w:color w:val="auto"/>
              </w:rPr>
            </w:pPr>
            <w:r>
              <w:rPr>
                <w:rFonts w:ascii="Arial" w:cs="Arial" w:eastAsia="Arial" w:hAnsi="Arial"/>
                <w:sz w:val="14"/>
                <w:szCs w:val="14"/>
                <w:color w:val="257ACB"/>
                <w:w w:val="76"/>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109.5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166.3</w:t>
            </w:r>
          </w:p>
        </w:tc>
        <w:tc>
          <w:tcPr>
            <w:tcW w:w="10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14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153.4</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25.6</w:t>
            </w:r>
          </w:p>
        </w:tc>
        <w:tc>
          <w:tcPr>
            <w:tcW w:w="12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179.0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Total Fumarate</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184.8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103.7</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344.9</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108.5</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54.7</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14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24.3</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40.0</w:t>
            </w:r>
          </w:p>
        </w:tc>
        <w:tc>
          <w:tcPr>
            <w:tcW w:w="12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Total Interferon</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132.8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94.7</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226.3</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241.8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199.7</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381.5</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FAMPYRA</w:t>
            </w:r>
            <w:r>
              <w:rPr>
                <w:rFonts w:ascii="Arial" w:cs="Arial" w:eastAsia="Arial" w:hAnsi="Arial"/>
                <w:sz w:val="17"/>
                <w:szCs w:val="17"/>
                <w:color w:val="auto"/>
                <w:vertAlign w:val="superscript"/>
              </w:rPr>
              <w:t>(1)</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MS</w:t>
            </w: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559.4</w:t>
            </w:r>
          </w:p>
        </w:tc>
        <w:tc>
          <w:tcPr>
            <w:tcW w:w="40" w:type="dxa"/>
            <w:vAlign w:val="bottom"/>
            <w:tcBorders>
              <w:top w:val="single" w:sz="8" w:color="auto"/>
              <w:bottom w:val="single" w:sz="8" w:color="auto"/>
            </w:tcBorders>
            <w:shd w:val="clear" w:color="auto" w:fill="DBDBDB"/>
          </w:tcPr>
          <w:p>
            <w:pPr>
              <w:spacing w:after="0"/>
              <w:rPr>
                <w:sz w:val="15"/>
                <w:szCs w:val="15"/>
                <w:color w:val="auto"/>
              </w:rPr>
            </w:pP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220" w:type="dxa"/>
            <w:vAlign w:val="bottom"/>
            <w:tcBorders>
              <w:top w:val="single" w:sz="8" w:color="auto"/>
              <w:bottom w:val="single" w:sz="8" w:color="auto"/>
            </w:tcBorders>
            <w:shd w:val="clear" w:color="auto" w:fill="DBDBDB"/>
          </w:tcPr>
          <w:p>
            <w:pPr>
              <w:spacing w:after="0"/>
              <w:rPr>
                <w:sz w:val="15"/>
                <w:szCs w:val="15"/>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398.1</w:t>
            </w:r>
          </w:p>
        </w:tc>
        <w:tc>
          <w:tcPr>
            <w:tcW w:w="120" w:type="dxa"/>
            <w:vAlign w:val="bottom"/>
            <w:tcBorders>
              <w:top w:val="single" w:sz="8" w:color="DBDBDB"/>
              <w:bottom w:val="single" w:sz="8" w:color="DBDBDB"/>
            </w:tcBorders>
            <w:shd w:val="clear" w:color="auto" w:fill="DBDBDB"/>
          </w:tcPr>
          <w:p>
            <w:pPr>
              <w:spacing w:after="0"/>
              <w:rPr>
                <w:sz w:val="15"/>
                <w:szCs w:val="15"/>
                <w:color w:val="auto"/>
              </w:rPr>
            </w:pPr>
          </w:p>
        </w:tc>
        <w:tc>
          <w:tcPr>
            <w:tcW w:w="260" w:type="dxa"/>
            <w:vAlign w:val="bottom"/>
            <w:tcBorders>
              <w:top w:val="single" w:sz="8" w:color="auto"/>
              <w:bottom w:val="single" w:sz="8" w:color="auto"/>
            </w:tcBorders>
            <w:shd w:val="clear" w:color="auto" w:fill="DBDBDB"/>
          </w:tcPr>
          <w:p>
            <w:pPr>
              <w:spacing w:after="0"/>
              <w:rPr>
                <w:sz w:val="15"/>
                <w:szCs w:val="15"/>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957.5</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462.6</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953.0</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Rare Disease:</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142.2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231.8</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423.9</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80"/>
              <w:spacing w:after="0"/>
              <w:rPr>
                <w:sz w:val="20"/>
                <w:szCs w:val="20"/>
                <w:color w:val="auto"/>
              </w:rPr>
            </w:pPr>
            <w:r>
              <w:rPr>
                <w:rFonts w:ascii="Arial" w:cs="Arial" w:eastAsia="Arial" w:hAnsi="Arial"/>
                <w:sz w:val="14"/>
                <w:szCs w:val="14"/>
                <w:color w:val="auto"/>
              </w:rPr>
              <w:t>SKYCLARYS</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78.9</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80"/>
              <w:spacing w:after="0"/>
              <w:rPr>
                <w:sz w:val="20"/>
                <w:szCs w:val="20"/>
                <w:color w:val="auto"/>
              </w:rPr>
            </w:pPr>
            <w:r>
              <w:rPr>
                <w:rFonts w:ascii="Arial" w:cs="Arial" w:eastAsia="Arial" w:hAnsi="Arial"/>
                <w:sz w:val="14"/>
                <w:szCs w:val="14"/>
                <w:color w:val="auto"/>
              </w:rPr>
              <w:t>QALSODY</w:t>
            </w:r>
          </w:p>
        </w:tc>
        <w:tc>
          <w:tcPr>
            <w:tcW w:w="14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10.5</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22.0</w:t>
            </w:r>
          </w:p>
        </w:tc>
        <w:tc>
          <w:tcPr>
            <w:tcW w:w="12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7"/>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Rare Disease</w:t>
            </w:r>
          </w:p>
        </w:tc>
        <w:tc>
          <w:tcPr>
            <w:tcW w:w="14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224.5</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332.7</w:t>
            </w:r>
          </w:p>
        </w:tc>
        <w:tc>
          <w:tcPr>
            <w:tcW w:w="12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557.2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563.3</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122.1</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49.6</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10.5</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BYOOVIZ</w:t>
            </w:r>
            <w:r>
              <w:rPr>
                <w:rFonts w:ascii="Arial" w:cs="Arial" w:eastAsia="Arial" w:hAnsi="Arial"/>
                <w:sz w:val="17"/>
                <w:szCs w:val="17"/>
                <w:color w:val="auto"/>
                <w:vertAlign w:val="superscript"/>
              </w:rPr>
              <w:t>(2)</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660" w:type="dxa"/>
            <w:vAlign w:val="bottom"/>
            <w:gridSpan w:val="2"/>
          </w:tcPr>
          <w:p>
            <w:pPr>
              <w:ind w:left="100"/>
              <w:spacing w:after="0" w:line="193" w:lineRule="exact"/>
              <w:rPr>
                <w:sz w:val="20"/>
                <w:szCs w:val="20"/>
                <w:color w:val="auto"/>
              </w:rPr>
            </w:pPr>
            <w:r>
              <w:rPr>
                <w:rFonts w:ascii="Arial" w:cs="Arial" w:eastAsia="Arial" w:hAnsi="Arial"/>
                <w:sz w:val="14"/>
                <w:szCs w:val="14"/>
                <w:color w:val="auto"/>
              </w:rPr>
              <w:t>TOFIDENCE</w:t>
            </w:r>
            <w:r>
              <w:rPr>
                <w:rFonts w:ascii="Arial" w:cs="Arial" w:eastAsia="Arial" w:hAnsi="Arial"/>
                <w:sz w:val="17"/>
                <w:szCs w:val="17"/>
                <w:color w:val="auto"/>
                <w:vertAlign w:val="superscript"/>
              </w:rPr>
              <w:t>(2)</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top w:val="single" w:sz="8" w:color="auto"/>
              <w:bottom w:val="single" w:sz="8" w:color="auto"/>
            </w:tcBorders>
            <w:shd w:val="clear" w:color="auto" w:fill="DBDBDB"/>
          </w:tcPr>
          <w:p>
            <w:pPr>
              <w:spacing w:after="0"/>
              <w:rPr>
                <w:sz w:val="15"/>
                <w:szCs w:val="15"/>
                <w:color w:val="auto"/>
              </w:rPr>
            </w:pP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220" w:type="dxa"/>
            <w:vAlign w:val="bottom"/>
            <w:tcBorders>
              <w:top w:val="single" w:sz="8" w:color="auto"/>
              <w:bottom w:val="single" w:sz="8" w:color="auto"/>
            </w:tcBorders>
            <w:shd w:val="clear" w:color="auto" w:fill="DBDBDB"/>
          </w:tcPr>
          <w:p>
            <w:pPr>
              <w:spacing w:after="0"/>
              <w:rPr>
                <w:sz w:val="15"/>
                <w:szCs w:val="15"/>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182.2</w:t>
            </w:r>
          </w:p>
        </w:tc>
        <w:tc>
          <w:tcPr>
            <w:tcW w:w="120" w:type="dxa"/>
            <w:vAlign w:val="bottom"/>
            <w:tcBorders>
              <w:top w:val="single" w:sz="8" w:color="DBDBDB"/>
              <w:bottom w:val="single" w:sz="8" w:color="DBDBDB"/>
            </w:tcBorders>
            <w:shd w:val="clear" w:color="auto" w:fill="DBDBDB"/>
          </w:tcPr>
          <w:p>
            <w:pPr>
              <w:spacing w:after="0"/>
              <w:rPr>
                <w:sz w:val="15"/>
                <w:szCs w:val="15"/>
                <w:color w:val="auto"/>
              </w:rPr>
            </w:pPr>
          </w:p>
        </w:tc>
        <w:tc>
          <w:tcPr>
            <w:tcW w:w="260" w:type="dxa"/>
            <w:vAlign w:val="bottom"/>
            <w:tcBorders>
              <w:top w:val="single" w:sz="8" w:color="auto"/>
              <w:bottom w:val="single" w:sz="8" w:color="auto"/>
            </w:tcBorders>
            <w:shd w:val="clear" w:color="auto" w:fill="DBDBDB"/>
          </w:tcPr>
          <w:p>
            <w:pPr>
              <w:spacing w:after="0"/>
              <w:rPr>
                <w:sz w:val="15"/>
                <w:szCs w:val="15"/>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182.2</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180.8</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ZURZUVAE</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55.3</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(3)</w:t>
            </w:r>
          </w:p>
        </w:tc>
        <w:tc>
          <w:tcPr>
            <w:tcW w:w="14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3"/>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Other</w:t>
            </w: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55.3</w:t>
            </w:r>
          </w:p>
        </w:tc>
        <w:tc>
          <w:tcPr>
            <w:tcW w:w="4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55.4</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60" w:type="dxa"/>
            <w:vAlign w:val="bottom"/>
            <w:gridSpan w:val="2"/>
          </w:tcPr>
          <w:p>
            <w:pPr>
              <w:ind w:left="180"/>
              <w:spacing w:after="0"/>
              <w:rPr>
                <w:sz w:val="20"/>
                <w:szCs w:val="20"/>
                <w:color w:val="auto"/>
              </w:rPr>
            </w:pPr>
            <w:r>
              <w:rPr>
                <w:rFonts w:ascii="Arial" w:cs="Arial" w:eastAsia="Arial" w:hAnsi="Arial"/>
                <w:sz w:val="14"/>
                <w:szCs w:val="14"/>
                <w:color w:val="auto"/>
              </w:rPr>
              <w:t>Total product revenue, net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839.2</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913.1</w:t>
            </w: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111"/>
              <w:spacing w:after="0"/>
              <w:rPr>
                <w:sz w:val="20"/>
                <w:szCs w:val="20"/>
                <w:color w:val="auto"/>
              </w:rPr>
            </w:pPr>
            <w:r>
              <w:rPr>
                <w:rFonts w:ascii="Arial" w:cs="Arial" w:eastAsia="Arial" w:hAnsi="Arial"/>
                <w:sz w:val="14"/>
                <w:szCs w:val="14"/>
                <w:color w:val="257ACB"/>
                <w:w w:val="76"/>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1,752.3</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753.8</w:t>
            </w:r>
          </w:p>
        </w:tc>
        <w:tc>
          <w:tcPr>
            <w:tcW w:w="100" w:type="dxa"/>
            <w:vAlign w:val="bottom"/>
          </w:tcPr>
          <w:p>
            <w:pPr>
              <w:spacing w:after="0"/>
              <w:rPr>
                <w:sz w:val="18"/>
                <w:szCs w:val="18"/>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972.7</w:t>
            </w:r>
          </w:p>
        </w:tc>
        <w:tc>
          <w:tcPr>
            <w:tcW w:w="100" w:type="dxa"/>
            <w:vAlign w:val="bottom"/>
          </w:tcPr>
          <w:p>
            <w:pPr>
              <w:spacing w:after="0"/>
              <w:rPr>
                <w:sz w:val="18"/>
                <w:szCs w:val="18"/>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1,726.5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60" w:hanging="157"/>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Effective January 1, 2025, our collaboration and license agreement for FAMPYRA global commercialization rights was terminated.</w:t>
      </w:r>
    </w:p>
    <w:p>
      <w:pPr>
        <w:spacing w:after="0" w:line="12" w:lineRule="exact"/>
        <w:rPr>
          <w:rFonts w:ascii="Arial" w:cs="Arial" w:eastAsia="Arial" w:hAnsi="Arial"/>
          <w:sz w:val="18"/>
          <w:szCs w:val="18"/>
          <w:color w:val="auto"/>
          <w:vertAlign w:val="superscript"/>
        </w:rPr>
      </w:pPr>
    </w:p>
    <w:p>
      <w:pPr>
        <w:ind w:left="140" w:hanging="137"/>
        <w:spacing w:after="0" w:line="207" w:lineRule="auto"/>
        <w:tabs>
          <w:tab w:leader="none" w:pos="140" w:val="left"/>
        </w:tabs>
        <w:numPr>
          <w:ilvl w:val="0"/>
          <w:numId w:val="18"/>
        </w:numPr>
        <w:rPr>
          <w:rFonts w:ascii="Times New Roman" w:cs="Times New Roman" w:eastAsia="Times New Roman" w:hAnsi="Times New Roman"/>
          <w:sz w:val="17"/>
          <w:szCs w:val="17"/>
          <w:color w:val="auto"/>
          <w:vertAlign w:val="superscript"/>
        </w:rPr>
      </w:pPr>
      <w:r>
        <w:rPr>
          <w:rFonts w:ascii="Arial" w:cs="Arial" w:eastAsia="Arial" w:hAnsi="Arial"/>
          <w:sz w:val="13"/>
          <w:szCs w:val="13"/>
          <w:color w:val="auto"/>
        </w:rPr>
        <w:t>In 2025 we completed the sale of our rights to TOFIDENCE and BYOOVIZ.</w:t>
      </w:r>
    </w:p>
    <w:p>
      <w:pPr>
        <w:spacing w:after="0" w:line="25" w:lineRule="exact"/>
        <w:rPr>
          <w:rFonts w:ascii="Times New Roman" w:cs="Times New Roman" w:eastAsia="Times New Roman" w:hAnsi="Times New Roman"/>
          <w:sz w:val="17"/>
          <w:szCs w:val="17"/>
          <w:color w:val="auto"/>
          <w:vertAlign w:val="superscript"/>
        </w:rPr>
      </w:pPr>
    </w:p>
    <w:p>
      <w:pPr>
        <w:ind w:left="160" w:hanging="157"/>
        <w:spacing w:after="0" w:line="195"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and ADUHELM.</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00587F"/>
        </w:rPr>
        <w:t>Total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02"/>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00"/>
        </w:trPr>
        <w:tc>
          <w:tcPr>
            <w:tcW w:w="7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2573BA"/>
              </w:rPr>
              <w:t>2026</w:t>
            </w:r>
          </w:p>
        </w:tc>
        <w:tc>
          <w:tcPr>
            <w:tcW w:w="640" w:type="dxa"/>
            <w:vAlign w:val="bottom"/>
            <w:tcBorders>
              <w:bottom w:val="single" w:sz="8" w:color="auto"/>
            </w:tcBorders>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2025</w:t>
            </w:r>
          </w:p>
        </w:tc>
      </w:tr>
      <w:tr>
        <w:trPr>
          <w:trHeight w:val="198"/>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Product revenue, net</w:t>
            </w:r>
          </w:p>
        </w:tc>
        <w:tc>
          <w:tcPr>
            <w:tcW w:w="1120" w:type="dxa"/>
            <w:vAlign w:val="bottom"/>
            <w:shd w:val="clear" w:color="auto" w:fill="DBDBDB"/>
          </w:tcPr>
          <w:p>
            <w:pPr>
              <w:jc w:val="right"/>
              <w:ind w:right="942"/>
              <w:spacing w:after="0"/>
              <w:rPr>
                <w:sz w:val="20"/>
                <w:szCs w:val="20"/>
                <w:color w:val="auto"/>
              </w:rPr>
            </w:pPr>
            <w:r>
              <w:rPr>
                <w:rFonts w:ascii="Arial" w:cs="Arial" w:eastAsia="Arial" w:hAnsi="Arial"/>
                <w:sz w:val="16"/>
                <w:szCs w:val="16"/>
                <w:color w:val="026DCE"/>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1,752.3</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1,726.5</w:t>
            </w:r>
          </w:p>
        </w:tc>
      </w:tr>
      <w:tr>
        <w:trPr>
          <w:trHeight w:val="207"/>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Royalty revenue on sales of OCREVUS</w:t>
            </w:r>
          </w:p>
        </w:tc>
        <w:tc>
          <w:tcPr>
            <w:tcW w:w="112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317.2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288.8</w:t>
            </w:r>
          </w:p>
        </w:tc>
      </w:tr>
      <w:tr>
        <w:trPr>
          <w:trHeight w:val="207"/>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Biogen’s share of pre-tax profits in the U.S. for RITUXAN, GAZYVA and LUNSUMIO</w:t>
            </w:r>
          </w:p>
        </w:tc>
        <w:tc>
          <w:tcPr>
            <w:tcW w:w="112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94.7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83.7</w:t>
            </w:r>
          </w:p>
        </w:tc>
      </w:tr>
      <w:tr>
        <w:trPr>
          <w:trHeight w:val="207"/>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Other revenue from anti-CD20 therapeutic programs</w:t>
            </w:r>
          </w:p>
        </w:tc>
        <w:tc>
          <w:tcPr>
            <w:tcW w:w="112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7"/>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Alzheimer's collaboration Revenue</w:t>
            </w:r>
          </w:p>
        </w:tc>
        <w:tc>
          <w:tcPr>
            <w:tcW w:w="112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59.5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208"/>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Contract manufacturing, royalty and other revenue</w:t>
            </w:r>
          </w:p>
        </w:tc>
        <w:tc>
          <w:tcPr>
            <w:tcW w:w="112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246.9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w:t>
            </w:r>
          </w:p>
        </w:tc>
      </w:tr>
      <w:tr>
        <w:trPr>
          <w:trHeight w:val="221"/>
        </w:trPr>
        <w:tc>
          <w:tcPr>
            <w:tcW w:w="7600" w:type="dxa"/>
            <w:vAlign w:val="bottom"/>
            <w:gridSpan w:val="2"/>
          </w:tcPr>
          <w:p>
            <w:pPr>
              <w:ind w:left="120"/>
              <w:spacing w:after="0"/>
              <w:rPr>
                <w:sz w:val="20"/>
                <w:szCs w:val="20"/>
                <w:color w:val="auto"/>
              </w:rPr>
            </w:pPr>
            <w:r>
              <w:rPr>
                <w:rFonts w:ascii="Arial" w:cs="Arial" w:eastAsia="Arial" w:hAnsi="Arial"/>
                <w:sz w:val="16"/>
                <w:szCs w:val="16"/>
                <w:color w:val="auto"/>
              </w:rPr>
              <w:t>Total revenue</w:t>
            </w:r>
          </w:p>
        </w:tc>
        <w:tc>
          <w:tcPr>
            <w:tcW w:w="1120" w:type="dxa"/>
            <w:vAlign w:val="bottom"/>
            <w:shd w:val="clear" w:color="auto" w:fill="DBDBDB"/>
          </w:tcPr>
          <w:p>
            <w:pPr>
              <w:jc w:val="right"/>
              <w:ind w:right="942"/>
              <w:spacing w:after="0"/>
              <w:rPr>
                <w:sz w:val="20"/>
                <w:szCs w:val="20"/>
                <w:color w:val="auto"/>
              </w:rPr>
            </w:pPr>
            <w:r>
              <w:rPr>
                <w:rFonts w:ascii="Arial" w:cs="Arial" w:eastAsia="Arial" w:hAnsi="Arial"/>
                <w:sz w:val="16"/>
                <w:szCs w:val="16"/>
                <w:color w:val="026DCE"/>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2,477.8</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2,431.0</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10</w:t>
      </w:r>
    </w:p>
    <w:p>
      <w:pPr>
        <w:sectPr>
          <w:pgSz w:w="11900" w:h="16838" w:orient="portrait"/>
          <w:cols w:equalWidth="0" w:num="1">
            <w:col w:w="11240"/>
          </w:cols>
          <w:pgMar w:left="320" w:top="8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1"/>
          <w:szCs w:val="21"/>
          <w:b w:val="1"/>
          <w:bCs w:val="1"/>
          <w:color w:val="1C5A7D"/>
        </w:rPr>
        <w:t>TABLE 4</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GAAP TO NON-GAAP RECONCILIATION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OPERATING EXPENSE, OTHER (INCOME) EXPENSE, NET, AND INCOME TAX</w:t>
      </w:r>
    </w:p>
    <w:p>
      <w:pPr>
        <w:jc w:val="center"/>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9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supplement our GAAP consolidated financial statements and GAAP financial measures with other financial measures, such as adjusted net income, adjusted diluted earnings per share, revenue growth at constant currency, which excludes the impact of changes in foreign exchange rates and hedging gains or losses, and free cash flow, which is defined as net cash flow from operations less capital expenditures.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460" w:type="dxa"/>
            <w:vAlign w:val="bottom"/>
            <w:tcBorders>
              <w:bottom w:val="single" w:sz="8" w:color="auto"/>
            </w:tcBorders>
          </w:tcPr>
          <w:p>
            <w:pPr>
              <w:spacing w:after="0"/>
              <w:rPr>
                <w:sz w:val="16"/>
                <w:szCs w:val="16"/>
                <w:color w:val="auto"/>
              </w:rPr>
            </w:pPr>
          </w:p>
        </w:tc>
      </w:tr>
      <w:tr>
        <w:trPr>
          <w:trHeight w:val="187"/>
        </w:trPr>
        <w:tc>
          <w:tcPr>
            <w:tcW w:w="7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4"/>
                <w:szCs w:val="14"/>
                <w:b w:val="1"/>
                <w:bCs w:val="1"/>
                <w:color w:val="00497F"/>
              </w:rPr>
              <w:t>2026</w:t>
            </w:r>
          </w:p>
        </w:tc>
        <w:tc>
          <w:tcPr>
            <w:tcW w:w="580" w:type="dxa"/>
            <w:vAlign w:val="bottom"/>
            <w:tcBorders>
              <w:bottom w:val="single" w:sz="8" w:color="auto"/>
            </w:tcBorders>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r>
      <w:tr>
        <w:trPr>
          <w:trHeight w:val="186"/>
        </w:trPr>
        <w:tc>
          <w:tcPr>
            <w:tcW w:w="764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 of Sales:</w:t>
            </w:r>
          </w:p>
        </w:tc>
        <w:tc>
          <w:tcPr>
            <w:tcW w:w="118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cost of sales, 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661.0</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629.3</w:t>
            </w:r>
          </w:p>
        </w:tc>
      </w:tr>
      <w:tr>
        <w:trPr>
          <w:trHeight w:val="194"/>
        </w:trPr>
        <w:tc>
          <w:tcPr>
            <w:tcW w:w="7640" w:type="dxa"/>
            <w:vAlign w:val="bottom"/>
            <w:gridSpan w:val="2"/>
          </w:tcPr>
          <w:p>
            <w:pPr>
              <w:ind w:left="220"/>
              <w:spacing w:after="0"/>
              <w:rPr>
                <w:sz w:val="20"/>
                <w:szCs w:val="20"/>
                <w:color w:val="auto"/>
              </w:rPr>
            </w:pPr>
            <w:r>
              <w:rPr>
                <w:rFonts w:ascii="Arial" w:cs="Arial" w:eastAsia="Arial" w:hAnsi="Arial"/>
                <w:sz w:val="14"/>
                <w:szCs w:val="14"/>
                <w:color w:val="auto"/>
              </w:rPr>
              <w:t>Less: litigation matter</w:t>
            </w:r>
          </w:p>
        </w:tc>
        <w:tc>
          <w:tcPr>
            <w:tcW w:w="1180" w:type="dxa"/>
            <w:vAlign w:val="bottom"/>
            <w:shd w:val="clear" w:color="auto" w:fill="DBDBDB"/>
          </w:tcPr>
          <w:p>
            <w:pPr>
              <w:spacing w:after="0"/>
              <w:rPr>
                <w:sz w:val="16"/>
                <w:szCs w:val="16"/>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1.1</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640" w:type="dxa"/>
            <w:vAlign w:val="bottom"/>
            <w:gridSpan w:val="2"/>
          </w:tcPr>
          <w:p>
            <w:pPr>
              <w:ind w:left="220"/>
              <w:spacing w:after="0"/>
              <w:rPr>
                <w:sz w:val="20"/>
                <w:szCs w:val="20"/>
                <w:color w:val="auto"/>
              </w:rPr>
            </w:pPr>
            <w:r>
              <w:rPr>
                <w:rFonts w:ascii="Arial" w:cs="Arial" w:eastAsia="Arial" w:hAnsi="Arial"/>
                <w:sz w:val="14"/>
                <w:szCs w:val="14"/>
                <w:color w:val="auto"/>
              </w:rPr>
              <w:t>Less: amortization of Reata inventory fair value step-up</w:t>
            </w:r>
          </w:p>
        </w:tc>
        <w:tc>
          <w:tcPr>
            <w:tcW w:w="118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49.7</w:t>
            </w:r>
          </w:p>
        </w:tc>
        <w:tc>
          <w:tcPr>
            <w:tcW w:w="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r>
      <w:tr>
        <w:trPr>
          <w:trHeight w:val="223"/>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cost of sales, Non-GAAP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610.2</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579.9</w:t>
            </w:r>
          </w:p>
        </w:tc>
      </w:tr>
      <w:tr>
        <w:trPr>
          <w:trHeight w:val="78"/>
        </w:trPr>
        <w:tc>
          <w:tcPr>
            <w:tcW w:w="7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top w:val="single" w:sz="8" w:color="auto"/>
              <w:bottom w:val="single" w:sz="8" w:color="auto"/>
            </w:tcBorders>
            <w:shd w:val="clear" w:color="auto" w:fill="DBDBDB"/>
          </w:tcPr>
          <w:p>
            <w:pPr>
              <w:spacing w:after="0"/>
              <w:rPr>
                <w:sz w:val="6"/>
                <w:szCs w:val="6"/>
                <w:color w:val="auto"/>
              </w:rPr>
            </w:pPr>
          </w:p>
        </w:tc>
        <w:tc>
          <w:tcPr>
            <w:tcW w:w="580" w:type="dxa"/>
            <w:vAlign w:val="bottom"/>
            <w:tcBorders>
              <w:top w:val="single" w:sz="8" w:color="auto"/>
              <w:bottom w:val="single" w:sz="8" w:color="auto"/>
            </w:tcBorders>
            <w:shd w:val="clear" w:color="auto" w:fill="DBDBDB"/>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00" w:type="dxa"/>
            <w:vAlign w:val="bottom"/>
            <w:tcBorders>
              <w:top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r>
      <w:tr>
        <w:trPr>
          <w:trHeight w:val="185"/>
        </w:trPr>
        <w:tc>
          <w:tcPr>
            <w:tcW w:w="76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Research and Development Expense:</w:t>
            </w:r>
          </w:p>
        </w:tc>
        <w:tc>
          <w:tcPr>
            <w:tcW w:w="118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research and development expense, 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539.0</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434.1</w:t>
            </w:r>
          </w:p>
        </w:tc>
      </w:tr>
      <w:tr>
        <w:trPr>
          <w:trHeight w:val="194"/>
        </w:trPr>
        <w:tc>
          <w:tcPr>
            <w:tcW w:w="7640" w:type="dxa"/>
            <w:vAlign w:val="bottom"/>
            <w:gridSpan w:val="2"/>
          </w:tcPr>
          <w:p>
            <w:pPr>
              <w:ind w:left="220"/>
              <w:spacing w:after="0"/>
              <w:rPr>
                <w:sz w:val="20"/>
                <w:szCs w:val="20"/>
                <w:color w:val="auto"/>
              </w:rPr>
            </w:pPr>
            <w:r>
              <w:rPr>
                <w:rFonts w:ascii="Arial" w:cs="Arial" w:eastAsia="Arial" w:hAnsi="Arial"/>
                <w:sz w:val="14"/>
                <w:szCs w:val="14"/>
                <w:color w:val="auto"/>
              </w:rPr>
              <w:t>Less: amortization of Reata inventory fair value step-up</w:t>
            </w:r>
          </w:p>
        </w:tc>
        <w:tc>
          <w:tcPr>
            <w:tcW w:w="1180" w:type="dxa"/>
            <w:vAlign w:val="bottom"/>
            <w:shd w:val="clear" w:color="auto" w:fill="DBDBDB"/>
          </w:tcPr>
          <w:p>
            <w:pPr>
              <w:spacing w:after="0"/>
              <w:rPr>
                <w:sz w:val="16"/>
                <w:szCs w:val="16"/>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55.9</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640" w:type="dxa"/>
            <w:vAlign w:val="bottom"/>
            <w:gridSpan w:val="2"/>
          </w:tcPr>
          <w:p>
            <w:pPr>
              <w:ind w:left="220"/>
              <w:spacing w:after="0"/>
              <w:rPr>
                <w:sz w:val="20"/>
                <w:szCs w:val="20"/>
                <w:color w:val="auto"/>
              </w:rPr>
            </w:pPr>
            <w:r>
              <w:rPr>
                <w:rFonts w:ascii="Arial" w:cs="Arial" w:eastAsia="Arial" w:hAnsi="Arial"/>
                <w:sz w:val="14"/>
                <w:szCs w:val="14"/>
                <w:color w:val="auto"/>
              </w:rPr>
              <w:t>Less: restructuring charges and other cost saving initiatives</w:t>
            </w:r>
          </w:p>
        </w:tc>
        <w:tc>
          <w:tcPr>
            <w:tcW w:w="118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3.1</w:t>
            </w:r>
          </w:p>
        </w:tc>
        <w:tc>
          <w:tcPr>
            <w:tcW w:w="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223"/>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research and development expense, Non-GAAP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480.0</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426.6</w:t>
            </w:r>
          </w:p>
        </w:tc>
      </w:tr>
      <w:tr>
        <w:trPr>
          <w:trHeight w:val="78"/>
        </w:trPr>
        <w:tc>
          <w:tcPr>
            <w:tcW w:w="7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top w:val="single" w:sz="8" w:color="auto"/>
              <w:bottom w:val="single" w:sz="8" w:color="auto"/>
            </w:tcBorders>
            <w:shd w:val="clear" w:color="auto" w:fill="DBDBDB"/>
          </w:tcPr>
          <w:p>
            <w:pPr>
              <w:spacing w:after="0"/>
              <w:rPr>
                <w:sz w:val="6"/>
                <w:szCs w:val="6"/>
                <w:color w:val="auto"/>
              </w:rPr>
            </w:pPr>
          </w:p>
        </w:tc>
        <w:tc>
          <w:tcPr>
            <w:tcW w:w="580" w:type="dxa"/>
            <w:vAlign w:val="bottom"/>
            <w:tcBorders>
              <w:top w:val="single" w:sz="8" w:color="auto"/>
              <w:bottom w:val="single" w:sz="8" w:color="auto"/>
            </w:tcBorders>
            <w:shd w:val="clear" w:color="auto" w:fill="DBDBDB"/>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top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r>
      <w:tr>
        <w:trPr>
          <w:trHeight w:val="185"/>
        </w:trPr>
        <w:tc>
          <w:tcPr>
            <w:tcW w:w="7640" w:type="dxa"/>
            <w:vAlign w:val="bottom"/>
            <w:gridSpan w:val="2"/>
          </w:tcPr>
          <w:p>
            <w:pPr>
              <w:ind w:left="20"/>
              <w:spacing w:after="0"/>
              <w:rPr>
                <w:sz w:val="20"/>
                <w:szCs w:val="20"/>
                <w:color w:val="auto"/>
              </w:rPr>
            </w:pPr>
            <w:r>
              <w:rPr>
                <w:rFonts w:ascii="Arial" w:cs="Arial" w:eastAsia="Arial" w:hAnsi="Arial"/>
                <w:sz w:val="14"/>
                <w:szCs w:val="14"/>
                <w:b w:val="1"/>
                <w:bCs w:val="1"/>
                <w:color w:val="auto"/>
              </w:rPr>
              <w:t>Selling, General and Administrative Expense:</w:t>
            </w:r>
          </w:p>
        </w:tc>
        <w:tc>
          <w:tcPr>
            <w:tcW w:w="118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selling, general and administrative, 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607.3</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572.5</w:t>
            </w:r>
          </w:p>
        </w:tc>
      </w:tr>
      <w:tr>
        <w:trPr>
          <w:trHeight w:val="194"/>
        </w:trPr>
        <w:tc>
          <w:tcPr>
            <w:tcW w:w="7640" w:type="dxa"/>
            <w:vAlign w:val="bottom"/>
            <w:gridSpan w:val="2"/>
          </w:tcPr>
          <w:p>
            <w:pPr>
              <w:ind w:left="220"/>
              <w:spacing w:after="0"/>
              <w:rPr>
                <w:sz w:val="20"/>
                <w:szCs w:val="20"/>
                <w:color w:val="auto"/>
              </w:rPr>
            </w:pPr>
            <w:r>
              <w:rPr>
                <w:rFonts w:ascii="Arial" w:cs="Arial" w:eastAsia="Arial" w:hAnsi="Arial"/>
                <w:sz w:val="14"/>
                <w:szCs w:val="14"/>
                <w:color w:val="auto"/>
              </w:rPr>
              <w:t>Less: acquisition-related transaction and integration costs</w:t>
            </w:r>
          </w:p>
        </w:tc>
        <w:tc>
          <w:tcPr>
            <w:tcW w:w="1180" w:type="dxa"/>
            <w:vAlign w:val="bottom"/>
            <w:shd w:val="clear" w:color="auto" w:fill="DBDBDB"/>
          </w:tcPr>
          <w:p>
            <w:pPr>
              <w:spacing w:after="0"/>
              <w:rPr>
                <w:sz w:val="16"/>
                <w:szCs w:val="16"/>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5.4</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94"/>
        </w:trPr>
        <w:tc>
          <w:tcPr>
            <w:tcW w:w="7640" w:type="dxa"/>
            <w:vAlign w:val="bottom"/>
            <w:gridSpan w:val="2"/>
          </w:tcPr>
          <w:p>
            <w:pPr>
              <w:ind w:left="220"/>
              <w:spacing w:after="0"/>
              <w:rPr>
                <w:sz w:val="20"/>
                <w:szCs w:val="20"/>
                <w:color w:val="auto"/>
              </w:rPr>
            </w:pPr>
            <w:r>
              <w:rPr>
                <w:rFonts w:ascii="Arial" w:cs="Arial" w:eastAsia="Arial" w:hAnsi="Arial"/>
                <w:sz w:val="14"/>
                <w:szCs w:val="14"/>
                <w:color w:val="auto"/>
              </w:rPr>
              <w:t>Less: restructuring charges and other cost saving initiatives</w:t>
            </w:r>
          </w:p>
        </w:tc>
        <w:tc>
          <w:tcPr>
            <w:tcW w:w="1180" w:type="dxa"/>
            <w:vAlign w:val="bottom"/>
            <w:shd w:val="clear" w:color="auto" w:fill="DBDBDB"/>
          </w:tcPr>
          <w:p>
            <w:pPr>
              <w:spacing w:after="0"/>
              <w:rPr>
                <w:sz w:val="16"/>
                <w:szCs w:val="16"/>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2.2</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8"/>
        </w:trPr>
        <w:tc>
          <w:tcPr>
            <w:tcW w:w="7640" w:type="dxa"/>
            <w:vAlign w:val="bottom"/>
            <w:gridSpan w:val="2"/>
          </w:tcPr>
          <w:p>
            <w:pPr>
              <w:ind w:left="220"/>
              <w:spacing w:after="0"/>
              <w:rPr>
                <w:sz w:val="20"/>
                <w:szCs w:val="20"/>
                <w:color w:val="auto"/>
              </w:rPr>
            </w:pPr>
            <w:r>
              <w:rPr>
                <w:rFonts w:ascii="Arial" w:cs="Arial" w:eastAsia="Arial" w:hAnsi="Arial"/>
                <w:sz w:val="14"/>
                <w:szCs w:val="14"/>
                <w:color w:val="auto"/>
              </w:rPr>
              <w:t>Less: other</w:t>
            </w:r>
          </w:p>
        </w:tc>
        <w:tc>
          <w:tcPr>
            <w:tcW w:w="118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23"/>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selling, general and administrative, Non-GAAP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599.7</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572.4</w:t>
            </w:r>
          </w:p>
        </w:tc>
      </w:tr>
      <w:tr>
        <w:trPr>
          <w:trHeight w:val="65"/>
        </w:trPr>
        <w:tc>
          <w:tcPr>
            <w:tcW w:w="7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80" w:type="dxa"/>
            <w:vAlign w:val="bottom"/>
            <w:tcBorders>
              <w:top w:val="single" w:sz="8" w:color="auto"/>
              <w:bottom w:val="single" w:sz="8" w:color="auto"/>
            </w:tcBorders>
            <w:shd w:val="clear" w:color="auto" w:fill="DBDBDB"/>
          </w:tcPr>
          <w:p>
            <w:pPr>
              <w:spacing w:after="0"/>
              <w:rPr>
                <w:sz w:val="5"/>
                <w:szCs w:val="5"/>
                <w:color w:val="auto"/>
              </w:rPr>
            </w:pPr>
          </w:p>
        </w:tc>
        <w:tc>
          <w:tcPr>
            <w:tcW w:w="58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00" w:type="dxa"/>
            <w:vAlign w:val="bottom"/>
            <w:tcBorders>
              <w:top w:val="single" w:sz="8" w:color="auto"/>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r>
      <w:tr>
        <w:trPr>
          <w:trHeight w:val="185"/>
        </w:trPr>
        <w:tc>
          <w:tcPr>
            <w:tcW w:w="7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and Impairment of Acquired Intangible Assets:</w:t>
            </w:r>
          </w:p>
        </w:tc>
        <w:tc>
          <w:tcPr>
            <w:tcW w:w="118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amortization and impairment of acquired intangible assets, 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136.5</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111.8</w:t>
            </w:r>
          </w:p>
        </w:tc>
      </w:tr>
      <w:tr>
        <w:trPr>
          <w:trHeight w:val="198"/>
        </w:trPr>
        <w:tc>
          <w:tcPr>
            <w:tcW w:w="7640" w:type="dxa"/>
            <w:vAlign w:val="bottom"/>
            <w:gridSpan w:val="2"/>
          </w:tcPr>
          <w:p>
            <w:pPr>
              <w:ind w:left="220"/>
              <w:spacing w:after="0"/>
              <w:rPr>
                <w:sz w:val="20"/>
                <w:szCs w:val="20"/>
                <w:color w:val="auto"/>
              </w:rPr>
            </w:pPr>
            <w:r>
              <w:rPr>
                <w:rFonts w:ascii="Arial" w:cs="Arial" w:eastAsia="Arial" w:hAnsi="Arial"/>
                <w:sz w:val="14"/>
                <w:szCs w:val="14"/>
                <w:color w:val="auto"/>
              </w:rPr>
              <w:t>Less: amortization of acquired intangible assets</w:t>
            </w:r>
          </w:p>
        </w:tc>
        <w:tc>
          <w:tcPr>
            <w:tcW w:w="118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123.1</w:t>
            </w:r>
          </w:p>
        </w:tc>
        <w:tc>
          <w:tcPr>
            <w:tcW w:w="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w:t>
            </w:r>
          </w:p>
        </w:tc>
      </w:tr>
      <w:tr>
        <w:trPr>
          <w:trHeight w:val="223"/>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amortization and impairment of acquired intangible assets, Non-GAAP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13.4</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65"/>
        </w:trPr>
        <w:tc>
          <w:tcPr>
            <w:tcW w:w="7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80" w:type="dxa"/>
            <w:vAlign w:val="bottom"/>
            <w:tcBorders>
              <w:top w:val="single" w:sz="8" w:color="auto"/>
              <w:bottom w:val="single" w:sz="8" w:color="auto"/>
            </w:tcBorders>
            <w:shd w:val="clear" w:color="auto" w:fill="DBDBDB"/>
          </w:tcPr>
          <w:p>
            <w:pPr>
              <w:spacing w:after="0"/>
              <w:rPr>
                <w:sz w:val="5"/>
                <w:szCs w:val="5"/>
                <w:color w:val="auto"/>
              </w:rPr>
            </w:pPr>
          </w:p>
        </w:tc>
        <w:tc>
          <w:tcPr>
            <w:tcW w:w="58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00" w:type="dxa"/>
            <w:vAlign w:val="bottom"/>
            <w:tcBorders>
              <w:top w:val="single" w:sz="8" w:color="auto"/>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r>
      <w:tr>
        <w:trPr>
          <w:trHeight w:val="185"/>
        </w:trPr>
        <w:tc>
          <w:tcPr>
            <w:tcW w:w="764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(Income) Expense, net:</w:t>
            </w:r>
          </w:p>
        </w:tc>
        <w:tc>
          <w:tcPr>
            <w:tcW w:w="118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other (income) expense, net, 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19.7</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68.4</w:t>
            </w:r>
          </w:p>
        </w:tc>
      </w:tr>
      <w:tr>
        <w:trPr>
          <w:trHeight w:val="198"/>
        </w:trPr>
        <w:tc>
          <w:tcPr>
            <w:tcW w:w="7640" w:type="dxa"/>
            <w:vAlign w:val="bottom"/>
            <w:gridSpan w:val="2"/>
          </w:tcPr>
          <w:p>
            <w:pPr>
              <w:ind w:left="220"/>
              <w:spacing w:after="0"/>
              <w:rPr>
                <w:sz w:val="20"/>
                <w:szCs w:val="20"/>
                <w:color w:val="auto"/>
              </w:rPr>
            </w:pPr>
            <w:r>
              <w:rPr>
                <w:rFonts w:ascii="Arial" w:cs="Arial" w:eastAsia="Arial" w:hAnsi="Arial"/>
                <w:sz w:val="14"/>
                <w:szCs w:val="14"/>
                <w:color w:val="auto"/>
              </w:rPr>
              <w:t>Less: (gain) loss on equity security investments</w:t>
            </w:r>
          </w:p>
        </w:tc>
        <w:tc>
          <w:tcPr>
            <w:tcW w:w="118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(22.3)</w:t>
            </w:r>
          </w:p>
        </w:tc>
        <w:tc>
          <w:tcPr>
            <w:tcW w:w="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r>
      <w:tr>
        <w:trPr>
          <w:trHeight w:val="223"/>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other (income) expense, net, Non-GAAP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42.0</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32.8</w:t>
            </w:r>
          </w:p>
        </w:tc>
      </w:tr>
      <w:tr>
        <w:trPr>
          <w:trHeight w:val="65"/>
        </w:trPr>
        <w:tc>
          <w:tcPr>
            <w:tcW w:w="7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80" w:type="dxa"/>
            <w:vAlign w:val="bottom"/>
            <w:tcBorders>
              <w:top w:val="single" w:sz="8" w:color="auto"/>
              <w:bottom w:val="single" w:sz="8" w:color="auto"/>
            </w:tcBorders>
            <w:shd w:val="clear" w:color="auto" w:fill="DBDBDB"/>
          </w:tcPr>
          <w:p>
            <w:pPr>
              <w:spacing w:after="0"/>
              <w:rPr>
                <w:sz w:val="5"/>
                <w:szCs w:val="5"/>
                <w:color w:val="auto"/>
              </w:rPr>
            </w:pPr>
          </w:p>
        </w:tc>
        <w:tc>
          <w:tcPr>
            <w:tcW w:w="58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00" w:type="dxa"/>
            <w:vAlign w:val="bottom"/>
            <w:tcBorders>
              <w:top w:val="single" w:sz="8" w:color="auto"/>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r>
      <w:tr>
        <w:trPr>
          <w:trHeight w:val="185"/>
        </w:trPr>
        <w:tc>
          <w:tcPr>
            <w:tcW w:w="76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118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income tax (benefit) expense, 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58.2</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70.7</w:t>
            </w:r>
          </w:p>
        </w:tc>
      </w:tr>
      <w:tr>
        <w:trPr>
          <w:trHeight w:val="198"/>
        </w:trPr>
        <w:tc>
          <w:tcPr>
            <w:tcW w:w="7640" w:type="dxa"/>
            <w:vAlign w:val="bottom"/>
            <w:gridSpan w:val="2"/>
          </w:tcPr>
          <w:p>
            <w:pPr>
              <w:ind w:left="220"/>
              <w:spacing w:after="0"/>
              <w:rPr>
                <w:sz w:val="20"/>
                <w:szCs w:val="20"/>
                <w:color w:val="auto"/>
              </w:rPr>
            </w:pPr>
            <w:r>
              <w:rPr>
                <w:rFonts w:ascii="Arial" w:cs="Arial" w:eastAsia="Arial" w:hAnsi="Arial"/>
                <w:sz w:val="14"/>
                <w:szCs w:val="14"/>
                <w:color w:val="auto"/>
              </w:rPr>
              <w:t>Less: income tax effect related to Non-GAAP reconciling items</w:t>
            </w:r>
          </w:p>
        </w:tc>
        <w:tc>
          <w:tcPr>
            <w:tcW w:w="118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(37.1)</w:t>
            </w:r>
          </w:p>
        </w:tc>
        <w:tc>
          <w:tcPr>
            <w:tcW w:w="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r>
      <w:tr>
        <w:trPr>
          <w:trHeight w:val="223"/>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Total income tax (benefit) expense, Non-GAAP</w:t>
            </w:r>
          </w:p>
        </w:tc>
        <w:tc>
          <w:tcPr>
            <w:tcW w:w="118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w w:val="76"/>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95.3</w:t>
            </w:r>
          </w:p>
        </w:tc>
        <w:tc>
          <w:tcPr>
            <w:tcW w:w="1380" w:type="dxa"/>
            <w:vAlign w:val="bottom"/>
            <w:gridSpan w:val="2"/>
          </w:tcPr>
          <w:p>
            <w:pPr>
              <w:jc w:val="right"/>
              <w:ind w:right="113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106.8</w:t>
            </w:r>
          </w:p>
        </w:tc>
      </w:tr>
      <w:tr>
        <w:trPr>
          <w:trHeight w:val="65"/>
        </w:trPr>
        <w:tc>
          <w:tcPr>
            <w:tcW w:w="7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80" w:type="dxa"/>
            <w:vAlign w:val="bottom"/>
            <w:tcBorders>
              <w:top w:val="single" w:sz="8" w:color="auto"/>
              <w:bottom w:val="single" w:sz="8" w:color="auto"/>
            </w:tcBorders>
            <w:shd w:val="clear" w:color="auto" w:fill="DBDBDB"/>
          </w:tcPr>
          <w:p>
            <w:pPr>
              <w:spacing w:after="0"/>
              <w:rPr>
                <w:sz w:val="5"/>
                <w:szCs w:val="5"/>
                <w:color w:val="auto"/>
              </w:rPr>
            </w:pPr>
          </w:p>
        </w:tc>
        <w:tc>
          <w:tcPr>
            <w:tcW w:w="58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00" w:type="dxa"/>
            <w:vAlign w:val="bottom"/>
            <w:tcBorders>
              <w:top w:val="single" w:sz="8" w:color="auto"/>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11</w:t>
      </w:r>
    </w:p>
    <w:p>
      <w:pPr>
        <w:sectPr>
          <w:pgSz w:w="11900" w:h="16838" w:orient="portrait"/>
          <w:cols w:equalWidth="0" w:num="1">
            <w:col w:w="11240"/>
          </w:cols>
          <w:pgMar w:left="320" w:top="1019" w:right="339" w:bottom="1440" w:gutter="0" w:footer="0" w:header="0"/>
        </w:sectPr>
      </w:pPr>
    </w:p>
    <w:bookmarkStart w:id="14" w:name="page15"/>
    <w:bookmarkEnd w:id="14"/>
    <w:p>
      <w:pPr>
        <w:ind w:left="4920"/>
        <w:spacing w:after="0"/>
        <w:rPr>
          <w:sz w:val="20"/>
          <w:szCs w:val="20"/>
          <w:color w:val="auto"/>
        </w:rPr>
      </w:pPr>
      <w:r>
        <w:rPr>
          <w:rFonts w:ascii="Arial" w:cs="Arial" w:eastAsia="Arial" w:hAnsi="Arial"/>
          <w:sz w:val="21"/>
          <w:szCs w:val="21"/>
          <w:b w:val="1"/>
          <w:bCs w:val="1"/>
          <w:color w:val="1C5A7D"/>
        </w:rPr>
        <w:t>TABLE 4 (continued)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GAAP TO NON-GAAP RECONCILIATION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NET INCOME ATTRIBUTABLE TO BIOGEN INC. &amp; DILUTED EPS</w:t>
      </w:r>
    </w:p>
    <w:p>
      <w:pPr>
        <w:jc w:val="center"/>
        <w:spacing w:after="0"/>
        <w:rPr>
          <w:sz w:val="20"/>
          <w:szCs w:val="20"/>
          <w:color w:val="auto"/>
        </w:rPr>
      </w:pPr>
      <w:r>
        <w:rPr>
          <w:rFonts w:ascii="Arial" w:cs="Arial" w:eastAsia="Arial" w:hAnsi="Arial"/>
          <w:sz w:val="17"/>
          <w:szCs w:val="17"/>
          <w:b w:val="1"/>
          <w:bCs w:val="1"/>
          <w:i w:val="1"/>
          <w:iCs w:val="1"/>
          <w:color w:val="1C5A7D"/>
        </w:rPr>
        <w:t>(unaudited, in millions, except effective tax rate and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For the Three Months Ended March 31,</w:t>
            </w:r>
          </w:p>
        </w:tc>
        <w:tc>
          <w:tcPr>
            <w:tcW w:w="560" w:type="dxa"/>
            <w:vAlign w:val="bottom"/>
            <w:tcBorders>
              <w:bottom w:val="single" w:sz="8" w:color="auto"/>
            </w:tcBorders>
          </w:tcPr>
          <w:p>
            <w:pPr>
              <w:spacing w:after="0"/>
              <w:rPr>
                <w:sz w:val="16"/>
                <w:szCs w:val="16"/>
                <w:color w:val="auto"/>
              </w:rPr>
            </w:pPr>
          </w:p>
        </w:tc>
      </w:tr>
      <w:tr>
        <w:trPr>
          <w:trHeight w:val="187"/>
        </w:trPr>
        <w:tc>
          <w:tcPr>
            <w:tcW w:w="7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shd w:val="clear" w:color="auto" w:fill="DBDBDB"/>
          </w:tcPr>
          <w:p>
            <w:pPr>
              <w:jc w:val="right"/>
              <w:ind w:right="51"/>
              <w:spacing w:after="0"/>
              <w:rPr>
                <w:sz w:val="20"/>
                <w:szCs w:val="20"/>
                <w:color w:val="auto"/>
              </w:rPr>
            </w:pPr>
            <w:r>
              <w:rPr>
                <w:rFonts w:ascii="Arial" w:cs="Arial" w:eastAsia="Arial" w:hAnsi="Arial"/>
                <w:sz w:val="14"/>
                <w:szCs w:val="14"/>
                <w:b w:val="1"/>
                <w:bCs w:val="1"/>
                <w:color w:val="00497F"/>
              </w:rPr>
              <w:t>2026</w:t>
            </w:r>
          </w:p>
        </w:tc>
        <w:tc>
          <w:tcPr>
            <w:tcW w:w="50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186"/>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Effective Tax Rate:</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8"/>
        </w:trPr>
        <w:tc>
          <w:tcPr>
            <w:tcW w:w="7480" w:type="dxa"/>
            <w:vAlign w:val="bottom"/>
          </w:tcPr>
          <w:p>
            <w:pPr>
              <w:ind w:left="20"/>
              <w:spacing w:after="0"/>
              <w:rPr>
                <w:sz w:val="20"/>
                <w:szCs w:val="20"/>
                <w:color w:val="auto"/>
              </w:rPr>
            </w:pPr>
            <w:r>
              <w:rPr>
                <w:rFonts w:ascii="Arial" w:cs="Arial" w:eastAsia="Arial" w:hAnsi="Arial"/>
                <w:sz w:val="14"/>
                <w:szCs w:val="14"/>
                <w:color w:val="auto"/>
              </w:rPr>
              <w:t>Total effective tax rate, GAAP</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15.4</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79"/>
              </w:rPr>
              <w:t>%</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22.7 %</w:t>
            </w:r>
          </w:p>
        </w:tc>
      </w:tr>
      <w:tr>
        <w:trPr>
          <w:trHeight w:val="198"/>
        </w:trPr>
        <w:tc>
          <w:tcPr>
            <w:tcW w:w="7480" w:type="dxa"/>
            <w:vAlign w:val="bottom"/>
          </w:tcPr>
          <w:p>
            <w:pPr>
              <w:ind w:left="220"/>
              <w:spacing w:after="0"/>
              <w:rPr>
                <w:sz w:val="20"/>
                <w:szCs w:val="20"/>
                <w:color w:val="auto"/>
              </w:rPr>
            </w:pPr>
            <w:r>
              <w:rPr>
                <w:rFonts w:ascii="Arial" w:cs="Arial" w:eastAsia="Arial" w:hAnsi="Arial"/>
                <w:sz w:val="14"/>
                <w:szCs w:val="14"/>
                <w:color w:val="auto"/>
              </w:rPr>
              <w:t>Less: impact of GAAP to Non-GAAP adjustments</w:t>
            </w:r>
          </w:p>
        </w:tc>
        <w:tc>
          <w:tcPr>
            <w:tcW w:w="120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0.1</w:t>
            </w:r>
          </w:p>
        </w:tc>
        <w:tc>
          <w:tcPr>
            <w:tcW w:w="14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3.3</w:t>
            </w:r>
          </w:p>
        </w:tc>
      </w:tr>
      <w:tr>
        <w:trPr>
          <w:trHeight w:val="223"/>
        </w:trPr>
        <w:tc>
          <w:tcPr>
            <w:tcW w:w="7480" w:type="dxa"/>
            <w:vAlign w:val="bottom"/>
          </w:tcPr>
          <w:p>
            <w:pPr>
              <w:ind w:left="20"/>
              <w:spacing w:after="0"/>
              <w:rPr>
                <w:sz w:val="20"/>
                <w:szCs w:val="20"/>
                <w:color w:val="auto"/>
              </w:rPr>
            </w:pPr>
            <w:r>
              <w:rPr>
                <w:rFonts w:ascii="Arial" w:cs="Arial" w:eastAsia="Arial" w:hAnsi="Arial"/>
                <w:sz w:val="14"/>
                <w:szCs w:val="14"/>
                <w:color w:val="auto"/>
              </w:rPr>
              <w:t>Total effective tax rate, Non-GAAP</w:t>
            </w:r>
          </w:p>
        </w:tc>
        <w:tc>
          <w:tcPr>
            <w:tcW w:w="120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15.3</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w w:val="79"/>
              </w:rPr>
              <w:t>%</w:t>
            </w:r>
          </w:p>
        </w:tc>
        <w:tc>
          <w:tcPr>
            <w:tcW w:w="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19.4 %</w:t>
            </w:r>
          </w:p>
        </w:tc>
      </w:tr>
      <w:tr>
        <w:trPr>
          <w:trHeight w:val="65"/>
        </w:trPr>
        <w:tc>
          <w:tcPr>
            <w:tcW w:w="74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shd w:val="clear" w:color="auto" w:fill="DBDBDB"/>
          </w:tcPr>
          <w:p>
            <w:pPr>
              <w:spacing w:after="0"/>
              <w:rPr>
                <w:sz w:val="5"/>
                <w:szCs w:val="5"/>
                <w:color w:val="auto"/>
              </w:rPr>
            </w:pPr>
          </w:p>
        </w:tc>
        <w:tc>
          <w:tcPr>
            <w:tcW w:w="500" w:type="dxa"/>
            <w:vAlign w:val="bottom"/>
            <w:tcBorders>
              <w:bottom w:val="single" w:sz="8" w:color="auto"/>
            </w:tcBorders>
            <w:shd w:val="clear" w:color="auto" w:fill="DBDBDB"/>
          </w:tcPr>
          <w:p>
            <w:pPr>
              <w:spacing w:after="0"/>
              <w:rPr>
                <w:sz w:val="5"/>
                <w:szCs w:val="5"/>
                <w:color w:val="auto"/>
              </w:rPr>
            </w:pPr>
          </w:p>
        </w:tc>
        <w:tc>
          <w:tcPr>
            <w:tcW w:w="140" w:type="dxa"/>
            <w:vAlign w:val="bottom"/>
            <w:tcBorders>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r>
      <w:tr>
        <w:trPr>
          <w:trHeight w:val="185"/>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Biogen Inc.:</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8"/>
        </w:trPr>
        <w:tc>
          <w:tcPr>
            <w:tcW w:w="7480" w:type="dxa"/>
            <w:vAlign w:val="bottom"/>
          </w:tcPr>
          <w:p>
            <w:pPr>
              <w:ind w:left="20"/>
              <w:spacing w:after="0"/>
              <w:rPr>
                <w:sz w:val="20"/>
                <w:szCs w:val="20"/>
                <w:color w:val="auto"/>
              </w:rPr>
            </w:pPr>
            <w:r>
              <w:rPr>
                <w:rFonts w:ascii="Arial" w:cs="Arial" w:eastAsia="Arial" w:hAnsi="Arial"/>
                <w:sz w:val="14"/>
                <w:szCs w:val="14"/>
                <w:color w:val="auto"/>
              </w:rPr>
              <w:t>Total net income attributable to Biogen Inc., GAAP</w:t>
            </w:r>
          </w:p>
        </w:tc>
        <w:tc>
          <w:tcPr>
            <w:tcW w:w="120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319.5</w:t>
            </w:r>
          </w:p>
        </w:tc>
        <w:tc>
          <w:tcPr>
            <w:tcW w:w="140" w:type="dxa"/>
            <w:vAlign w:val="bottom"/>
            <w:shd w:val="clear" w:color="auto" w:fill="DBDBDB"/>
          </w:tcPr>
          <w:p>
            <w:pPr>
              <w:spacing w:after="0"/>
              <w:rPr>
                <w:sz w:val="16"/>
                <w:szCs w:val="16"/>
                <w:color w:val="auto"/>
              </w:rPr>
            </w:pPr>
          </w:p>
        </w:tc>
        <w:tc>
          <w:tcPr>
            <w:tcW w:w="1360" w:type="dxa"/>
            <w:vAlign w:val="bottom"/>
            <w:gridSpan w:val="2"/>
          </w:tcPr>
          <w:p>
            <w:pPr>
              <w:jc w:val="right"/>
              <w:ind w:right="11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240.5</w:t>
            </w:r>
          </w:p>
        </w:tc>
      </w:tr>
      <w:tr>
        <w:trPr>
          <w:trHeight w:val="194"/>
        </w:trPr>
        <w:tc>
          <w:tcPr>
            <w:tcW w:w="7480" w:type="dxa"/>
            <w:vAlign w:val="bottom"/>
          </w:tcPr>
          <w:p>
            <w:pPr>
              <w:ind w:left="120"/>
              <w:spacing w:after="0"/>
              <w:rPr>
                <w:sz w:val="20"/>
                <w:szCs w:val="20"/>
                <w:color w:val="auto"/>
              </w:rPr>
            </w:pPr>
            <w:r>
              <w:rPr>
                <w:rFonts w:ascii="Arial" w:cs="Arial" w:eastAsia="Arial" w:hAnsi="Arial"/>
                <w:sz w:val="14"/>
                <w:szCs w:val="14"/>
                <w:color w:val="auto"/>
              </w:rPr>
              <w:t>Plus: litigation matter</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1.1</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w:t>
            </w:r>
          </w:p>
        </w:tc>
      </w:tr>
      <w:tr>
        <w:trPr>
          <w:trHeight w:val="194"/>
        </w:trPr>
        <w:tc>
          <w:tcPr>
            <w:tcW w:w="7480" w:type="dxa"/>
            <w:vAlign w:val="bottom"/>
          </w:tcPr>
          <w:p>
            <w:pPr>
              <w:ind w:left="120"/>
              <w:spacing w:after="0"/>
              <w:rPr>
                <w:sz w:val="20"/>
                <w:szCs w:val="20"/>
                <w:color w:val="auto"/>
              </w:rPr>
            </w:pPr>
            <w:r>
              <w:rPr>
                <w:rFonts w:ascii="Arial" w:cs="Arial" w:eastAsia="Arial" w:hAnsi="Arial"/>
                <w:sz w:val="14"/>
                <w:szCs w:val="14"/>
                <w:color w:val="auto"/>
              </w:rPr>
              <w:t>Plus: amortization of Reata inventory fair value step-up</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105.6</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49.4</w:t>
            </w:r>
          </w:p>
        </w:tc>
      </w:tr>
      <w:tr>
        <w:trPr>
          <w:trHeight w:val="194"/>
        </w:trPr>
        <w:tc>
          <w:tcPr>
            <w:tcW w:w="7480" w:type="dxa"/>
            <w:vAlign w:val="bottom"/>
          </w:tcPr>
          <w:p>
            <w:pPr>
              <w:ind w:left="120"/>
              <w:spacing w:after="0"/>
              <w:rPr>
                <w:sz w:val="20"/>
                <w:szCs w:val="20"/>
                <w:color w:val="auto"/>
              </w:rPr>
            </w:pPr>
            <w:r>
              <w:rPr>
                <w:rFonts w:ascii="Arial" w:cs="Arial" w:eastAsia="Arial" w:hAnsi="Arial"/>
                <w:sz w:val="14"/>
                <w:szCs w:val="14"/>
                <w:color w:val="auto"/>
              </w:rPr>
              <w:t>Plus: acquisition-related transaction and integration costs</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5.4</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2.0</w:t>
            </w:r>
          </w:p>
        </w:tc>
      </w:tr>
      <w:tr>
        <w:trPr>
          <w:trHeight w:val="194"/>
        </w:trPr>
        <w:tc>
          <w:tcPr>
            <w:tcW w:w="7480" w:type="dxa"/>
            <w:vAlign w:val="bottom"/>
          </w:tcPr>
          <w:p>
            <w:pPr>
              <w:ind w:left="120"/>
              <w:spacing w:after="0"/>
              <w:rPr>
                <w:sz w:val="20"/>
                <w:szCs w:val="20"/>
                <w:color w:val="auto"/>
              </w:rPr>
            </w:pPr>
            <w:r>
              <w:rPr>
                <w:rFonts w:ascii="Arial" w:cs="Arial" w:eastAsia="Arial" w:hAnsi="Arial"/>
                <w:sz w:val="14"/>
                <w:szCs w:val="14"/>
                <w:color w:val="auto"/>
              </w:rPr>
              <w:t>Plus: amortization of acquired intangible assets</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123.1</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101.3</w:t>
            </w:r>
          </w:p>
        </w:tc>
      </w:tr>
      <w:tr>
        <w:trPr>
          <w:trHeight w:val="194"/>
        </w:trPr>
        <w:tc>
          <w:tcPr>
            <w:tcW w:w="7480" w:type="dxa"/>
            <w:vAlign w:val="bottom"/>
          </w:tcPr>
          <w:p>
            <w:pPr>
              <w:ind w:left="120"/>
              <w:spacing w:after="0"/>
              <w:rPr>
                <w:sz w:val="20"/>
                <w:szCs w:val="20"/>
                <w:color w:val="auto"/>
              </w:rPr>
            </w:pPr>
            <w:r>
              <w:rPr>
                <w:rFonts w:ascii="Arial" w:cs="Arial" w:eastAsia="Arial" w:hAnsi="Arial"/>
                <w:sz w:val="14"/>
                <w:szCs w:val="14"/>
                <w:color w:val="auto"/>
              </w:rPr>
              <w:t>Plus: restructuring charges and other cost saving initiatives</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13.3</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40.6</w:t>
            </w:r>
          </w:p>
        </w:tc>
      </w:tr>
      <w:tr>
        <w:trPr>
          <w:trHeight w:val="194"/>
        </w:trPr>
        <w:tc>
          <w:tcPr>
            <w:tcW w:w="7480" w:type="dxa"/>
            <w:vAlign w:val="bottom"/>
          </w:tcPr>
          <w:p>
            <w:pPr>
              <w:ind w:left="120"/>
              <w:spacing w:after="0"/>
              <w:rPr>
                <w:sz w:val="20"/>
                <w:szCs w:val="20"/>
                <w:color w:val="auto"/>
              </w:rPr>
            </w:pPr>
            <w:r>
              <w:rPr>
                <w:rFonts w:ascii="Arial" w:cs="Arial" w:eastAsia="Arial" w:hAnsi="Arial"/>
                <w:sz w:val="14"/>
                <w:szCs w:val="14"/>
                <w:color w:val="auto"/>
              </w:rPr>
              <w:t>Plus: (gain) loss on fair value remeasurement of contingent consideration</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20.5</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9.6</w:t>
            </w:r>
          </w:p>
        </w:tc>
      </w:tr>
      <w:tr>
        <w:trPr>
          <w:trHeight w:val="194"/>
        </w:trPr>
        <w:tc>
          <w:tcPr>
            <w:tcW w:w="7480" w:type="dxa"/>
            <w:vAlign w:val="bottom"/>
          </w:tcPr>
          <w:p>
            <w:pPr>
              <w:ind w:left="120"/>
              <w:spacing w:after="0"/>
              <w:rPr>
                <w:sz w:val="20"/>
                <w:szCs w:val="20"/>
                <w:color w:val="auto"/>
              </w:rPr>
            </w:pPr>
            <w:r>
              <w:rPr>
                <w:rFonts w:ascii="Arial" w:cs="Arial" w:eastAsia="Arial" w:hAnsi="Arial"/>
                <w:sz w:val="14"/>
                <w:szCs w:val="14"/>
                <w:color w:val="auto"/>
              </w:rPr>
              <w:t>Plus: (gain) loss on equity security investments</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(22.3)</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35.6</w:t>
            </w:r>
          </w:p>
        </w:tc>
      </w:tr>
      <w:tr>
        <w:trPr>
          <w:trHeight w:val="194"/>
        </w:trPr>
        <w:tc>
          <w:tcPr>
            <w:tcW w:w="7480" w:type="dxa"/>
            <w:vAlign w:val="bottom"/>
          </w:tcPr>
          <w:p>
            <w:pPr>
              <w:ind w:left="120"/>
              <w:spacing w:after="0"/>
              <w:rPr>
                <w:sz w:val="20"/>
                <w:szCs w:val="20"/>
                <w:color w:val="auto"/>
              </w:rPr>
            </w:pPr>
            <w:r>
              <w:rPr>
                <w:rFonts w:ascii="Arial" w:cs="Arial" w:eastAsia="Arial" w:hAnsi="Arial"/>
                <w:sz w:val="14"/>
                <w:szCs w:val="14"/>
                <w:color w:val="auto"/>
              </w:rPr>
              <w:t>Plus: income tax effect related to Non-GAAP reconciling items</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(37.1)</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jc w:val="right"/>
              <w:ind w:right="71"/>
              <w:spacing w:after="0"/>
              <w:rPr>
                <w:sz w:val="20"/>
                <w:szCs w:val="20"/>
                <w:color w:val="auto"/>
              </w:rPr>
            </w:pPr>
            <w:r>
              <w:rPr>
                <w:rFonts w:ascii="Arial" w:cs="Arial" w:eastAsia="Arial" w:hAnsi="Arial"/>
                <w:sz w:val="14"/>
                <w:szCs w:val="14"/>
                <w:color w:val="auto"/>
              </w:rPr>
              <w:t>(36.1)</w:t>
            </w:r>
          </w:p>
        </w:tc>
      </w:tr>
      <w:tr>
        <w:trPr>
          <w:trHeight w:val="198"/>
        </w:trPr>
        <w:tc>
          <w:tcPr>
            <w:tcW w:w="7480" w:type="dxa"/>
            <w:vAlign w:val="bottom"/>
          </w:tcPr>
          <w:p>
            <w:pPr>
              <w:ind w:left="120"/>
              <w:spacing w:after="0"/>
              <w:rPr>
                <w:sz w:val="20"/>
                <w:szCs w:val="20"/>
                <w:color w:val="auto"/>
              </w:rPr>
            </w:pPr>
            <w:r>
              <w:rPr>
                <w:rFonts w:ascii="Arial" w:cs="Arial" w:eastAsia="Arial" w:hAnsi="Arial"/>
                <w:sz w:val="14"/>
                <w:szCs w:val="14"/>
                <w:color w:val="auto"/>
              </w:rPr>
              <w:t>Plus: other</w:t>
            </w:r>
          </w:p>
        </w:tc>
        <w:tc>
          <w:tcPr>
            <w:tcW w:w="120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4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0.3</w:t>
            </w:r>
          </w:p>
        </w:tc>
      </w:tr>
      <w:tr>
        <w:trPr>
          <w:trHeight w:val="223"/>
        </w:trPr>
        <w:tc>
          <w:tcPr>
            <w:tcW w:w="7480" w:type="dxa"/>
            <w:vAlign w:val="bottom"/>
          </w:tcPr>
          <w:p>
            <w:pPr>
              <w:ind w:left="20"/>
              <w:spacing w:after="0"/>
              <w:rPr>
                <w:sz w:val="20"/>
                <w:szCs w:val="20"/>
                <w:color w:val="auto"/>
              </w:rPr>
            </w:pPr>
            <w:r>
              <w:rPr>
                <w:rFonts w:ascii="Arial" w:cs="Arial" w:eastAsia="Arial" w:hAnsi="Arial"/>
                <w:sz w:val="14"/>
                <w:szCs w:val="14"/>
                <w:color w:val="auto"/>
              </w:rPr>
              <w:t>Total net income attributable to Biogen Inc., Non-GAAP</w:t>
            </w:r>
          </w:p>
        </w:tc>
        <w:tc>
          <w:tcPr>
            <w:tcW w:w="120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529.1</w:t>
            </w:r>
          </w:p>
        </w:tc>
        <w:tc>
          <w:tcPr>
            <w:tcW w:w="140" w:type="dxa"/>
            <w:vAlign w:val="bottom"/>
            <w:shd w:val="clear" w:color="auto" w:fill="DBDBDB"/>
          </w:tcPr>
          <w:p>
            <w:pPr>
              <w:spacing w:after="0"/>
              <w:rPr>
                <w:sz w:val="19"/>
                <w:szCs w:val="19"/>
                <w:color w:val="auto"/>
              </w:rPr>
            </w:pPr>
          </w:p>
        </w:tc>
        <w:tc>
          <w:tcPr>
            <w:tcW w:w="1360" w:type="dxa"/>
            <w:vAlign w:val="bottom"/>
            <w:gridSpan w:val="2"/>
          </w:tcPr>
          <w:p>
            <w:pPr>
              <w:jc w:val="right"/>
              <w:ind w:right="11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443.2</w:t>
            </w:r>
          </w:p>
        </w:tc>
      </w:tr>
      <w:tr>
        <w:trPr>
          <w:trHeight w:val="65"/>
        </w:trPr>
        <w:tc>
          <w:tcPr>
            <w:tcW w:w="7480" w:type="dxa"/>
            <w:vAlign w:val="bottom"/>
            <w:tcBorders>
              <w:bottom w:val="single" w:sz="8" w:color="auto"/>
            </w:tcBorders>
          </w:tcPr>
          <w:p>
            <w:pPr>
              <w:spacing w:after="0"/>
              <w:rPr>
                <w:sz w:val="5"/>
                <w:szCs w:val="5"/>
                <w:color w:val="auto"/>
              </w:rPr>
            </w:pPr>
          </w:p>
        </w:tc>
        <w:tc>
          <w:tcPr>
            <w:tcW w:w="1200" w:type="dxa"/>
            <w:vAlign w:val="bottom"/>
            <w:tcBorders>
              <w:top w:val="single" w:sz="8" w:color="auto"/>
              <w:bottom w:val="single" w:sz="8" w:color="auto"/>
            </w:tcBorders>
            <w:shd w:val="clear" w:color="auto" w:fill="DBDBDB"/>
          </w:tcPr>
          <w:p>
            <w:pPr>
              <w:spacing w:after="0"/>
              <w:rPr>
                <w:sz w:val="5"/>
                <w:szCs w:val="5"/>
                <w:color w:val="auto"/>
              </w:rPr>
            </w:pPr>
          </w:p>
        </w:tc>
        <w:tc>
          <w:tcPr>
            <w:tcW w:w="500" w:type="dxa"/>
            <w:vAlign w:val="bottom"/>
            <w:tcBorders>
              <w:top w:val="single" w:sz="8" w:color="auto"/>
              <w:bottom w:val="single" w:sz="8" w:color="auto"/>
            </w:tcBorders>
            <w:shd w:val="clear" w:color="auto" w:fill="DBDBDB"/>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80" w:type="dxa"/>
            <w:vAlign w:val="bottom"/>
            <w:tcBorders>
              <w:top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r>
      <w:tr>
        <w:trPr>
          <w:trHeight w:val="185"/>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8"/>
        </w:trPr>
        <w:tc>
          <w:tcPr>
            <w:tcW w:w="7480" w:type="dxa"/>
            <w:vAlign w:val="bottom"/>
          </w:tcPr>
          <w:p>
            <w:pPr>
              <w:ind w:left="20"/>
              <w:spacing w:after="0"/>
              <w:rPr>
                <w:sz w:val="20"/>
                <w:szCs w:val="20"/>
                <w:color w:val="auto"/>
              </w:rPr>
            </w:pPr>
            <w:r>
              <w:rPr>
                <w:rFonts w:ascii="Arial" w:cs="Arial" w:eastAsia="Arial" w:hAnsi="Arial"/>
                <w:sz w:val="14"/>
                <w:szCs w:val="14"/>
                <w:color w:val="auto"/>
              </w:rPr>
              <w:t>Total diluted earnings per share, GAAP</w:t>
            </w:r>
          </w:p>
        </w:tc>
        <w:tc>
          <w:tcPr>
            <w:tcW w:w="120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2.15</w:t>
            </w:r>
          </w:p>
        </w:tc>
        <w:tc>
          <w:tcPr>
            <w:tcW w:w="140" w:type="dxa"/>
            <w:vAlign w:val="bottom"/>
            <w:shd w:val="clear" w:color="auto" w:fill="DBDBDB"/>
          </w:tcPr>
          <w:p>
            <w:pPr>
              <w:spacing w:after="0"/>
              <w:rPr>
                <w:sz w:val="16"/>
                <w:szCs w:val="16"/>
                <w:color w:val="auto"/>
              </w:rPr>
            </w:pPr>
          </w:p>
        </w:tc>
        <w:tc>
          <w:tcPr>
            <w:tcW w:w="1360" w:type="dxa"/>
            <w:vAlign w:val="bottom"/>
            <w:gridSpan w:val="2"/>
          </w:tcPr>
          <w:p>
            <w:pPr>
              <w:jc w:val="right"/>
              <w:ind w:right="11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1.64</w:t>
            </w:r>
          </w:p>
        </w:tc>
      </w:tr>
      <w:tr>
        <w:trPr>
          <w:trHeight w:val="198"/>
        </w:trPr>
        <w:tc>
          <w:tcPr>
            <w:tcW w:w="7480" w:type="dxa"/>
            <w:vAlign w:val="bottom"/>
          </w:tcPr>
          <w:p>
            <w:pPr>
              <w:ind w:left="220"/>
              <w:spacing w:after="0"/>
              <w:rPr>
                <w:sz w:val="20"/>
                <w:szCs w:val="20"/>
                <w:color w:val="auto"/>
              </w:rPr>
            </w:pPr>
            <w:r>
              <w:rPr>
                <w:rFonts w:ascii="Arial" w:cs="Arial" w:eastAsia="Arial" w:hAnsi="Arial"/>
                <w:sz w:val="14"/>
                <w:szCs w:val="14"/>
                <w:color w:val="auto"/>
              </w:rPr>
              <w:t>(Less) Plus: adjustments to GAAP net income attributable to Biogen Inc. (as detailed above)</w:t>
            </w:r>
          </w:p>
        </w:tc>
        <w:tc>
          <w:tcPr>
            <w:tcW w:w="120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1.42</w:t>
            </w:r>
          </w:p>
        </w:tc>
        <w:tc>
          <w:tcPr>
            <w:tcW w:w="14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1.38</w:t>
            </w:r>
          </w:p>
        </w:tc>
      </w:tr>
      <w:tr>
        <w:trPr>
          <w:trHeight w:val="211"/>
        </w:trPr>
        <w:tc>
          <w:tcPr>
            <w:tcW w:w="7480" w:type="dxa"/>
            <w:vAlign w:val="bottom"/>
          </w:tcPr>
          <w:p>
            <w:pPr>
              <w:ind w:left="20"/>
              <w:spacing w:after="0"/>
              <w:rPr>
                <w:sz w:val="20"/>
                <w:szCs w:val="20"/>
                <w:color w:val="auto"/>
              </w:rPr>
            </w:pPr>
            <w:r>
              <w:rPr>
                <w:rFonts w:ascii="Arial" w:cs="Arial" w:eastAsia="Arial" w:hAnsi="Arial"/>
                <w:sz w:val="14"/>
                <w:szCs w:val="14"/>
                <w:color w:val="auto"/>
              </w:rPr>
              <w:t>Total diluted earnings per share, Non-GAAP</w:t>
            </w:r>
          </w:p>
        </w:tc>
        <w:tc>
          <w:tcPr>
            <w:tcW w:w="120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00497F"/>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3.57</w:t>
            </w:r>
          </w:p>
        </w:tc>
        <w:tc>
          <w:tcPr>
            <w:tcW w:w="140" w:type="dxa"/>
            <w:vAlign w:val="bottom"/>
            <w:shd w:val="clear" w:color="auto" w:fill="DBDBDB"/>
          </w:tcPr>
          <w:p>
            <w:pPr>
              <w:spacing w:after="0"/>
              <w:rPr>
                <w:sz w:val="18"/>
                <w:szCs w:val="18"/>
                <w:color w:val="auto"/>
              </w:rPr>
            </w:pPr>
          </w:p>
        </w:tc>
        <w:tc>
          <w:tcPr>
            <w:tcW w:w="1360" w:type="dxa"/>
            <w:vAlign w:val="bottom"/>
            <w:gridSpan w:val="2"/>
          </w:tcPr>
          <w:p>
            <w:pPr>
              <w:jc w:val="right"/>
              <w:ind w:right="11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3.02</w:t>
            </w:r>
          </w:p>
        </w:tc>
      </w:tr>
      <w:tr>
        <w:trPr>
          <w:trHeight w:val="20"/>
        </w:trPr>
        <w:tc>
          <w:tcPr>
            <w:tcW w:w="74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36"/>
        </w:trPr>
        <w:tc>
          <w:tcPr>
            <w:tcW w:w="74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12</w:t>
      </w:r>
    </w:p>
    <w:p>
      <w:pPr>
        <w:sectPr>
          <w:pgSz w:w="11900" w:h="16838" w:orient="portrait"/>
          <w:cols w:equalWidth="0" w:num="1">
            <w:col w:w="11240"/>
          </w:cols>
          <w:pgMar w:left="320" w:top="101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1"/>
          <w:szCs w:val="21"/>
          <w:b w:val="1"/>
          <w:bCs w:val="1"/>
          <w:color w:val="1C5A7D"/>
        </w:rPr>
        <w:t>TABLE 4 (continued)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GAAP TO NON-GAAP RECONCILIATION: REVENUE CHANGE AT CONSTANT CURRENCY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1C5A7D"/>
        </w:rPr>
        <w:t>(unaudited)</w:t>
      </w:r>
    </w:p>
    <w:p>
      <w:pPr>
        <w:spacing w:after="0" w:line="99"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Revenue changes at constant currency are presented excluding the impact of changes in foreign currency exchange rates and hedging gains or losses. Foreign currency revenue values are converted into U.S. Dollars using the exchange rates from the end of the previous calendar year.</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140" w:type="dxa"/>
            <w:vAlign w:val="bottom"/>
          </w:tcPr>
          <w:p>
            <w:pPr>
              <w:spacing w:after="0"/>
              <w:rPr>
                <w:sz w:val="16"/>
                <w:szCs w:val="16"/>
                <w:color w:val="auto"/>
              </w:rPr>
            </w:pPr>
          </w:p>
        </w:tc>
        <w:tc>
          <w:tcPr>
            <w:tcW w:w="2080" w:type="dxa"/>
            <w:vAlign w:val="bottom"/>
            <w:gridSpan w:val="2"/>
            <w:shd w:val="clear" w:color="auto" w:fill="DBDBDB"/>
          </w:tcPr>
          <w:p>
            <w:pPr>
              <w:jc w:val="right"/>
              <w:ind w:right="662"/>
              <w:spacing w:after="0"/>
              <w:rPr>
                <w:sz w:val="20"/>
                <w:szCs w:val="20"/>
                <w:color w:val="auto"/>
              </w:rPr>
            </w:pPr>
            <w:r>
              <w:rPr>
                <w:rFonts w:ascii="Arial" w:cs="Arial" w:eastAsia="Arial" w:hAnsi="Arial"/>
                <w:sz w:val="16"/>
                <w:szCs w:val="16"/>
                <w:b w:val="1"/>
                <w:bCs w:val="1"/>
                <w:color w:val="00497F"/>
              </w:rPr>
              <w:t>Q1 2026</w:t>
            </w:r>
          </w:p>
        </w:tc>
        <w:tc>
          <w:tcPr>
            <w:tcW w:w="0" w:type="dxa"/>
            <w:vAlign w:val="bottom"/>
          </w:tcPr>
          <w:p>
            <w:pPr>
              <w:spacing w:after="0"/>
              <w:rPr>
                <w:sz w:val="1"/>
                <w:szCs w:val="1"/>
                <w:color w:val="auto"/>
              </w:rPr>
            </w:pPr>
          </w:p>
        </w:tc>
      </w:tr>
      <w:tr>
        <w:trPr>
          <w:trHeight w:val="155"/>
        </w:trPr>
        <w:tc>
          <w:tcPr>
            <w:tcW w:w="9140" w:type="dxa"/>
            <w:vAlign w:val="bottom"/>
          </w:tcPr>
          <w:p>
            <w:pPr>
              <w:spacing w:after="0"/>
              <w:rPr>
                <w:sz w:val="13"/>
                <w:szCs w:val="13"/>
                <w:color w:val="auto"/>
              </w:rPr>
            </w:pPr>
          </w:p>
        </w:tc>
        <w:tc>
          <w:tcPr>
            <w:tcW w:w="2080" w:type="dxa"/>
            <w:vAlign w:val="bottom"/>
            <w:gridSpan w:val="2"/>
            <w:shd w:val="clear" w:color="auto" w:fill="DBDBDB"/>
          </w:tcPr>
          <w:p>
            <w:pPr>
              <w:jc w:val="right"/>
              <w:ind w:right="842"/>
              <w:spacing w:after="0" w:line="155" w:lineRule="exact"/>
              <w:rPr>
                <w:sz w:val="20"/>
                <w:szCs w:val="20"/>
                <w:color w:val="auto"/>
              </w:rPr>
            </w:pPr>
            <w:r>
              <w:rPr>
                <w:rFonts w:ascii="Arial" w:cs="Arial" w:eastAsia="Arial" w:hAnsi="Arial"/>
                <w:sz w:val="16"/>
                <w:szCs w:val="16"/>
                <w:b w:val="1"/>
                <w:bCs w:val="1"/>
                <w:color w:val="00497F"/>
              </w:rPr>
              <w:t>vs.</w:t>
            </w:r>
          </w:p>
        </w:tc>
        <w:tc>
          <w:tcPr>
            <w:tcW w:w="0" w:type="dxa"/>
            <w:vAlign w:val="bottom"/>
          </w:tcPr>
          <w:p>
            <w:pPr>
              <w:spacing w:after="0"/>
              <w:rPr>
                <w:sz w:val="1"/>
                <w:szCs w:val="1"/>
                <w:color w:val="auto"/>
              </w:rPr>
            </w:pPr>
          </w:p>
        </w:tc>
      </w:tr>
      <w:tr>
        <w:trPr>
          <w:trHeight w:val="207"/>
        </w:trPr>
        <w:tc>
          <w:tcPr>
            <w:tcW w:w="9140" w:type="dxa"/>
            <w:vAlign w:val="bottom"/>
            <w:vMerge w:val="restart"/>
          </w:tcPr>
          <w:p>
            <w:pPr>
              <w:spacing w:after="0"/>
              <w:rPr>
                <w:sz w:val="20"/>
                <w:szCs w:val="20"/>
                <w:color w:val="auto"/>
              </w:rPr>
            </w:pPr>
            <w:r>
              <w:rPr>
                <w:rFonts w:ascii="Arial" w:cs="Arial" w:eastAsia="Arial" w:hAnsi="Arial"/>
                <w:sz w:val="16"/>
                <w:szCs w:val="16"/>
                <w:b w:val="1"/>
                <w:bCs w:val="1"/>
                <w:color w:val="auto"/>
              </w:rPr>
              <w:t>Total Revenue:</w:t>
            </w:r>
          </w:p>
        </w:tc>
        <w:tc>
          <w:tcPr>
            <w:tcW w:w="2080" w:type="dxa"/>
            <w:vAlign w:val="bottom"/>
            <w:tcBorders>
              <w:bottom w:val="single" w:sz="8" w:color="auto"/>
            </w:tcBorders>
            <w:gridSpan w:val="2"/>
            <w:shd w:val="clear" w:color="auto" w:fill="DBDBDB"/>
          </w:tcPr>
          <w:p>
            <w:pPr>
              <w:jc w:val="right"/>
              <w:ind w:right="662"/>
              <w:spacing w:after="0"/>
              <w:rPr>
                <w:sz w:val="20"/>
                <w:szCs w:val="20"/>
                <w:color w:val="auto"/>
              </w:rPr>
            </w:pPr>
            <w:r>
              <w:rPr>
                <w:rFonts w:ascii="Arial" w:cs="Arial" w:eastAsia="Arial" w:hAnsi="Arial"/>
                <w:sz w:val="16"/>
                <w:szCs w:val="16"/>
                <w:b w:val="1"/>
                <w:bCs w:val="1"/>
                <w:color w:val="00497F"/>
              </w:rPr>
              <w:t>Q1 2025</w:t>
            </w:r>
          </w:p>
        </w:tc>
        <w:tc>
          <w:tcPr>
            <w:tcW w:w="0" w:type="dxa"/>
            <w:vAlign w:val="bottom"/>
          </w:tcPr>
          <w:p>
            <w:pPr>
              <w:spacing w:after="0"/>
              <w:rPr>
                <w:sz w:val="1"/>
                <w:szCs w:val="1"/>
                <w:color w:val="auto"/>
              </w:rPr>
            </w:pPr>
          </w:p>
        </w:tc>
      </w:tr>
      <w:tr>
        <w:trPr>
          <w:trHeight w:val="187"/>
        </w:trPr>
        <w:tc>
          <w:tcPr>
            <w:tcW w:w="9140" w:type="dxa"/>
            <w:vAlign w:val="bottom"/>
            <w:vMerge w:val="continue"/>
          </w:tcPr>
          <w:p>
            <w:pPr>
              <w:spacing w:after="0"/>
              <w:rPr>
                <w:sz w:val="16"/>
                <w:szCs w:val="16"/>
                <w:color w:val="auto"/>
              </w:rPr>
            </w:pPr>
          </w:p>
        </w:tc>
        <w:tc>
          <w:tcPr>
            <w:tcW w:w="19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914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1.9</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5"/>
        </w:trPr>
        <w:tc>
          <w:tcPr>
            <w:tcW w:w="914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3.5</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4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2080" w:type="dxa"/>
            <w:vAlign w:val="bottom"/>
            <w:gridSpan w:val="2"/>
          </w:tcPr>
          <w:p>
            <w:pPr>
              <w:jc w:val="right"/>
              <w:spacing w:after="0"/>
              <w:rPr>
                <w:sz w:val="20"/>
                <w:szCs w:val="20"/>
                <w:color w:val="auto"/>
              </w:rPr>
            </w:pPr>
            <w:r>
              <w:rPr>
                <w:rFonts w:ascii="Arial" w:cs="Arial" w:eastAsia="Arial" w:hAnsi="Arial"/>
                <w:sz w:val="16"/>
                <w:szCs w:val="16"/>
                <w:color w:val="00497F"/>
              </w:rPr>
              <w:t>(1.6)%</w:t>
            </w:r>
          </w:p>
        </w:tc>
        <w:tc>
          <w:tcPr>
            <w:tcW w:w="0" w:type="dxa"/>
            <w:vAlign w:val="bottom"/>
          </w:tcPr>
          <w:p>
            <w:pPr>
              <w:spacing w:after="0"/>
              <w:rPr>
                <w:sz w:val="1"/>
                <w:szCs w:val="1"/>
                <w:color w:val="auto"/>
              </w:rPr>
            </w:pPr>
          </w:p>
        </w:tc>
      </w:tr>
      <w:tr>
        <w:trPr>
          <w:trHeight w:val="260"/>
        </w:trPr>
        <w:tc>
          <w:tcPr>
            <w:tcW w:w="9140" w:type="dxa"/>
            <w:vAlign w:val="bottom"/>
          </w:tcPr>
          <w:p>
            <w:pPr>
              <w:spacing w:after="0"/>
              <w:rPr>
                <w:sz w:val="20"/>
                <w:szCs w:val="20"/>
                <w:color w:val="auto"/>
              </w:rPr>
            </w:pPr>
            <w:r>
              <w:rPr>
                <w:rFonts w:ascii="Arial" w:cs="Arial" w:eastAsia="Arial" w:hAnsi="Arial"/>
                <w:sz w:val="16"/>
                <w:szCs w:val="16"/>
                <w:b w:val="1"/>
                <w:bCs w:val="1"/>
                <w:color w:val="auto"/>
              </w:rPr>
              <w:t>Total Product Revenue:</w:t>
            </w:r>
          </w:p>
        </w:tc>
        <w:tc>
          <w:tcPr>
            <w:tcW w:w="19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914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1.5</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5"/>
        </w:trPr>
        <w:tc>
          <w:tcPr>
            <w:tcW w:w="914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4.0</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4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2080" w:type="dxa"/>
            <w:vAlign w:val="bottom"/>
            <w:gridSpan w:val="2"/>
          </w:tcPr>
          <w:p>
            <w:pPr>
              <w:jc w:val="right"/>
              <w:spacing w:after="0"/>
              <w:rPr>
                <w:sz w:val="20"/>
                <w:szCs w:val="20"/>
                <w:color w:val="auto"/>
              </w:rPr>
            </w:pPr>
            <w:r>
              <w:rPr>
                <w:rFonts w:ascii="Arial" w:cs="Arial" w:eastAsia="Arial" w:hAnsi="Arial"/>
                <w:sz w:val="16"/>
                <w:szCs w:val="16"/>
                <w:color w:val="00497F"/>
              </w:rPr>
              <w:t>(2.5)%</w:t>
            </w:r>
          </w:p>
        </w:tc>
        <w:tc>
          <w:tcPr>
            <w:tcW w:w="0" w:type="dxa"/>
            <w:vAlign w:val="bottom"/>
          </w:tcPr>
          <w:p>
            <w:pPr>
              <w:spacing w:after="0"/>
              <w:rPr>
                <w:sz w:val="1"/>
                <w:szCs w:val="1"/>
                <w:color w:val="auto"/>
              </w:rPr>
            </w:pPr>
          </w:p>
        </w:tc>
      </w:tr>
      <w:tr>
        <w:trPr>
          <w:trHeight w:val="260"/>
        </w:trPr>
        <w:tc>
          <w:tcPr>
            <w:tcW w:w="9140" w:type="dxa"/>
            <w:vAlign w:val="bottom"/>
          </w:tcPr>
          <w:p>
            <w:pPr>
              <w:spacing w:after="0"/>
              <w:rPr>
                <w:sz w:val="20"/>
                <w:szCs w:val="20"/>
                <w:color w:val="auto"/>
              </w:rPr>
            </w:pPr>
            <w:r>
              <w:rPr>
                <w:rFonts w:ascii="Arial" w:cs="Arial" w:eastAsia="Arial" w:hAnsi="Arial"/>
                <w:sz w:val="16"/>
                <w:szCs w:val="16"/>
                <w:b w:val="1"/>
                <w:bCs w:val="1"/>
                <w:color w:val="auto"/>
              </w:rPr>
              <w:t>Total MS Product Revenue:</w:t>
            </w:r>
          </w:p>
        </w:tc>
        <w:tc>
          <w:tcPr>
            <w:tcW w:w="19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914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0.5</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5"/>
        </w:trPr>
        <w:tc>
          <w:tcPr>
            <w:tcW w:w="914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3.4</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4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2080" w:type="dxa"/>
            <w:vAlign w:val="bottom"/>
            <w:gridSpan w:val="2"/>
          </w:tcPr>
          <w:p>
            <w:pPr>
              <w:jc w:val="right"/>
              <w:spacing w:after="0"/>
              <w:rPr>
                <w:sz w:val="20"/>
                <w:szCs w:val="20"/>
                <w:color w:val="auto"/>
              </w:rPr>
            </w:pPr>
            <w:r>
              <w:rPr>
                <w:rFonts w:ascii="Arial" w:cs="Arial" w:eastAsia="Arial" w:hAnsi="Arial"/>
                <w:sz w:val="16"/>
                <w:szCs w:val="16"/>
                <w:color w:val="00497F"/>
              </w:rPr>
              <w:t>(2.9)%</w:t>
            </w:r>
          </w:p>
        </w:tc>
        <w:tc>
          <w:tcPr>
            <w:tcW w:w="0" w:type="dxa"/>
            <w:vAlign w:val="bottom"/>
          </w:tcPr>
          <w:p>
            <w:pPr>
              <w:spacing w:after="0"/>
              <w:rPr>
                <w:sz w:val="1"/>
                <w:szCs w:val="1"/>
                <w:color w:val="auto"/>
              </w:rPr>
            </w:pPr>
          </w:p>
        </w:tc>
      </w:tr>
      <w:tr>
        <w:trPr>
          <w:trHeight w:val="260"/>
        </w:trPr>
        <w:tc>
          <w:tcPr>
            <w:tcW w:w="9140" w:type="dxa"/>
            <w:vAlign w:val="bottom"/>
          </w:tcPr>
          <w:p>
            <w:pPr>
              <w:spacing w:after="0"/>
              <w:rPr>
                <w:sz w:val="20"/>
                <w:szCs w:val="20"/>
                <w:color w:val="auto"/>
              </w:rPr>
            </w:pPr>
            <w:r>
              <w:rPr>
                <w:rFonts w:ascii="Arial" w:cs="Arial" w:eastAsia="Arial" w:hAnsi="Arial"/>
                <w:sz w:val="16"/>
                <w:szCs w:val="16"/>
                <w:b w:val="1"/>
                <w:bCs w:val="1"/>
                <w:color w:val="auto"/>
              </w:rPr>
              <w:t>Total Rare Disease Revenue</w:t>
            </w:r>
          </w:p>
        </w:tc>
        <w:tc>
          <w:tcPr>
            <w:tcW w:w="19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914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20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(1.1)%</w:t>
            </w:r>
          </w:p>
        </w:tc>
        <w:tc>
          <w:tcPr>
            <w:tcW w:w="0" w:type="dxa"/>
            <w:vAlign w:val="bottom"/>
          </w:tcPr>
          <w:p>
            <w:pPr>
              <w:spacing w:after="0"/>
              <w:rPr>
                <w:sz w:val="1"/>
                <w:szCs w:val="1"/>
                <w:color w:val="auto"/>
              </w:rPr>
            </w:pPr>
          </w:p>
        </w:tc>
      </w:tr>
      <w:tr>
        <w:trPr>
          <w:trHeight w:val="205"/>
        </w:trPr>
        <w:tc>
          <w:tcPr>
            <w:tcW w:w="914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3.8</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4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2080" w:type="dxa"/>
            <w:vAlign w:val="bottom"/>
            <w:gridSpan w:val="2"/>
          </w:tcPr>
          <w:p>
            <w:pPr>
              <w:jc w:val="right"/>
              <w:spacing w:after="0"/>
              <w:rPr>
                <w:sz w:val="20"/>
                <w:szCs w:val="20"/>
                <w:color w:val="auto"/>
              </w:rPr>
            </w:pPr>
            <w:r>
              <w:rPr>
                <w:rFonts w:ascii="Arial" w:cs="Arial" w:eastAsia="Arial" w:hAnsi="Arial"/>
                <w:sz w:val="16"/>
                <w:szCs w:val="16"/>
                <w:color w:val="00497F"/>
              </w:rPr>
              <w:t>(4.9)%</w:t>
            </w:r>
          </w:p>
        </w:tc>
        <w:tc>
          <w:tcPr>
            <w:tcW w:w="0" w:type="dxa"/>
            <w:vAlign w:val="bottom"/>
          </w:tcPr>
          <w:p>
            <w:pPr>
              <w:spacing w:after="0"/>
              <w:rPr>
                <w:sz w:val="1"/>
                <w:szCs w:val="1"/>
                <w:color w:val="auto"/>
              </w:rPr>
            </w:pPr>
          </w:p>
        </w:tc>
      </w:tr>
      <w:tr>
        <w:trPr>
          <w:trHeight w:val="260"/>
        </w:trPr>
        <w:tc>
          <w:tcPr>
            <w:tcW w:w="9140" w:type="dxa"/>
            <w:vAlign w:val="bottom"/>
          </w:tcPr>
          <w:p>
            <w:pPr>
              <w:spacing w:after="0"/>
              <w:rPr>
                <w:sz w:val="20"/>
                <w:szCs w:val="20"/>
                <w:color w:val="auto"/>
              </w:rPr>
            </w:pPr>
            <w:r>
              <w:rPr>
                <w:rFonts w:ascii="Arial" w:cs="Arial" w:eastAsia="Arial" w:hAnsi="Arial"/>
                <w:sz w:val="16"/>
                <w:szCs w:val="16"/>
                <w:b w:val="1"/>
                <w:bCs w:val="1"/>
                <w:color w:val="auto"/>
              </w:rPr>
              <w:t>Total Biosimilars Product Revenue:</w:t>
            </w:r>
          </w:p>
        </w:tc>
        <w:tc>
          <w:tcPr>
            <w:tcW w:w="19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914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0.8</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5"/>
        </w:trPr>
        <w:tc>
          <w:tcPr>
            <w:tcW w:w="914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7.3</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4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2080" w:type="dxa"/>
            <w:vAlign w:val="bottom"/>
            <w:gridSpan w:val="2"/>
          </w:tcPr>
          <w:p>
            <w:pPr>
              <w:jc w:val="right"/>
              <w:spacing w:after="0"/>
              <w:rPr>
                <w:sz w:val="20"/>
                <w:szCs w:val="20"/>
                <w:color w:val="auto"/>
              </w:rPr>
            </w:pPr>
            <w:r>
              <w:rPr>
                <w:rFonts w:ascii="Arial" w:cs="Arial" w:eastAsia="Arial" w:hAnsi="Arial"/>
                <w:sz w:val="16"/>
                <w:szCs w:val="16"/>
                <w:color w:val="00497F"/>
              </w:rPr>
              <w:t>(6.5)%</w:t>
            </w:r>
          </w:p>
        </w:tc>
        <w:tc>
          <w:tcPr>
            <w:tcW w:w="0" w:type="dxa"/>
            <w:vAlign w:val="bottom"/>
          </w:tcPr>
          <w:p>
            <w:pPr>
              <w:spacing w:after="0"/>
              <w:rPr>
                <w:sz w:val="1"/>
                <w:szCs w:val="1"/>
                <w:color w:val="auto"/>
              </w:rPr>
            </w:pPr>
          </w:p>
        </w:tc>
      </w:tr>
      <w:tr>
        <w:trPr>
          <w:trHeight w:val="260"/>
        </w:trPr>
        <w:tc>
          <w:tcPr>
            <w:tcW w:w="9140" w:type="dxa"/>
            <w:vAlign w:val="bottom"/>
          </w:tcPr>
          <w:p>
            <w:pPr>
              <w:spacing w:after="0"/>
              <w:rPr>
                <w:sz w:val="20"/>
                <w:szCs w:val="20"/>
                <w:color w:val="auto"/>
              </w:rPr>
            </w:pPr>
            <w:r>
              <w:rPr>
                <w:rFonts w:ascii="Arial" w:cs="Arial" w:eastAsia="Arial" w:hAnsi="Arial"/>
                <w:sz w:val="16"/>
                <w:szCs w:val="16"/>
                <w:b w:val="1"/>
                <w:bCs w:val="1"/>
                <w:color w:val="auto"/>
              </w:rPr>
              <w:t>Total Other Product Revenue:</w:t>
            </w:r>
          </w:p>
        </w:tc>
        <w:tc>
          <w:tcPr>
            <w:tcW w:w="19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914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88.4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914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1.0</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4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87.4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9140" w:type="dxa"/>
            <w:vAlign w:val="bottom"/>
          </w:tcPr>
          <w:p>
            <w:pPr>
              <w:spacing w:after="0"/>
              <w:rPr>
                <w:sz w:val="20"/>
                <w:szCs w:val="20"/>
                <w:color w:val="auto"/>
              </w:rPr>
            </w:pPr>
            <w:r>
              <w:rPr>
                <w:rFonts w:ascii="Arial" w:cs="Arial" w:eastAsia="Arial" w:hAnsi="Arial"/>
                <w:sz w:val="16"/>
                <w:szCs w:val="16"/>
                <w:b w:val="1"/>
                <w:bCs w:val="1"/>
                <w:color w:val="auto"/>
              </w:rPr>
              <w:t>Total Revenue from Anti-CD20 Therapeutic Programs Revenue:</w:t>
            </w:r>
          </w:p>
        </w:tc>
        <w:tc>
          <w:tcPr>
            <w:tcW w:w="19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914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10.8</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914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0.1</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4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10.7</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9140" w:type="dxa"/>
            <w:vAlign w:val="bottom"/>
          </w:tcPr>
          <w:p>
            <w:pPr>
              <w:spacing w:after="0"/>
              <w:rPr>
                <w:sz w:val="20"/>
                <w:szCs w:val="20"/>
                <w:color w:val="auto"/>
              </w:rPr>
            </w:pPr>
            <w:r>
              <w:rPr>
                <w:rFonts w:ascii="Arial" w:cs="Arial" w:eastAsia="Arial" w:hAnsi="Arial"/>
                <w:sz w:val="16"/>
                <w:szCs w:val="16"/>
                <w:b w:val="1"/>
                <w:bCs w:val="1"/>
                <w:color w:val="auto"/>
              </w:rPr>
              <w:t>Total Revenue from Alzheimer's Collaboration Revenue:</w:t>
            </w:r>
          </w:p>
        </w:tc>
        <w:tc>
          <w:tcPr>
            <w:tcW w:w="19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914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80.3</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914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(0.1)</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4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80.4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9140" w:type="dxa"/>
            <w:vAlign w:val="bottom"/>
          </w:tcPr>
          <w:p>
            <w:pPr>
              <w:spacing w:after="0"/>
              <w:rPr>
                <w:sz w:val="20"/>
                <w:szCs w:val="20"/>
                <w:color w:val="auto"/>
              </w:rPr>
            </w:pPr>
            <w:r>
              <w:rPr>
                <w:rFonts w:ascii="Arial" w:cs="Arial" w:eastAsia="Arial" w:hAnsi="Arial"/>
                <w:sz w:val="16"/>
                <w:szCs w:val="16"/>
                <w:b w:val="1"/>
                <w:bCs w:val="1"/>
                <w:color w:val="auto"/>
              </w:rPr>
              <w:t>Total Contract Manufacturing, Royalty and Other Revenue:</w:t>
            </w:r>
          </w:p>
        </w:tc>
        <w:tc>
          <w:tcPr>
            <w:tcW w:w="19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914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20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(15.8)%</w:t>
            </w:r>
          </w:p>
        </w:tc>
        <w:tc>
          <w:tcPr>
            <w:tcW w:w="0" w:type="dxa"/>
            <w:vAlign w:val="bottom"/>
          </w:tcPr>
          <w:p>
            <w:pPr>
              <w:spacing w:after="0"/>
              <w:rPr>
                <w:sz w:val="1"/>
                <w:szCs w:val="1"/>
                <w:color w:val="auto"/>
              </w:rPr>
            </w:pPr>
          </w:p>
        </w:tc>
      </w:tr>
      <w:tr>
        <w:trPr>
          <w:trHeight w:val="205"/>
        </w:trPr>
        <w:tc>
          <w:tcPr>
            <w:tcW w:w="914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4.6</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4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2080" w:type="dxa"/>
            <w:vAlign w:val="bottom"/>
            <w:gridSpan w:val="2"/>
          </w:tcPr>
          <w:p>
            <w:pPr>
              <w:jc w:val="right"/>
              <w:spacing w:after="0"/>
              <w:rPr>
                <w:sz w:val="20"/>
                <w:szCs w:val="20"/>
                <w:color w:val="auto"/>
              </w:rPr>
            </w:pPr>
            <w:r>
              <w:rPr>
                <w:rFonts w:ascii="Arial" w:cs="Arial" w:eastAsia="Arial" w:hAnsi="Arial"/>
                <w:sz w:val="16"/>
                <w:szCs w:val="16"/>
                <w:color w:val="00497F"/>
              </w:rPr>
              <w:t>(20.4)%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5817870</wp:posOffset>
            </wp:positionH>
            <wp:positionV relativeFrom="paragraph">
              <wp:posOffset>-4935220</wp:posOffset>
            </wp:positionV>
            <wp:extent cx="1322705" cy="402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22705" cy="40259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-4368165</wp:posOffset>
            </wp:positionV>
            <wp:extent cx="1322705" cy="402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22705" cy="40259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-3801110</wp:posOffset>
            </wp:positionV>
            <wp:extent cx="1322705" cy="402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22705" cy="40259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-3234690</wp:posOffset>
            </wp:positionV>
            <wp:extent cx="1322705" cy="402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22705" cy="40259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-2667635</wp:posOffset>
            </wp:positionV>
            <wp:extent cx="1322705" cy="402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22705" cy="40259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-400685</wp:posOffset>
            </wp:positionV>
            <wp:extent cx="1322705" cy="402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22705" cy="4025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13</w:t>
      </w:r>
    </w:p>
    <w:p>
      <w:pPr>
        <w:sectPr>
          <w:pgSz w:w="11900" w:h="16838" w:orient="portrait"/>
          <w:cols w:equalWidth="0" w:num="1">
            <w:col w:w="11240"/>
          </w:cols>
          <w:pgMar w:left="320" w:top="1019" w:right="339" w:bottom="1440" w:gutter="0" w:footer="0" w:header="0"/>
        </w:sectPr>
      </w:pPr>
    </w:p>
    <w:bookmarkStart w:id="16" w:name="page17"/>
    <w:bookmarkEnd w:id="16"/>
    <w:p>
      <w:pPr>
        <w:ind w:left="4920"/>
        <w:spacing w:after="0"/>
        <w:rPr>
          <w:sz w:val="20"/>
          <w:szCs w:val="20"/>
          <w:color w:val="auto"/>
        </w:rPr>
      </w:pPr>
      <w:r>
        <w:rPr>
          <w:rFonts w:ascii="Arial" w:cs="Arial" w:eastAsia="Arial" w:hAnsi="Arial"/>
          <w:sz w:val="21"/>
          <w:szCs w:val="21"/>
          <w:b w:val="1"/>
          <w:bCs w:val="1"/>
          <w:color w:val="1C5A7D"/>
        </w:rPr>
        <w:t>TABLE 4 (continued)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GAAP TO NON-GAAP RECONCILIATION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FREE CASH FLOW</w:t>
      </w:r>
    </w:p>
    <w:p>
      <w:pPr>
        <w:jc w:val="center"/>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99"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We define free cash flow as net cash provided by (used in) operating activities in the period less capital expenditures made in the period. The following table reconciles net cash provided by (used in) operating activities, a GAAP measure, to free cash flow, a Non-GAAP measure.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02"/>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00"/>
        </w:trPr>
        <w:tc>
          <w:tcPr>
            <w:tcW w:w="7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shd w:val="clear" w:color="auto" w:fill="DBDBDB"/>
          </w:tcPr>
          <w:p>
            <w:pPr>
              <w:jc w:val="right"/>
              <w:ind w:right="22"/>
              <w:spacing w:after="0"/>
              <w:rPr>
                <w:sz w:val="20"/>
                <w:szCs w:val="20"/>
                <w:color w:val="auto"/>
              </w:rPr>
            </w:pPr>
            <w:r>
              <w:rPr>
                <w:rFonts w:ascii="Arial" w:cs="Arial" w:eastAsia="Arial" w:hAnsi="Arial"/>
                <w:sz w:val="16"/>
                <w:szCs w:val="16"/>
                <w:b w:val="1"/>
                <w:bCs w:val="1"/>
                <w:color w:val="00497F"/>
              </w:rPr>
              <w:t>2026</w:t>
            </w:r>
          </w:p>
        </w:tc>
        <w:tc>
          <w:tcPr>
            <w:tcW w:w="62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2025</w:t>
            </w:r>
          </w:p>
        </w:tc>
      </w:tr>
      <w:tr>
        <w:trPr>
          <w:trHeight w:val="20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80" w:type="dxa"/>
            <w:vAlign w:val="bottom"/>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6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5"/>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160" w:type="dxa"/>
            <w:vAlign w:val="bottom"/>
            <w:shd w:val="clear" w:color="auto" w:fill="DBDBDB"/>
          </w:tcPr>
          <w:p>
            <w:pPr>
              <w:jc w:val="right"/>
              <w:ind w:right="962"/>
              <w:spacing w:after="0"/>
              <w:rPr>
                <w:sz w:val="20"/>
                <w:szCs w:val="20"/>
                <w:color w:val="auto"/>
              </w:rPr>
            </w:pPr>
            <w:r>
              <w:rPr>
                <w:rFonts w:ascii="Arial" w:cs="Arial" w:eastAsia="Arial" w:hAnsi="Arial"/>
                <w:sz w:val="16"/>
                <w:szCs w:val="16"/>
                <w:color w:val="00497F"/>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645.5</w:t>
            </w:r>
          </w:p>
        </w:tc>
        <w:tc>
          <w:tcPr>
            <w:tcW w:w="50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259.3</w:t>
            </w:r>
          </w:p>
        </w:tc>
      </w:tr>
      <w:tr>
        <w:trPr>
          <w:trHeight w:val="207"/>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16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(209.5)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08"/>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16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(43.8)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33"/>
        </w:trPr>
        <w:tc>
          <w:tcPr>
            <w:tcW w:w="7600" w:type="dxa"/>
            <w:vAlign w:val="bottom"/>
            <w:gridSpan w:val="2"/>
          </w:tcPr>
          <w:p>
            <w:pPr>
              <w:ind w:left="220"/>
              <w:spacing w:after="0"/>
              <w:rPr>
                <w:sz w:val="20"/>
                <w:szCs w:val="20"/>
                <w:color w:val="auto"/>
              </w:rPr>
            </w:pPr>
            <w:r>
              <w:rPr>
                <w:rFonts w:ascii="Arial" w:cs="Arial" w:eastAsia="Arial" w:hAnsi="Arial"/>
                <w:sz w:val="16"/>
                <w:szCs w:val="16"/>
                <w:color w:val="auto"/>
              </w:rPr>
              <w:t>Net increase (decrease) in cash and cash equivalents</w:t>
            </w:r>
          </w:p>
        </w:tc>
        <w:tc>
          <w:tcPr>
            <w:tcW w:w="1160" w:type="dxa"/>
            <w:vAlign w:val="bottom"/>
            <w:tcBorders>
              <w:bottom w:val="single" w:sz="8" w:color="auto"/>
            </w:tcBorders>
            <w:shd w:val="clear" w:color="auto" w:fill="DBDBDB"/>
          </w:tcPr>
          <w:p>
            <w:pPr>
              <w:jc w:val="right"/>
              <w:ind w:right="962"/>
              <w:spacing w:after="0"/>
              <w:rPr>
                <w:sz w:val="20"/>
                <w:szCs w:val="20"/>
                <w:color w:val="auto"/>
              </w:rPr>
            </w:pPr>
            <w:r>
              <w:rPr>
                <w:rFonts w:ascii="Arial" w:cs="Arial" w:eastAsia="Arial" w:hAnsi="Arial"/>
                <w:sz w:val="16"/>
                <w:szCs w:val="16"/>
                <w:color w:val="00497F"/>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392.2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w:t>
            </w:r>
          </w:p>
        </w:tc>
      </w:tr>
      <w:tr>
        <w:trPr>
          <w:trHeight w:val="438"/>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160" w:type="dxa"/>
            <w:vAlign w:val="bottom"/>
            <w:shd w:val="clear" w:color="auto" w:fill="DBDBDB"/>
          </w:tcPr>
          <w:p>
            <w:pPr>
              <w:jc w:val="right"/>
              <w:ind w:right="962"/>
              <w:spacing w:after="0"/>
              <w:rPr>
                <w:sz w:val="20"/>
                <w:szCs w:val="20"/>
                <w:color w:val="auto"/>
              </w:rPr>
            </w:pPr>
            <w:r>
              <w:rPr>
                <w:rFonts w:ascii="Arial" w:cs="Arial" w:eastAsia="Arial" w:hAnsi="Arial"/>
                <w:sz w:val="16"/>
                <w:szCs w:val="16"/>
                <w:color w:val="00497F"/>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645.5</w:t>
            </w:r>
          </w:p>
        </w:tc>
        <w:tc>
          <w:tcPr>
            <w:tcW w:w="50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259.3</w:t>
            </w:r>
          </w:p>
        </w:tc>
      </w:tr>
      <w:tr>
        <w:trPr>
          <w:trHeight w:val="208"/>
        </w:trPr>
        <w:tc>
          <w:tcPr>
            <w:tcW w:w="7600" w:type="dxa"/>
            <w:vAlign w:val="bottom"/>
            <w:gridSpan w:val="2"/>
          </w:tcPr>
          <w:p>
            <w:pPr>
              <w:ind w:left="220"/>
              <w:spacing w:after="0"/>
              <w:rPr>
                <w:sz w:val="20"/>
                <w:szCs w:val="20"/>
                <w:color w:val="auto"/>
              </w:rPr>
            </w:pPr>
            <w:r>
              <w:rPr>
                <w:rFonts w:ascii="Arial" w:cs="Arial" w:eastAsia="Arial" w:hAnsi="Arial"/>
                <w:sz w:val="16"/>
                <w:szCs w:val="16"/>
                <w:color w:val="auto"/>
              </w:rPr>
              <w:t>Less: Purchases of property, plant and equipment</w:t>
            </w:r>
          </w:p>
        </w:tc>
        <w:tc>
          <w:tcPr>
            <w:tcW w:w="116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51.2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r>
      <w:tr>
        <w:trPr>
          <w:trHeight w:val="221"/>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1160" w:type="dxa"/>
            <w:vAlign w:val="bottom"/>
            <w:shd w:val="clear" w:color="auto" w:fill="DBDBDB"/>
          </w:tcPr>
          <w:p>
            <w:pPr>
              <w:jc w:val="right"/>
              <w:ind w:right="962"/>
              <w:spacing w:after="0"/>
              <w:rPr>
                <w:sz w:val="20"/>
                <w:szCs w:val="20"/>
                <w:color w:val="auto"/>
              </w:rPr>
            </w:pPr>
            <w:r>
              <w:rPr>
                <w:rFonts w:ascii="Arial" w:cs="Arial" w:eastAsia="Arial" w:hAnsi="Arial"/>
                <w:sz w:val="16"/>
                <w:szCs w:val="16"/>
                <w:color w:val="00497F"/>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594.3</w:t>
            </w:r>
          </w:p>
        </w:tc>
        <w:tc>
          <w:tcPr>
            <w:tcW w:w="50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222.2</w:t>
            </w:r>
          </w:p>
        </w:tc>
      </w:tr>
      <w:tr>
        <w:trPr>
          <w:trHeight w:val="20"/>
        </w:trPr>
        <w:tc>
          <w:tcPr>
            <w:tcW w:w="7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14</w:t>
      </w:r>
    </w:p>
    <w:p>
      <w:pPr>
        <w:sectPr>
          <w:pgSz w:w="11900" w:h="16838" w:orient="portrait"/>
          <w:cols w:equalWidth="0" w:num="1">
            <w:col w:w="11240"/>
          </w:cols>
          <w:pgMar w:left="320" w:top="1019" w:right="339" w:bottom="1440" w:gutter="0" w:footer="0" w:header="0"/>
        </w:sectPr>
      </w:pPr>
    </w:p>
    <w:bookmarkStart w:id="17" w:name="page18"/>
    <w:bookmarkEnd w:id="17"/>
    <w:p>
      <w:pPr>
        <w:ind w:left="4080"/>
        <w:spacing w:after="0"/>
        <w:rPr>
          <w:sz w:val="20"/>
          <w:szCs w:val="20"/>
          <w:color w:val="auto"/>
        </w:rPr>
      </w:pPr>
      <w:r>
        <w:rPr>
          <w:rFonts w:ascii="Arial" w:cs="Arial" w:eastAsia="Arial" w:hAnsi="Arial"/>
          <w:sz w:val="21"/>
          <w:szCs w:val="21"/>
          <w:b w:val="1"/>
          <w:bCs w:val="1"/>
          <w:color w:val="2573BA"/>
        </w:rPr>
        <w:t>Use of Non-GAAP Financial Measures</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supplement our GAAP consolidated financial statements and GAAP financial measures with other financial measures, such as adjusted net income, adjusted diluted earnings per share, revenue growth at constant currency, which excludes the impact of changes in foreign exchange rates and hedging gains or losses, and free cash flow, which is defined as net cash flow from operations less capital expenditures.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p>
      <w:pPr>
        <w:spacing w:after="0" w:line="122"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Our “Non-GAAP net income attributable to Biogen Inc.” and “Non-GAAP earnings per share - Diluted” financial measures exclude the following items from “GAAP net income attributable to Biogen Inc.” and “GAAP earnings per share - Diluted”: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 Acquisitions and divestitures</w:t>
      </w:r>
    </w:p>
    <w:p>
      <w:pPr>
        <w:spacing w:after="0" w:line="5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exclude transaction, integration and certain other costs related to the acquisition and divestiture of businesses/commercial assets and items associated with the initial consolidation or deconsolidation of variable interest entities. These adjustments include, but are not limited to, the amortization of inventory fair value step-up, amortization and impairment of intangible assets, charges or credits from the fair value remeasurement of our contingent consideration obligations and losses on assets and liabilities held for sale.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 Restructuring, business transformation and other cost saving initiatives</w:t>
      </w:r>
    </w:p>
    <w:p>
      <w:pPr>
        <w:spacing w:after="0" w:line="6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We exclude costs associated with our execution of certain strategies and initiatives to streamline operations, achieve targeted cost reductions, rationalize manufacturing facilities or refocus research and development activities. These costs may include employee separation costs, retention bonuses, facility closing/abandonment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3. (Gain) loss on equity security investments</w:t>
      </w:r>
    </w:p>
    <w:p>
      <w:pPr>
        <w:spacing w:after="0" w:line="50"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We exclude unrealized and realized gains and losses related to our equity security investments as we do not believe that these components of income or expense have a direct correlation to our ongoing or future business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4. Other items</w:t>
      </w:r>
    </w:p>
    <w:p>
      <w:pPr>
        <w:spacing w:after="0" w:line="5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evaluate other items of income and expense on an individual basis and consider both the quantitative and qualitative aspects of the item, including (i) 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earnings per share - diluted.</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447260"/>
        </w:rPr>
        <w:t>15</w:t>
      </w:r>
    </w:p>
    <w:sectPr>
      <w:pgSz w:w="11900" w:h="16838" w:orient="portrait"/>
      <w:cols w:equalWidth="0" w:num="1">
        <w:col w:w="11200"/>
      </w:cols>
      <w:pgMar w:left="320" w:top="96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4"/>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2026-04-29T05:30:22Z</dcterms:created>
  <dcterms:modified xsi:type="dcterms:W3CDTF">2026-04-29T05:30:22Z</dcterms:modified>
</cp:coreProperties>
</file>